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sz w:val="6"/>
          <w:lang w:val="en-US"/>
        </w:rPr>
        <w:t>s</w:t>
      </w:r>
      <w:r>
        <w:rPr>
          <w:rStyle w:val="CommentReference"/>
          <w:vanish/>
        </w:rPr>
        <w:commentReference w:id="0"/>
      </w:r>
    </w:p>
    <w:p w:rsidR="00000000" w:rsidRDefault="00000000">
      <w:pPr>
        <w:pStyle w:val="H1"/>
      </w:pPr>
      <w:r>
        <w:t>Комитет по ликвидации дискриминации</w:t>
      </w:r>
    </w:p>
    <w:p w:rsidR="00000000" w:rsidRDefault="00000000">
      <w:pPr>
        <w:pStyle w:val="H1"/>
      </w:pPr>
      <w:r>
        <w:t>в отношении женщин (КЛДЖ)</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Четвертый периодический доклад государств-участников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pacing w:val="4"/>
          <w:sz w:val="24"/>
        </w:rPr>
        <w:tab/>
      </w:r>
      <w:r>
        <w:rPr>
          <w:spacing w:val="4"/>
          <w:sz w:val="24"/>
        </w:rPr>
        <w:tab/>
      </w:r>
      <w:r>
        <w:rPr>
          <w:spacing w:val="4"/>
        </w:rPr>
        <w:t>Израиль</w:t>
      </w:r>
      <w:r>
        <w:rPr>
          <w:rStyle w:val="FootnoteReference"/>
          <w:b w:val="0"/>
          <w:sz w:val="20"/>
        </w:rPr>
        <w:footnoteReference w:customMarkFollows="1" w:id="1"/>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pPr>
      <w:r>
        <w:br w:type="page"/>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center"/>
        <w:rPr>
          <w:b/>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center"/>
        <w:rPr>
          <w:b/>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120"/>
        <w:jc w:val="center"/>
        <w:rPr>
          <w:b/>
          <w:sz w:val="28"/>
        </w:rPr>
      </w:pPr>
      <w:r>
        <w:rPr>
          <w:b/>
          <w:sz w:val="28"/>
        </w:rPr>
        <w:t>ГОСУДАРСТВО ИЗРАИЛЬ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center"/>
        <w:rPr>
          <w:b/>
          <w:sz w:val="24"/>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center"/>
        <w:rPr>
          <w:b/>
          <w:sz w:val="24"/>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center"/>
        <w:rPr>
          <w:b/>
          <w:sz w:val="24"/>
        </w:rPr>
      </w:pPr>
    </w:p>
    <w:tbl>
      <w:tblPr>
        <w:tblW w:w="0" w:type="auto"/>
        <w:tblInd w:w="812" w:type="dxa"/>
        <w:tblBorders>
          <w:insideH w:val="single" w:sz="4" w:space="0" w:color="auto"/>
          <w:insideV w:val="single" w:sz="4" w:space="0" w:color="auto"/>
        </w:tblBorders>
        <w:tblLayout w:type="fixed"/>
        <w:tblLook w:val="0000" w:firstRow="0" w:lastRow="0" w:firstColumn="0" w:lastColumn="0" w:noHBand="0" w:noVBand="0"/>
      </w:tblPr>
      <w:tblGrid>
        <w:gridCol w:w="4050"/>
        <w:gridCol w:w="4410"/>
      </w:tblGrid>
      <w:tr w:rsidR="00000000">
        <w:tblPrEx>
          <w:tblCellMar>
            <w:top w:w="0" w:type="dxa"/>
            <w:bottom w:w="0" w:type="dxa"/>
          </w:tblCellMar>
        </w:tblPrEx>
        <w:tc>
          <w:tcPr>
            <w:tcW w:w="4050" w:type="dxa"/>
            <w:tcBorders>
              <w:top w:val="nil"/>
              <w:bottom w:val="nil"/>
              <w:right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uppressAutoHyphens/>
              <w:ind w:left="0" w:right="-108"/>
              <w:jc w:val="left"/>
              <w:rPr>
                <w:b/>
                <w:sz w:val="24"/>
              </w:rPr>
            </w:pPr>
            <w:r>
              <w:rPr>
                <w:b/>
                <w:sz w:val="24"/>
              </w:rPr>
              <w:t>Министерство юстиции</w:t>
            </w:r>
          </w:p>
        </w:tc>
        <w:tc>
          <w:tcPr>
            <w:tcW w:w="4410" w:type="dxa"/>
            <w:tcBorders>
              <w:left w:val="nil"/>
            </w:tcBorders>
          </w:tcPr>
          <w:p w:rsidR="00000000" w:rsidRDefault="00000000">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clear" w:pos="7013"/>
                <w:tab w:val="clear" w:pos="7488"/>
                <w:tab w:val="clear" w:pos="8453"/>
                <w:tab w:val="left" w:pos="1021"/>
                <w:tab w:val="left" w:pos="1741"/>
                <w:tab w:val="left" w:pos="2217"/>
                <w:tab w:val="left" w:pos="2693"/>
                <w:tab w:val="left" w:pos="3181"/>
                <w:tab w:val="left" w:pos="3657"/>
                <w:tab w:val="left" w:pos="4621"/>
                <w:tab w:val="left" w:pos="5097"/>
                <w:tab w:val="left" w:pos="5574"/>
                <w:tab w:val="left" w:pos="6050"/>
                <w:tab w:val="left" w:pos="6538"/>
                <w:tab w:val="left" w:pos="7014"/>
                <w:tab w:val="left" w:pos="7490"/>
                <w:tab w:val="left" w:pos="7978"/>
                <w:tab w:val="left" w:pos="8454"/>
              </w:tabs>
              <w:spacing w:after="0" w:line="240" w:lineRule="auto"/>
              <w:ind w:left="162" w:right="-108"/>
              <w:jc w:val="left"/>
              <w:rPr>
                <w:b/>
                <w:sz w:val="24"/>
              </w:rPr>
            </w:pPr>
            <w:r>
              <w:rPr>
                <w:b/>
                <w:sz w:val="24"/>
              </w:rPr>
              <w:t>Министерство иностранных дел</w:t>
            </w:r>
          </w:p>
        </w:tc>
      </w:tr>
    </w:tbl>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center"/>
        <w:rPr>
          <w:b/>
          <w:sz w:val="24"/>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240" w:lineRule="auto"/>
        <w:jc w:val="left"/>
        <w:rPr>
          <w:b/>
          <w:sz w:val="24"/>
        </w:rPr>
      </w:pPr>
      <w:r>
        <w:rPr>
          <w:b/>
          <w:sz w:val="24"/>
        </w:rPr>
        <w:tab/>
      </w:r>
      <w:r>
        <w:rPr>
          <w:b/>
          <w:sz w:val="24"/>
        </w:rPr>
        <w:tab/>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center"/>
        <w:rPr>
          <w:b/>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jc w:val="center"/>
        <w:rPr>
          <w:b/>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p>
    <w:p w:rsidR="00000000" w:rsidRDefault="00000000">
      <w:pPr>
        <w:pStyle w:val="SingleTxt"/>
        <w:pBdr>
          <w:top w:val="single" w:sz="4" w:space="1" w:color="auto"/>
          <w:left w:val="single" w:sz="4" w:space="0" w:color="auto"/>
          <w:bottom w:val="single" w:sz="4" w:space="1" w:color="auto"/>
          <w:right w:val="single" w:sz="4" w:space="1" w:color="auto"/>
        </w:pBd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240" w:lineRule="auto"/>
        <w:jc w:val="center"/>
        <w:rPr>
          <w:b/>
          <w:sz w:val="28"/>
        </w:rPr>
      </w:pPr>
      <w:r>
        <w:rPr>
          <w:b/>
          <w:sz w:val="28"/>
        </w:rPr>
        <w:t xml:space="preserve">Четвертый периодический доклад, касающийся </w:t>
      </w:r>
      <w:r>
        <w:rPr>
          <w:b/>
          <w:sz w:val="28"/>
        </w:rPr>
        <w:br/>
        <w:t xml:space="preserve">осуществления международной Конвенции </w:t>
      </w:r>
    </w:p>
    <w:p w:rsidR="00000000" w:rsidRDefault="00000000">
      <w:pPr>
        <w:pStyle w:val="SingleTxt"/>
        <w:pBdr>
          <w:top w:val="single" w:sz="4" w:space="1" w:color="auto"/>
          <w:left w:val="single" w:sz="4" w:space="0" w:color="auto"/>
          <w:bottom w:val="single" w:sz="4" w:space="1" w:color="auto"/>
          <w:right w:val="single" w:sz="4" w:space="1" w:color="auto"/>
        </w:pBd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240" w:lineRule="auto"/>
        <w:jc w:val="center"/>
        <w:rPr>
          <w:b/>
          <w:sz w:val="28"/>
        </w:rPr>
      </w:pPr>
      <w:r>
        <w:rPr>
          <w:b/>
          <w:sz w:val="28"/>
        </w:rPr>
        <w:t xml:space="preserve">о ликвидации всех форм дискриминации </w:t>
      </w:r>
    </w:p>
    <w:p w:rsidR="00000000" w:rsidRDefault="00000000">
      <w:pPr>
        <w:pStyle w:val="SingleTxt"/>
        <w:pBdr>
          <w:top w:val="single" w:sz="4" w:space="1" w:color="auto"/>
          <w:left w:val="single" w:sz="4" w:space="0" w:color="auto"/>
          <w:bottom w:val="single" w:sz="4" w:space="1" w:color="auto"/>
          <w:right w:val="single" w:sz="4" w:space="1" w:color="auto"/>
        </w:pBdr>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240" w:lineRule="auto"/>
        <w:jc w:val="center"/>
        <w:rPr>
          <w:b/>
        </w:rPr>
      </w:pPr>
      <w:r>
        <w:rPr>
          <w:b/>
          <w:sz w:val="28"/>
        </w:rPr>
        <w:t>в отношении же</w:t>
      </w:r>
      <w:r>
        <w:rPr>
          <w:b/>
          <w:sz w:val="28"/>
        </w:rPr>
        <w:t>н</w:t>
      </w:r>
      <w:r>
        <w:rPr>
          <w:b/>
          <w:sz w:val="28"/>
        </w:rPr>
        <w:t>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center"/>
        <w:rPr>
          <w:b/>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center"/>
        <w:rPr>
          <w:b/>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center"/>
        <w:rPr>
          <w:b/>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center"/>
        <w:rPr>
          <w:b/>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center"/>
        <w:rPr>
          <w:b/>
        </w:rPr>
      </w:pPr>
      <w:r>
        <w:rPr>
          <w:b/>
        </w:rPr>
        <w:t xml:space="preserve">Подготовлен Департаментом по вопросам международных соглашений и международных переговоров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center"/>
        <w:rPr>
          <w:b/>
        </w:rPr>
      </w:pPr>
      <w:r>
        <w:rPr>
          <w:b/>
        </w:rPr>
        <w:t>Министерство юстиции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center"/>
        <w:rPr>
          <w:b/>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center"/>
        <w:rPr>
          <w:b/>
        </w:rPr>
      </w:pPr>
      <w:r>
        <w:rPr>
          <w:b/>
        </w:rPr>
        <w:t>Представлен в 2005 году Комитету Организации Объединенных Наций по ликвидации дискрим</w:t>
      </w:r>
      <w:r>
        <w:rPr>
          <w:b/>
        </w:rPr>
        <w:t>и</w:t>
      </w:r>
      <w:r>
        <w:rPr>
          <w:b/>
        </w:rPr>
        <w:t>нации в отношении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center"/>
        <w:rPr>
          <w:b/>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center"/>
        <w:rPr>
          <w:b/>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center"/>
        <w:rPr>
          <w:b/>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center"/>
        <w:rPr>
          <w:b/>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center"/>
        <w:rPr>
          <w:b/>
          <w:i/>
        </w:rPr>
      </w:pPr>
      <w:r>
        <w:rPr>
          <w:b/>
          <w:i/>
        </w:rPr>
        <w:t>29 мая 2005 года</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Содержание</w:t>
      </w:r>
    </w:p>
    <w:tbl>
      <w:tblPr>
        <w:tblW w:w="0" w:type="auto"/>
        <w:tblInd w:w="10" w:type="dxa"/>
        <w:tblLayout w:type="fixed"/>
        <w:tblCellMar>
          <w:left w:w="0" w:type="dxa"/>
          <w:right w:w="0" w:type="dxa"/>
        </w:tblCellMar>
        <w:tblLook w:val="0000" w:firstRow="0" w:lastRow="0" w:firstColumn="0" w:lastColumn="0" w:noHBand="0" w:noVBand="0"/>
      </w:tblPr>
      <w:tblGrid>
        <w:gridCol w:w="1060"/>
        <w:gridCol w:w="7850"/>
        <w:gridCol w:w="450"/>
      </w:tblGrid>
      <w:tr w:rsidR="00000000">
        <w:tblPrEx>
          <w:tblCellMar>
            <w:top w:w="0" w:type="dxa"/>
            <w:left w:w="0" w:type="dxa"/>
            <w:bottom w:w="0" w:type="dxa"/>
            <w:right w:w="0" w:type="dxa"/>
          </w:tblCellMar>
        </w:tblPrEx>
        <w:tc>
          <w:tcPr>
            <w:tcW w:w="1060" w:type="dxa"/>
          </w:tcPr>
          <w:p w:rsidR="00000000" w:rsidRDefault="00000000">
            <w:pPr>
              <w:suppressAutoHyphens/>
              <w:spacing w:after="100" w:line="240" w:lineRule="auto"/>
              <w:jc w:val="right"/>
              <w:rPr>
                <w:i/>
                <w:sz w:val="14"/>
              </w:rPr>
            </w:pPr>
          </w:p>
        </w:tc>
        <w:tc>
          <w:tcPr>
            <w:tcW w:w="7850" w:type="dxa"/>
          </w:tcPr>
          <w:p w:rsidR="00000000" w:rsidRDefault="00000000">
            <w:pPr>
              <w:suppressAutoHyphens/>
              <w:spacing w:after="100" w:line="240" w:lineRule="auto"/>
              <w:rPr>
                <w:sz w:val="14"/>
              </w:rPr>
            </w:pPr>
          </w:p>
        </w:tc>
        <w:tc>
          <w:tcPr>
            <w:tcW w:w="450" w:type="dxa"/>
          </w:tcPr>
          <w:p w:rsidR="00000000" w:rsidRDefault="00000000">
            <w:pPr>
              <w:suppressAutoHyphens/>
              <w:spacing w:after="100" w:line="240" w:lineRule="auto"/>
              <w:jc w:val="right"/>
              <w:rPr>
                <w:i/>
                <w:sz w:val="14"/>
              </w:rPr>
            </w:pPr>
            <w:r>
              <w:rPr>
                <w:i/>
                <w:sz w:val="14"/>
              </w:rPr>
              <w:t>Стр.</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296"/>
                <w:tab w:val="left" w:pos="1728"/>
                <w:tab w:val="left" w:pos="1800"/>
                <w:tab w:val="right" w:leader="dot" w:pos="9360"/>
              </w:tabs>
              <w:suppressAutoHyphens/>
              <w:spacing w:after="100"/>
              <w:ind w:left="1080"/>
              <w:rPr>
                <w:b/>
              </w:rPr>
            </w:pPr>
            <w:r>
              <w:rPr>
                <w:b/>
              </w:rPr>
              <w:t>ВВЕДЕНИЕ</w:t>
            </w:r>
            <w:r>
              <w:rPr>
                <w:b/>
              </w:rPr>
              <w:tab/>
            </w:r>
            <w:r>
              <w:rPr>
                <w:b/>
              </w:rPr>
              <w:tab/>
            </w:r>
            <w:r>
              <w:rPr>
                <w:b/>
              </w:rPr>
              <w:tab/>
            </w:r>
            <w:r>
              <w:rPr>
                <w:b/>
              </w:rPr>
              <w:tab/>
            </w:r>
            <w:r>
              <w:rPr>
                <w:b/>
              </w:rPr>
              <w:tab/>
            </w:r>
            <w:r>
              <w:rPr>
                <w:b/>
              </w:rP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10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line="240" w:lineRule="auto"/>
              <w:ind w:left="1080"/>
            </w:pPr>
            <w:r>
              <w:t>Законодательные меры</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ind w:right="9"/>
              <w:jc w:val="right"/>
            </w:pPr>
            <w:r>
              <w:t>10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Судебные меры</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12</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Административные меры</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13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Нынешнее положение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14</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296"/>
                <w:tab w:val="left" w:pos="1728"/>
                <w:tab w:val="left" w:pos="1800"/>
                <w:tab w:val="right" w:leader="dot" w:pos="9360"/>
              </w:tabs>
              <w:suppressAutoHyphens/>
              <w:spacing w:after="100"/>
              <w:ind w:left="1080"/>
              <w:rPr>
                <w:b/>
              </w:rPr>
            </w:pPr>
            <w:r>
              <w:rPr>
                <w:b/>
              </w:rPr>
              <w:t>СТАТЬЯ 1. ЛИКВИДАЦИЯ ДИСКРИМИНАЦИИ В ОТНОШЕНИИ ЖЕНЩИН</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16</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Конституционный уровень</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16</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line="240" w:lineRule="auto"/>
              <w:ind w:left="1080"/>
            </w:pPr>
            <w:r>
              <w:t>Законодательство о равных правах</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16</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Судебное развитие права на равенство</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17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Ликвидация дискриминации в частной сфере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18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rPr>
                <w:b/>
              </w:rPr>
            </w:pPr>
            <w:r>
              <w:rPr>
                <w:b/>
              </w:rPr>
              <w:t>СТАТЬЯ 2. ОБЯЗАТЕЛЬСТВА ПО ЛИКВИДАЦИИ ДИСКРИМИНАЦИИ</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18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Правовые положения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18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Основные законы</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18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Обыкновенные законы</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19</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Правовые возможности, имеющиеся для защиты прав женщин</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19</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Государственный инспектор и уполномоченный по рассмотрению жалоб</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19</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Другие государственные органы</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Правительственные механизмы и мероприятия, направленные на улучшение положения женщин</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21</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Правительственные инициативы в области расследований и обследований</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21</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Механизмы, реализуемые в целях улучшения положения женщин</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21</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Орган по улучшению положения женщин в Израиле</w:t>
            </w:r>
            <w:r>
              <w:tab/>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21</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Комитета кнессета по улучшению положения женщин</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Действия в рамках гражданской службы</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rPr>
                <w:b/>
              </w:rPr>
              <w:tab/>
            </w:r>
            <w:r>
              <w:t>Меры, предпринимаемые на муниципальном уровне</w:t>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24</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rPr>
                <w:b/>
              </w:rPr>
            </w:pPr>
            <w:r>
              <w:rPr>
                <w:b/>
              </w:rPr>
              <w:t>СТАТЬЯ 3. РАЗВИТИЕ И ПРОГРЕСС ЖЕНЩИН</w:t>
            </w:r>
            <w:r>
              <w:rPr>
                <w:b/>
              </w:rP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24</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Эффективные национальные механизмы и пропаганда</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25</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Женщины-инвалиды</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25</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Общие сведения и правовая основа</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25</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Общая экономическая ситуация и положение отдельных граждан</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26</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Особые проблемы женщин-инвалидов, связанные с охраной здоровья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26</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Занятость</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26</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rPr>
                <w:b/>
              </w:rPr>
            </w:pPr>
            <w:r>
              <w:rPr>
                <w:b/>
              </w:rPr>
              <w:t>СТАТЬЯ 4. УСКОРЕНИЕ УСТАНОВЛЕНИЯ РАВЕНСТВА МЕЖДУ МУЖЧИНАМИ И ЖЕНЩИНАМИ</w:t>
            </w:r>
            <w:r>
              <w:rPr>
                <w:b/>
              </w:rP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Конструктивные меры</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Конструктивные меры в государственных учреждениях</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Конструктивные меры в системе гражданской службы</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Конструктивные меры в правительственных корпорациях</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Конструктивные меры в государственных корпорациях</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Конструктивные меры в других областях</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Специальные меры, направленные на охрану материнства</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rPr>
                <w:b/>
              </w:rPr>
            </w:pPr>
            <w:r>
              <w:rPr>
                <w:b/>
              </w:rPr>
              <w:t xml:space="preserve">СТАТЬЯ 5. РОЛЬ МУЖЧИН И ЖЕНЩИН И ЕЕ СТЕРЕОТИПНОЕ ИЗОБРАЖЕНИЕ </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Женщины и средства массовой информации</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Порнография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29</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Проституция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Женщины и религия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Насилие в отношении женщин</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31</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Сексуальное насилие - правовые аспекты</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31</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Предупреждение сексуальных домогательств</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31</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Преследование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32</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Масштабы явления сексуального насилия в отношении женщин</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32</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Минимальное наказание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32</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Просветительская работа</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Ведение полицией дел о сексуальных преступлениях в отношении женщин</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33</w:t>
            </w:r>
          </w:p>
        </w:tc>
      </w:tr>
      <w:tr w:rsidR="00000000">
        <w:tblPrEx>
          <w:tblCellMar>
            <w:top w:w="0" w:type="dxa"/>
            <w:left w:w="0" w:type="dxa"/>
            <w:bottom w:w="0" w:type="dxa"/>
            <w:right w:w="0" w:type="dxa"/>
          </w:tblCellMar>
        </w:tblPrEx>
        <w:tc>
          <w:tcPr>
            <w:tcW w:w="8910" w:type="dxa"/>
            <w:gridSpan w:val="2"/>
          </w:tcPr>
          <w:p w:rsidR="00000000" w:rsidRDefault="00000000">
            <w:pPr>
              <w:tabs>
                <w:tab w:val="left" w:pos="1728"/>
                <w:tab w:val="right" w:leader="dot" w:pos="9360"/>
              </w:tabs>
              <w:suppressAutoHyphens/>
              <w:spacing w:after="100"/>
              <w:ind w:left="1710"/>
            </w:pPr>
            <w:r>
              <w:tab/>
              <w:t>Виновные в совершении сексуальных преступлений в пенитенциарных учреждениях</w:t>
            </w:r>
            <w:r>
              <w:tab/>
            </w:r>
          </w:p>
        </w:tc>
        <w:tc>
          <w:tcPr>
            <w:tcW w:w="450" w:type="dxa"/>
            <w:vAlign w:val="bottom"/>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Данные центров по оказанию помощи жертвам сексуальных нападений</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34</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Насилие в семье - правовые аспекты</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34</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Недавние поправки к Закону о предупреждении насилия в семье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34</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Другие законодательные изменения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35</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Масштаб явления насилия в семье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35</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Насилие в семье - общие сведения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35</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Ведение полицией дел о насилии в семье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36</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Лечебно-профилактические центры по проблемам насилия в семье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"Горячие линии"</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39</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Работа с мужчинами, избивающими своих жен</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39</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Насилие в отношении женщин в арабских общинах</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rPr>
                <w:b/>
              </w:rPr>
            </w:pPr>
            <w:r>
              <w:rPr>
                <w:b/>
              </w:rPr>
              <w:t>СТАТЬЯ 6. ПРЕСЕЧЕНИЕ ЭКСПЛУАТАЦИИ ЖЕНЩИН</w:t>
            </w:r>
            <w:r>
              <w:rPr>
                <w:b/>
              </w:rP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Общие положения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Предотвращение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rPr>
                <w:b/>
              </w:rPr>
              <w:tab/>
            </w:r>
            <w:r>
              <w:t>Информационные кампании</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rPr>
                <w:b/>
              </w:rPr>
              <w:tab/>
            </w:r>
            <w:r>
              <w:t>Пограничный контроль</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41</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Правовая основа</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41</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rPr>
                <w:b/>
              </w:rPr>
              <w:tab/>
            </w:r>
            <w:r>
              <w:t>Законодательство</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41</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Расследование и судебное преследование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42</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rPr>
                <w:b/>
              </w:rPr>
              <w:tab/>
            </w:r>
            <w:r>
              <w:t>Деятельность полиции</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42</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Судебное преследование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Суды</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44</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Парламентский комитет по расследованию случаев торговли женщинами</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44</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Оценка существующего положения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45</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Назначение наказаний</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45</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rPr>
                <w:b/>
              </w:rPr>
            </w:pPr>
            <w:r>
              <w:rPr>
                <w:b/>
              </w:rPr>
              <w:tab/>
            </w:r>
            <w:r>
              <w:t>Суровые наказания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45</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rPr>
                <w:b/>
              </w:rPr>
              <w:tab/>
            </w:r>
            <w:r>
              <w:t>Компетенция для потерпевшего от преступления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45</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Защита и человеческий фактор</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46</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Приют</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46</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Помощь потерпевшим вне рамок приюта</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46</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Координация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Визы</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Суды</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Правовая помощь</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rPr>
                <w:b/>
              </w:rPr>
              <w:tab/>
            </w:r>
            <w:r>
              <w:t>Полиция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rPr>
                <w:b/>
              </w:rPr>
              <w:tab/>
            </w:r>
            <w:r>
              <w:t>Образование, повышение осведомленности и сотрудничество</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rPr>
                <w:b/>
              </w:rPr>
              <w:tab/>
            </w:r>
            <w:r>
              <w:t>Обучение и подготовка</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rPr>
                <w:b/>
              </w:rPr>
              <w:tab/>
            </w:r>
            <w:r>
              <w:t>Сотрудничество с НПО</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49</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rPr>
                <w:b/>
              </w:rPr>
              <w:tab/>
            </w:r>
            <w:r>
              <w:t>Международные конференции и сотрудничество</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49</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Вовлечение несовершеннолетних в занятие проституцией</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49</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Программа реабилитации для женщин и девушек, находящихся в бедственном положении</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rPr>
                <w:b/>
              </w:rPr>
            </w:pPr>
            <w:r>
              <w:rPr>
                <w:b/>
              </w:rPr>
              <w:t>СТАТЬЯ 7. ПОЛИТИЧЕСКАЯ И ОБЩЕСТВЕННАЯ ЖИЗНЬ</w:t>
            </w:r>
            <w:r>
              <w:rPr>
                <w:b/>
              </w:rP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Участие женщин в политической жизни в Израиле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Представительство женщин в кнессете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Женщины в составе правительства</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Женщины в составе местных органов власти</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Женщины на гражданской службе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51</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Ранги женщин в системе гражданской службы</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51</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Конкурсы в системе гражданской службы</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52</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Женщины на ключевых должностях в экономике и общественной жизни Израиля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52</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Судопроизводство</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Правительственные корпорации</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Женщины на военной службе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Правовая служба</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54</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Женщины и мужчины на военной службе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54</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Женщины и мужчины в качестве офицеров</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54</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Распределение мужчин и женщин на должностях в армии</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55</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Женщины-ученые и инженеры на службе в армии</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55</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Сексуальные домогательства в армии</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56</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Женщины в полиции</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Правовая основа</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Женщины в полиции - местные данные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Сексуальные домогательства в полиции</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Женские организации</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rPr>
                <w:b/>
              </w:rPr>
            </w:pPr>
            <w:r>
              <w:rPr>
                <w:b/>
              </w:rPr>
              <w:t>СТАТЬЯ 8. МЕЖДУНАРОДНОЕ ПРЕДСТАВИТЕЛЬСТВО И УЧАСТИЕ</w:t>
            </w:r>
            <w:r>
              <w:rPr>
                <w:b/>
              </w:rP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Представительство женщин на дипломатической службе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Женщины-представители и женщины - независимые эксперты в международных организациях</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59</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rPr>
                <w:b/>
              </w:rPr>
            </w:pPr>
            <w:r>
              <w:rPr>
                <w:b/>
              </w:rPr>
              <w:t>СТАТЬЯ 9. ГРАЖДАНСТВО</w:t>
            </w:r>
            <w:r>
              <w:rPr>
                <w:b/>
              </w:rP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60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rPr>
                <w:b/>
              </w:rPr>
            </w:pPr>
            <w:r>
              <w:rPr>
                <w:b/>
              </w:rPr>
              <w:t>СТАТЬЯ 10. ОБРАЗОВАНИЕ</w:t>
            </w:r>
            <w:r>
              <w:rPr>
                <w:b/>
              </w:rP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60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Изменения в законодательной базе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60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Средние школы в Израиле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61</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Общее и техническое образование/профессиональная специализация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61</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Зачисления в высшие учебные заведения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61</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Уровень образования, посещаемости и отсева</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62</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Мероприятия и учебные программы в целях предотвращения дискриминации в отношении женщин</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62</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Гендерные стереотипы в школьных учебниках</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62</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Другие инструкции и программы участия, которые нацелены на предотвращение дискриминации в отношении женщин</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63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Сексуальное воспитание и обучение навыкам семейной жизни</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63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Преподаватели</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64</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Высшее образование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65</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Женщины-учащиеся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65</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Меньшинства в системе образования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66</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Женщины на преподавательских должностях</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66</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Женщины и гендерные исследования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68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Научно-техническое образование для женщин</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68</w:t>
            </w:r>
          </w:p>
        </w:tc>
      </w:tr>
      <w:tr w:rsidR="00000000">
        <w:tblPrEx>
          <w:tblCellMar>
            <w:top w:w="0" w:type="dxa"/>
            <w:left w:w="0" w:type="dxa"/>
            <w:bottom w:w="0" w:type="dxa"/>
            <w:right w:w="0" w:type="dxa"/>
          </w:tblCellMar>
        </w:tblPrEx>
        <w:tc>
          <w:tcPr>
            <w:tcW w:w="8910" w:type="dxa"/>
            <w:gridSpan w:val="2"/>
          </w:tcPr>
          <w:p w:rsidR="00000000" w:rsidRDefault="00000000">
            <w:pPr>
              <w:tabs>
                <w:tab w:val="left" w:pos="1728"/>
                <w:tab w:val="right" w:leader="dot" w:pos="9360"/>
              </w:tabs>
              <w:suppressAutoHyphens/>
              <w:spacing w:after="100"/>
              <w:ind w:left="1710" w:hanging="630"/>
            </w:pPr>
            <w:r>
              <w:tab/>
              <w:t>Инициативы, нацеленные на поощрение девочек к изучению научно-технических дисциплин</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68</w:t>
            </w:r>
          </w:p>
        </w:tc>
      </w:tr>
      <w:tr w:rsidR="00000000">
        <w:tblPrEx>
          <w:tblCellMar>
            <w:top w:w="0" w:type="dxa"/>
            <w:left w:w="0" w:type="dxa"/>
            <w:bottom w:w="0" w:type="dxa"/>
            <w:right w:w="0" w:type="dxa"/>
          </w:tblCellMar>
        </w:tblPrEx>
        <w:tc>
          <w:tcPr>
            <w:tcW w:w="8910" w:type="dxa"/>
            <w:gridSpan w:val="2"/>
          </w:tcPr>
          <w:p w:rsidR="00000000" w:rsidRDefault="00000000">
            <w:pPr>
              <w:tabs>
                <w:tab w:val="left" w:pos="1728"/>
                <w:tab w:val="right" w:leader="dot" w:pos="9360"/>
              </w:tabs>
              <w:suppressAutoHyphens/>
              <w:spacing w:after="100"/>
              <w:ind w:left="1710" w:hanging="630"/>
            </w:pPr>
            <w:r>
              <w:tab/>
              <w:t>Инициативы по стимулированию женщин к изучению научно-технических дисциплин</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68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Физическое воспитание и спорт</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69</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Изменения в законодательстве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69</w:t>
            </w:r>
          </w:p>
        </w:tc>
      </w:tr>
      <w:tr w:rsidR="00000000">
        <w:tblPrEx>
          <w:tblCellMar>
            <w:top w:w="0" w:type="dxa"/>
            <w:left w:w="0" w:type="dxa"/>
            <w:bottom w:w="0" w:type="dxa"/>
            <w:right w:w="0" w:type="dxa"/>
          </w:tblCellMar>
        </w:tblPrEx>
        <w:tc>
          <w:tcPr>
            <w:tcW w:w="8910" w:type="dxa"/>
            <w:gridSpan w:val="2"/>
          </w:tcPr>
          <w:p w:rsidR="00000000" w:rsidRDefault="00000000">
            <w:pPr>
              <w:tabs>
                <w:tab w:val="left" w:pos="1728"/>
                <w:tab w:val="right" w:leader="dot" w:pos="9360"/>
              </w:tabs>
              <w:suppressAutoHyphens/>
              <w:spacing w:after="100"/>
              <w:ind w:left="1710" w:hanging="630"/>
            </w:pPr>
            <w:r>
              <w:tab/>
              <w:t>Правительственные структуры, обеспечивающие улучшение положения женщин в области спорта</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70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Спортивные занятия девочек в школах</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70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Текущие данные - женщины в спорте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71</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rPr>
                <w:b/>
              </w:rPr>
              <w:t>СТАТЬЯ 11. ЗАНЯТОСТЬ</w:t>
            </w:r>
            <w:r>
              <w:rPr>
                <w:b/>
              </w:rP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72</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Правовая защиты от дискриминации на работе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72</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Отпуск по беременности и родам</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73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Родительство</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73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Конструктивные меры в сфере занятости</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73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Пособия по социальному страхованию</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73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Занятость женщин - данные и анализ</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73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Женщины на рынке труда</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73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Модели трудовой деятельности</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73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Безработные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74</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Продвижение женщин по службе: уровни и оклады</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75</w:t>
            </w:r>
          </w:p>
        </w:tc>
      </w:tr>
      <w:tr w:rsidR="00000000">
        <w:tblPrEx>
          <w:tblCellMar>
            <w:top w:w="0" w:type="dxa"/>
            <w:left w:w="0" w:type="dxa"/>
            <w:bottom w:w="0" w:type="dxa"/>
            <w:right w:w="0" w:type="dxa"/>
          </w:tblCellMar>
        </w:tblPrEx>
        <w:tc>
          <w:tcPr>
            <w:tcW w:w="8910" w:type="dxa"/>
            <w:gridSpan w:val="2"/>
          </w:tcPr>
          <w:p w:rsidR="00000000" w:rsidRDefault="00000000">
            <w:pPr>
              <w:tabs>
                <w:tab w:val="right" w:leader="dot" w:pos="9360"/>
              </w:tabs>
              <w:suppressAutoHyphens/>
              <w:spacing w:after="100"/>
              <w:ind w:left="1764" w:hanging="720"/>
            </w:pPr>
            <w:r>
              <w:tab/>
              <w:t>Распределение женщин по профессиональным группам и сегрегации по признаку пола</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75</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Различия в окладах и заработной плате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75</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Предпринимательская деятельность женщин</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76</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Профессиональная и специальная подготовка для женщин</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77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Уход за детьми</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78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Реализация законодательства в области занятости</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78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Департамент по надзору за соблюдением трудового законодательства министерства промышленности, торговли и труда</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78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Торговля и труд</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79</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Департамент по обеспечению соблюдения законодательства о труде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79</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Занятость женщин среди арабского населения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79</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rPr>
                <w:b/>
              </w:rPr>
            </w:pPr>
            <w:r>
              <w:rPr>
                <w:b/>
              </w:rPr>
              <w:t>СТАТЬЯ 12. РАВНЫЙ ДОСТУП К ЗДРАВООХРАНЕНИЮ</w:t>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Общие положения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Специальное медицинское обслуживание женщин</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rPr>
                <w:b/>
              </w:rPr>
              <w:tab/>
            </w:r>
            <w:r>
              <w:t>До- и послеродовое обслуживание: клиники матери и ребенка</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rPr>
                <w:b/>
              </w:rPr>
              <w:tab/>
            </w:r>
            <w:r>
              <w:t>Центры по оказанию помощи женщинам</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81</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rPr>
                <w:b/>
              </w:rPr>
              <w:tab/>
            </w:r>
            <w:r>
              <w:t>Остеопороз</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81</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Планирование размеров семьи</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82</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Коэффициенты рождаемости, лечение бесплодия и услуги в этой области</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82</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Коэффициенты рождаемости и фертильности</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rPr>
                <w:b/>
              </w:rPr>
              <w:tab/>
            </w:r>
            <w:r>
              <w:t>Лечение бесплодия и услуги в этой области</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rPr>
                <w:b/>
              </w:rPr>
              <w:tab/>
            </w:r>
            <w:r>
              <w:t>Исследования, касающиеся фертильности</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84</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Вероятная продолжительность жизни</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84</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Коэффициенты смертности и причины смерти</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85</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Рак груди и маммография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85</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Психическое здоровье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86</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СПИД</w:t>
            </w:r>
            <w:r>
              <w:tab/>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86</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Женщины в системе здравоохранения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rPr>
                <w:b/>
              </w:rPr>
              <w:tab/>
            </w:r>
            <w:r>
              <w:t>Женщины в медицинских учебных заведениях</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rPr>
                <w:b/>
              </w:rPr>
              <w:tab/>
            </w:r>
            <w:r>
              <w:t>Женщины как медицинский персонал</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rPr>
                <w:b/>
              </w:rPr>
            </w:pPr>
            <w:r>
              <w:rPr>
                <w:b/>
              </w:rPr>
              <w:tab/>
            </w:r>
            <w:r>
              <w:t>Женщины - старшие должностные лица в системе здравоохранения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rPr>
                <w:b/>
              </w:rPr>
              <w:tab/>
            </w:r>
            <w:r>
              <w:t>Отношение к женщинам в рамках системы здравоохранения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rPr>
                <w:b/>
              </w:rPr>
              <w:tab/>
            </w:r>
            <w:r>
              <w:t>Улучшение положения женщин в системе здравоохранения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rPr>
                <w:b/>
              </w:rPr>
            </w:pPr>
            <w:r>
              <w:rPr>
                <w:b/>
              </w:rPr>
              <w:t>СТАТЬЯ 13. СОЦИАЛЬНЫЕ И ЭКОНОМИЧЕСКИЕ ПОСОБИЯ</w:t>
            </w:r>
            <w:r>
              <w:rPr>
                <w:b/>
              </w:rP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89</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Изменения в законодательной сфере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89</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Социальные пособия и государство всеобщего благосостояния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Социальные пособия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Страхование матерей</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Пособия в связи с достижением пожилого возраста и пособия на дожитие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91</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rPr>
                <w:b/>
              </w:rPr>
              <w:tab/>
            </w:r>
            <w:r>
              <w:t>Алиментные платежи</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91</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Семьи с одним родителем</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92</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Финансовый кредит</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92</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Отдых и развлечения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92</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rPr>
                <w:b/>
              </w:rPr>
            </w:pPr>
            <w:r>
              <w:rPr>
                <w:b/>
              </w:rPr>
              <w:t>Статья 14. ЖЕНЩИНЫ В СЕЛЬСКОЙ МЕСТНОСТИ</w:t>
            </w:r>
            <w:r>
              <w:rPr>
                <w:b/>
              </w:rP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Общие положения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Женщины из группы бедуинов</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Образование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93</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Высшее образование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94</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Занятость и благосостояние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94</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Здравоохранение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95</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Младенческая смертность</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95</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Прочие показатели состояния здоровья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95</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Ритуальные операции на женских половых органах (обрезание женщин)</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96</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ab/>
              <w:t>Семейное положение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96</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rPr>
                <w:b/>
              </w:rPr>
            </w:pPr>
            <w:r>
              <w:rPr>
                <w:b/>
              </w:rPr>
              <w:t>СТАТЬЯ 15 . РАВЕНСТВО ПЕРЕД ЗАКОНОМ И В ГРАЖДАНСКИХ ВОПРОСАХ</w:t>
            </w:r>
            <w:r>
              <w:rPr>
                <w:b/>
              </w:rP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96</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Общие положения</w:t>
            </w:r>
            <w:r>
              <w:tab/>
            </w:r>
            <w:r>
              <w:tab/>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96</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Религиозные суды</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96</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rPr>
                <w:b/>
              </w:rPr>
            </w:pPr>
            <w:r>
              <w:rPr>
                <w:b/>
              </w:rPr>
              <w:t>СТАТЬЯ 16. РАВЕНСТВО В БРАКЕ И В ВОПРОСАХ СЕМЕЙНОЙ ЖИЗНИ</w:t>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Общие положения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Изменения в законодательной сфере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97</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Семья в Израиле: некоторые демографические данные</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Брачные отношения</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98</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Разводы</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99</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Минимальный возраст вступления в брак</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99</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Семейные пары одного пола</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100</w:t>
            </w:r>
          </w:p>
        </w:tc>
      </w:tr>
      <w:tr w:rsidR="00000000">
        <w:tblPrEx>
          <w:tblCellMar>
            <w:top w:w="0" w:type="dxa"/>
            <w:left w:w="0" w:type="dxa"/>
            <w:bottom w:w="0" w:type="dxa"/>
            <w:right w:w="0" w:type="dxa"/>
          </w:tblCellMar>
        </w:tblPrEx>
        <w:tc>
          <w:tcPr>
            <w:tcW w:w="8910" w:type="dxa"/>
            <w:gridSpan w:val="2"/>
          </w:tcPr>
          <w:p w:rsidR="00000000" w:rsidRDefault="00000000">
            <w:pPr>
              <w:tabs>
                <w:tab w:val="right" w:pos="1080"/>
                <w:tab w:val="left" w:pos="1728"/>
                <w:tab w:val="right" w:leader="dot" w:pos="9360"/>
              </w:tabs>
              <w:suppressAutoHyphens/>
              <w:spacing w:after="100"/>
              <w:ind w:left="1080"/>
            </w:pPr>
            <w:r>
              <w:t>Новые технологии деторождения и суррогатное материнство</w:t>
            </w:r>
            <w:r>
              <w:tab/>
            </w:r>
          </w:p>
        </w:tc>
        <w:tc>
          <w:tcPr>
            <w:tcW w:w="450" w:type="dxa"/>
          </w:tcPr>
          <w:p w:rsidR="00000000" w:rsidRDefault="00000000">
            <w:pPr>
              <w:tabs>
                <w:tab w:val="right" w:pos="1080"/>
                <w:tab w:val="left" w:pos="1296"/>
                <w:tab w:val="left" w:pos="1800"/>
                <w:tab w:val="left" w:pos="2232"/>
                <w:tab w:val="left" w:pos="2592"/>
                <w:tab w:val="left" w:pos="3024"/>
                <w:tab w:val="left" w:pos="3456"/>
                <w:tab w:val="left" w:pos="3888"/>
              </w:tabs>
              <w:suppressAutoHyphens/>
              <w:spacing w:after="100"/>
              <w:jc w:val="right"/>
            </w:pPr>
            <w:r>
              <w:t>101</w:t>
            </w:r>
          </w:p>
        </w:tc>
      </w:tr>
    </w:tbl>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pP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pPr>
      <w:r>
        <w:br w:type="page"/>
      </w: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792" w:right="1210"/>
        <w:rPr>
          <w:lang w:val="fr-CA"/>
        </w:rPr>
      </w:pPr>
      <w:r>
        <w:t>Введение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lang w:val="fr-CA"/>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w:t>
      </w:r>
      <w:r>
        <w:tab/>
        <w:t>Правительство Израиля с удовлетворением представляет свой четвертый периодический доклад, касающийся осуществления Конвенции Организации Объединенных Наций о ликвидации всех форм дискриминации в отношении женщин. В настоящем докладе описываются те изменения, которые произошли с момента представления третьего доклада в 2001 году, с учетом общих рек</w:t>
      </w:r>
      <w:r>
        <w:t>о</w:t>
      </w:r>
      <w:r>
        <w:t>мендаций, утвержденных Комитетом по ликвидации дискриминации в отнош</w:t>
      </w:r>
      <w:r>
        <w:t>е</w:t>
      </w:r>
      <w:r>
        <w:t>нии женщин. Согласно руководящим принципам, касающимся представления докладов, настоящий доклад опирается на положения наших предыдущих до</w:t>
      </w:r>
      <w:r>
        <w:t>к</w:t>
      </w:r>
      <w:r>
        <w:t>ладов. Соответственно, авторы стараются не повторять предыдущую информ</w:t>
      </w:r>
      <w:r>
        <w:t>а</w:t>
      </w:r>
      <w:r>
        <w:t>цию и пояснения, за исключением тех случаев, когда в этом есть необход</w:t>
      </w:r>
      <w:r>
        <w:t>и</w:t>
      </w:r>
      <w:r>
        <w:t>мость.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w:t>
      </w:r>
      <w:r>
        <w:tab/>
        <w:t>Ко всем соответствующим правительственным министерствам и ведомс</w:t>
      </w:r>
      <w:r>
        <w:t>т</w:t>
      </w:r>
      <w:r>
        <w:t>вам была обращена просьба представить данные и информацию, касающуюся области их деятельности. До начала подготовки настоящего доклада к непр</w:t>
      </w:r>
      <w:r>
        <w:t>а</w:t>
      </w:r>
      <w:r>
        <w:t>вительственным организациям была также обращена просьба представить с</w:t>
      </w:r>
      <w:r>
        <w:t>о</w:t>
      </w:r>
      <w:r>
        <w:t>ответствующую информацию.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w:t>
      </w:r>
      <w:r>
        <w:tab/>
        <w:t>Настоящий доклад был подготовлен Департаментом по вопросам межд</w:t>
      </w:r>
      <w:r>
        <w:t>у</w:t>
      </w:r>
      <w:r>
        <w:t>народных соглашений и международных переговоров Министерства юстиции.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i/>
        </w:rPr>
      </w:pPr>
      <w:r>
        <w:t>4.</w:t>
      </w:r>
      <w:r>
        <w:tab/>
        <w:t>Государство Израиль уделяет особое внимание проблеме равенства же</w:t>
      </w:r>
      <w:r>
        <w:t>н</w:t>
      </w:r>
      <w:r>
        <w:t xml:space="preserve">щин начиная с момента своего образования, а </w:t>
      </w:r>
      <w:r>
        <w:rPr>
          <w:i/>
        </w:rPr>
        <w:t>Закон о равных правах женщин</w:t>
      </w:r>
      <w:r>
        <w:t>,</w:t>
      </w:r>
      <w:r>
        <w:rPr>
          <w:i/>
        </w:rPr>
        <w:t xml:space="preserve"> </w:t>
      </w:r>
      <w:r>
        <w:t>5711</w:t>
      </w:r>
      <w:r>
        <w:noBreakHyphen/>
        <w:t>1951 ("</w:t>
      </w:r>
      <w:r>
        <w:rPr>
          <w:i/>
        </w:rPr>
        <w:t>Закон о равных правах женщин</w:t>
      </w:r>
      <w:r>
        <w:t>") был принят всего лишь через три года после образования государства и свидетельствует о том, насколько серье</w:t>
      </w:r>
      <w:r>
        <w:t>з</w:t>
      </w:r>
      <w:r>
        <w:t>ное внимание уделяется проблемам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5.</w:t>
      </w:r>
      <w:r>
        <w:tab/>
        <w:t>В нашем докладе далее будет продемонстрирована общая позитивная д</w:t>
      </w:r>
      <w:r>
        <w:t>и</w:t>
      </w:r>
      <w:r>
        <w:t>намика в осуществлении КЛДЖ в Израиле. В законодательной сфере по-прежнему принимаются заметные меры, хотя они так или иначе менее активно реализуются на практике. Тем не менее, имеется множество законодательных актов и судебных решений, которые демонстрируют повсеместную готовность и желание добросовестно в</w:t>
      </w:r>
      <w:r>
        <w:t>ы</w:t>
      </w:r>
      <w:r>
        <w:t>полнить обязательства в рамках КЛДЖ.</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6.</w:t>
      </w:r>
      <w:r>
        <w:tab/>
        <w:t>В настоящий доклад, как и в предыдущие доклады, включено законод</w:t>
      </w:r>
      <w:r>
        <w:t>а</w:t>
      </w:r>
      <w:r>
        <w:t>тельное дополнение, в котором изложены важнейшие новые законы, содерж</w:t>
      </w:r>
      <w:r>
        <w:t>а</w:t>
      </w:r>
      <w:r>
        <w:t>ние которых подробно рассматривается в тексте докл</w:t>
      </w:r>
      <w:r>
        <w:t>а</w:t>
      </w:r>
      <w:r>
        <w:t>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00" w:lineRule="exact"/>
        <w:ind w:left="792" w:right="1210"/>
      </w:pPr>
      <w:r>
        <w:tab/>
        <w:t>Законодательные меры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7.</w:t>
      </w:r>
      <w:r>
        <w:tab/>
        <w:t>После подготовки нашего предыдущего доклада были приняты следу</w:t>
      </w:r>
      <w:r>
        <w:t>ю</w:t>
      </w:r>
      <w:r>
        <w:t>щие основные законодательные акты, касающиеся ликвидации всех форм ди</w:t>
      </w:r>
      <w:r>
        <w:t>с</w:t>
      </w:r>
      <w:r>
        <w:t>криминации в отношении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8.</w:t>
      </w:r>
      <w:r>
        <w:tab/>
      </w:r>
      <w:r>
        <w:rPr>
          <w:i/>
        </w:rPr>
        <w:t>Закон о запрете дискриминации в том, что касается продажи товаров, услуг и доступа в увеселительные заведения и общественные места,</w:t>
      </w:r>
      <w:r>
        <w:t xml:space="preserve"> 5761-2000 (</w:t>
      </w:r>
      <w:r>
        <w:rPr>
          <w:i/>
        </w:rPr>
        <w:t>"Закон о запрете дискриминации в том, что касается продажи товаров, у</w:t>
      </w:r>
      <w:r>
        <w:rPr>
          <w:i/>
        </w:rPr>
        <w:t>с</w:t>
      </w:r>
      <w:r>
        <w:rPr>
          <w:i/>
        </w:rPr>
        <w:t>луг и доступа в увеселительные заведения и общественные места</w:t>
      </w:r>
      <w:r>
        <w:t>") - этот з</w:t>
      </w:r>
      <w:r>
        <w:t>а</w:t>
      </w:r>
      <w:r>
        <w:t>кон запрещает лицу, руководящему общедоступным заведением, осуществлять дискриминацию. Нарушение этого закона представляет собой одновременно и гражданское правонарушение, и уголовное преступление, которое наказывае</w:t>
      </w:r>
      <w:r>
        <w:t>т</w:t>
      </w:r>
      <w:r>
        <w:t>ся штрафом. Закон распространяется в том числе и на государство и был ш</w:t>
      </w:r>
      <w:r>
        <w:t>и</w:t>
      </w:r>
      <w:r>
        <w:t>роко истолкован таким образом, что он распространяется и на целый ряд о</w:t>
      </w:r>
      <w:r>
        <w:t>б</w:t>
      </w:r>
      <w:r>
        <w:t>щественных мест, включая школы, библиотеки, бассейны, магазины и другие места, обслуживающие общество. В судебных решениях такое широкое толк</w:t>
      </w:r>
      <w:r>
        <w:t>о</w:t>
      </w:r>
      <w:r>
        <w:t xml:space="preserve">вание этого закона было поддержано.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9.</w:t>
      </w:r>
      <w:r>
        <w:tab/>
        <w:t xml:space="preserve">Другим важным событием в правовой сфере стало внесение поправок в </w:t>
      </w:r>
      <w:r>
        <w:rPr>
          <w:i/>
        </w:rPr>
        <w:t xml:space="preserve">Закон о занятости женщин, </w:t>
      </w:r>
      <w:r>
        <w:t>5714-1954 ("</w:t>
      </w:r>
      <w:r>
        <w:rPr>
          <w:i/>
        </w:rPr>
        <w:t>Закон о занятости женщин</w:t>
      </w:r>
      <w:r>
        <w:t>") (</w:t>
      </w:r>
      <w:r>
        <w:rPr>
          <w:i/>
        </w:rPr>
        <w:t>вр</w:t>
      </w:r>
      <w:r>
        <w:rPr>
          <w:i/>
        </w:rPr>
        <w:t>е</w:t>
      </w:r>
      <w:r>
        <w:rPr>
          <w:i/>
        </w:rPr>
        <w:t>менное положение</w:t>
      </w:r>
      <w:r>
        <w:t>) в 2004 году, в соответствии с которыми мужчинам было предоставлено право брать часть отпуска по беременности и родам своих жен и получать пособие в связи с отпуском по беременности и родам при условии, что их жены отказываются от оставшейся части отпуска по беременности и р</w:t>
      </w:r>
      <w:r>
        <w:t>о</w:t>
      </w:r>
      <w:r>
        <w:t>дам и возвращаются на рабочее место. Недавно срок действия этой поправки был продлен до конца апреля 2007 года, что, таким образом, позволяет свобо</w:t>
      </w:r>
      <w:r>
        <w:t>д</w:t>
      </w:r>
      <w:r>
        <w:t>но принимать решение о том, кто будет содержать семью в период отпуска по береме</w:t>
      </w:r>
      <w:r>
        <w:t>н</w:t>
      </w:r>
      <w:r>
        <w:t>ности и родам.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10.</w:t>
      </w:r>
      <w:r>
        <w:tab/>
        <w:t xml:space="preserve">Был принят еще один важный закон, а именно </w:t>
      </w:r>
      <w:r>
        <w:rPr>
          <w:i/>
        </w:rPr>
        <w:t xml:space="preserve">Закон об ограничениях в отношении возвращения лиц, совершивших преступление на сексуальной почве, в место проживания жертвы такого преступления, </w:t>
      </w:r>
      <w:r>
        <w:t>5765-2004 ("</w:t>
      </w:r>
      <w:r>
        <w:rPr>
          <w:i/>
        </w:rPr>
        <w:t>Закон об о</w:t>
      </w:r>
      <w:r>
        <w:rPr>
          <w:i/>
        </w:rPr>
        <w:t>г</w:t>
      </w:r>
      <w:r>
        <w:rPr>
          <w:i/>
        </w:rPr>
        <w:t>раничениях в отношении возвращения лиц, совершивших преступление на се</w:t>
      </w:r>
      <w:r>
        <w:rPr>
          <w:i/>
        </w:rPr>
        <w:t>к</w:t>
      </w:r>
      <w:r>
        <w:rPr>
          <w:i/>
        </w:rPr>
        <w:t>суальной почве, в место проживания жертвы такого преступления</w:t>
      </w:r>
      <w:r>
        <w:t>"), который предоставляет суду (в том числе и военному трибуналу) полномочия запретить преступнику проживать или работать вблизи места проживания или работы его жертвы. Для принятия такого решения суд должен установить наличие во</w:t>
      </w:r>
      <w:r>
        <w:t>з</w:t>
      </w:r>
      <w:r>
        <w:t>можности того, что из-за близости преступника его жертве будет нанесен ко</w:t>
      </w:r>
      <w:r>
        <w:t>н</w:t>
      </w:r>
      <w:r>
        <w:t>кретный психологический ущерб. Кроме того, суд обязан принимать во вним</w:t>
      </w:r>
      <w:r>
        <w:t>а</w:t>
      </w:r>
      <w:r>
        <w:t>ние любой ущерб, понесенный лицом, совершившим преступление на секс</w:t>
      </w:r>
      <w:r>
        <w:t>у</w:t>
      </w:r>
      <w:r>
        <w:t xml:space="preserve">альной почве, из-за этих ограничений.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11.</w:t>
      </w:r>
      <w:r>
        <w:tab/>
        <w:t xml:space="preserve">Кроме того, в разделе 2В </w:t>
      </w:r>
      <w:r>
        <w:rPr>
          <w:i/>
        </w:rPr>
        <w:t>Закона о государственных торгах</w:t>
      </w:r>
      <w:r>
        <w:t>, 5752-1992 ("</w:t>
      </w:r>
      <w:r>
        <w:rPr>
          <w:i/>
        </w:rPr>
        <w:t>Закон о государственных торгах</w:t>
      </w:r>
      <w:r>
        <w:t>") указывается, что на правительственных торгах управляемому женщиной предприятию (предприятию, контролируем</w:t>
      </w:r>
      <w:r>
        <w:t>о</w:t>
      </w:r>
      <w:r>
        <w:t>му женщиной, имеющей 50 процентов или более средств контроля, в одиночку или совместно с другими женщинами, которые позволяют ей руководить его деятельностью) должно отдаваться предпочтение, если оно займет одно и то же место с предприятием, которое контр</w:t>
      </w:r>
      <w:r>
        <w:t>о</w:t>
      </w:r>
      <w:r>
        <w:t>лируется мужчиной.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12.</w:t>
      </w:r>
      <w:r>
        <w:tab/>
        <w:t xml:space="preserve">Другая важная поправка - это поправка № 5 (2000) к </w:t>
      </w:r>
      <w:r>
        <w:rPr>
          <w:i/>
        </w:rPr>
        <w:t>Закону о предупре</w:t>
      </w:r>
      <w:r>
        <w:rPr>
          <w:i/>
        </w:rPr>
        <w:t>ж</w:t>
      </w:r>
      <w:r>
        <w:rPr>
          <w:i/>
        </w:rPr>
        <w:t>дении насилия в семье</w:t>
      </w:r>
      <w:r>
        <w:t>, 5751-1991</w:t>
      </w:r>
      <w:r>
        <w:rPr>
          <w:i/>
        </w:rPr>
        <w:t xml:space="preserve"> ("Закон о предупреждении насилия в семье</w:t>
      </w:r>
      <w:r>
        <w:t>"), которая предусматривает существенное изменение в отношении к владению огнестрельным оружием теми лицами, в интересах которых имеется защитное судебное предписание. Ранее, когда суд назначал какому бы то ни было лицу наказание за совершение насильственного преступления, он не мог отказать в удовлетворении требования прокурора о приостановлении действия любого разрешения на огнестрельное оружие, которое могло иметься у этого лица, или о сдаче этого огнестрельного оружия полиции, без особых причин. В соответствии с поправкой № 5 к вышеупомянутому закону, лицу, в отнош</w:t>
      </w:r>
      <w:r>
        <w:t>е</w:t>
      </w:r>
      <w:r>
        <w:t>нии которого было вынесено защитное судебное предписание, запрещается н</w:t>
      </w:r>
      <w:r>
        <w:t>о</w:t>
      </w:r>
      <w:r>
        <w:t>сить огнестрельное оружие, в том числе выданное ему силами безопасности или другим государственным органам. Это означает, что лицо, как правило, п</w:t>
      </w:r>
      <w:r>
        <w:t>о</w:t>
      </w:r>
      <w:r>
        <w:t>сле вынесения судебного предписания теряет право на ношение огнестрельн</w:t>
      </w:r>
      <w:r>
        <w:t>о</w:t>
      </w:r>
      <w:r>
        <w:t>го оружия, если только не будут удовлетворены конкретные условия, указа</w:t>
      </w:r>
      <w:r>
        <w:t>н</w:t>
      </w:r>
      <w:r>
        <w:t>ные в законе. Для того, чтобы иметь разрешение на ношение огнестрельного оружия, должны возникнуть конкретные условия и обстоятельства - например, судебное слушание в присутствии обеих сторон, после которого выдается с</w:t>
      </w:r>
      <w:r>
        <w:t>о</w:t>
      </w:r>
      <w:r>
        <w:t>ответствующее разрешение с указанием условий обеспечения безопасности членов семьи.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13.</w:t>
      </w:r>
      <w:r>
        <w:tab/>
        <w:t xml:space="preserve">Другим важным изменением является поправка № 36 (2002) к </w:t>
      </w:r>
      <w:r>
        <w:rPr>
          <w:i/>
        </w:rPr>
        <w:t>Уголовно-процессуальному кодексу</w:t>
      </w:r>
      <w:r>
        <w:t xml:space="preserve"> о включении разделов 59А и 62А</w:t>
      </w:r>
      <w:r>
        <w:rPr>
          <w:i/>
        </w:rPr>
        <w:t xml:space="preserve">. </w:t>
      </w:r>
      <w:r>
        <w:t>В соответствии с этими разделами, сотрудник полиции и/или прокурор не может опираться и</w:t>
      </w:r>
      <w:r>
        <w:t>с</w:t>
      </w:r>
      <w:r>
        <w:t>ключительно лишь на просьбу супруга или супруги не проводить расследов</w:t>
      </w:r>
      <w:r>
        <w:t>а</w:t>
      </w:r>
      <w:r>
        <w:t>ние преступления на сексуальной почве или насильственного преступления, связанного со взаимоотношениями между супругами, или возбуждать пресл</w:t>
      </w:r>
      <w:r>
        <w:t>е</w:t>
      </w:r>
      <w:r>
        <w:t>дование в связи с таким преступлением, ввиду отсутствия общественного и</w:t>
      </w:r>
      <w:r>
        <w:t>н</w:t>
      </w:r>
      <w:r>
        <w:t xml:space="preserve">тереса.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059" w:right="1210" w:hanging="1267"/>
      </w:pPr>
      <w:r>
        <w:t>Судебные меры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14.</w:t>
      </w:r>
      <w:r>
        <w:tab/>
        <w:t>После подготовки нашего предыдущего доклада были приняты следу</w:t>
      </w:r>
      <w:r>
        <w:t>ю</w:t>
      </w:r>
      <w:r>
        <w:t>щие основные судебные меры, касающиеся ликвидации всех форм дискрим</w:t>
      </w:r>
      <w:r>
        <w:t>и</w:t>
      </w:r>
      <w:r>
        <w:t>нации в отношении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15.</w:t>
      </w:r>
      <w:r>
        <w:tab/>
        <w:t xml:space="preserve">Новаторским решением, направленным на принятие конструктивных мер, которое было принято Верховным судом, является </w:t>
      </w:r>
      <w:r>
        <w:rPr>
          <w:lang w:val="en-US"/>
        </w:rPr>
        <w:t>H</w:t>
      </w:r>
      <w:r>
        <w:t>.</w:t>
      </w:r>
      <w:r>
        <w:rPr>
          <w:lang w:val="en-US"/>
        </w:rPr>
        <w:t>C</w:t>
      </w:r>
      <w:r>
        <w:t>.</w:t>
      </w:r>
      <w:r>
        <w:rPr>
          <w:lang w:val="en-US"/>
        </w:rPr>
        <w:t>J</w:t>
      </w:r>
      <w:r>
        <w:t xml:space="preserve">. 5325/01 </w:t>
      </w:r>
      <w:r>
        <w:rPr>
          <w:i/>
        </w:rPr>
        <w:t xml:space="preserve">Ассоциация по развитию женского баскетбола против местного совета Рамат Хашарон и других </w:t>
      </w:r>
      <w:r>
        <w:t xml:space="preserve">(02.06.04). Суд рассмотрел вопрос о выделении финансовых средств спортивным учреждениям. Решение суда опиралось на раздел 3А </w:t>
      </w:r>
      <w:r>
        <w:rPr>
          <w:i/>
        </w:rPr>
        <w:t>Закона о бюджетных принципах</w:t>
      </w:r>
      <w:r>
        <w:t>, 5745-1985 ("</w:t>
      </w:r>
      <w:r>
        <w:rPr>
          <w:i/>
        </w:rPr>
        <w:t>Закон о бюджетных принципах</w:t>
      </w:r>
      <w:r>
        <w:t>"), в кот</w:t>
      </w:r>
      <w:r>
        <w:t>о</w:t>
      </w:r>
      <w:r>
        <w:t>ром устанавливаются критерии равенства при распределении бюджетных средств среди государственных учреждений. В данном случае суд применил критерии распределения, принятые министерством по делам науки, культуры и спорта, которые санкционируют конструктивные действия и предусматривают ассигнование на женские спортивные мероприятия в полтора раза больше средств, чем на мужские спортивные мероприятия. Суд постановил, что п</w:t>
      </w:r>
      <w:r>
        <w:t>о</w:t>
      </w:r>
      <w:r>
        <w:t>требность в обеспечении равенства также должны учитываться местными с</w:t>
      </w:r>
      <w:r>
        <w:t>о</w:t>
      </w:r>
      <w:r>
        <w:t>ветами и в процессе распределения ими финансовых средств. В соответствии с решением суда совет Рамат Хашарон, глава совета и центр образования и спо</w:t>
      </w:r>
      <w:r>
        <w:t>р</w:t>
      </w:r>
      <w:r>
        <w:t>та Рамат Хашарон должны ассигновывать средства в соответствии с вышеи</w:t>
      </w:r>
      <w:r>
        <w:t>з</w:t>
      </w:r>
      <w:r>
        <w:t>ложенными кр</w:t>
      </w:r>
      <w:r>
        <w:t>и</w:t>
      </w:r>
      <w:r>
        <w:t xml:space="preserve">териями.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16.</w:t>
      </w:r>
      <w:r>
        <w:tab/>
        <w:t xml:space="preserve">Другое важное решение - это </w:t>
      </w:r>
      <w:r>
        <w:rPr>
          <w:i/>
          <w:lang w:val="en-US"/>
        </w:rPr>
        <w:t>H</w:t>
      </w:r>
      <w:r>
        <w:rPr>
          <w:i/>
        </w:rPr>
        <w:t>.</w:t>
      </w:r>
      <w:r>
        <w:rPr>
          <w:i/>
          <w:lang w:val="en-US"/>
        </w:rPr>
        <w:t>C</w:t>
      </w:r>
      <w:r>
        <w:rPr>
          <w:i/>
        </w:rPr>
        <w:t>.</w:t>
      </w:r>
      <w:r>
        <w:rPr>
          <w:i/>
          <w:lang w:val="en-US"/>
        </w:rPr>
        <w:t>J</w:t>
      </w:r>
      <w:r>
        <w:rPr>
          <w:i/>
        </w:rPr>
        <w:t xml:space="preserve">. 6845/00 Эйтана Нив и другие против Медицинского фонда Клалит </w:t>
      </w:r>
      <w:r>
        <w:t>(9.10.02). Решение касалось положений о досро</w:t>
      </w:r>
      <w:r>
        <w:t>ч</w:t>
      </w:r>
      <w:r>
        <w:t>ном выходе на пенсию сотрудников фонда, в соответствии с которыми мужч</w:t>
      </w:r>
      <w:r>
        <w:t>и</w:t>
      </w:r>
      <w:r>
        <w:t>нам из числа сотрудников пособия выплачивались до достижения возраста 65 лет, а сотрудникам из числа женщин - до достижения возраста лишь 60 лет. Суд определил дискриминацию как "неравноправное и несправедливое обр</w:t>
      </w:r>
      <w:r>
        <w:t>а</w:t>
      </w:r>
      <w:r>
        <w:t>щение с лицами, равноправными по отношению друг к другу". Таким образом, суд постановил, что фонд должен предоставить женщинам одинаковые с му</w:t>
      </w:r>
      <w:r>
        <w:t>ж</w:t>
      </w:r>
      <w:r>
        <w:t>чинами права в отношении процедур выхода на пенсию и что фонд подвергал дискриминации лиц, обратившихся с жалобами. Суд также заявил, что раве</w:t>
      </w:r>
      <w:r>
        <w:t>н</w:t>
      </w:r>
      <w:r>
        <w:t>ство - это одна из основных ценностей израильской правовой системы, а ди</w:t>
      </w:r>
      <w:r>
        <w:t>с</w:t>
      </w:r>
      <w:r>
        <w:t>криминация по признаку пола - одна из тягчайших форм дискриминации. В т</w:t>
      </w:r>
      <w:r>
        <w:t>е</w:t>
      </w:r>
      <w:r>
        <w:t>чение многих лет государство Израиль добивалось равенства между мужчин</w:t>
      </w:r>
      <w:r>
        <w:t>а</w:t>
      </w:r>
      <w:r>
        <w:t>ми и женщинами и лишь в исключительных случаях его интересами можно было бы пренебречь. Дискриминация в отношении женщин, очевидно, прот</w:t>
      </w:r>
      <w:r>
        <w:t>и</w:t>
      </w:r>
      <w:r>
        <w:t>воречит общественному порядку и по сути своей не имеет юридической силы. Впоследствии суд предписал изъять дискриминационные положения из проц</w:t>
      </w:r>
      <w:r>
        <w:t>е</w:t>
      </w:r>
      <w:r>
        <w:t>дур, касающихся досрочного выхода на пе</w:t>
      </w:r>
      <w:r>
        <w:t>н</w:t>
      </w:r>
      <w:r>
        <w:t>сию.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i/>
        </w:rPr>
      </w:pPr>
      <w:r>
        <w:t>17.</w:t>
      </w:r>
      <w:r>
        <w:tab/>
        <w:t>Кроме того, в сентябре 2004 года Верховный суд запретил обнародование имен истцов в связи с преступлениями на сексуальной почве после оконч</w:t>
      </w:r>
      <w:r>
        <w:t>а</w:t>
      </w:r>
      <w:r>
        <w:t>тельного оправдания обвиняемого (</w:t>
      </w:r>
      <w:r>
        <w:rPr>
          <w:i/>
        </w:rPr>
        <w:t>С.А.А. 5877/99 Хайм Янос против Госуда</w:t>
      </w:r>
      <w:r>
        <w:rPr>
          <w:i/>
        </w:rPr>
        <w:t>р</w:t>
      </w:r>
      <w:r>
        <w:rPr>
          <w:i/>
        </w:rPr>
        <w:t xml:space="preserve">ства Израиль (28.09.04)). </w:t>
      </w:r>
      <w:r>
        <w:t>Суд заявил, что после отклонения жалоб истицы он более не обязан продолжать защищать истицу и ее интересы (личная жизнь, достоинство и репутация). Однако важнее всего прочего заинтересованность общества в том, чтобы поощрять женщин к тому, чтобы не безмолвствовать, а подавать жалобы. Из намерения общества выявлять преступников ничего не выйдет, если имена истцов, даже тех из них, чьи жалобы не подтвердились, окажутся опубликованными.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18.</w:t>
      </w:r>
      <w:r>
        <w:tab/>
        <w:t>Кроме того, семейный суд в Иерусалиме в своем историческом решении предписал мужу уплатить избитой им жене компенсацию в размере 90 000 н</w:t>
      </w:r>
      <w:r>
        <w:t>о</w:t>
      </w:r>
      <w:r>
        <w:t>вых шекелей (20 000 долларов), прежде всего в качестве "штрафных санкций" (</w:t>
      </w:r>
      <w:r>
        <w:rPr>
          <w:i/>
          <w:lang w:val="en-US"/>
        </w:rPr>
        <w:t>F</w:t>
      </w:r>
      <w:r>
        <w:rPr>
          <w:i/>
        </w:rPr>
        <w:t>.</w:t>
      </w:r>
      <w:r>
        <w:rPr>
          <w:i/>
          <w:lang w:val="en-US"/>
        </w:rPr>
        <w:t>C</w:t>
      </w:r>
      <w:r>
        <w:rPr>
          <w:i/>
        </w:rPr>
        <w:t>.</w:t>
      </w:r>
      <w:r>
        <w:rPr>
          <w:i/>
          <w:lang w:val="en-US"/>
        </w:rPr>
        <w:t>C</w:t>
      </w:r>
      <w:r>
        <w:rPr>
          <w:i/>
        </w:rPr>
        <w:t xml:space="preserve">. 018551/00 </w:t>
      </w:r>
      <w:r>
        <w:rPr>
          <w:i/>
          <w:lang w:val="en-US"/>
        </w:rPr>
        <w:t>K</w:t>
      </w:r>
      <w:r>
        <w:rPr>
          <w:i/>
        </w:rPr>
        <w:t>.</w:t>
      </w:r>
      <w:r>
        <w:rPr>
          <w:i/>
          <w:lang w:val="en-US"/>
        </w:rPr>
        <w:t>S</w:t>
      </w:r>
      <w:r>
        <w:rPr>
          <w:i/>
        </w:rPr>
        <w:t>. против К.М. (07.06.04)).</w:t>
      </w:r>
      <w:r>
        <w:t xml:space="preserve"> Выплата жене этой суммы была присуждена за "непрерывные страдания в течение пяти лет вследствие нас</w:t>
      </w:r>
      <w:r>
        <w:t>и</w:t>
      </w:r>
      <w:r>
        <w:t>лия, презрительного отношения, унижения и рабства". В данном случае суд и</w:t>
      </w:r>
      <w:r>
        <w:t>с</w:t>
      </w:r>
      <w:r>
        <w:t>пользовал один из возможных вариантов, предусмотренных законодательством для увеличения суммы компенсации ввиду тяжести ситуации, в которой оказ</w:t>
      </w:r>
      <w:r>
        <w:t>а</w:t>
      </w:r>
      <w:r>
        <w:t>лась потерпевшая.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19.</w:t>
      </w:r>
      <w:r>
        <w:tab/>
        <w:t>В другом историческом решении, принятом в январе 2005 года, Верхо</w:t>
      </w:r>
      <w:r>
        <w:t>в</w:t>
      </w:r>
      <w:r>
        <w:t>ный суд удовлетворил ходатайство двух сожительствующих женщин об ус</w:t>
      </w:r>
      <w:r>
        <w:t>ы</w:t>
      </w:r>
      <w:r>
        <w:t>новлении или удочерении детей друг друга. Суд постановил, что в соответс</w:t>
      </w:r>
      <w:r>
        <w:t>т</w:t>
      </w:r>
      <w:r>
        <w:t xml:space="preserve">вии с </w:t>
      </w:r>
      <w:r>
        <w:rPr>
          <w:i/>
        </w:rPr>
        <w:t>Законом об усыновлении или удочерении детей</w:t>
      </w:r>
      <w:r>
        <w:t xml:space="preserve"> 5741-1981 ("</w:t>
      </w:r>
      <w:r>
        <w:rPr>
          <w:i/>
        </w:rPr>
        <w:t>Закон об ус</w:t>
      </w:r>
      <w:r>
        <w:rPr>
          <w:i/>
        </w:rPr>
        <w:t>ы</w:t>
      </w:r>
      <w:r>
        <w:rPr>
          <w:i/>
        </w:rPr>
        <w:t>новлении детей</w:t>
      </w:r>
      <w:r>
        <w:t>"), каждое дело следует рассматривать по существу, принимая во внимание при этом все соответствующие обстоятельства. Суд особо по</w:t>
      </w:r>
      <w:r>
        <w:t>д</w:t>
      </w:r>
      <w:r>
        <w:t>черкнул, что это решение касается исключительно лишь соответствующей п</w:t>
      </w:r>
      <w:r>
        <w:t>а</w:t>
      </w:r>
      <w:r>
        <w:t>ры и не носит принципиального характера, оставляя, таким образом, решение вопроса о взаимоотношениях между представителями одного и того же пола на будущее. Суд рекомендовал кнессету внести поправки в закон с тем, чтобы предусмотреть способ решения реальной проблемы, а также попытаться обо</w:t>
      </w:r>
      <w:r>
        <w:t>й</w:t>
      </w:r>
      <w:r>
        <w:t xml:space="preserve">ти сложные идеологические проблемы, связанные с этим вопросом (С.А. 10280/01 </w:t>
      </w:r>
      <w:r>
        <w:rPr>
          <w:i/>
        </w:rPr>
        <w:t>Ярос-Хакак против генерального прокурора</w:t>
      </w:r>
      <w:r>
        <w:t xml:space="preserve"> (10.01.05)).</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i/>
        </w:rPr>
      </w:pPr>
      <w:r>
        <w:t>20.</w:t>
      </w:r>
      <w:r>
        <w:tab/>
        <w:t xml:space="preserve">В своем историческом решении окружной суд Назарета установил, что термин "мужчина и женщина" в </w:t>
      </w:r>
      <w:r>
        <w:rPr>
          <w:i/>
        </w:rPr>
        <w:t xml:space="preserve">Законе о наследовании, 5725/1965, ("Закон о наследовании") </w:t>
      </w:r>
      <w:r>
        <w:t>охватывает супругов одного и того же пола. Это решение было продиктовано общим стремлением к тому, чтобы расширить толкование терм</w:t>
      </w:r>
      <w:r>
        <w:t>и</w:t>
      </w:r>
      <w:r>
        <w:t xml:space="preserve">на "супружеская пара" в </w:t>
      </w:r>
      <w:r>
        <w:rPr>
          <w:i/>
        </w:rPr>
        <w:t>Законе о наследовании (С.А. 3245/03 А.М. против г</w:t>
      </w:r>
      <w:r>
        <w:rPr>
          <w:i/>
        </w:rPr>
        <w:t>е</w:t>
      </w:r>
      <w:r>
        <w:rPr>
          <w:i/>
        </w:rPr>
        <w:t>нерального прокурора (11.11.04)).</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rPr>
          <w:sz w:val="10"/>
        </w:rPr>
      </w:pPr>
      <w:r>
        <w:rPr>
          <w:i/>
        </w:rPr>
        <w:br w:type="page"/>
      </w: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778" w:right="1267"/>
      </w:pPr>
      <w:r>
        <w:t>Административные меры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21.</w:t>
      </w:r>
      <w:r>
        <w:tab/>
        <w:t>Кроме того, правительство приняло ряд следующих важных мер, каса</w:t>
      </w:r>
      <w:r>
        <w:t>ю</w:t>
      </w:r>
      <w:r>
        <w:t>щихся ликвидации всех форм дискриминации в отношении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22.</w:t>
      </w:r>
      <w:r>
        <w:tab/>
        <w:t>Комиссия по делам гражданской службы включила в объявления о пров</w:t>
      </w:r>
      <w:r>
        <w:t>е</w:t>
      </w:r>
      <w:r>
        <w:t>дении торгов условие, касающееся конструктивных действий в интересах женщин. Комиссия также разработала образовательные программы по вопр</w:t>
      </w:r>
      <w:r>
        <w:t>о</w:t>
      </w:r>
      <w:r>
        <w:t>сам конструктивных действий в интересах женщин для членов конкурсных к</w:t>
      </w:r>
      <w:r>
        <w:t>о</w:t>
      </w:r>
      <w:r>
        <w:t>ми</w:t>
      </w:r>
      <w:r>
        <w:t>с</w:t>
      </w:r>
      <w:r>
        <w:t>сий.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23.</w:t>
      </w:r>
      <w:r>
        <w:tab/>
        <w:t>Министерство промышленности, торговли и труда разработало специал</w:t>
      </w:r>
      <w:r>
        <w:t>ь</w:t>
      </w:r>
      <w:r>
        <w:t>ную программу обеспечения выхода на рынок труда родителей-одиночек, в ч</w:t>
      </w:r>
      <w:r>
        <w:t>а</w:t>
      </w:r>
      <w:r>
        <w:t>стности тех, кто получает гарантированный доход и алиментные платежи, с тем чтобы расширить возможности родителей-одиночек по извлечению дох</w:t>
      </w:r>
      <w:r>
        <w:t>о</w:t>
      </w:r>
      <w:r>
        <w:t>дов и одновременно повысить уровень их трудовой квалификации. Участникам программы выплачиваются следующие пособия: 9 600 новых шекелей тем, чей д</w:t>
      </w:r>
      <w:r>
        <w:t>о</w:t>
      </w:r>
      <w:r>
        <w:t>ход вырос как минимум на 1 200 новых шекелей по сравнению с маем-июлем 2003 года; родители-одиночки, работающие на условиях полной занят</w:t>
      </w:r>
      <w:r>
        <w:t>о</w:t>
      </w:r>
      <w:r>
        <w:t>сти, имеют право на получение безвозмездной финансовой ссуды на сумму до 12 000 новых шекелей; на возмещение путевых расходов; профессионально-техническое обучение; и на возмещение части платы за посещение детьми де</w:t>
      </w:r>
      <w:r>
        <w:t>т</w:t>
      </w:r>
      <w:r>
        <w:t>ских садов и центров по уходу за детьми в рабочее время. Осуществление пр</w:t>
      </w:r>
      <w:r>
        <w:t>о</w:t>
      </w:r>
      <w:r>
        <w:t>граммы началось в августе 2003 года, а к марту 2004 года в различные бюро обратилось 30 000 родителей-одиночек, для 13 000 из которых были найдены рабочие места, а 5 100 из них были соответствующим образом трудоустроены. Доля выбывающих равна 30 процентам. Кроме того, в настоящее время 630 р</w:t>
      </w:r>
      <w:r>
        <w:t>о</w:t>
      </w:r>
      <w:r>
        <w:t>дителей-одиночек посещают курсы профессионально-технической подготовки, а 372 из них устроили своих детей в центры по уходу в рабочее время.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00" w:lineRule="exact"/>
        <w:ind w:left="778" w:right="1267"/>
      </w:pPr>
      <w:r>
        <w:t>Нынешнее положение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24.</w:t>
      </w:r>
      <w:r>
        <w:tab/>
        <w:t>Следующие данные отражают нынешнее положение женщин в Израиле и те успехи, которые были достигнуты в деле ликвидации всех форм дискрим</w:t>
      </w:r>
      <w:r>
        <w:t>и</w:t>
      </w:r>
      <w:r>
        <w:t>нации в отношении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25.</w:t>
      </w:r>
      <w:r>
        <w:tab/>
      </w:r>
      <w:r>
        <w:rPr>
          <w:u w:val="single"/>
        </w:rPr>
        <w:t>Правовая сфера</w:t>
      </w:r>
      <w:r>
        <w:t>. Это одна из тех профессиональных сфер, где был пр</w:t>
      </w:r>
      <w:r>
        <w:t>е</w:t>
      </w:r>
      <w:r>
        <w:t>одолен разрыв между мужчинами и женщинами, о чем свидетельствуют сл</w:t>
      </w:r>
      <w:r>
        <w:t>е</w:t>
      </w:r>
      <w:r>
        <w:t>дующие данные.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26.</w:t>
      </w:r>
      <w:r>
        <w:tab/>
        <w:t>Число женщин-судей продолжает расти по мере роста числа судей в ц</w:t>
      </w:r>
      <w:r>
        <w:t>е</w:t>
      </w:r>
      <w:r>
        <w:t>лом. По состоянию на октябрь 2004 года, 262 судьи из в общей сложности 542 судей были женщинами (48,3 процента судейского корпуса Израиля). Доля женщин-судей в составе Верховного суда возросла до 40 процентов (шесть из пятнадцати судей Верховного суда). Женщины по-прежнему составляют бол</w:t>
      </w:r>
      <w:r>
        <w:t>ь</w:t>
      </w:r>
      <w:r>
        <w:t>шинство профессиональных судей по трудовым спорам (67,3 процента судей и 57,1 процента секретарей), почти половину судей окружных судов (41,3 пр</w:t>
      </w:r>
      <w:r>
        <w:t>о</w:t>
      </w:r>
      <w:r>
        <w:t>цента), почти половину судей мировых судов (48,7 процента) и свыше полов</w:t>
      </w:r>
      <w:r>
        <w:t>и</w:t>
      </w:r>
      <w:r>
        <w:t>ны секретарей (56,9 процента). Кроме того, возросла роль женщин в качестве общественных представителей в судах по трудовым спорам (на их долю прих</w:t>
      </w:r>
      <w:r>
        <w:t>о</w:t>
      </w:r>
      <w:r>
        <w:t>дится 14,8 процента), отстаивающих интересы наемных работников и союзов работодат</w:t>
      </w:r>
      <w:r>
        <w:t>е</w:t>
      </w:r>
      <w:r>
        <w:t>лей бок о бок с профессиональными судьями.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27.</w:t>
      </w:r>
      <w:r>
        <w:tab/>
        <w:t>Женщины по-прежнему составляют большинство в государственных юридических органах. В отставку с должности государственного прокурора сейчас уходит женщина, а по состоянию на июль 2004 года 113 (66,9 процента) из 169 юрисконсультов в министерстве юстиции были женщинами, причем та же самая процентная доля женщин работала в государственных прокураторах и генеральной прокуратуре (432 женщины и всего лишь 210 мужчин) и в упра</w:t>
      </w:r>
      <w:r>
        <w:t>в</w:t>
      </w:r>
      <w:r>
        <w:t>лении государственных защитников (33 женщины по сравнению лишь с 15 мужчинами). Кроме того, среди юристов-стажеров была 201 женщина и 120 мужчин, а среди старших судебных работников - 22 женщины и лишь 8 мужчин.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28.</w:t>
      </w:r>
      <w:r>
        <w:tab/>
        <w:t xml:space="preserve">Увеличивается доля женщин в </w:t>
      </w:r>
      <w:r>
        <w:rPr>
          <w:u w:val="single"/>
        </w:rPr>
        <w:t>советах правительственных корпораций</w:t>
      </w:r>
      <w:r>
        <w:t>. По состоянию на январь 2005 года, женщины составляли 37 процентов дире</w:t>
      </w:r>
      <w:r>
        <w:t>к</w:t>
      </w:r>
      <w:r>
        <w:t>торов. 5 женщин (11,36 процента) возглавляли советы директоров (4 новых н</w:t>
      </w:r>
      <w:r>
        <w:t>а</w:t>
      </w:r>
      <w:r>
        <w:t>значения после подготовки нашего предыдущего доклада) и 9 женщин (11,84 процента) являлись главными административными сотрудниками прав</w:t>
      </w:r>
      <w:r>
        <w:t>и</w:t>
      </w:r>
      <w:r>
        <w:t>тельственных корпораций.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29.</w:t>
      </w:r>
      <w:r>
        <w:tab/>
      </w:r>
      <w:r>
        <w:rPr>
          <w:u w:val="single"/>
        </w:rPr>
        <w:t>Высшее образование</w:t>
      </w:r>
      <w:r>
        <w:t>. Женщины по-прежнему составляют большинство студентов первого (55,9 процентов), второго (57,1 процента) и третьего (52,7 процента) курсов. По сравнению с предыдущими процентными данными никаких существенных изменений не произошло. Женщины составляют бол</w:t>
      </w:r>
      <w:r>
        <w:t>ь</w:t>
      </w:r>
      <w:r>
        <w:t>шинство в таких областях, как гуманитарные науки (71 процент), обществе</w:t>
      </w:r>
      <w:r>
        <w:t>н</w:t>
      </w:r>
      <w:r>
        <w:t>ные дисциплины (63 процента), медицина (50 процентов) и биологические науки.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30.</w:t>
      </w:r>
      <w:r>
        <w:tab/>
      </w:r>
      <w:r>
        <w:rPr>
          <w:u w:val="single"/>
        </w:rPr>
        <w:t>Административные работники здравоохранения</w:t>
      </w:r>
      <w:r>
        <w:t>. Женщины по-прежнему составляют большинство (5 из 7) окружных врачей министерства здравоохр</w:t>
      </w:r>
      <w:r>
        <w:t>а</w:t>
      </w:r>
      <w:r>
        <w:t>нения. Кроме того, женщины возглавляют пять основных департаментов этого министерства, причем две женщины занимают должности заместителей ген</w:t>
      </w:r>
      <w:r>
        <w:t>е</w:t>
      </w:r>
      <w:r>
        <w:t>ральных директоров. 12 женщин (26 процентов) входит в состав совета по н</w:t>
      </w:r>
      <w:r>
        <w:t>а</w:t>
      </w:r>
      <w:r>
        <w:t>циональному медицинскому страхованию.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r>
        <w:rPr>
          <w:sz w:val="10"/>
        </w:rPr>
        <w:br w:type="page"/>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Ch"/>
        <w:ind w:left="792" w:right="1210"/>
      </w:pPr>
      <w:r>
        <w:t>Статья 1. Ликвидация дискриминации в отношении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b/>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spacing w:line="300" w:lineRule="exact"/>
        <w:ind w:left="778" w:right="1267"/>
      </w:pPr>
      <w:r>
        <w:t>Конституционный уровень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31.</w:t>
      </w:r>
      <w:r>
        <w:tab/>
        <w:t>Как указывалось в предыдущем докладе, хотя право на равенство ко</w:t>
      </w:r>
      <w:r>
        <w:t>н</w:t>
      </w:r>
      <w:r>
        <w:t>кретно не провозглашается в двух основных законах, принятых в 1992 и 1994 году (</w:t>
      </w:r>
      <w:r>
        <w:rPr>
          <w:i/>
        </w:rPr>
        <w:t>Основной закон: достоинство и свобода человека, 5752-1992 ("О</w:t>
      </w:r>
      <w:r>
        <w:rPr>
          <w:i/>
        </w:rPr>
        <w:t>с</w:t>
      </w:r>
      <w:r>
        <w:rPr>
          <w:i/>
        </w:rPr>
        <w:t>новной закон: достоинство и свобода человека"); Основной закон: свобода з</w:t>
      </w:r>
      <w:r>
        <w:rPr>
          <w:i/>
        </w:rPr>
        <w:t>а</w:t>
      </w:r>
      <w:r>
        <w:rPr>
          <w:i/>
        </w:rPr>
        <w:t>нятий, 5754-1994 ("Основной закон: свобода занятий")</w:t>
      </w:r>
      <w:r>
        <w:t xml:space="preserve">, оно охвачено сферой применения основного права на человеческое достоинство. Такое толкование неоднократно подтверждалось Верховным судом (дело </w:t>
      </w:r>
      <w:r>
        <w:rPr>
          <w:i/>
        </w:rPr>
        <w:t>ВС 6845/00 Эйтана Нив</w:t>
      </w:r>
      <w:r>
        <w:t xml:space="preserve"> против </w:t>
      </w:r>
      <w:r>
        <w:rPr>
          <w:i/>
        </w:rPr>
        <w:t>Фонда Клалита Сика</w:t>
      </w:r>
      <w:r>
        <w:t>) (09.10.02) – подробнее описано выше и ниже по тексту), а также многими юристами в Израиле, главным из которых является Ве</w:t>
      </w:r>
      <w:r>
        <w:t>р</w:t>
      </w:r>
      <w:r>
        <w:t>ховный судья Барак.</w:t>
      </w:r>
    </w:p>
    <w:p w:rsidR="00000000" w:rsidRDefault="00000000">
      <w:pPr>
        <w:pStyle w:val="SingleTxt"/>
      </w:pPr>
      <w:r>
        <w:t>32.</w:t>
      </w:r>
      <w:r>
        <w:tab/>
        <w:t>Как уже отмечалось в наших предыдущих докладах, в Израиле действует многоуровневая судебная система. Процесс принятия основных законов сл</w:t>
      </w:r>
      <w:r>
        <w:t>о</w:t>
      </w:r>
      <w:r>
        <w:t>жен и требует согласования между различными секторами израильского общ</w:t>
      </w:r>
      <w:r>
        <w:t>е</w:t>
      </w:r>
      <w:r>
        <w:t>ства. По завершении этого процесса государство поставит Комитет в извес</w:t>
      </w:r>
      <w:r>
        <w:t>т</w:t>
      </w:r>
      <w:r>
        <w:t>ность.</w:t>
      </w:r>
    </w:p>
    <w:p w:rsidR="00000000" w:rsidRDefault="00000000">
      <w:pPr>
        <w:pStyle w:val="SingleTxt"/>
      </w:pPr>
      <w:r>
        <w:t>33.</w:t>
      </w:r>
      <w:r>
        <w:tab/>
        <w:t>Кроме того, парламентский комитет по вопросам израильской констит</w:t>
      </w:r>
      <w:r>
        <w:t>у</w:t>
      </w:r>
      <w:r>
        <w:t>ции, права и правосудия в настоящий момент подготавливает конституцию, выработанную на основе консенсуса, и провел уже более 60 заседаний для о</w:t>
      </w:r>
      <w:r>
        <w:t>б</w:t>
      </w:r>
      <w:r>
        <w:t>суждения проекта ее текста. Среди обсуждаемых тем фигурируют такие, как гарантии надлежащей правовой процедуры, свобода слова и свобода собраний, право создавать и вступать в профессиональные союзы и право на удовлетв</w:t>
      </w:r>
      <w:r>
        <w:t>о</w:t>
      </w:r>
      <w:r>
        <w:t xml:space="preserve">рительный уровень жизни.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00" w:lineRule="exact"/>
        <w:ind w:left="778" w:right="1267"/>
      </w:pPr>
      <w:r>
        <w:t>Законодательство о равных правах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34.</w:t>
      </w:r>
      <w:r>
        <w:tab/>
        <w:t>С момента представления предыдущего доклада в законодательстве стр</w:t>
      </w:r>
      <w:r>
        <w:t>а</w:t>
      </w:r>
      <w:r>
        <w:t>ны произошел ряд важных изменений с точки зрения представленности же</w:t>
      </w:r>
      <w:r>
        <w:t>н</w:t>
      </w:r>
      <w:r>
        <w:t>щин в государственных у</w:t>
      </w:r>
      <w:r>
        <w:t>ч</w:t>
      </w:r>
      <w:r>
        <w:t>реждениях.</w:t>
      </w:r>
    </w:p>
    <w:p w:rsidR="00000000" w:rsidRDefault="00000000">
      <w:pPr>
        <w:pStyle w:val="SingleTxt"/>
      </w:pPr>
      <w:r>
        <w:t>35.</w:t>
      </w:r>
      <w:r>
        <w:tab/>
        <w:t xml:space="preserve">В июне 2004 года в </w:t>
      </w:r>
      <w:r>
        <w:rPr>
          <w:i/>
        </w:rPr>
        <w:t>Закон о равных возможностях в области занятости</w:t>
      </w:r>
      <w:r>
        <w:t>, 5748-1988 ("</w:t>
      </w:r>
      <w:r>
        <w:rPr>
          <w:i/>
        </w:rPr>
        <w:t>Закон о равных возможностях в области занятости</w:t>
      </w:r>
      <w:r>
        <w:t>") была вн</w:t>
      </w:r>
      <w:r>
        <w:t>е</w:t>
      </w:r>
      <w:r>
        <w:t>сена поправка № 9, согласно которой запрещается отказ в работе или увольн</w:t>
      </w:r>
      <w:r>
        <w:t>е</w:t>
      </w:r>
      <w:r>
        <w:t>ние на основании беременности считаются дискриминацией в области занят</w:t>
      </w:r>
      <w:r>
        <w:t>о</w:t>
      </w:r>
      <w:r>
        <w:t>сти.</w:t>
      </w:r>
    </w:p>
    <w:p w:rsidR="00000000" w:rsidRDefault="00000000">
      <w:pPr>
        <w:pStyle w:val="SingleTxt"/>
      </w:pPr>
      <w:r>
        <w:t>36.</w:t>
      </w:r>
      <w:r>
        <w:tab/>
        <w:t xml:space="preserve">Раздел 2В, внесенный в виде поправки в </w:t>
      </w:r>
      <w:r>
        <w:rPr>
          <w:i/>
        </w:rPr>
        <w:t>Закон о государственном подр</w:t>
      </w:r>
      <w:r>
        <w:rPr>
          <w:i/>
        </w:rPr>
        <w:t>я</w:t>
      </w:r>
      <w:r>
        <w:rPr>
          <w:i/>
        </w:rPr>
        <w:t>де</w:t>
      </w:r>
      <w:r>
        <w:t xml:space="preserve"> в 2003 году, предусматривает, что при распределении государственного по</w:t>
      </w:r>
      <w:r>
        <w:t>д</w:t>
      </w:r>
      <w:r>
        <w:t>ряда при прочих равных компания, возглавляемая женщиной, должна польз</w:t>
      </w:r>
      <w:r>
        <w:t>о</w:t>
      </w:r>
      <w:r>
        <w:t>ваться преимуществом перед компанией, управляемой мужчиной.</w:t>
      </w:r>
    </w:p>
    <w:p w:rsidR="00000000" w:rsidRDefault="00000000">
      <w:pPr>
        <w:pStyle w:val="SingleTxt"/>
      </w:pPr>
      <w:r>
        <w:t>37.</w:t>
      </w:r>
      <w:r>
        <w:tab/>
        <w:t xml:space="preserve">В 2002 году в </w:t>
      </w:r>
      <w:r>
        <w:rPr>
          <w:i/>
        </w:rPr>
        <w:t>Закон о проектировании и строительстве</w:t>
      </w:r>
      <w:r>
        <w:t>, 5725-1965 ("</w:t>
      </w:r>
      <w:r>
        <w:rPr>
          <w:i/>
        </w:rPr>
        <w:t>З</w:t>
      </w:r>
      <w:r>
        <w:rPr>
          <w:i/>
        </w:rPr>
        <w:t>а</w:t>
      </w:r>
      <w:r>
        <w:rPr>
          <w:i/>
        </w:rPr>
        <w:t>кон о проектировании и строительстве</w:t>
      </w:r>
      <w:r>
        <w:t>") была внесена поправка, предусма</w:t>
      </w:r>
      <w:r>
        <w:t>т</w:t>
      </w:r>
      <w:r>
        <w:t>ривающая обязательное участие женской организации в Национальном ком</w:t>
      </w:r>
      <w:r>
        <w:t>и</w:t>
      </w:r>
      <w:r>
        <w:t>тете по проектированию и строительс</w:t>
      </w:r>
      <w:r>
        <w:t>т</w:t>
      </w:r>
      <w:r>
        <w:t>ву.</w:t>
      </w:r>
    </w:p>
    <w:p w:rsidR="00000000" w:rsidRDefault="00000000">
      <w:pPr>
        <w:pStyle w:val="SingleTxt"/>
      </w:pPr>
      <w:r>
        <w:t>38.</w:t>
      </w:r>
      <w:r>
        <w:tab/>
        <w:t xml:space="preserve">В 2004 году в </w:t>
      </w:r>
      <w:r>
        <w:rPr>
          <w:i/>
        </w:rPr>
        <w:t>Закон о спорте</w:t>
      </w:r>
      <w:r>
        <w:t>, 5748-1988 ("</w:t>
      </w:r>
      <w:r>
        <w:rPr>
          <w:i/>
        </w:rPr>
        <w:t>Закон о спорте</w:t>
      </w:r>
      <w:r>
        <w:t>") был добавлен раздел 9В, 9А, который постановлял, что женщины должны быть представлены надлежащим образом во всех спортивных организациях, включая спортивные ассоциации, союзы и федерации, ф</w:t>
      </w:r>
      <w:r>
        <w:t>и</w:t>
      </w:r>
      <w:r>
        <w:t>нансируемые государством.</w:t>
      </w:r>
    </w:p>
    <w:p w:rsidR="00000000" w:rsidRDefault="00000000">
      <w:pPr>
        <w:pStyle w:val="SingleTxt"/>
      </w:pPr>
      <w:r>
        <w:t>39.</w:t>
      </w:r>
      <w:r>
        <w:tab/>
        <w:t>Данные законы и ряд других законов подробнее рассматриваются ниже в докладе.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00" w:lineRule="exact"/>
        <w:ind w:left="778" w:right="1267"/>
        <w:rPr>
          <w:b w:val="0"/>
        </w:rPr>
      </w:pPr>
      <w:r>
        <w:t>Судебное развитие права на равенство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40.</w:t>
      </w:r>
      <w:r>
        <w:tab/>
        <w:t>На протяжении многих лет судебные органы вносили значительный вклад в развитие права на равенство в целом и на равенство мужчин и женщин в ч</w:t>
      </w:r>
      <w:r>
        <w:t>а</w:t>
      </w:r>
      <w:r>
        <w:t>стности. Один из недавно принятых судебных приговоров, осуждающих ди</w:t>
      </w:r>
      <w:r>
        <w:t>с</w:t>
      </w:r>
      <w:r>
        <w:t xml:space="preserve">криминацию по признаку пола, был вынесен Верховным судом по делу </w:t>
      </w:r>
      <w:r>
        <w:rPr>
          <w:i/>
        </w:rPr>
        <w:t>ВС 6845/00 Эйтана Нив</w:t>
      </w:r>
      <w:r>
        <w:t xml:space="preserve"> против </w:t>
      </w:r>
      <w:r>
        <w:rPr>
          <w:i/>
        </w:rPr>
        <w:t>Фонда Клалита Сика</w:t>
      </w:r>
      <w:r>
        <w:t xml:space="preserve"> (09.10.02). Данное иск</w:t>
      </w:r>
      <w:r>
        <w:t>о</w:t>
      </w:r>
      <w:r>
        <w:t>вое заявление касалось порядка досрочного выхода на пенсию сотрудников Фонда, согласно которому сотрудникам мужского пола предоставлялись пре</w:t>
      </w:r>
      <w:r>
        <w:t>д</w:t>
      </w:r>
      <w:r>
        <w:t>почтительные льготы вплоть до 65 лет, в то время как сотрудницам Фонда эти льготы предоставлялись только до шестидесятилетнего возраста. По определ</w:t>
      </w:r>
      <w:r>
        <w:t>е</w:t>
      </w:r>
      <w:r>
        <w:t>нию Суда дискриминация является неравным и несправедливым обращением по отношению к равным людям. Таким образом, Суд постановил, что Фонд должен предоставить женщинам равные с мужчинами права в том, что касается пенсионной политики, и уличил Фонд в дискриминационном обращении по отношении к истице. Суд также постановил, что равенство является основоп</w:t>
      </w:r>
      <w:r>
        <w:t>о</w:t>
      </w:r>
      <w:r>
        <w:t>лагающей ценностью в правовой системе Израиля, а дискриминация по пр</w:t>
      </w:r>
      <w:r>
        <w:t>и</w:t>
      </w:r>
      <w:r>
        <w:t>знаку пола должна считаться одной из серьезнейшей форм дискриминации. Г</w:t>
      </w:r>
      <w:r>
        <w:t>о</w:t>
      </w:r>
      <w:r>
        <w:t>сударство Израиль долгие годы укореняло равенство между мужчинами и женщинами, и этот принцип может быть нарушен только в исключительном случае. Дискриминация в отношении женщин, безусловно, несовместима с общественным порядком и недопустима по существу. Исходя из этого, Суд предписал изъять дискриминационные положения, касающиеся порядка до</w:t>
      </w:r>
      <w:r>
        <w:t>с</w:t>
      </w:r>
      <w:r>
        <w:t>рочного вых</w:t>
      </w:r>
      <w:r>
        <w:t>о</w:t>
      </w:r>
      <w:r>
        <w:t>да на пенсию.</w:t>
      </w:r>
    </w:p>
    <w:p w:rsidR="00000000" w:rsidRDefault="00000000">
      <w:pPr>
        <w:pStyle w:val="SingleTxt"/>
      </w:pPr>
      <w:r>
        <w:t>41.</w:t>
      </w:r>
      <w:r>
        <w:tab/>
        <w:t>Еще одно прогрессивное решение, позволяющее принять позитивные действия по финансированию женского спорта, было принято Верховным с</w:t>
      </w:r>
      <w:r>
        <w:t>у</w:t>
      </w:r>
      <w:r>
        <w:t xml:space="preserve">дом по исковому заявлению </w:t>
      </w:r>
      <w:r>
        <w:rPr>
          <w:i/>
        </w:rPr>
        <w:t>(ВС 5325/01 Ассоциация по продвижению женск</w:t>
      </w:r>
      <w:r>
        <w:rPr>
          <w:i/>
        </w:rPr>
        <w:t>о</w:t>
      </w:r>
      <w:r>
        <w:rPr>
          <w:i/>
        </w:rPr>
        <w:t>го баскетбола</w:t>
      </w:r>
      <w:r>
        <w:t xml:space="preserve"> против</w:t>
      </w:r>
      <w:r>
        <w:rPr>
          <w:i/>
        </w:rPr>
        <w:t xml:space="preserve"> муниципального совета Рамат Хашарона и др. (02.06.04)</w:t>
      </w:r>
      <w:r>
        <w:t>), поданного Ассоциацией по продвижению женского баскетбола против муниципального совета Рамат Хашарона и других. Суд рассмотрел в</w:t>
      </w:r>
      <w:r>
        <w:t>о</w:t>
      </w:r>
      <w:r>
        <w:t>прос ассигнований, выделяемых спортивным учреждениям, и постановил, что необходимость придерживаться принципа равенства касается и муниципал</w:t>
      </w:r>
      <w:r>
        <w:t>ь</w:t>
      </w:r>
      <w:r>
        <w:t xml:space="preserve">ных советов и что он должен применяться при распределении ими денежных средств. При вынесении решения Суд опирался на раздел 3А </w:t>
      </w:r>
      <w:r>
        <w:rPr>
          <w:i/>
        </w:rPr>
        <w:t>Закона о бю</w:t>
      </w:r>
      <w:r>
        <w:rPr>
          <w:i/>
        </w:rPr>
        <w:t>д</w:t>
      </w:r>
      <w:r>
        <w:rPr>
          <w:i/>
        </w:rPr>
        <w:t>жетной политике</w:t>
      </w:r>
      <w:r>
        <w:t>, в котором устанавливаются критерии равенства при выд</w:t>
      </w:r>
      <w:r>
        <w:t>е</w:t>
      </w:r>
      <w:r>
        <w:t>лении бюджетных средств государственным учреждениям. Эти критерии, у</w:t>
      </w:r>
      <w:r>
        <w:t>т</w:t>
      </w:r>
      <w:r>
        <w:t>вержденные министерством культуры, науки и спорта, предусматривают поз</w:t>
      </w:r>
      <w:r>
        <w:t>и</w:t>
      </w:r>
      <w:r>
        <w:t>тивные действия и выделение на нужды женского спорта средств, в полтора раза превышающих бюджетные ассигнования, выделяемые на нужды мужского спорта. Суд постановил, что совет Рамат Хашарона, глава совета и центр обр</w:t>
      </w:r>
      <w:r>
        <w:t>а</w:t>
      </w:r>
      <w:r>
        <w:t>зования и спорта Рамат Хашарона должны выделять средства на женский спорт, руководствуясь обновленными критериями, установленными Спорти</w:t>
      </w:r>
      <w:r>
        <w:t>в</w:t>
      </w:r>
      <w:r>
        <w:t>ной ассоциац</w:t>
      </w:r>
      <w:r>
        <w:t>и</w:t>
      </w:r>
      <w:r>
        <w:t>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00" w:lineRule="exact"/>
        <w:ind w:left="778" w:right="1267"/>
      </w:pPr>
      <w:r>
        <w:t>Ликвидация дискриминации в частной сфере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42.</w:t>
      </w:r>
      <w:r>
        <w:tab/>
        <w:t xml:space="preserve">Важным законом в частной сфере стал принятый в 2000 году </w:t>
      </w:r>
      <w:r>
        <w:rPr>
          <w:i/>
        </w:rPr>
        <w:t>Закон о з</w:t>
      </w:r>
      <w:r>
        <w:rPr>
          <w:i/>
        </w:rPr>
        <w:t>а</w:t>
      </w:r>
      <w:r>
        <w:rPr>
          <w:i/>
        </w:rPr>
        <w:t>прещении дискриминации при предоставлении товаров и услуг и посещении мест развлечения и общественных мест</w:t>
      </w:r>
      <w:r>
        <w:t>. Законом запрещается дискриминация при предоставлении товаров и общественных услуг, при пропуске в общес</w:t>
      </w:r>
      <w:r>
        <w:t>т</w:t>
      </w:r>
      <w:r>
        <w:t>венные места или предоставлении услуг в общественных местах, основанием для которой служат определенные причины, включая пол, сексуальную пр</w:t>
      </w:r>
      <w:r>
        <w:t>и</w:t>
      </w:r>
      <w:r>
        <w:t>надлежность, личный статус и наличие детей. Закон запрещает рекламу ди</w:t>
      </w:r>
      <w:r>
        <w:t>с</w:t>
      </w:r>
      <w:r>
        <w:t>криминационного содержания, в нем также затрагивается вопрос гражданских правонарушений и наказаний.</w:t>
      </w:r>
    </w:p>
    <w:p w:rsidR="00000000" w:rsidRDefault="00000000">
      <w:pPr>
        <w:pStyle w:val="SingleTxt"/>
      </w:pPr>
      <w:r>
        <w:t>43.</w:t>
      </w:r>
      <w:r>
        <w:tab/>
        <w:t>Еще одной значимой поправкой (датируемой 2002 годом) стало добавл</w:t>
      </w:r>
      <w:r>
        <w:t>е</w:t>
      </w:r>
      <w:r>
        <w:t xml:space="preserve">ние пункта В в раздел 2 </w:t>
      </w:r>
      <w:r>
        <w:rPr>
          <w:i/>
        </w:rPr>
        <w:t>Закона о государственном подряде</w:t>
      </w:r>
      <w:r>
        <w:t>, согласно которому при распределении государственного подряда предпочтение должно отдаваться частным компаниям, возглавляемым женщинами, как об этом говорится выше и ниже в статье 4.</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Ch"/>
        <w:ind w:left="778" w:right="1267"/>
      </w:pPr>
      <w:r>
        <w:t>Статья 2. Обязательства по ликвидации дискриминации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00" w:lineRule="exact"/>
        <w:ind w:left="792" w:right="1210"/>
      </w:pPr>
      <w:r>
        <w:tab/>
        <w:t>Правовые положения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00" w:lineRule="exact"/>
        <w:ind w:left="792" w:right="1210"/>
      </w:pPr>
      <w:r>
        <w:tab/>
      </w:r>
      <w:r>
        <w:tab/>
        <w:t>Основные законы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44.</w:t>
      </w:r>
      <w:r>
        <w:tab/>
        <w:t>В Израиле действует многоуровневая судебная система, которая состоит из нескольких исполнительных инструментов, находящихся в иерархической зависимости. Одним из принципиальных механизмов осуществления верх</w:t>
      </w:r>
      <w:r>
        <w:t>о</w:t>
      </w:r>
      <w:r>
        <w:t>венства закона и соблюдения прав человека остаются основные законы. Сов</w:t>
      </w:r>
      <w:r>
        <w:t>о</w:t>
      </w:r>
      <w:r>
        <w:t>купность этих законов является своего рода конституцией в процессе дорабо</w:t>
      </w:r>
      <w:r>
        <w:t>т</w:t>
      </w:r>
      <w:r>
        <w:t>ки. Основные законы регулируют такие вопросы, как структура правительства, или вопросы, связанные с правами человека.</w:t>
      </w:r>
    </w:p>
    <w:p w:rsidR="00000000" w:rsidRDefault="00000000">
      <w:pPr>
        <w:pStyle w:val="SingleTxt"/>
      </w:pPr>
      <w:r>
        <w:t>45.</w:t>
      </w:r>
      <w:r>
        <w:tab/>
        <w:t>У основных законов уникальный статус, в большинстве случаев они им</w:t>
      </w:r>
      <w:r>
        <w:t>е</w:t>
      </w:r>
      <w:r>
        <w:t>ют преимущество над остальными законами. Таким образом, хотя основные законы и принимаются кнессетом в таком же порядке, как и обычные закон</w:t>
      </w:r>
      <w:r>
        <w:t>о</w:t>
      </w:r>
      <w:r>
        <w:t>проекты, в некоторые из них включены "забронированные положения", и в этих случаях для внесения в них поправок требуется специальное большинс</w:t>
      </w:r>
      <w:r>
        <w:t>т</w:t>
      </w:r>
      <w:r>
        <w:t>во. Кроме того, частичная отмена права, закрепленного основным законом, возможна лишь в случае, если это отвечает "ценностям государства" и делается для "достойной цели".</w:t>
      </w:r>
    </w:p>
    <w:p w:rsidR="00000000" w:rsidRDefault="00000000">
      <w:pPr>
        <w:pStyle w:val="SingleTxt"/>
      </w:pPr>
      <w:r>
        <w:t>46.</w:t>
      </w:r>
      <w:r>
        <w:tab/>
        <w:t>Процесс принятия основных законов сложен и требует согласования ме</w:t>
      </w:r>
      <w:r>
        <w:t>ж</w:t>
      </w:r>
      <w:r>
        <w:t>ду различными секторами израильского общества. Этот процесс до сих пор продолжается, правительство сообщит Комитету о его з</w:t>
      </w:r>
      <w:r>
        <w:t>а</w:t>
      </w:r>
      <w:r>
        <w:t>вершении.</w:t>
      </w:r>
    </w:p>
    <w:p w:rsidR="00000000" w:rsidRDefault="00000000">
      <w:pPr>
        <w:pStyle w:val="SingleTxt"/>
        <w:spacing w:after="0"/>
      </w:pPr>
      <w:r>
        <w:t>47.</w:t>
      </w:r>
      <w:r>
        <w:tab/>
        <w:t>Кроме того, парламентский комитет по вопросам израильской констит</w:t>
      </w:r>
      <w:r>
        <w:t>у</w:t>
      </w:r>
      <w:r>
        <w:t>ции, права и правосудия в настоящий момент подготавливает конституцию, выработанную на основе консенсуса, и провел уже более 60 заседаний для о</w:t>
      </w:r>
      <w:r>
        <w:t>б</w:t>
      </w:r>
      <w:r>
        <w:t>суждения проекта ее текста. Среди обсуждаемых тем фигурируют такие, как гарантии надлежащей правовой процедуры, свобода слова и свобода собраний, право создавать и вступать в профессиональные союзы и право на удовлетв</w:t>
      </w:r>
      <w:r>
        <w:t>о</w:t>
      </w:r>
      <w:r>
        <w:t>рительный уровень жизни.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00" w:lineRule="exact"/>
        <w:ind w:left="792" w:right="1210"/>
      </w:pPr>
      <w:r>
        <w:tab/>
      </w:r>
      <w:r>
        <w:tab/>
        <w:t>Обыкновенные законы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48.</w:t>
      </w:r>
      <w:r>
        <w:tab/>
        <w:t xml:space="preserve">Со времени представления предыдущего доклада в Израиле было принято несколько законодательных актов, призванных ликвидировать дискриминацию в отношении женщин. Среди наиболее важных недавних достижений в этой области можно отметить внесенную в 2004 году поправку № 9 в </w:t>
      </w:r>
      <w:r>
        <w:rPr>
          <w:i/>
        </w:rPr>
        <w:t>Закон о ра</w:t>
      </w:r>
      <w:r>
        <w:rPr>
          <w:i/>
        </w:rPr>
        <w:t>в</w:t>
      </w:r>
      <w:r>
        <w:rPr>
          <w:i/>
        </w:rPr>
        <w:t>ных возможностях в области занятости</w:t>
      </w:r>
      <w:r>
        <w:t xml:space="preserve">, благодаря которой к причинам, на основании которых человек не может подвергаться дискриминации на работе, была добавлена беременность; раздел 9А </w:t>
      </w:r>
      <w:r>
        <w:rPr>
          <w:i/>
        </w:rPr>
        <w:t>Закона о спорте</w:t>
      </w:r>
      <w:r>
        <w:t xml:space="preserve"> (</w:t>
      </w:r>
      <w:r>
        <w:rPr>
          <w:i/>
        </w:rPr>
        <w:t>Поправка № 5</w:t>
      </w:r>
      <w:r>
        <w:t>) (</w:t>
      </w:r>
      <w:r>
        <w:rPr>
          <w:i/>
        </w:rPr>
        <w:t>Надлежащая представленность</w:t>
      </w:r>
      <w:r>
        <w:t>), который был принят в 2003 году и постан</w:t>
      </w:r>
      <w:r>
        <w:t>о</w:t>
      </w:r>
      <w:r>
        <w:t>вил, что женщины должны быть представлены надлежащим образом во всех спортивных организациях, включая спортивные ассоциации, союзы и федер</w:t>
      </w:r>
      <w:r>
        <w:t>а</w:t>
      </w:r>
      <w:r>
        <w:t xml:space="preserve">ции, финансируемые государством; раздел 2В </w:t>
      </w:r>
      <w:r>
        <w:rPr>
          <w:i/>
        </w:rPr>
        <w:t>Закона о государственном по</w:t>
      </w:r>
      <w:r>
        <w:rPr>
          <w:i/>
        </w:rPr>
        <w:t>д</w:t>
      </w:r>
      <w:r>
        <w:rPr>
          <w:i/>
        </w:rPr>
        <w:t>ряде</w:t>
      </w:r>
      <w:r>
        <w:t xml:space="preserve"> 2002 года, который предусматривает, что при распределении государс</w:t>
      </w:r>
      <w:r>
        <w:t>т</w:t>
      </w:r>
      <w:r>
        <w:t xml:space="preserve">венного подряда при прочих равных компания, возглавляемая женщиной, должна иметь преимущество перед компанией, управляемой мужчиной, и уточненный </w:t>
      </w:r>
      <w:r>
        <w:rPr>
          <w:i/>
        </w:rPr>
        <w:t>Закон о проектировании и строительстве</w:t>
      </w:r>
      <w:r>
        <w:t>, который теперь пред</w:t>
      </w:r>
      <w:r>
        <w:t>у</w:t>
      </w:r>
      <w:r>
        <w:t>сматривает обязательное участие женской организации в Национальном ком</w:t>
      </w:r>
      <w:r>
        <w:t>и</w:t>
      </w:r>
      <w:r>
        <w:t>тете по проектир</w:t>
      </w:r>
      <w:r>
        <w:t>о</w:t>
      </w:r>
      <w:r>
        <w:t>ванию и строительству.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00" w:lineRule="exact"/>
        <w:ind w:left="792" w:right="1210"/>
      </w:pPr>
      <w:r>
        <w:tab/>
        <w:t>Правовые возможности, имеющиеся для защиты прав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00" w:lineRule="exact"/>
        <w:ind w:left="1287" w:right="1210" w:hanging="495"/>
      </w:pPr>
      <w:r>
        <w:tab/>
      </w:r>
      <w:r>
        <w:tab/>
        <w:t>Государственный инспектор и уполномоченный по рассмотрению жалоб</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49.</w:t>
      </w:r>
      <w:r>
        <w:tab/>
        <w:t>Как уже указывалось в предыдущем докладе, рассмотрением жалоб и и</w:t>
      </w:r>
      <w:r>
        <w:t>с</w:t>
      </w:r>
      <w:r>
        <w:t>ков, поступающих от населения, включая жалобы от женщин, по-прежнему з</w:t>
      </w:r>
      <w:r>
        <w:t>а</w:t>
      </w:r>
      <w:r>
        <w:t>нимается уполномоченный по рассмотрению жалоб. Согласно учетным данным в период с 30 сентября 2000 года по 31 декабря 2003 года уполномоченному поступила 19 691 жалоба. 160 из общего числа жалоб были связаны с вопрос</w:t>
      </w:r>
      <w:r>
        <w:t>а</w:t>
      </w:r>
      <w:r>
        <w:t>ми, касающимися женщин, в частности с социальными пособиями (включая выплату алиментов, пособия в связи с беременностью и родами и пособия в связи с рождением ребенка), а также с регистрацией брака и сексуальным д</w:t>
      </w:r>
      <w:r>
        <w:t>о</w:t>
      </w:r>
      <w:r>
        <w:t>могательством. Инспекция по разным причинам отклонила 138 из них, удовл</w:t>
      </w:r>
      <w:r>
        <w:t>е</w:t>
      </w:r>
      <w:r>
        <w:t>творила 87 жалоб, остающиеся 17 жалоб были приняты и находились на ра</w:t>
      </w:r>
      <w:r>
        <w:t>с</w:t>
      </w:r>
      <w:r>
        <w:t>смотрении в соответствующих органах.</w:t>
      </w:r>
    </w:p>
    <w:p w:rsidR="00000000" w:rsidRDefault="00000000">
      <w:pPr>
        <w:pStyle w:val="SingleTxt"/>
      </w:pPr>
      <w:r>
        <w:t>50.</w:t>
      </w:r>
      <w:r>
        <w:tab/>
        <w:t>С момента представления предыдущего доклада государственный инспе</w:t>
      </w:r>
      <w:r>
        <w:t>к</w:t>
      </w:r>
      <w:r>
        <w:t xml:space="preserve">тор подготовил три доклада по вопросам, связанным с женщинами. Один из них называется </w:t>
      </w:r>
      <w:r>
        <w:rPr>
          <w:u w:val="single"/>
        </w:rPr>
        <w:t>Распределение и назначение на должность лиц, состоящих на службе в Армии обороны Израиля (2002 год)</w:t>
      </w:r>
      <w:r>
        <w:t xml:space="preserve">. В </w:t>
      </w:r>
      <w:r>
        <w:rPr>
          <w:i/>
        </w:rPr>
        <w:t>Законе о службе в армии [ко</w:t>
      </w:r>
      <w:r>
        <w:rPr>
          <w:i/>
        </w:rPr>
        <w:t>н</w:t>
      </w:r>
      <w:r>
        <w:rPr>
          <w:i/>
        </w:rPr>
        <w:t>солидированный вариант]</w:t>
      </w:r>
      <w:r>
        <w:t>,</w:t>
      </w:r>
      <w:r>
        <w:rPr>
          <w:i/>
        </w:rPr>
        <w:t xml:space="preserve"> </w:t>
      </w:r>
      <w:r>
        <w:t>5746-1986 (</w:t>
      </w:r>
      <w:r>
        <w:rPr>
          <w:i/>
        </w:rPr>
        <w:t>Закон о службе в армии [консолидир</w:t>
      </w:r>
      <w:r>
        <w:rPr>
          <w:i/>
        </w:rPr>
        <w:t>о</w:t>
      </w:r>
      <w:r>
        <w:rPr>
          <w:i/>
        </w:rPr>
        <w:t>ванный вариант]</w:t>
      </w:r>
      <w:r>
        <w:t>) содержатся положения, касающиеся равных требований к первоначальной стадии службы, а также к медицинскому освидетельствованию и квалификационным испытаниям. Государственный инспектор установил, что перед назначением на боевое дежурство несовершеннолетние лица женского пола проходят проверку, носящую субъективный характер. Инспектор посов</w:t>
      </w:r>
      <w:r>
        <w:t>е</w:t>
      </w:r>
      <w:r>
        <w:t>товал пересмотреть порядок проведения этой проверки, в особенности в тех ее аспектах, которые касаются кандидатов на военную службу из числа женщин, назначенных на боевые должности, с тем чтобы проверка проходила на равн</w:t>
      </w:r>
      <w:r>
        <w:t>о</w:t>
      </w:r>
      <w:r>
        <w:t>правной основе. В ответе правительства на этот доклад упоминалось, что тол</w:t>
      </w:r>
      <w:r>
        <w:t>ь</w:t>
      </w:r>
      <w:r>
        <w:t>ко треть из всех потенциальных новобранцев заполняют медицинские формы и что Армия обороны Израиля (АОИ) в настоящее время рассматривает в качес</w:t>
      </w:r>
      <w:r>
        <w:t>т</w:t>
      </w:r>
      <w:r>
        <w:t>ве одного из вариантов возможность заполнения этих форм через Интернет. Кроме того, АОИ проводит общую оценку методов работы медицинских к</w:t>
      </w:r>
      <w:r>
        <w:t>о</w:t>
      </w:r>
      <w:r>
        <w:t>миссий. К тому же предусматривается проведение дополнительных собесед</w:t>
      </w:r>
      <w:r>
        <w:t>о</w:t>
      </w:r>
      <w:r>
        <w:t>ваний с несовершеннолетними лицами женского пола, желающими получить боевые должности.</w:t>
      </w:r>
    </w:p>
    <w:p w:rsidR="00000000" w:rsidRDefault="00000000">
      <w:pPr>
        <w:pStyle w:val="SingleTxt"/>
      </w:pPr>
      <w:r>
        <w:t>51.</w:t>
      </w:r>
      <w:r>
        <w:tab/>
        <w:t xml:space="preserve">Еще один доклад называется </w:t>
      </w:r>
      <w:r>
        <w:rPr>
          <w:u w:val="single"/>
        </w:rPr>
        <w:t>Женская служба в АОИ</w:t>
      </w:r>
      <w:r>
        <w:t xml:space="preserve"> (2002 год). Госуда</w:t>
      </w:r>
      <w:r>
        <w:t>р</w:t>
      </w:r>
      <w:r>
        <w:t>ственный инспектор пришел к выводу, что открытие для женщин новых дол</w:t>
      </w:r>
      <w:r>
        <w:t>ж</w:t>
      </w:r>
      <w:r>
        <w:t>ностей и их интеграция не сопровождались анализом характеристик каждой из должностей и не были установлены стандарты для оценки того, насколько у</w:t>
      </w:r>
      <w:r>
        <w:t>с</w:t>
      </w:r>
      <w:r>
        <w:t>пешно проходит эта интеграция. Инспектор также отметил, что не проводились надлежащие исследования медико-физиологических аспектов, связанных с боевой службой женщин. В ответе правительства на этот доклад говорилось, что в АОИ будут проведены обширные исследования, посвященные вопросу медико-физиологических аспектов женских должностей. Кроме того, в стру</w:t>
      </w:r>
      <w:r>
        <w:t>к</w:t>
      </w:r>
      <w:r>
        <w:t>туре АОИ будут открыты 2 500 дополнительных должности для женщин.</w:t>
      </w:r>
    </w:p>
    <w:p w:rsidR="00000000" w:rsidRDefault="00000000">
      <w:pPr>
        <w:pStyle w:val="SingleTxt"/>
      </w:pPr>
      <w:r>
        <w:t>52.</w:t>
      </w:r>
      <w:r>
        <w:tab/>
        <w:t>В докладе, озаглавленном "</w:t>
      </w:r>
      <w:r>
        <w:rPr>
          <w:u w:val="single"/>
        </w:rPr>
        <w:t>Феномен насилия в семье"</w:t>
      </w:r>
      <w:r>
        <w:t xml:space="preserve"> (2002 год), Гос</w:t>
      </w:r>
      <w:r>
        <w:t>у</w:t>
      </w:r>
      <w:r>
        <w:t>дарственный инспектор высказал мнение, что проблема насилия в семье треб</w:t>
      </w:r>
      <w:r>
        <w:t>у</w:t>
      </w:r>
      <w:r>
        <w:t>ет комплексного и эффективного подхода. Задача эффективного решения этой проблемы возложена на правительственные министерства, в частности на м</w:t>
      </w:r>
      <w:r>
        <w:t>и</w:t>
      </w:r>
      <w:r>
        <w:t>нистерство социального обеспечения, которому поручено исследовать орган</w:t>
      </w:r>
      <w:r>
        <w:t>и</w:t>
      </w:r>
      <w:r>
        <w:t>зационную структуру различных служб, действующих в этой области. Кроме того, должно существовать четкое и действенное распределение ответственн</w:t>
      </w:r>
      <w:r>
        <w:t>о</w:t>
      </w:r>
      <w:r>
        <w:t>сти, а соответствующие органы должны стремится к полному сотрудничеству и взаимодействию. В ответе правительства на этот доклад говорилось, что мин</w:t>
      </w:r>
      <w:r>
        <w:t>и</w:t>
      </w:r>
      <w:r>
        <w:t>стерство социального обеспечения теперь выступает в качестве координацио</w:t>
      </w:r>
      <w:r>
        <w:t>н</w:t>
      </w:r>
      <w:r>
        <w:t>ного центра для решения проблемы бытового насилия, а генеральный директор министерства возглавляет межведомственный комитет, координирующий р</w:t>
      </w:r>
      <w:r>
        <w:t>е</w:t>
      </w:r>
      <w:r>
        <w:t>шение проблемы бытового насилия. Кроме того, были установлены процедуры контроля и проверки деятельности Центров по предотвращению бытового н</w:t>
      </w:r>
      <w:r>
        <w:t>а</w:t>
      </w:r>
      <w:r>
        <w:t>силия.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00" w:lineRule="exact"/>
        <w:ind w:left="792" w:right="1210"/>
      </w:pPr>
      <w:r>
        <w:tab/>
      </w:r>
      <w:r>
        <w:tab/>
        <w:t>Другие государственные органы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53.</w:t>
      </w:r>
      <w:r>
        <w:tab/>
        <w:t>В судебной системе существуют правовые механизмы, позволяющие женщинам продвигать свои интересы и бороться с дискриминацией. Кроме т</w:t>
      </w:r>
      <w:r>
        <w:t>о</w:t>
      </w:r>
      <w:r>
        <w:t>го, такие государственные подразделения, как отдел по вопросам занятости и положения женщин министерства промышленности, труда и занятости, отдел правовой консультации министерства юстиции, инспектор по вопросам дисц</w:t>
      </w:r>
      <w:r>
        <w:t>и</w:t>
      </w:r>
      <w:r>
        <w:t>плины в системе гражданской службы и департамент интеграции и улучшения положения женщин на гражданской службе также предоставляют в пределах своих сфер деятельности и компетенции надлежащие средства судебной защ</w:t>
      </w:r>
      <w:r>
        <w:t>и</w:t>
      </w:r>
      <w:r>
        <w:t>ты, например, дисциплинарные меры и т.д.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00" w:lineRule="exact"/>
        <w:ind w:left="792" w:right="1210"/>
      </w:pPr>
      <w:r>
        <w:tab/>
        <w:t>Правительственные механизмы и мероприятия, направленные на улучшение положения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00" w:lineRule="exact"/>
        <w:ind w:left="792" w:right="1210"/>
      </w:pPr>
      <w:r>
        <w:t>Правительственные инициативы в области расследований и обследований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54.</w:t>
      </w:r>
      <w:r>
        <w:tab/>
        <w:t>С момента представления предыдущего доклада Орган по улучшению п</w:t>
      </w:r>
      <w:r>
        <w:t>о</w:t>
      </w:r>
      <w:r>
        <w:t>ложения женщин в Израиле провел два больших опроса, посвященных вопр</w:t>
      </w:r>
      <w:r>
        <w:t>о</w:t>
      </w:r>
      <w:r>
        <w:t>сам женщин в Израиле; как станет ясно из последующего текста, одно из них было связано с потребностями женщин и тем, как, по их ожиданиям, эти п</w:t>
      </w:r>
      <w:r>
        <w:t>о</w:t>
      </w:r>
      <w:r>
        <w:t>требности будут учитываться на институциональном уровне, второе было п</w:t>
      </w:r>
      <w:r>
        <w:t>о</w:t>
      </w:r>
      <w:r>
        <w:t>священо выявлению признаков насилия на ранних этапах отношений. Каждый из этих опросов будет подробнее описан ниже.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00" w:lineRule="exact"/>
        <w:ind w:left="792" w:right="1210"/>
      </w:pPr>
      <w:r>
        <w:tab/>
        <w:t>Механизмы, внедряемые в целях улучшения положения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00" w:lineRule="exact"/>
        <w:ind w:left="792" w:right="1210"/>
      </w:pPr>
      <w:r>
        <w:tab/>
      </w:r>
      <w:r>
        <w:tab/>
        <w:t>Орган по улучшению положения женщин в Израиле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left" w:pos="1944"/>
        </w:tabs>
      </w:pPr>
      <w:r>
        <w:t>55.</w:t>
      </w:r>
      <w:r>
        <w:tab/>
        <w:t>С момента представления предыдущего доклада Орган предпринял ряд шагов для достижения этих целей, включая:</w:t>
      </w:r>
    </w:p>
    <w:p w:rsidR="00000000" w:rsidRDefault="00000000">
      <w:pPr>
        <w:pStyle w:val="SingleTxt"/>
        <w:ind w:left="1742" w:hanging="475"/>
      </w:pPr>
      <w:r>
        <w:t>1)</w:t>
      </w:r>
      <w:r>
        <w:tab/>
        <w:t>Подготовку 1 000 общественных деятелей, которые окажут содействие при выполнении разных аспектов процесса улучшения положения же</w:t>
      </w:r>
      <w:r>
        <w:t>н</w:t>
      </w:r>
      <w:r>
        <w:t>щин в обществе. Эта работа выражается в определении общественных деятелей, способных выступить в качестве движущей силы, и предоста</w:t>
      </w:r>
      <w:r>
        <w:t>в</w:t>
      </w:r>
      <w:r>
        <w:t>лении женским форумам возможности руководства в целях улучшения положения женщин.</w:t>
      </w:r>
    </w:p>
    <w:p w:rsidR="00000000" w:rsidRDefault="00000000">
      <w:pPr>
        <w:pStyle w:val="SingleTxt"/>
        <w:ind w:left="1742" w:hanging="475"/>
      </w:pPr>
      <w:r>
        <w:t>2)</w:t>
      </w:r>
      <w:r>
        <w:tab/>
        <w:t>Ряд мероприятий, направленных на расширение финансовых прав и во</w:t>
      </w:r>
      <w:r>
        <w:t>з</w:t>
      </w:r>
      <w:r>
        <w:t>можностей женщин во всех сферах жизни. Сюда входит содействие же</w:t>
      </w:r>
      <w:r>
        <w:t>н</w:t>
      </w:r>
      <w:r>
        <w:t>щинам-предпринимателям, осуществляемое под руководством специал</w:t>
      </w:r>
      <w:r>
        <w:t>ь</w:t>
      </w:r>
      <w:r>
        <w:t>ного исследовательского центра, занимающегося вопросами женского предпринимательс</w:t>
      </w:r>
      <w:r>
        <w:t>т</w:t>
      </w:r>
      <w:r>
        <w:t>ва.</w:t>
      </w:r>
    </w:p>
    <w:p w:rsidR="00000000" w:rsidRDefault="00000000">
      <w:pPr>
        <w:pStyle w:val="SingleTxt"/>
        <w:ind w:left="1742" w:hanging="475"/>
      </w:pPr>
      <w:r>
        <w:t>3)</w:t>
      </w:r>
      <w:r>
        <w:tab/>
        <w:t>Издание брошюры объемом в 36 страниц, озаглавленной "Права женщины на рабочем месте – эти знания должны быть вам доступны" и включа</w:t>
      </w:r>
      <w:r>
        <w:t>ю</w:t>
      </w:r>
      <w:r>
        <w:t>щей в себя различную информацию, представляющую интерес для раб</w:t>
      </w:r>
      <w:r>
        <w:t>о</w:t>
      </w:r>
      <w:r>
        <w:t>тающих женщин, в частности информацию о соответствующих законах, правах, отпусках по болезни, увольнении, сексуальном домогательстве, беременности и декретном отпуске и представлении жалоб в суд по тр</w:t>
      </w:r>
      <w:r>
        <w:t>у</w:t>
      </w:r>
      <w:r>
        <w:t>довым вопросам. Было распространено 150 000 копий данной брошюры на иврите, арабском и ру</w:t>
      </w:r>
      <w:r>
        <w:t>с</w:t>
      </w:r>
      <w:r>
        <w:t>ском языках.</w:t>
      </w:r>
    </w:p>
    <w:p w:rsidR="00000000" w:rsidRDefault="00000000">
      <w:pPr>
        <w:pStyle w:val="SingleTxt"/>
        <w:ind w:left="1742" w:hanging="475"/>
      </w:pPr>
      <w:r>
        <w:t>4)</w:t>
      </w:r>
      <w:r>
        <w:tab/>
        <w:t>Издание брошюры с подробной информацией о правах женщин, услугах и проектах, предназначенных для женщин и девочек подросткового возра</w:t>
      </w:r>
      <w:r>
        <w:t>с</w:t>
      </w:r>
      <w:r>
        <w:t>та. Данная брошюра была выпущена тиражом в 200 000 копий.</w:t>
      </w:r>
    </w:p>
    <w:p w:rsidR="00000000" w:rsidRDefault="00000000">
      <w:pPr>
        <w:pStyle w:val="SingleTxt"/>
        <w:ind w:left="1742" w:hanging="475"/>
      </w:pPr>
      <w:r>
        <w:t>5)</w:t>
      </w:r>
      <w:r>
        <w:tab/>
        <w:t>Распространение листовок, содержащих информацию о способах выявл</w:t>
      </w:r>
      <w:r>
        <w:t>е</w:t>
      </w:r>
      <w:r>
        <w:t>ния насилия в семье и номера контактных телефонов всех органов, зан</w:t>
      </w:r>
      <w:r>
        <w:t>и</w:t>
      </w:r>
      <w:r>
        <w:t>мающихся проблемой бытового насилия. Было распространено 90 000 т</w:t>
      </w:r>
      <w:r>
        <w:t>а</w:t>
      </w:r>
      <w:r>
        <w:t>ких листовок на иврите, арабском и русском яз</w:t>
      </w:r>
      <w:r>
        <w:t>ы</w:t>
      </w:r>
      <w:r>
        <w:t>ках.</w:t>
      </w:r>
    </w:p>
    <w:p w:rsidR="00000000" w:rsidRDefault="00000000">
      <w:pPr>
        <w:pStyle w:val="SingleTxt"/>
        <w:ind w:left="1742" w:hanging="475"/>
      </w:pPr>
      <w:r>
        <w:t>6)</w:t>
      </w:r>
      <w:r>
        <w:tab/>
        <w:t>Работу с главами муниципалитетов, проводимую с тем, чтобы убедить их как можно скорее назначить советников по вопросам пол</w:t>
      </w:r>
      <w:r>
        <w:t>о</w:t>
      </w:r>
      <w:r>
        <w:t>жения женщин.</w:t>
      </w:r>
    </w:p>
    <w:p w:rsidR="00000000" w:rsidRDefault="00000000">
      <w:pPr>
        <w:pStyle w:val="SingleTxt"/>
        <w:ind w:left="1742" w:hanging="475"/>
      </w:pPr>
      <w:r>
        <w:t>7)</w:t>
      </w:r>
      <w:r>
        <w:tab/>
        <w:t>Проведение курсов подготовки и навыков профессионального руков</w:t>
      </w:r>
      <w:r>
        <w:t>о</w:t>
      </w:r>
      <w:r>
        <w:t>дства для советников по вопросам положения женщин, проведение еж</w:t>
      </w:r>
      <w:r>
        <w:t>е</w:t>
      </w:r>
      <w:r>
        <w:t>годных встреч выпускников этих курсов, бесед на профессиональные т</w:t>
      </w:r>
      <w:r>
        <w:t>е</w:t>
      </w:r>
      <w:r>
        <w:t>мы с советниками и проведение на регулярной основе конференций и с</w:t>
      </w:r>
      <w:r>
        <w:t>е</w:t>
      </w:r>
      <w:r>
        <w:t>минаров с участием дейс</w:t>
      </w:r>
      <w:r>
        <w:t>т</w:t>
      </w:r>
      <w:r>
        <w:t>вующих советников.</w:t>
      </w:r>
    </w:p>
    <w:p w:rsidR="00000000" w:rsidRDefault="00000000">
      <w:pPr>
        <w:pStyle w:val="SingleTxt"/>
        <w:ind w:left="1742" w:hanging="475"/>
      </w:pPr>
      <w:r>
        <w:t>8)</w:t>
      </w:r>
      <w:r>
        <w:tab/>
        <w:t>Сотрудничество и обучение женщин-лидеров в разных организациях, включая профессиональные организации, политические партии, мол</w:t>
      </w:r>
      <w:r>
        <w:t>о</w:t>
      </w:r>
      <w:r>
        <w:t>дежные движения и неправительственные организации, занимающиеся вопросами женщин. Организация регулярных консультаций и встреч по разработке стратегии с главами крупнейших женских НПО.</w:t>
      </w:r>
    </w:p>
    <w:p w:rsidR="00000000" w:rsidRDefault="00000000">
      <w:pPr>
        <w:pStyle w:val="SingleTxt"/>
        <w:ind w:left="1742" w:hanging="475"/>
      </w:pPr>
      <w:r>
        <w:t>9)</w:t>
      </w:r>
      <w:r>
        <w:tab/>
        <w:t>Организацию профессиональных семинаров и конференций с участием заинтересованных сторон и лиц, ответственных за разработку политики, в целях осуществления политики, направленной на рост значения вопросов, связанных с положением женщин, и на борьбу с насилием в отношении же</w:t>
      </w:r>
      <w:r>
        <w:t>н</w:t>
      </w:r>
      <w:r>
        <w:t>щин.</w:t>
      </w:r>
    </w:p>
    <w:p w:rsidR="00000000" w:rsidRDefault="00000000">
      <w:pPr>
        <w:pStyle w:val="SingleTxt"/>
        <w:ind w:left="1742" w:hanging="475"/>
      </w:pPr>
      <w:r>
        <w:t>10)</w:t>
      </w:r>
      <w:r>
        <w:tab/>
        <w:t>Рассмотрение вопросов, связанных со здоровьем и благополучием же</w:t>
      </w:r>
      <w:r>
        <w:t>н</w:t>
      </w:r>
      <w:r>
        <w:t>щин, на периодически проводимых конференциях и семинарах, и предо</w:t>
      </w:r>
      <w:r>
        <w:t>с</w:t>
      </w:r>
      <w:r>
        <w:t>тавление механизмов содействия местным советникам по вопросам пол</w:t>
      </w:r>
      <w:r>
        <w:t>о</w:t>
      </w:r>
      <w:r>
        <w:t>жения женщин в запуске местных проектов, связанных со здоровьем женщин.</w:t>
      </w:r>
    </w:p>
    <w:p w:rsidR="00000000" w:rsidRDefault="00000000">
      <w:pPr>
        <w:pStyle w:val="SingleTxt"/>
        <w:ind w:left="1742" w:hanging="475"/>
      </w:pPr>
      <w:r>
        <w:t>11)</w:t>
      </w:r>
      <w:r>
        <w:tab/>
        <w:t>Принятие особых усилий и вложение ресурсов в дело улучшения полож</w:t>
      </w:r>
      <w:r>
        <w:t>е</w:t>
      </w:r>
      <w:r>
        <w:t>ния женщин в арабском секторе – назначение руководителя специального проекта для арабского сектора, использование фонда наследования для финансирования проектов в арабском секторе, установление контактов с женскими ассоциациями, работающими в этом секторе, назначение рук</w:t>
      </w:r>
      <w:r>
        <w:t>о</w:t>
      </w:r>
      <w:r>
        <w:t>водящего комитета, который рассматривал бы все имеющие отношение к делу факторы, проводил опросы и устраивал конференции по вопросам занятости, образования, предпринимательства и насилия в отношении женщин с участием самих женщин и лиц, отвечающих за выработку п</w:t>
      </w:r>
      <w:r>
        <w:t>о</w:t>
      </w:r>
      <w:r>
        <w:t>литики в данном сект</w:t>
      </w:r>
      <w:r>
        <w:t>о</w:t>
      </w:r>
      <w:r>
        <w:t>ре.</w:t>
      </w:r>
    </w:p>
    <w:p w:rsidR="00000000" w:rsidRDefault="00000000">
      <w:pPr>
        <w:pStyle w:val="SingleTxt"/>
      </w:pPr>
      <w:r>
        <w:t>56.</w:t>
      </w:r>
      <w:r>
        <w:tab/>
        <w:t>После выпуска печатных материалов, призывающих женщин делиться своими проблемами, в Орган по улучшению положения женщин, как правило, поступает множество заявлений. Ежегодно число заявлений доходит до 1 000, в основном речь в них идет о правах женщин на работе, увольнении беременных женщин и молодых матерей, вопросах, связанных с занятостью, предприним</w:t>
      </w:r>
      <w:r>
        <w:t>а</w:t>
      </w:r>
      <w:r>
        <w:t>тельством и работе женщин на ключевых должностях. Кроме того, некоторые заявления бывают связаны с вопросами браками и развода, а также с матер</w:t>
      </w:r>
      <w:r>
        <w:t>и</w:t>
      </w:r>
      <w:r>
        <w:t>альными пособиями и финансовыми вопросами.</w:t>
      </w:r>
    </w:p>
    <w:p w:rsidR="00000000" w:rsidRDefault="00000000">
      <w:pPr>
        <w:pStyle w:val="SingleTxt"/>
      </w:pPr>
      <w:r>
        <w:t>57.</w:t>
      </w:r>
      <w:r>
        <w:tab/>
        <w:t>Поскольку в структуре Органа не предусмотрена самостоятельная юрид</w:t>
      </w:r>
      <w:r>
        <w:t>и</w:t>
      </w:r>
      <w:r>
        <w:t>ческая консультация, он направляет лиц, подающих заявления, в соответс</w:t>
      </w:r>
      <w:r>
        <w:t>т</w:t>
      </w:r>
      <w:r>
        <w:t>вующие инстанции, такие, как министерство социального обеспечения, мин</w:t>
      </w:r>
      <w:r>
        <w:t>и</w:t>
      </w:r>
      <w:r>
        <w:t>стерство промышленности и труда, юридические консультации, приюты и т.д.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00" w:lineRule="exact"/>
        <w:ind w:left="792" w:right="1210"/>
      </w:pPr>
      <w:r>
        <w:tab/>
      </w:r>
      <w:r>
        <w:tab/>
        <w:t xml:space="preserve">Комитет кнессета по улучшению положения женщин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pPr>
      <w:r>
        <w:t>58.</w:t>
      </w:r>
      <w:r>
        <w:tab/>
        <w:t>Комитет кнессета по улучшению положения женщин продолжает свою деятельность по улучшению положения женщин. В настоящее время в состав Комитета входят 15 членов, 11 женщин и 6 мужчин, которые представляют различные политические партии.</w:t>
      </w:r>
    </w:p>
    <w:p w:rsidR="00000000" w:rsidRDefault="00000000">
      <w:pPr>
        <w:pStyle w:val="SingleTxt"/>
      </w:pPr>
      <w:r>
        <w:t>59.</w:t>
      </w:r>
      <w:r>
        <w:tab/>
        <w:t>К числу законодательных актов, принятых недавно при поддержке Ком</w:t>
      </w:r>
      <w:r>
        <w:t>и</w:t>
      </w:r>
      <w:r>
        <w:t xml:space="preserve">тета, относятся </w:t>
      </w:r>
      <w:r>
        <w:rPr>
          <w:i/>
        </w:rPr>
        <w:t xml:space="preserve">Закон о спорте </w:t>
      </w:r>
      <w:r>
        <w:t>(</w:t>
      </w:r>
      <w:r>
        <w:rPr>
          <w:i/>
        </w:rPr>
        <w:t>поправка № 5</w:t>
      </w:r>
      <w:r>
        <w:t>) (</w:t>
      </w:r>
      <w:r>
        <w:rPr>
          <w:i/>
        </w:rPr>
        <w:t>Надлежащая представле</w:t>
      </w:r>
      <w:r>
        <w:rPr>
          <w:i/>
        </w:rPr>
        <w:t>н</w:t>
      </w:r>
      <w:r>
        <w:rPr>
          <w:i/>
        </w:rPr>
        <w:t>ность</w:t>
      </w:r>
      <w:r>
        <w:t xml:space="preserve">) 2003 года; </w:t>
      </w:r>
      <w:r>
        <w:rPr>
          <w:i/>
        </w:rPr>
        <w:t>Закон о предупреждении сексуальных домогательств</w:t>
      </w:r>
      <w:r>
        <w:t>, 5758</w:t>
      </w:r>
      <w:r>
        <w:noBreakHyphen/>
        <w:t>1998 ("</w:t>
      </w:r>
      <w:r>
        <w:rPr>
          <w:i/>
        </w:rPr>
        <w:t>Закон о предупреждении сексуальных домогательств</w:t>
      </w:r>
      <w:r>
        <w:t>") (</w:t>
      </w:r>
      <w:r>
        <w:rPr>
          <w:i/>
        </w:rPr>
        <w:t xml:space="preserve">поправка </w:t>
      </w:r>
      <w:r>
        <w:t>2004 года</w:t>
      </w:r>
      <w:r>
        <w:rPr>
          <w:i/>
        </w:rPr>
        <w:t xml:space="preserve"> – Воинская служба; Закон о предупреждении сексуальных домог</w:t>
      </w:r>
      <w:r>
        <w:rPr>
          <w:i/>
        </w:rPr>
        <w:t>а</w:t>
      </w:r>
      <w:r>
        <w:rPr>
          <w:i/>
        </w:rPr>
        <w:t xml:space="preserve">тельств </w:t>
      </w:r>
      <w:r>
        <w:t>(</w:t>
      </w:r>
      <w:r>
        <w:rPr>
          <w:i/>
        </w:rPr>
        <w:t xml:space="preserve">поправка </w:t>
      </w:r>
      <w:r>
        <w:t xml:space="preserve">2004 года – </w:t>
      </w:r>
      <w:r>
        <w:rPr>
          <w:i/>
        </w:rPr>
        <w:t>Использование авторитета преподавателя</w:t>
      </w:r>
      <w:r>
        <w:t xml:space="preserve">) и доработанный в 2003 году </w:t>
      </w:r>
      <w:r>
        <w:rPr>
          <w:i/>
        </w:rPr>
        <w:t xml:space="preserve">Закон о занятости женщин </w:t>
      </w:r>
      <w:r>
        <w:t>(</w:t>
      </w:r>
      <w:r>
        <w:rPr>
          <w:i/>
        </w:rPr>
        <w:t>поправка № 19</w:t>
      </w:r>
      <w:r>
        <w:t>) (</w:t>
      </w:r>
      <w:r>
        <w:rPr>
          <w:i/>
        </w:rPr>
        <w:t>Ра</w:t>
      </w:r>
      <w:r>
        <w:rPr>
          <w:i/>
        </w:rPr>
        <w:t>з</w:t>
      </w:r>
      <w:r>
        <w:rPr>
          <w:i/>
        </w:rPr>
        <w:t>решение на увольнение или сокращение количества рабочих часов</w:t>
      </w:r>
      <w:r>
        <w:t>) 2003 года.</w:t>
      </w:r>
    </w:p>
    <w:p w:rsidR="00000000" w:rsidRDefault="00000000">
      <w:pPr>
        <w:pStyle w:val="SingleTxt"/>
      </w:pPr>
      <w:r>
        <w:t>60.</w:t>
      </w:r>
      <w:r>
        <w:tab/>
        <w:t>С момента представления предыдущего доклада Комитет также принял следующие меры для улу</w:t>
      </w:r>
      <w:r>
        <w:t>ч</w:t>
      </w:r>
      <w:r>
        <w:t>шения положения женщин:</w:t>
      </w:r>
    </w:p>
    <w:p w:rsidR="00000000" w:rsidRDefault="00000000">
      <w:pPr>
        <w:pStyle w:val="SingleTxt"/>
        <w:ind w:left="1742" w:hanging="475"/>
      </w:pPr>
      <w:r>
        <w:t>1)</w:t>
      </w:r>
      <w:r>
        <w:tab/>
        <w:t>приступил к специальным парламентским дебатам, посвященным Ме</w:t>
      </w:r>
      <w:r>
        <w:t>ж</w:t>
      </w:r>
      <w:r>
        <w:t>дународному женскому дню, а также Национальному дню борьбы с нас</w:t>
      </w:r>
      <w:r>
        <w:t>и</w:t>
      </w:r>
      <w:r>
        <w:t>л</w:t>
      </w:r>
      <w:r>
        <w:t>и</w:t>
      </w:r>
      <w:r>
        <w:t>ем в отношении женщин.</w:t>
      </w:r>
    </w:p>
    <w:p w:rsidR="00000000" w:rsidRDefault="00000000">
      <w:pPr>
        <w:pStyle w:val="SingleTxt"/>
        <w:ind w:left="1742" w:hanging="475"/>
      </w:pPr>
      <w:r>
        <w:t>2)</w:t>
      </w:r>
      <w:r>
        <w:tab/>
        <w:t>Проводил регулярные заседания с членами Комиссии по делам гражда</w:t>
      </w:r>
      <w:r>
        <w:t>н</w:t>
      </w:r>
      <w:r>
        <w:t>ских служащих, посвященные искам о сексуальном домогательстве и представленности женщин на гражданской службе.</w:t>
      </w:r>
    </w:p>
    <w:p w:rsidR="00000000" w:rsidRDefault="00000000">
      <w:pPr>
        <w:pStyle w:val="SingleTxt"/>
        <w:ind w:left="1742" w:hanging="475"/>
      </w:pPr>
      <w:r>
        <w:t>3)</w:t>
      </w:r>
      <w:r>
        <w:tab/>
        <w:t>Принимал периодические отчеты от правительственных министерств по вопросам женской представленности и связывался с министерством ф</w:t>
      </w:r>
      <w:r>
        <w:t>и</w:t>
      </w:r>
      <w:r>
        <w:t>нансов для обсуждения равной оплаты труда мужчин и же</w:t>
      </w:r>
      <w:r>
        <w:t>н</w:t>
      </w:r>
      <w:r>
        <w:t>щин.</w:t>
      </w:r>
    </w:p>
    <w:p w:rsidR="00000000" w:rsidRDefault="00000000">
      <w:pPr>
        <w:pStyle w:val="SingleTxt"/>
        <w:ind w:left="1742" w:hanging="475"/>
      </w:pPr>
      <w:r>
        <w:t>4)</w:t>
      </w:r>
      <w:r>
        <w:tab/>
        <w:t>Следил за тем, чтобы женщины были представлены в равной мере, пр</w:t>
      </w:r>
      <w:r>
        <w:t>и</w:t>
      </w:r>
      <w:r>
        <w:t>менялось соответствующее законодательство, в том числе в вопросах, к</w:t>
      </w:r>
      <w:r>
        <w:t>а</w:t>
      </w:r>
      <w:r>
        <w:t>са</w:t>
      </w:r>
      <w:r>
        <w:t>ю</w:t>
      </w:r>
      <w:r>
        <w:t>щихся государственных подрядов.</w:t>
      </w:r>
    </w:p>
    <w:p w:rsidR="00000000" w:rsidRDefault="00000000">
      <w:pPr>
        <w:pStyle w:val="SingleTxt"/>
        <w:ind w:left="1742" w:hanging="475"/>
      </w:pPr>
      <w:r>
        <w:t>5)</w:t>
      </w:r>
      <w:r>
        <w:tab/>
        <w:t>В сотрудничестве с местным бедуинским населением проводил беседы по вопросам, касающимся бедуинок, и посетил место их временной стоя</w:t>
      </w:r>
      <w:r>
        <w:t>н</w:t>
      </w:r>
      <w:r>
        <w:t>ки.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00" w:lineRule="exact"/>
        <w:ind w:left="792" w:right="1210"/>
      </w:pPr>
      <w:r>
        <w:t xml:space="preserve">Действия в рамках гражданской службы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pPr>
      <w:r>
        <w:t>61.</w:t>
      </w:r>
      <w:r>
        <w:tab/>
        <w:t>Департамент по улучшению положения женщин в системе гражданской службы принимал активное участие в различных мероприятиях, направленных на продвижение женщин в системе гражданской службы.</w:t>
      </w:r>
    </w:p>
    <w:p w:rsidR="00000000" w:rsidRDefault="00000000">
      <w:pPr>
        <w:pStyle w:val="SingleTxt"/>
      </w:pPr>
      <w:r>
        <w:t>62.</w:t>
      </w:r>
      <w:r>
        <w:tab/>
        <w:t>Департамент занимается подготовкой и профессиональной ориентацией инспекторов по вопросам положения женщин в правительственных учрежд</w:t>
      </w:r>
      <w:r>
        <w:t>е</w:t>
      </w:r>
      <w:r>
        <w:t>ниях и вспомогательных подразделениях (в настоящее время насчитывается 78 инспекторов), проводит собеседование со всеми новыми инспекторами, на регулярной основе проводит подготовительные курсы (обязательный для пр</w:t>
      </w:r>
      <w:r>
        <w:t>о</w:t>
      </w:r>
      <w:r>
        <w:t>хождения курс продолжительностью в 300 часов), заседания и конференции и следит за обновлением всей актуальной информации и материалов, касающи</w:t>
      </w:r>
      <w:r>
        <w:t>х</w:t>
      </w:r>
      <w:r>
        <w:t>ся положения женщин (так, например, в 2003 году Департамент распространил среди инспекторов 35 циркуляров). Кроме того, все инспектора должны раз в два года представлять Департаменту доклады, которые впоследствии рассма</w:t>
      </w:r>
      <w:r>
        <w:t>т</w:t>
      </w:r>
      <w:r>
        <w:t>риваются и обсуждаются с каждым из инспекторов на проводимом раз в два года совещании.</w:t>
      </w:r>
    </w:p>
    <w:p w:rsidR="00000000" w:rsidRDefault="00000000">
      <w:pPr>
        <w:pStyle w:val="SingleTxt"/>
      </w:pPr>
      <w:r>
        <w:t>63.</w:t>
      </w:r>
      <w:r>
        <w:tab/>
        <w:t>Департамент продолжает принимать от гражданских служащих-женщин жалобы, касающиеся дискриминации, несправедливого обращения или нед</w:t>
      </w:r>
      <w:r>
        <w:t>о</w:t>
      </w:r>
      <w:r>
        <w:t>вольства их положением и условиями работы. Ежегодно поступает более ста таких жалоб по широкому кругу вопросов. В 2003 году Департамент принял 119 жалоб; больше половины из них были связаны с обвинением в сексуальном домогательстве.</w:t>
      </w:r>
    </w:p>
    <w:p w:rsidR="00000000" w:rsidRDefault="00000000">
      <w:pPr>
        <w:pStyle w:val="SingleTxt"/>
      </w:pPr>
      <w:r>
        <w:t>64.</w:t>
      </w:r>
      <w:r>
        <w:tab/>
        <w:t xml:space="preserve">Департамент придает особое значение выполнению </w:t>
      </w:r>
      <w:r>
        <w:rPr>
          <w:i/>
        </w:rPr>
        <w:t>Закона о  предупре</w:t>
      </w:r>
      <w:r>
        <w:rPr>
          <w:i/>
        </w:rPr>
        <w:t>ж</w:t>
      </w:r>
      <w:r>
        <w:rPr>
          <w:i/>
        </w:rPr>
        <w:t>дении сексуальных домогательств</w:t>
      </w:r>
      <w:r>
        <w:t xml:space="preserve"> в системе гражданской службы и в этих ц</w:t>
      </w:r>
      <w:r>
        <w:t>е</w:t>
      </w:r>
      <w:r>
        <w:t>лях проводит обучение инспекторов по вопросам положения женщин в прав</w:t>
      </w:r>
      <w:r>
        <w:t>и</w:t>
      </w:r>
      <w:r>
        <w:t>тельственных министерствах, организует семинары и конференции, ведет де</w:t>
      </w:r>
      <w:r>
        <w:t>я</w:t>
      </w:r>
      <w:r>
        <w:t>тельность на основе закона и следит за его выполнением в министерствах и вспомогательных учреждениях, устанавливает четкие процедуры для рассмо</w:t>
      </w:r>
      <w:r>
        <w:t>т</w:t>
      </w:r>
      <w:r>
        <w:t>рения жалоб о сексуальном домогательстве и регулярно представляет кнессету доклады о случаях сексуального домогательства на гражданской службе.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00" w:lineRule="exact"/>
        <w:ind w:left="792" w:right="1210"/>
      </w:pPr>
      <w:r>
        <w:rPr>
          <w:b w:val="0"/>
        </w:rPr>
        <w:tab/>
      </w:r>
      <w:r>
        <w:rPr>
          <w:b w:val="0"/>
        </w:rPr>
        <w:tab/>
      </w:r>
      <w:r>
        <w:t>Меры, принимаемые на муниципальном уровне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pPr>
      <w:r>
        <w:t>65.</w:t>
      </w:r>
      <w:r>
        <w:tab/>
        <w:t>В соответствии с Законом о местных советах (Советник по вопросам п</w:t>
      </w:r>
      <w:r>
        <w:t>о</w:t>
      </w:r>
      <w:r>
        <w:t>ложения женщин) 5760-2000 ("Законом о местных советах ("Советник по в</w:t>
      </w:r>
      <w:r>
        <w:t>о</w:t>
      </w:r>
      <w:r>
        <w:t>просам положения женщин")") по состоянию на январь 2005 года в городских советах и местных муниципалитетах насчитывалось 68 и 43 советника соо</w:t>
      </w:r>
      <w:r>
        <w:t>т</w:t>
      </w:r>
      <w:r>
        <w:t>ветственно. 38 из них состояли на службе в местных арабских муниципалит</w:t>
      </w:r>
      <w:r>
        <w:t>е</w:t>
      </w:r>
      <w:r>
        <w:t>тах. Работой этих советников непосредственно руководит Орган по улучшению положения женщин, он представляет им обновленную информацию, распр</w:t>
      </w:r>
      <w:r>
        <w:t>о</w:t>
      </w:r>
      <w:r>
        <w:t>страняет материалы и статистику, связанную с этим вопросом, проводит ко</w:t>
      </w:r>
      <w:r>
        <w:t>н</w:t>
      </w:r>
      <w:r>
        <w:t>фере</w:t>
      </w:r>
      <w:r>
        <w:t>н</w:t>
      </w:r>
      <w:r>
        <w:t>ции и курсы ориентации, а также учебные курсы.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Ch"/>
        <w:ind w:left="778" w:right="1267"/>
        <w:rPr>
          <w:sz w:val="10"/>
        </w:rPr>
      </w:pPr>
      <w:r>
        <w:t>Статья 3. Развитие и прогресс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66.</w:t>
      </w:r>
      <w:r>
        <w:tab/>
        <w:t>Израиль принял целый ряд мер в политической, социальной, экономич</w:t>
      </w:r>
      <w:r>
        <w:t>е</w:t>
      </w:r>
      <w:r>
        <w:t>ской и культурной областях, для обеспечения всестороннего развития и пр</w:t>
      </w:r>
      <w:r>
        <w:t>о</w:t>
      </w:r>
      <w:r>
        <w:t>гресса женщин. Меры, принятые Израилем, включали совершенствование з</w:t>
      </w:r>
      <w:r>
        <w:t>а</w:t>
      </w:r>
      <w:r>
        <w:t>конодательства, проводившиеся государством и частными лицами кампании по повышению общественной осведомленности, а также социальные изменения. Эти меры, подробно рассмотренные в докладе, призваны более надежно защ</w:t>
      </w:r>
      <w:r>
        <w:t>и</w:t>
      </w:r>
      <w:r>
        <w:t>тить права женщин и еще более укрепить роль женщин в израильском общес</w:t>
      </w:r>
      <w:r>
        <w:t>т</w:t>
      </w:r>
      <w:r>
        <w:t>ве.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r>
        <w:br w:type="page"/>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00" w:lineRule="exact"/>
        <w:ind w:left="792" w:right="1210"/>
      </w:pPr>
      <w:r>
        <w:tab/>
        <w:t>Эффективные национальные механизмы и пропаганда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pPr>
      <w:r>
        <w:t>67.</w:t>
      </w:r>
      <w:r>
        <w:tab/>
        <w:t>Была переведена на иврит и опубликована в официальном издании "Ки</w:t>
      </w:r>
      <w:r>
        <w:t>т</w:t>
      </w:r>
      <w:r>
        <w:t>вей Амана" Конвенция. Помимо этого, на веб-сайте Министерства юстиции был размещен предыдущий доклад Израиля, направле</w:t>
      </w:r>
      <w:r>
        <w:t>н</w:t>
      </w:r>
      <w:r>
        <w:t>ный Комитету.</w:t>
      </w:r>
    </w:p>
    <w:p w:rsidR="00000000" w:rsidRDefault="00000000">
      <w:pPr>
        <w:pStyle w:val="SingleTxt"/>
      </w:pPr>
      <w:r>
        <w:t>68.</w:t>
      </w:r>
      <w:r>
        <w:tab/>
        <w:t>В различных правительственных министерствах проводились семинары и конференции, где обсуждалось положение женщин в Израиле и выполнение Конвенции в сфере компетенции каждого из данных министерств. В качестве примеров таких мероприятий можно привести конференции "Гендерные пр</w:t>
      </w:r>
      <w:r>
        <w:t>о</w:t>
      </w:r>
      <w:r>
        <w:t>блемы, общество и закон" и "Торговля женщинами", проводившиеся Мин</w:t>
      </w:r>
      <w:r>
        <w:t>и</w:t>
      </w:r>
      <w:r>
        <w:t>стерством юстиции, а также конференцию "Женщины в составе рабочей силы: вызовы и возможности", организованную Министерством промышленности, торговли и труда.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00" w:lineRule="exact"/>
        <w:ind w:left="792" w:right="1210"/>
      </w:pPr>
      <w:r>
        <w:t>Женщины-инвалиды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rPr>
          <w:b/>
        </w:rPr>
      </w:pPr>
      <w:r>
        <w:rPr>
          <w:b/>
        </w:rPr>
        <w:t>Общие сведения и правовая основа</w:t>
      </w:r>
    </w:p>
    <w:p w:rsidR="00000000" w:rsidRDefault="00000000">
      <w:pPr>
        <w:pStyle w:val="SingleTxt"/>
      </w:pPr>
      <w:r>
        <w:t>69.</w:t>
      </w:r>
      <w:r>
        <w:tab/>
        <w:t>По подсчетам Комиссии по вопросам равных прав инвалидов, образова</w:t>
      </w:r>
      <w:r>
        <w:t>н</w:t>
      </w:r>
      <w:r>
        <w:t>ной в рамках Министерства юстиции, инвалиды составляют около 10% насел</w:t>
      </w:r>
      <w:r>
        <w:t>е</w:t>
      </w:r>
      <w:r>
        <w:t>ния Израиля, и примерно половина из них — женщины. По данным Комиссии, женщины-инвалиды страдают от двойной дискриминации.</w:t>
      </w:r>
    </w:p>
    <w:p w:rsidR="00000000" w:rsidRDefault="00000000">
      <w:pPr>
        <w:pStyle w:val="SingleTxt"/>
      </w:pPr>
      <w:r>
        <w:t>70.</w:t>
      </w:r>
      <w:r>
        <w:tab/>
        <w:t xml:space="preserve">22 марта 2005 года кнессет одобрил поправку №2 к </w:t>
      </w:r>
      <w:r>
        <w:rPr>
          <w:i/>
        </w:rPr>
        <w:t>Закону №5758-1998 о равных правах инвалидов (Закон о равных правах инвалидов)</w:t>
      </w:r>
      <w:r>
        <w:t>. Данная поправка к закону обязывает государство делать новые здания и объекты инфраструкт</w:t>
      </w:r>
      <w:r>
        <w:t>у</w:t>
      </w:r>
      <w:r>
        <w:t>ры доступными для инвалидов. Закон также требует, чтобы оказываемыми всем бытовыми услугами, могли воспользоваться и инвалиды. Общественные здания, торговые центры, общественные учреждения, школы, клиники, высшие образовательные заведения, центры занятости должны быть доступны для и</w:t>
      </w:r>
      <w:r>
        <w:t>н</w:t>
      </w:r>
      <w:r>
        <w:t>валидов. В соответствии с положениями закона, в местах общественного пол</w:t>
      </w:r>
      <w:r>
        <w:t>ь</w:t>
      </w:r>
      <w:r>
        <w:t>зования, находящихся в частной собственности, он должен быть выполнен в шестилетний срок, а государственными общественными заведениями — в дв</w:t>
      </w:r>
      <w:r>
        <w:t>е</w:t>
      </w:r>
      <w:r>
        <w:t xml:space="preserve">надцатилетний срок. </w:t>
      </w:r>
    </w:p>
    <w:p w:rsidR="00000000" w:rsidRDefault="00000000">
      <w:pPr>
        <w:pStyle w:val="SingleTxt"/>
      </w:pPr>
      <w:r>
        <w:t>71.</w:t>
      </w:r>
      <w:r>
        <w:tab/>
        <w:t>С момента представления последнего доклада было принято еще нескол</w:t>
      </w:r>
      <w:r>
        <w:t>ь</w:t>
      </w:r>
      <w:r>
        <w:t>ко нормативных актов, призванных еще больше защитить право инвалидов на равенство и человеческое достоинство.</w:t>
      </w:r>
    </w:p>
    <w:p w:rsidR="00000000" w:rsidRDefault="00000000">
      <w:pPr>
        <w:pStyle w:val="SingleTxt"/>
      </w:pPr>
      <w:r>
        <w:t>72.</w:t>
      </w:r>
      <w:r>
        <w:tab/>
        <w:t xml:space="preserve">Среди этих нормативных актов можно назвать </w:t>
      </w:r>
      <w:r>
        <w:rPr>
          <w:i/>
        </w:rPr>
        <w:t>Положения о равных пр</w:t>
      </w:r>
      <w:r>
        <w:rPr>
          <w:i/>
        </w:rPr>
        <w:t>а</w:t>
      </w:r>
      <w:r>
        <w:rPr>
          <w:i/>
        </w:rPr>
        <w:t>вах инвалидов (Преимущество при получении мест на стоянке на рабочем месте), 5762-2001 (Положения о равных правах инвалидов (Преимущество при получении мест на стоянке на рабочем месте)); Положения о минимальном размере оплаты труда (Расчет оплаты труда для сотрудников-инвалидов с пониженной трудоспособностью) 5762-2002 (Положения о минимальном ра</w:t>
      </w:r>
      <w:r>
        <w:rPr>
          <w:i/>
        </w:rPr>
        <w:t>з</w:t>
      </w:r>
      <w:r>
        <w:rPr>
          <w:i/>
        </w:rPr>
        <w:t>мере оплаты труда (Расчет оплаты труда для сотрудников-инвалидов с п</w:t>
      </w:r>
      <w:r>
        <w:rPr>
          <w:i/>
        </w:rPr>
        <w:t>о</w:t>
      </w:r>
      <w:r>
        <w:rPr>
          <w:i/>
        </w:rPr>
        <w:t>ниженной трудоспособностью)); Положения о равных правах инвалидов (Обеспечение доступа к услугам общественного транспорта) 5763-2003 (П</w:t>
      </w:r>
      <w:r>
        <w:rPr>
          <w:i/>
        </w:rPr>
        <w:t>о</w:t>
      </w:r>
      <w:r>
        <w:rPr>
          <w:i/>
        </w:rPr>
        <w:t>ложения о равных правах инвалидов (Обеспечение доступа к услугам общес</w:t>
      </w:r>
      <w:r>
        <w:rPr>
          <w:i/>
        </w:rPr>
        <w:t>т</w:t>
      </w:r>
      <w:r>
        <w:rPr>
          <w:i/>
        </w:rPr>
        <w:t>венного транспорта))</w:t>
      </w:r>
      <w:r>
        <w:t>.</w:t>
      </w:r>
    </w:p>
    <w:p w:rsidR="00000000" w:rsidRDefault="00000000">
      <w:pPr>
        <w:pStyle w:val="SingleTxt"/>
        <w:rPr>
          <w:b/>
        </w:rPr>
      </w:pPr>
      <w:r>
        <w:rPr>
          <w:b/>
        </w:rPr>
        <w:t>Общая экономическая ситуация и положение отдельных граждан</w:t>
      </w:r>
    </w:p>
    <w:p w:rsidR="00000000" w:rsidRDefault="00000000">
      <w:pPr>
        <w:pStyle w:val="SingleTxt"/>
      </w:pPr>
      <w:r>
        <w:t>73.</w:t>
      </w:r>
      <w:r>
        <w:tab/>
        <w:t>Информация об инвалидах складывается из данных о различных льготах, предоставляющихся шести основным категориям инвалидов. На категории они были разделены в зависимости от источника и типа оказываемой помощи: о</w:t>
      </w:r>
      <w:r>
        <w:t>б</w:t>
      </w:r>
      <w:r>
        <w:t>щие пенсии по инвалидности из фондов социального обеспечения, пенсии по инвалидности по месту работы, пенсии по инвалидности ИСО (израильские силы обороны), пенсии по инвалидности, полученной в результате действий противника, пенсии по инвалидности жертвам Холокоста и участникам борьбы с фашизмом, пенсии для детей-инвалидов. Почти во всех категориях в числе</w:t>
      </w:r>
      <w:r>
        <w:t>н</w:t>
      </w:r>
      <w:r>
        <w:t>ном отношении преобладают мужчины, незначительная разница в пользу же</w:t>
      </w:r>
      <w:r>
        <w:t>н</w:t>
      </w:r>
      <w:r>
        <w:t>щин отмечается только среди получающих пенсии по инвалидности, получе</w:t>
      </w:r>
      <w:r>
        <w:t>н</w:t>
      </w:r>
      <w:r>
        <w:t>ной в ходе действий противника, пенсии жертвам Холокоста и участникам борьбы с фашизмом. Особенно высока доля мужчин среди получателей пенсии по инвалидности ИСО и пенсии по инвалидности по месту работы. Среди этих групп женщины составляют соответс</w:t>
      </w:r>
      <w:r>
        <w:t>т</w:t>
      </w:r>
      <w:r>
        <w:t>венно 5 и 9,8 процентов.</w:t>
      </w:r>
    </w:p>
    <w:p w:rsidR="00000000" w:rsidRDefault="00000000">
      <w:pPr>
        <w:pStyle w:val="SingleTxt"/>
      </w:pPr>
      <w:r>
        <w:t>74.</w:t>
      </w:r>
      <w:r>
        <w:tab/>
        <w:t>Женщины составляют чуть менее половины (42 процента) получателей общей пенсии по инвалидности из фондов социального обеспечения, что об</w:t>
      </w:r>
      <w:r>
        <w:t>ъ</w:t>
      </w:r>
      <w:r>
        <w:t>ясняется преимущественно более высоким критериям инвалидности, устано</w:t>
      </w:r>
      <w:r>
        <w:t>в</w:t>
      </w:r>
      <w:r>
        <w:t>ленных для женщин-домохозяек. Для того, чтобы получить право на пенсию, женщ</w:t>
      </w:r>
      <w:r>
        <w:t>и</w:t>
      </w:r>
      <w:r>
        <w:t>ны-домохозяйки по-прежнему должны представить свидетельство о 50-процентной потере трудоспособности (в отличие от всех остальных случаев, когда требуется только свидетельство о 40-процентной потере). Для определ</w:t>
      </w:r>
      <w:r>
        <w:t>е</w:t>
      </w:r>
      <w:r>
        <w:t>ния их права на пенсию проверяется их способность выполнять работу по д</w:t>
      </w:r>
      <w:r>
        <w:t>о</w:t>
      </w:r>
      <w:r>
        <w:t>му, им не выплачивается надбавка на безработного супруга —только пособие на детей.</w:t>
      </w:r>
    </w:p>
    <w:p w:rsidR="00000000" w:rsidRDefault="00000000">
      <w:pPr>
        <w:pStyle w:val="SingleTxt"/>
        <w:rPr>
          <w:b/>
        </w:rPr>
      </w:pPr>
      <w:r>
        <w:rPr>
          <w:b/>
        </w:rPr>
        <w:t>Особые проблемы женщин-инвалидов, связанные с охраной здоровья</w:t>
      </w:r>
    </w:p>
    <w:p w:rsidR="00000000" w:rsidRDefault="00000000">
      <w:pPr>
        <w:pStyle w:val="SingleTxt"/>
      </w:pPr>
      <w:r>
        <w:t>75.</w:t>
      </w:r>
      <w:r>
        <w:tab/>
        <w:t>В ходе общенационального исследования было выявлено, что не все кл</w:t>
      </w:r>
      <w:r>
        <w:t>и</w:t>
      </w:r>
      <w:r>
        <w:t>ники в полной мере доступны для инвалидов (95,4 процента). Кроме того, в</w:t>
      </w:r>
      <w:r>
        <w:t>ы</w:t>
      </w:r>
      <w:r>
        <w:t>борочная проверка гинекологических клиник показала, что ни одна из 24 отобранных клиник не была приспособлена для удовлетворения всех осно</w:t>
      </w:r>
      <w:r>
        <w:t>в</w:t>
      </w:r>
      <w:r>
        <w:t>ных потребностей женщин-инвалидов, и только 6 из этих клиник отвечали большей части требований, связанных с потребностями женщин-инвалидов.</w:t>
      </w:r>
    </w:p>
    <w:p w:rsidR="00000000" w:rsidRDefault="00000000">
      <w:pPr>
        <w:pStyle w:val="SingleTxt"/>
        <w:rPr>
          <w:b/>
        </w:rPr>
      </w:pPr>
      <w:r>
        <w:rPr>
          <w:b/>
        </w:rPr>
        <w:t>Занятость</w:t>
      </w:r>
    </w:p>
    <w:p w:rsidR="00000000" w:rsidRDefault="00000000">
      <w:pPr>
        <w:pStyle w:val="SingleTxt"/>
      </w:pPr>
      <w:r>
        <w:t>76.</w:t>
      </w:r>
      <w:r>
        <w:tab/>
        <w:t>Большая часть лиц с тяжелыми формами инвалидности — безработные, а большинство из них постоянной работы не имело никогда. Доля безработных составляет более 70 процентов среди людей с тяжелыми формами инвалидн</w:t>
      </w:r>
      <w:r>
        <w:t>о</w:t>
      </w:r>
      <w:r>
        <w:t>сти, лиц, страдающих серьезными физическими недостатками, психическими заболеваниями или умственной отсталостью, а также приблизительно 72 процента — среди слепых и 20 процентов — среди глухих. Если говорить о доле занятых, то доля мужчин от числа занятых превышает долю женщин (20 и 12 процентов соответственно), причем 42 процента мужчин работают полный рабочий день, в то время как аналогичный показатель у женщин составляет только 33 процента.</w:t>
      </w:r>
    </w:p>
    <w:p w:rsidR="00000000" w:rsidRDefault="00000000">
      <w:pPr>
        <w:pStyle w:val="SingleTxt"/>
        <w:spacing w:line="240" w:lineRule="auto"/>
        <w:rPr>
          <w:sz w:val="10"/>
        </w:rPr>
      </w:pPr>
      <w:r>
        <w:br w:type="page"/>
      </w:r>
    </w:p>
    <w:p w:rsidR="00000000" w:rsidRDefault="00000000">
      <w:pPr>
        <w:pStyle w:val="HCh"/>
        <w:ind w:left="2070" w:right="1267" w:hanging="1292"/>
        <w:rPr>
          <w:b w:val="0"/>
        </w:rPr>
      </w:pPr>
      <w:r>
        <w:t>Статья 4.</w:t>
      </w:r>
      <w:r>
        <w:tab/>
        <w:t>Ускорение установления равенства между мужчинами и же</w:t>
      </w:r>
      <w:r>
        <w:t>н</w:t>
      </w:r>
      <w:r>
        <w:t>щинами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00" w:lineRule="exact"/>
        <w:ind w:left="792" w:right="1210"/>
      </w:pPr>
      <w:r>
        <w:t>Конструктивные меры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rPr>
          <w:b/>
        </w:rPr>
      </w:pPr>
      <w:r>
        <w:rPr>
          <w:b/>
        </w:rPr>
        <w:t>Конструктивные меры в государственных учреждениях</w:t>
      </w:r>
    </w:p>
    <w:p w:rsidR="00000000" w:rsidRDefault="00000000">
      <w:pPr>
        <w:pStyle w:val="SingleTxt"/>
      </w:pPr>
      <w:r>
        <w:t>77.</w:t>
      </w:r>
      <w:r>
        <w:tab/>
        <w:t xml:space="preserve">Как уже отмечалось ранее, одним из последних важных достижений стало принятие в 2002 году поправки к </w:t>
      </w:r>
      <w:r>
        <w:rPr>
          <w:i/>
        </w:rPr>
        <w:t>Закону об открытых торгах</w:t>
      </w:r>
      <w:r>
        <w:t>, добавившей раздел 2В, призванный поощрять женщин-предпринимателей. В соответствии с этим разделом, при проведении открытых торгов предприятиям, управля</w:t>
      </w:r>
      <w:r>
        <w:t>ю</w:t>
      </w:r>
      <w:r>
        <w:t>щимся женщинами (то есть предприятиям, управляющимся женщинами, вл</w:t>
      </w:r>
      <w:r>
        <w:t>а</w:t>
      </w:r>
      <w:r>
        <w:t>деющими 50 или более процентами средств контроля единолично или совмес</w:t>
      </w:r>
      <w:r>
        <w:t>т</w:t>
      </w:r>
      <w:r>
        <w:t>но с другими женщинами, что дает им право регулировать деятельность этого предприятия), должно отдаваться предпочтение перед предприятиями, упра</w:t>
      </w:r>
      <w:r>
        <w:t>в</w:t>
      </w:r>
      <w:r>
        <w:t>ляющимися не женщинами, при получении равного балла и соблюдении опр</w:t>
      </w:r>
      <w:r>
        <w:t>е</w:t>
      </w:r>
      <w:r>
        <w:t>деленных условий.</w:t>
      </w:r>
    </w:p>
    <w:p w:rsidR="00000000" w:rsidRDefault="00000000">
      <w:pPr>
        <w:pStyle w:val="SingleTxt"/>
      </w:pPr>
      <w:r>
        <w:t>78.</w:t>
      </w:r>
      <w:r>
        <w:tab/>
        <w:t>Уполномоченный по делам гражданской службы сделал дополнение к объявлениям о тендерах, предусматривающее конструктивные меры в интер</w:t>
      </w:r>
      <w:r>
        <w:t>е</w:t>
      </w:r>
      <w:r>
        <w:t>сах женщин.</w:t>
      </w:r>
    </w:p>
    <w:p w:rsidR="00000000" w:rsidRDefault="00000000">
      <w:pPr>
        <w:pStyle w:val="SingleTxt"/>
        <w:rPr>
          <w:b/>
        </w:rPr>
      </w:pPr>
      <w:r>
        <w:rPr>
          <w:b/>
        </w:rPr>
        <w:t>Конструктивные меры в системе гражданской службы</w:t>
      </w:r>
    </w:p>
    <w:p w:rsidR="00000000" w:rsidRDefault="00000000">
      <w:pPr>
        <w:pStyle w:val="SingleTxt"/>
      </w:pPr>
      <w:r>
        <w:t>79.</w:t>
      </w:r>
      <w:r>
        <w:tab/>
        <w:t xml:space="preserve">Поправка 2001 года в раздел 15А </w:t>
      </w:r>
      <w:r>
        <w:rPr>
          <w:i/>
        </w:rPr>
        <w:t>Закона о гражданской службе (назнач</w:t>
      </w:r>
      <w:r>
        <w:rPr>
          <w:i/>
        </w:rPr>
        <w:t>е</w:t>
      </w:r>
      <w:r>
        <w:rPr>
          <w:i/>
        </w:rPr>
        <w:t>ния)</w:t>
      </w:r>
      <w:r>
        <w:t>, которая подробно рассматривалась в нашем предыдущем докладе, позв</w:t>
      </w:r>
      <w:r>
        <w:t>о</w:t>
      </w:r>
      <w:r>
        <w:t>лила повысить число женщин, занимающих должности самого высокого ранга на гражданской службе, более подробная информация о чем будет приведена ниже, однако ситуация в этой области все еще требует улучшения.</w:t>
      </w:r>
    </w:p>
    <w:p w:rsidR="00000000" w:rsidRDefault="00000000">
      <w:pPr>
        <w:pStyle w:val="SingleTxt"/>
        <w:rPr>
          <w:b/>
        </w:rPr>
      </w:pPr>
      <w:r>
        <w:rPr>
          <w:b/>
        </w:rPr>
        <w:t>Конструктивные меры в правительственных корпорациях</w:t>
      </w:r>
    </w:p>
    <w:p w:rsidR="00000000" w:rsidRDefault="00000000">
      <w:pPr>
        <w:pStyle w:val="SingleTxt"/>
      </w:pPr>
      <w:r>
        <w:t>80.</w:t>
      </w:r>
      <w:r>
        <w:tab/>
        <w:t>По последним данным, предоставленным Органом по правительственным корпорациям, по состоянию на январь 2005 года, женщины составляли 37 процентов директоров всех правительственных корпораций. Более трети всех назначенных с момента представления нашего предыдущего доклада д</w:t>
      </w:r>
      <w:r>
        <w:t>и</w:t>
      </w:r>
      <w:r>
        <w:t>ректоров были женщинами (203 женщины из 558 назначенных директоров). На данный момент 5 женщин (11,36 процента) возглавляют советы директоров (4 женщины назначены на эти посты с момента представления нашего пред</w:t>
      </w:r>
      <w:r>
        <w:t>ы</w:t>
      </w:r>
      <w:r>
        <w:t>дущего отчета), а 9 женщин (11,84 процента) являются генеральными директ</w:t>
      </w:r>
      <w:r>
        <w:t>о</w:t>
      </w:r>
      <w:r>
        <w:t>р</w:t>
      </w:r>
      <w:r>
        <w:t>а</w:t>
      </w:r>
      <w:r>
        <w:t>ми правительственных корпораций.</w:t>
      </w:r>
    </w:p>
    <w:p w:rsidR="00000000" w:rsidRDefault="00000000">
      <w:pPr>
        <w:pStyle w:val="SingleTxt"/>
        <w:rPr>
          <w:b/>
        </w:rPr>
      </w:pPr>
      <w:r>
        <w:rPr>
          <w:b/>
        </w:rPr>
        <w:t>Конструктивные меры в государственных корпорациях</w:t>
      </w:r>
    </w:p>
    <w:p w:rsidR="00000000" w:rsidRDefault="00000000">
      <w:pPr>
        <w:pStyle w:val="SingleTxt"/>
      </w:pPr>
      <w:r>
        <w:t>81.</w:t>
      </w:r>
      <w:r>
        <w:tab/>
        <w:t>Несмотря на все эти достижения, по сравнению с мужчинами, женщины все еще недостаточно представлены на уровне управляющих в советах дире</w:t>
      </w:r>
      <w:r>
        <w:t>к</w:t>
      </w:r>
      <w:r>
        <w:t>торов государственных корпораций. В 2002 году доля женщин, занимающих посты директоров составляла примерно 26 процентов от общего числа дире</w:t>
      </w:r>
      <w:r>
        <w:t>к</w:t>
      </w:r>
      <w:r>
        <w:t>торов.</w:t>
      </w:r>
    </w:p>
    <w:p w:rsidR="00000000" w:rsidRDefault="00000000">
      <w:pPr>
        <w:pStyle w:val="SingleTxt"/>
        <w:rPr>
          <w:b/>
        </w:rPr>
      </w:pPr>
      <w:r>
        <w:rPr>
          <w:b/>
        </w:rPr>
        <w:t>Конструктивные меры в других областях</w:t>
      </w:r>
    </w:p>
    <w:p w:rsidR="00000000" w:rsidRDefault="00000000">
      <w:pPr>
        <w:pStyle w:val="SingleTxt"/>
      </w:pPr>
      <w:r>
        <w:t>82.</w:t>
      </w:r>
      <w:r>
        <w:tab/>
        <w:t>Как уже упоминалось в нашем предыдущем отчете, как Решениями Ве</w:t>
      </w:r>
      <w:r>
        <w:t>р</w:t>
      </w:r>
      <w:r>
        <w:t>ховного суда (</w:t>
      </w:r>
      <w:r>
        <w:rPr>
          <w:i/>
        </w:rPr>
        <w:t>№6845/00 по делу Эйтаны Нив, и 5325/01 по делу Ассоциации за Продвижение женщин в баскетболе</w:t>
      </w:r>
      <w:r>
        <w:t> — более подробно см. главу 1 выше и гл</w:t>
      </w:r>
      <w:r>
        <w:t>а</w:t>
      </w:r>
      <w:r>
        <w:t>ву 10 ниже), так и действующим законодательством устанавливается всеобъе</w:t>
      </w:r>
      <w:r>
        <w:t>м</w:t>
      </w:r>
      <w:r>
        <w:t>лющий базовый принцип законности конструктивных мер как неотъемлемой части принципа равенства. В них также содержится требование того, чтобы в соответствии с принципом равенства женщины были соответствующим обр</w:t>
      </w:r>
      <w:r>
        <w:t>а</w:t>
      </w:r>
      <w:r>
        <w:t>зом представлены в государственных органах.</w:t>
      </w:r>
    </w:p>
    <w:p w:rsidR="00000000" w:rsidRDefault="00000000">
      <w:pPr>
        <w:pStyle w:val="SingleTxt"/>
      </w:pPr>
      <w:r>
        <w:t>83.</w:t>
      </w:r>
      <w:r>
        <w:tab/>
        <w:t>Двумя другими примерами такого законодательства служат Закон о пл</w:t>
      </w:r>
      <w:r>
        <w:t>а</w:t>
      </w:r>
      <w:r>
        <w:t>нировании и строительстве со внесенными в него поправками, требующими участия представителя женских организаций в Национальном совете по план</w:t>
      </w:r>
      <w:r>
        <w:t>и</w:t>
      </w:r>
      <w:r>
        <w:t>рованию и строительству, и раздел 2В Закона об открытых торгах, который б</w:t>
      </w:r>
      <w:r>
        <w:t>о</w:t>
      </w:r>
      <w:r>
        <w:t>лее по</w:t>
      </w:r>
      <w:r>
        <w:t>д</w:t>
      </w:r>
      <w:r>
        <w:t>робно освещался в статье 1 выше.</w:t>
      </w: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00" w:lineRule="exact"/>
        <w:ind w:left="792" w:right="1210"/>
        <w:rPr>
          <w:b w:val="0"/>
        </w:rPr>
      </w:pPr>
      <w:r>
        <w:t>Специальные меры, направленные на охрану материнства</w:t>
      </w:r>
    </w:p>
    <w:p w:rsidR="00000000" w:rsidRDefault="00000000">
      <w:pPr>
        <w:pStyle w:val="SingleTxt"/>
      </w:pPr>
      <w:r>
        <w:t>84.</w:t>
      </w:r>
      <w:r>
        <w:tab/>
        <w:t>Более подробный обзор по данной теме приведен в разделах, касающихся гл</w:t>
      </w:r>
      <w:r>
        <w:t>а</w:t>
      </w:r>
      <w:r>
        <w:t>в 11 и 13, ниже.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Ch"/>
        <w:ind w:left="2070" w:right="1267" w:hanging="1292"/>
        <w:rPr>
          <w:b w:val="0"/>
        </w:rPr>
      </w:pPr>
      <w:r>
        <w:t>Статья 5. Роль мужчин и женщин и ее стереотипное изображение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pPr>
      <w:r>
        <w:t>85.</w:t>
      </w:r>
      <w:r>
        <w:tab/>
        <w:t>В данной главе рассматриваются различные вопросы, связанные с ролью женщин и ее стереотипным изображением. Первая часть посвящается вопросу о месте женщин в израильских средствах массовой информации, в том числе проблеме порнографии, и последним достижениям в этой области. Во второй части приводится новая информация по вопросу женщин и религии, а в п</w:t>
      </w:r>
      <w:r>
        <w:t>о</w:t>
      </w:r>
      <w:r>
        <w:t>следней части рассматривается проблема насилия в отношении женщин и пр</w:t>
      </w:r>
      <w:r>
        <w:t>и</w:t>
      </w:r>
      <w:r>
        <w:t>нимаемых мер по борьбе с ним.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00" w:lineRule="exact"/>
        <w:ind w:left="792" w:right="1210"/>
      </w:pPr>
      <w:r>
        <w:t>Женщины и средства массовой информации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pPr>
      <w:r>
        <w:t>86.</w:t>
      </w:r>
      <w:r>
        <w:tab/>
        <w:t>В Управлении радиовещания Израиля (УРИ), которое регулирует госуда</w:t>
      </w:r>
      <w:r>
        <w:t>р</w:t>
      </w:r>
      <w:r>
        <w:t>ственное радиовещание, одним из членов Руководящего комитета, состоящего из восьми человек, а также заместителем председателя этого Совета является женщина. В УРИ женщины составляют 40 процентов от 20  членов Совета и не менее 41 процента от общего числа сотрудников. По последним данным, пол</w:t>
      </w:r>
      <w:r>
        <w:t>у</w:t>
      </w:r>
      <w:r>
        <w:t xml:space="preserve">ченным в 2004 году, в УРИ отмечается прогресс в назначении женщин на должности высокого ранга: 14 женщин занимает должности высокого ранга на еврейском телевидении и 7 — на арабском и еврейском радио, кроме того, 11 женщин назначены на должности высокого ранга в руководстве УРИ. </w:t>
      </w:r>
    </w:p>
    <w:p w:rsidR="00000000" w:rsidRDefault="00000000">
      <w:pPr>
        <w:pStyle w:val="SingleTxt"/>
      </w:pPr>
      <w:r>
        <w:t>87.</w:t>
      </w:r>
      <w:r>
        <w:tab/>
        <w:t>В Совете Второго управления, имеющем самые высокие телерейтинги в Израиле и отвечающем за вопросы политики, 30 процентов членов (3 из 10 человек) составляют женщины. В штате самого Второго управления же</w:t>
      </w:r>
      <w:r>
        <w:t>н</w:t>
      </w:r>
      <w:r>
        <w:t>щины занимают 66,6 процента (4 из 6) должностей высокого ранга. На ради</w:t>
      </w:r>
      <w:r>
        <w:t>о</w:t>
      </w:r>
      <w:r>
        <w:t>станциях и телевизионных каналах Управления также отмечается более выс</w:t>
      </w:r>
      <w:r>
        <w:t>о</w:t>
      </w:r>
      <w:r>
        <w:t>кий процент женщин, работающих на руководящих должностях, а также же</w:t>
      </w:r>
      <w:r>
        <w:t>н</w:t>
      </w:r>
      <w:r>
        <w:t>щин-журналистов по сравнению с УРИ: Новости Второго канала — 47,5 процентов женщин от общего числа сотрудников, 50 процентов женщин среди журнал</w:t>
      </w:r>
      <w:r>
        <w:t>и</w:t>
      </w:r>
      <w:r>
        <w:t>стов.</w:t>
      </w:r>
    </w:p>
    <w:p w:rsidR="00000000" w:rsidRDefault="00000000">
      <w:pPr>
        <w:pStyle w:val="SingleTxt"/>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00" w:lineRule="exact"/>
        <w:ind w:left="792" w:right="1210"/>
      </w:pPr>
      <w:r>
        <w:t>Порнография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pPr>
      <w:r>
        <w:t>88.</w:t>
      </w:r>
      <w:r>
        <w:tab/>
        <w:t xml:space="preserve">После вступления в силу поправок к </w:t>
      </w:r>
      <w:r>
        <w:rPr>
          <w:i/>
        </w:rPr>
        <w:t>Уголовному закону 5737-1911 (Уг</w:t>
      </w:r>
      <w:r>
        <w:rPr>
          <w:i/>
        </w:rPr>
        <w:t>о</w:t>
      </w:r>
      <w:r>
        <w:rPr>
          <w:i/>
        </w:rPr>
        <w:t>ловный закон)</w:t>
      </w:r>
      <w:r>
        <w:t>, за 18 месяцев, прошедшие с начала 2003 года до середины 2004 года, в связи с порнографическими материалами полицией было начато 42 расследования, в 13 из которых фигурировали несовершеннолетние. Из этих дел 4 было передано в полицейскую прокуратуру, и два — в Генеральную пр</w:t>
      </w:r>
      <w:r>
        <w:t>о</w:t>
      </w:r>
      <w:r>
        <w:t>куратуру. Помимо этого, за этот период времени было начато пять дел в связи с рекламой услуг сексуального характера, оказываемых совершеннолетними, и два дела, связанных с несовершеннолетними.</w:t>
      </w:r>
    </w:p>
    <w:p w:rsidR="00000000" w:rsidRDefault="00000000">
      <w:pPr>
        <w:pStyle w:val="SingleTxt"/>
      </w:pPr>
      <w:r>
        <w:t>89.</w:t>
      </w:r>
      <w:r>
        <w:tab/>
        <w:t xml:space="preserve">Крайне важным законодательным нововведением стала поправка №27 (от 2002 года) к </w:t>
      </w:r>
      <w:r>
        <w:rPr>
          <w:i/>
        </w:rPr>
        <w:t>Закону о связи (Безек и средства вещания) №5742-1982 (Закон Б</w:t>
      </w:r>
      <w:r>
        <w:rPr>
          <w:i/>
        </w:rPr>
        <w:t>е</w:t>
      </w:r>
      <w:r>
        <w:rPr>
          <w:i/>
        </w:rPr>
        <w:t>зека)</w:t>
      </w:r>
      <w:r>
        <w:t>, в которой было дано более широкое определение порнографических м</w:t>
      </w:r>
      <w:r>
        <w:t>а</w:t>
      </w:r>
      <w:r>
        <w:t>териалов, а, следовательно, и более широкое определение материалов, подл</w:t>
      </w:r>
      <w:r>
        <w:t>е</w:t>
      </w:r>
      <w:r>
        <w:t>жащих публикации. Действие поправки распространяется на имеющие лице</w:t>
      </w:r>
      <w:r>
        <w:t>н</w:t>
      </w:r>
      <w:r>
        <w:t>зию каналы кабельного и спутникового вещания. В соответствии с данной п</w:t>
      </w:r>
      <w:r>
        <w:t>о</w:t>
      </w:r>
      <w:r>
        <w:t>правкой, под определение подпадают передачи, содержащие сцены сексуал</w:t>
      </w:r>
      <w:r>
        <w:t>ь</w:t>
      </w:r>
      <w:r>
        <w:t>ных отношений, включающих насилие, жестокое обращение, унижение, о</w:t>
      </w:r>
      <w:r>
        <w:t>с</w:t>
      </w:r>
      <w:r>
        <w:t>корбление, эксплуатацию, сцены половых сношений с несовершеннолетними или лицами, изображающими несовершеннолетних, а также передачи, демо</w:t>
      </w:r>
      <w:r>
        <w:t>н</w:t>
      </w:r>
      <w:r>
        <w:t>стрирующие человека или любые его органы, изображенные в качестве объекта сексуальных действий. Все вышеперечисленное считается непристойным, если программа не носит явно выраженного художественного, научного или образ</w:t>
      </w:r>
      <w:r>
        <w:t>о</w:t>
      </w:r>
      <w:r>
        <w:t>вательного характера и не представляет новостной или информационной це</w:t>
      </w:r>
      <w:r>
        <w:t>н</w:t>
      </w:r>
      <w:r>
        <w:t>ности, что оправдывало бы ее трансляцию с учетом таких обсто</w:t>
      </w:r>
      <w:r>
        <w:t>я</w:t>
      </w:r>
      <w:r>
        <w:t>тельств.</w:t>
      </w:r>
    </w:p>
    <w:p w:rsidR="00000000" w:rsidRDefault="00000000">
      <w:pPr>
        <w:pStyle w:val="SingleTxt"/>
      </w:pPr>
      <w:r>
        <w:t>90.</w:t>
      </w:r>
      <w:r>
        <w:tab/>
        <w:t xml:space="preserve">Верховный суд недавно принял принципиально важное решение в этой области </w:t>
      </w:r>
      <w:r>
        <w:rPr>
          <w:i/>
        </w:rPr>
        <w:t xml:space="preserve">(5432/03, 5477/03, </w:t>
      </w:r>
      <w:r>
        <w:rPr>
          <w:i/>
          <w:lang w:val="en-US"/>
        </w:rPr>
        <w:t>SYN </w:t>
      </w:r>
      <w:r>
        <w:rPr>
          <w:i/>
        </w:rPr>
        <w:t>— Организация за равные права женщин и др. против Совета по кабельному и спутниковому вещанию и др. (03.03.04))</w:t>
      </w:r>
      <w:r>
        <w:t>. Этот иск был подан против Совета в связи с его решением о трансляции передач порнографического и эротического содержания на основании поправки №27 к Закону Безека. Изначально Совет запретил работу канала "Плейбой", но затем изменил свое решение. Суд в этом деле принял интерпретацию закона, пре</w:t>
      </w:r>
      <w:r>
        <w:t>д</w:t>
      </w:r>
      <w:r>
        <w:t>ложенную Советом, на основании как лингвистического анализа, так и конст</w:t>
      </w:r>
      <w:r>
        <w:t>и</w:t>
      </w:r>
      <w:r>
        <w:t>туц</w:t>
      </w:r>
      <w:r>
        <w:t>и</w:t>
      </w:r>
      <w:r>
        <w:t>онного.</w:t>
      </w:r>
    </w:p>
    <w:p w:rsidR="00000000" w:rsidRDefault="00000000">
      <w:pPr>
        <w:pStyle w:val="SingleTxt"/>
      </w:pPr>
      <w:r>
        <w:t>91.</w:t>
      </w:r>
      <w:r>
        <w:tab/>
        <w:t>Суд постановил, что в соответствии с данной поправкой не все сцены п</w:t>
      </w:r>
      <w:r>
        <w:t>о</w:t>
      </w:r>
      <w:r>
        <w:t>ловых сношений или актов подпадают под запрет. Кроме того, трансляция по</w:t>
      </w:r>
      <w:r>
        <w:t>р</w:t>
      </w:r>
      <w:r>
        <w:t>нографических передач разрешается на основании по меньшей мере двух о</w:t>
      </w:r>
      <w:r>
        <w:t>с</w:t>
      </w:r>
      <w:r>
        <w:t>новных свобод: свободы выражения мнения и свободы занятия. Свобода выр</w:t>
      </w:r>
      <w:r>
        <w:t>а</w:t>
      </w:r>
      <w:r>
        <w:t>жения мнения, являясь правом, зафиксированным в конституции, распростр</w:t>
      </w:r>
      <w:r>
        <w:t>а</w:t>
      </w:r>
      <w:r>
        <w:t>няется на любой способ выражения, в том числе выражение через порногр</w:t>
      </w:r>
      <w:r>
        <w:t>а</w:t>
      </w:r>
      <w:r>
        <w:t>фию и эротику, даже если ценность такого способа выражения для общества невысока. При этом оскорбление, связанное со способом выражения через порнографию, не отменяет принадлежности этого способа к свободе выраж</w:t>
      </w:r>
      <w:r>
        <w:t>е</w:t>
      </w:r>
      <w:r>
        <w:t>ния мнения.</w:t>
      </w:r>
    </w:p>
    <w:p w:rsidR="00000000" w:rsidRDefault="00000000">
      <w:pPr>
        <w:pStyle w:val="SingleTxt"/>
      </w:pPr>
      <w:r>
        <w:t>92.</w:t>
      </w:r>
      <w:r>
        <w:tab/>
        <w:t>Суд рассмотрел вопрос о том, превосходит ли оскорбление, наносимое общественной морали, способность общественности к терпению, поскольку лишь в этом случае ограничение свободы выражения мнения и свободы тво</w:t>
      </w:r>
      <w:r>
        <w:t>р</w:t>
      </w:r>
      <w:r>
        <w:t>чества может быть оправдано. Следует отметить, что данные передачи досту</w:t>
      </w:r>
      <w:r>
        <w:t>п</w:t>
      </w:r>
      <w:r>
        <w:t>ны только абонентам телеканала, транслируются в поздний час, а для их пр</w:t>
      </w:r>
      <w:r>
        <w:t>о</w:t>
      </w:r>
      <w:r>
        <w:t>смотра необходимо вводить специальный секретный код при каждом перекл</w:t>
      </w:r>
      <w:r>
        <w:t>ю</w:t>
      </w:r>
      <w:r>
        <w:t>чении на данный канал. Безусловно, чувствам общественности наносится ущерб, но поскольку просмотр данных передач не является обязательным, т</w:t>
      </w:r>
      <w:r>
        <w:t>а</w:t>
      </w:r>
      <w:r>
        <w:t>кой ущерб нельзя считать серьезным, а, следовательно, и достаточным для о</w:t>
      </w:r>
      <w:r>
        <w:t>г</w:t>
      </w:r>
      <w:r>
        <w:t>раничения свободы выражения мнения и свободы занятия, которые являются одними из основных ценностей в демократическом государстве. Несмотря на то, что передачи порнографического содержания наносят вред достоинству женщин, в условиях существующих реалий порнография законна и доступна через всю совокупность средств массовой инфо</w:t>
      </w:r>
      <w:r>
        <w:t>р</w:t>
      </w:r>
      <w:r>
        <w:t>мации.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00" w:lineRule="exact"/>
        <w:ind w:left="792" w:right="1210"/>
      </w:pPr>
      <w:r>
        <w:t>Проституция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pPr>
      <w:r>
        <w:t>93.</w:t>
      </w:r>
      <w:r>
        <w:tab/>
        <w:t xml:space="preserve">Как уже говорилось в нашем предыдущем докладе, еще одной формой публикации, связанной как с порнографией, так и с проституцией, является реклама услуг сексуального характера. 17 марта 2005 года магистратский суд города Тель-Авива по уголовному делу </w:t>
      </w:r>
      <w:r>
        <w:rPr>
          <w:i/>
        </w:rPr>
        <w:t>№3635/02 Государство Израиль против Шокен Нетворк Лимитед и др.</w:t>
      </w:r>
      <w:r>
        <w:t xml:space="preserve"> приговорил трех лиц: главу издательского дома, директора газеты и директора рекламного отдела газеты — к 150 часам общ</w:t>
      </w:r>
      <w:r>
        <w:t>е</w:t>
      </w:r>
      <w:r>
        <w:t>ственных работ за нарушение положения 205(С) (а) Уголовного закона, запр</w:t>
      </w:r>
      <w:r>
        <w:t>е</w:t>
      </w:r>
      <w:r>
        <w:t>щающего рекламу проституции. Хотя все трое были осуждены за указанное правонарушение ранее, Суд на основании рекомендации Органа по делам у</w:t>
      </w:r>
      <w:r>
        <w:t>с</w:t>
      </w:r>
      <w:r>
        <w:t>ловно осужденных принял решение отменить условное наказание и потреб</w:t>
      </w:r>
      <w:r>
        <w:t>о</w:t>
      </w:r>
      <w:r>
        <w:t xml:space="preserve">вать выполнения приговора. Суд также назначил всем трем газетам штраф </w:t>
      </w:r>
      <w:r>
        <w:rPr>
          <w:lang w:val="en-US"/>
        </w:rPr>
        <w:t>a</w:t>
      </w:r>
      <w:r>
        <w:t xml:space="preserve"> размере 125 000 новых израильских шекелей.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00" w:lineRule="exact"/>
        <w:ind w:left="792" w:right="1210"/>
      </w:pPr>
      <w:r>
        <w:t>Женщины и религия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pPr>
      <w:r>
        <w:t>94.</w:t>
      </w:r>
      <w:r>
        <w:tab/>
        <w:t>С момента подачи предыдущего доклада Верховный суд принял крайне важное решение по делу "Женщины у Стены плача". Группа женщин, пре</w:t>
      </w:r>
      <w:r>
        <w:t>д</w:t>
      </w:r>
      <w:r>
        <w:t>ставляющих все религиозные направления иудаизма, обратилась в Верховный суд (</w:t>
      </w:r>
      <w:r>
        <w:rPr>
          <w:i/>
        </w:rPr>
        <w:t>дело №4128/00, Генеральный Директор Канцелярии Премьер-министра и др. против Анат Хоффман и др. (06.04.03))</w:t>
      </w:r>
      <w:r>
        <w:t xml:space="preserve"> с просьбой защитить их право на свободу вероисповедания и разрешить им молиться так, как они желают, то есть совершать коллективные молитвы у Западной части Стены плача с пр</w:t>
      </w:r>
      <w:r>
        <w:t>о</w:t>
      </w:r>
      <w:r>
        <w:t>чтением свитков Торы, закутавшись в молитвенные шали (которые традицио</w:t>
      </w:r>
      <w:r>
        <w:t>н</w:t>
      </w:r>
      <w:r>
        <w:t>но носят только мужчины). Основная проблема заключалась в том, что нош</w:t>
      </w:r>
      <w:r>
        <w:t>е</w:t>
      </w:r>
      <w:r>
        <w:t>ние женщинами мужской одежды во время молитв не только создает им самим сложности при совершении молитв, но и представляет собой вызов традиц</w:t>
      </w:r>
      <w:r>
        <w:t>и</w:t>
      </w:r>
      <w:r>
        <w:t>онной практике доминирующих в Израиле иудаистских религиозных течений, а также большинству молящихся у Западной части Стены плача. После дал</w:t>
      </w:r>
      <w:r>
        <w:t>ь</w:t>
      </w:r>
      <w:r>
        <w:t>нейшего рассмотрения в апреле 2003 года Суд поручил правительству не поз</w:t>
      </w:r>
      <w:r>
        <w:t>д</w:t>
      </w:r>
      <w:r>
        <w:t>нее, чем в течение двенадцати месяцев принять соответствующие меры ч тем, чтобы позволить этой группе женщин молиться у арки Робинсона, которая я</w:t>
      </w:r>
      <w:r>
        <w:t>в</w:t>
      </w:r>
      <w:r>
        <w:t>ляется частью Стены, но располагается отдельно от основного места молитв. Для того чтобы эта группа женщин могла совершать молитвы у арки Робинс</w:t>
      </w:r>
      <w:r>
        <w:t>о</w:t>
      </w:r>
      <w:r>
        <w:t>на, понадобилось провести строительные работы, с опозданием, 17 августа 2004 года сооружение специальной зоны для молитв у арки Робинсона было завершено.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00" w:lineRule="exact"/>
        <w:ind w:left="792" w:right="1210"/>
      </w:pPr>
      <w:r>
        <w:t>Насилие в отношении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00" w:lineRule="exact"/>
        <w:ind w:left="792" w:right="1210"/>
      </w:pPr>
      <w:r>
        <w:t>Сексуальное насилие - правовые аспекты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rPr>
          <w:b/>
        </w:rPr>
      </w:pPr>
      <w:r>
        <w:rPr>
          <w:b/>
        </w:rPr>
        <w:t>Предупреждение сексуальных домогательств</w:t>
      </w:r>
    </w:p>
    <w:p w:rsidR="00000000" w:rsidRDefault="00000000">
      <w:pPr>
        <w:pStyle w:val="SingleTxt"/>
      </w:pPr>
      <w:r>
        <w:t>95.</w:t>
      </w:r>
      <w:r>
        <w:tab/>
        <w:t>С момента представления предыдущего доклада Израиля было принято две значительные поправки к Закону о предупреждении сексуальных домог</w:t>
      </w:r>
      <w:r>
        <w:t>а</w:t>
      </w:r>
      <w:r>
        <w:t>тельств, которые расширили сферу применения закона. В соответствии с пе</w:t>
      </w:r>
      <w:r>
        <w:t>р</w:t>
      </w:r>
      <w:r>
        <w:t>вой из них закон распространяется на лиц, находящихся на службе, а вторая позволяет его применение к учащимся двенадцатых, тринадцатых и четырн</w:t>
      </w:r>
      <w:r>
        <w:t>а</w:t>
      </w:r>
      <w:r>
        <w:t>дцатых классов школ, а также к учащимся и студентам учебных заведений для взрослых.</w:t>
      </w:r>
    </w:p>
    <w:p w:rsidR="00000000" w:rsidRDefault="00000000">
      <w:pPr>
        <w:pStyle w:val="SingleTxt"/>
      </w:pPr>
      <w:r>
        <w:t>96.</w:t>
      </w:r>
      <w:r>
        <w:tab/>
        <w:t>По последним данным, с момента представления предыдущего доклада в связи с заявлениями о сексуальных домогательствах полицией было начато 188 расследований. 141 дел было закрыто по причине недостаточности улик, недостатка общественного интереса в соответствии с Законом о принципах формирования бюджета, отсутствия состава преступления или невозможности установления личности виновного. 36 дел находятся на рассмотрении Пол</w:t>
      </w:r>
      <w:r>
        <w:t>и</w:t>
      </w:r>
      <w:r>
        <w:t>цейской прокуратуры и Генеральной прокуратуры, по одиннадцати другим д</w:t>
      </w:r>
      <w:r>
        <w:t>е</w:t>
      </w:r>
      <w:r>
        <w:t>лам в настоящее время продолжается расследование.</w:t>
      </w:r>
    </w:p>
    <w:p w:rsidR="00000000" w:rsidRDefault="00000000">
      <w:pPr>
        <w:pStyle w:val="SingleTxt"/>
      </w:pPr>
      <w:r>
        <w:t>97.</w:t>
      </w:r>
      <w:r>
        <w:tab/>
        <w:t xml:space="preserve">В 2002 году вступили в силу </w:t>
      </w:r>
      <w:r>
        <w:rPr>
          <w:i/>
        </w:rPr>
        <w:t>Положения о правах жертв преступлений №5762-2002 (Положения о правах жертв преступлений)</w:t>
      </w:r>
      <w:r>
        <w:t>, направленные на в</w:t>
      </w:r>
      <w:r>
        <w:t>ы</w:t>
      </w:r>
      <w:r>
        <w:t>полнение соответствующего Закона. В этих положениях уточняются места, в которых могут размещаться информационные буклеты на иврите, арабском, русском, амхарском, и английском, а также напечатанные шрифтом Брайля. Информационные буклеты должны размещаться в следующих местах: в отд</w:t>
      </w:r>
      <w:r>
        <w:t>е</w:t>
      </w:r>
      <w:r>
        <w:t>лах социальных услуг, центрах по предупреждению насилия в семье, полице</w:t>
      </w:r>
      <w:r>
        <w:t>й</w:t>
      </w:r>
      <w:r>
        <w:t>ских участках, судах, приемных покоях больниц, кабинетах сотрудников Д</w:t>
      </w:r>
      <w:r>
        <w:t>е</w:t>
      </w:r>
      <w:r>
        <w:t>партамента расследований Полиции, секретариате по уголовным делам гос</w:t>
      </w:r>
      <w:r>
        <w:t>у</w:t>
      </w:r>
      <w:r>
        <w:t>дарственного прокурора, канцелярии окружного прокурора, Маген Давид Адом (израильская организация первой помощи, работающая наряду с Красным кр</w:t>
      </w:r>
      <w:r>
        <w:t>е</w:t>
      </w:r>
      <w:r>
        <w:t>стом), консультационных службах Министерства по социальным вопросам и в юридических консул</w:t>
      </w:r>
      <w:r>
        <w:t>ь</w:t>
      </w:r>
      <w:r>
        <w:t>тациях.</w:t>
      </w:r>
    </w:p>
    <w:p w:rsidR="00000000" w:rsidRDefault="00000000">
      <w:pPr>
        <w:pStyle w:val="SingleTxt"/>
      </w:pPr>
      <w:r>
        <w:t>98.</w:t>
      </w:r>
      <w:r>
        <w:tab/>
        <w:t>Закон №5761-2001 о правах жертв преступлений (Закон о правах жертв преступлений) и Положения постепенно усваиваются различными компетен</w:t>
      </w:r>
      <w:r>
        <w:t>т</w:t>
      </w:r>
      <w:r>
        <w:t>ными органами. В полиции было назначено 6 региональных уполномоченных по делам жертв преступлений, в чьи обязанности входит работа с жертвами преступлений в каждом регионе, контроль за выполнением закона и Полож</w:t>
      </w:r>
      <w:r>
        <w:t>е</w:t>
      </w:r>
      <w:r>
        <w:t>ний в своем округе, а также проведение учебных программ.</w:t>
      </w:r>
    </w:p>
    <w:p w:rsidR="00000000" w:rsidRDefault="00000000">
      <w:pPr>
        <w:pStyle w:val="SingleTxt"/>
      </w:pPr>
      <w:r>
        <w:t>99.</w:t>
      </w:r>
      <w:r>
        <w:tab/>
        <w:t>Пенитенциарная служба также ведет работу над реализацией данного з</w:t>
      </w:r>
      <w:r>
        <w:t>а</w:t>
      </w:r>
      <w:r>
        <w:t>кона и положений, уж был назначен уполномоченный по делам жертв престу</w:t>
      </w:r>
      <w:r>
        <w:t>п</w:t>
      </w:r>
      <w:r>
        <w:t>лений, который предоставляет всю необходимую информацию заинтересова</w:t>
      </w:r>
      <w:r>
        <w:t>н</w:t>
      </w:r>
      <w:r>
        <w:t>ным сторонам. Пенитенциарная служба завершает создание национального а</w:t>
      </w:r>
      <w:r>
        <w:t>в</w:t>
      </w:r>
      <w:r>
        <w:t>томатизированного центра для приема звонков, призванного снабжать жертв преступлений необходимой информацией о нахождении исполнителя престу</w:t>
      </w:r>
      <w:r>
        <w:t>п</w:t>
      </w:r>
      <w:r>
        <w:t xml:space="preserve">ления в учреждениях пенитенциарной системы. </w:t>
      </w:r>
    </w:p>
    <w:p w:rsidR="00000000" w:rsidRDefault="00000000">
      <w:pPr>
        <w:pStyle w:val="SingleTxt"/>
      </w:pPr>
      <w:r>
        <w:t>100.</w:t>
      </w:r>
      <w:r>
        <w:tab/>
        <w:t>Департамент по вопросам помилования Министерства юстиции в рамках новой политики применяет основные принципы данного Закона во всех аспе</w:t>
      </w:r>
      <w:r>
        <w:t>к</w:t>
      </w:r>
      <w:r>
        <w:t>тах своей деятельности. Такие аспекты включают встречи с жертвами престу</w:t>
      </w:r>
      <w:r>
        <w:t>п</w:t>
      </w:r>
      <w:r>
        <w:t>лений и их семьями, внимательное отношение к потребностям и перспективам жертв преступлений на всех этапах процесса помилования.</w:t>
      </w:r>
    </w:p>
    <w:p w:rsidR="00000000" w:rsidRDefault="00000000">
      <w:pPr>
        <w:pStyle w:val="SingleTxt"/>
        <w:rPr>
          <w:i/>
        </w:rPr>
      </w:pPr>
      <w:r>
        <w:rPr>
          <w:i/>
        </w:rPr>
        <w:t>Ограничения в отношении места жительства и работы виновных в сексуал</w:t>
      </w:r>
      <w:r>
        <w:rPr>
          <w:i/>
        </w:rPr>
        <w:t>ь</w:t>
      </w:r>
      <w:r>
        <w:rPr>
          <w:i/>
        </w:rPr>
        <w:t>ных преступлениях</w:t>
      </w:r>
    </w:p>
    <w:p w:rsidR="00000000" w:rsidRDefault="00000000">
      <w:pPr>
        <w:pStyle w:val="SingleTxt"/>
      </w:pPr>
      <w:r>
        <w:t>101.</w:t>
      </w:r>
      <w:r>
        <w:tab/>
        <w:t xml:space="preserve">Кнессет принял еще одну меру защиты жертв сексуального насилия. В соответствии с новым законом, </w:t>
      </w:r>
      <w:r>
        <w:rPr>
          <w:i/>
        </w:rPr>
        <w:t>Законом об ограничениях на возвращение в</w:t>
      </w:r>
      <w:r>
        <w:rPr>
          <w:i/>
        </w:rPr>
        <w:t>и</w:t>
      </w:r>
      <w:r>
        <w:rPr>
          <w:i/>
        </w:rPr>
        <w:t>новных в совершении сексуальных преступлений в окружение жертвы</w:t>
      </w:r>
      <w:r>
        <w:t xml:space="preserve"> суд м</w:t>
      </w:r>
      <w:r>
        <w:t>о</w:t>
      </w:r>
      <w:r>
        <w:t>жет запретить правонарушителю селиться или устраиваться на работу вблизи от места работы или места жительства жертвы преступления. Такая мера пр</w:t>
      </w:r>
      <w:r>
        <w:t>и</w:t>
      </w:r>
      <w:r>
        <w:t>меняется при условии, что суд решит, что присутствие преступника может н</w:t>
      </w:r>
      <w:r>
        <w:t>а</w:t>
      </w:r>
      <w:r>
        <w:t>нести жертве определенный моральный ущерб. При этом суд должен должным образом рассмотреть и ущерб, наносимый правонарушителю такими огранич</w:t>
      </w:r>
      <w:r>
        <w:t>е</w:t>
      </w:r>
      <w:r>
        <w:t>ниями.</w:t>
      </w:r>
    </w:p>
    <w:p w:rsidR="00000000" w:rsidRDefault="00000000">
      <w:pPr>
        <w:pStyle w:val="SingleTxt"/>
        <w:rPr>
          <w:b/>
        </w:rPr>
      </w:pPr>
      <w:r>
        <w:rPr>
          <w:b/>
        </w:rPr>
        <w:t>Преследование</w:t>
      </w:r>
    </w:p>
    <w:p w:rsidR="00000000" w:rsidRDefault="00000000">
      <w:pPr>
        <w:pStyle w:val="SingleTxt"/>
      </w:pPr>
      <w:r>
        <w:t>102.</w:t>
      </w:r>
      <w:r>
        <w:tab/>
      </w:r>
      <w:r>
        <w:rPr>
          <w:i/>
        </w:rPr>
        <w:t>Закон №5762-2001 о предупреждении преследования (Закон о предупре</w:t>
      </w:r>
      <w:r>
        <w:rPr>
          <w:i/>
        </w:rPr>
        <w:t>ж</w:t>
      </w:r>
      <w:r>
        <w:rPr>
          <w:i/>
        </w:rPr>
        <w:t>дении преследования)</w:t>
      </w:r>
      <w:r>
        <w:t>, упоминавшийся в предыдущем докладе Израиля, вст</w:t>
      </w:r>
      <w:r>
        <w:t>у</w:t>
      </w:r>
      <w:r>
        <w:t>пил в силу в октябре 2001 года. Данный закон призван защитить спокойствие человека, его личную жизнь, свободу и тело от вреда, наносимого им другим человеком, действия которого могут классифицироваться как преследование (домогательство с целью запугивания) или причинение телесных повреждений. Суд может вынести постановление о защите от лица, занимающегося пресл</w:t>
      </w:r>
      <w:r>
        <w:t>е</w:t>
      </w:r>
      <w:r>
        <w:t>дованием, или наложить более строгие ограничения. Постановление о защите может выноситься на срок до шести месяцев, затем продлеваться на срок до шести месяцев, а в исключительных обстоятельствах срок его действия может быть продлен до двух лет. По последним данным с 2002 года на основании данного закона в Суд было направлено 2946 просьб о вынесении огранич</w:t>
      </w:r>
      <w:r>
        <w:t>и</w:t>
      </w:r>
      <w:r>
        <w:t>тельных постановлений, причем с каждым годом это число растет: 472 случая в 2002 году, 1167 — в 2003 и 1307 — за 2004 (до 1 октября).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00" w:lineRule="exact"/>
        <w:ind w:left="792" w:right="1210"/>
      </w:pPr>
      <w:r>
        <w:t>Масштабы явления сексуального насилия в отношении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rPr>
          <w:b/>
        </w:rPr>
      </w:pPr>
      <w:r>
        <w:rPr>
          <w:b/>
        </w:rPr>
        <w:t>Минимальное наказание</w:t>
      </w:r>
    </w:p>
    <w:p w:rsidR="00000000" w:rsidRDefault="00000000">
      <w:pPr>
        <w:pStyle w:val="SingleTxt"/>
      </w:pPr>
      <w:r>
        <w:t>103.</w:t>
      </w:r>
      <w:r>
        <w:tab/>
        <w:t xml:space="preserve">Как уже говорилось в предыдущем докладе Израиля, поправкой 1998 года к </w:t>
      </w:r>
      <w:r>
        <w:rPr>
          <w:i/>
        </w:rPr>
        <w:t>Уголовному закону</w:t>
      </w:r>
      <w:r>
        <w:t xml:space="preserve"> было установлено минимальное наказание за серьезные преступления сексуального характера, которое составило 25 процентов от ма</w:t>
      </w:r>
      <w:r>
        <w:t>к</w:t>
      </w:r>
      <w:r>
        <w:t>симального возможного наказания. Следующей поправкой, принятой в 2002 году, был введен запрет на применение наказаний с отсрочкой исполнения приговора, кроме исключительных случаев, что должно оговариваться в реш</w:t>
      </w:r>
      <w:r>
        <w:t>е</w:t>
      </w:r>
      <w:r>
        <w:t>нии суда.</w:t>
      </w:r>
    </w:p>
    <w:p w:rsidR="00000000" w:rsidRDefault="00000000">
      <w:pPr>
        <w:pStyle w:val="SingleTxt"/>
      </w:pPr>
      <w:r>
        <w:t>104.</w:t>
      </w:r>
      <w:r>
        <w:tab/>
        <w:t>Суд по семейным делам г. Иерусалима вынес крайне важное решение, к</w:t>
      </w:r>
      <w:r>
        <w:t>о</w:t>
      </w:r>
      <w:r>
        <w:t>торое обязывало мужа выплатить его жене, подвергавшейся избиению, компе</w:t>
      </w:r>
      <w:r>
        <w:t>н</w:t>
      </w:r>
      <w:r>
        <w:t>сацию в 90 000 новых шекелей (около 20 000 долларов США) преимуществе</w:t>
      </w:r>
      <w:r>
        <w:t>н</w:t>
      </w:r>
      <w:r>
        <w:t xml:space="preserve">но в виде штрафов (Суд по семейным делам, дело №018551/00 К.С. против </w:t>
      </w:r>
      <w:r>
        <w:rPr>
          <w:lang w:val="en-US"/>
        </w:rPr>
        <w:t>K</w:t>
      </w:r>
      <w:r>
        <w:t>.</w:t>
      </w:r>
      <w:r>
        <w:rPr>
          <w:lang w:val="en-US"/>
        </w:rPr>
        <w:t>M</w:t>
      </w:r>
      <w:r>
        <w:t>. (07.06.04)). Эти штрафы были присуждены его жене за "пять лет страд</w:t>
      </w:r>
      <w:r>
        <w:t>а</w:t>
      </w:r>
      <w:r>
        <w:t>ний, связанных с жестоким обращением, руганью, унижениями и кабалы". В этом случае Суд прибегнул к предлагаемому законом варианту увеличенных штрафных санкций в связи с наличие отягчающих обстоятельств.</w:t>
      </w:r>
    </w:p>
    <w:p w:rsidR="00000000" w:rsidRDefault="00000000">
      <w:pPr>
        <w:pStyle w:val="SingleTxt"/>
        <w:rPr>
          <w:b/>
        </w:rPr>
      </w:pPr>
      <w:r>
        <w:rPr>
          <w:b/>
        </w:rPr>
        <w:t>Просветительская работа</w:t>
      </w:r>
    </w:p>
    <w:p w:rsidR="00000000" w:rsidRDefault="00000000">
      <w:pPr>
        <w:pStyle w:val="SingleTxt"/>
      </w:pPr>
      <w:r>
        <w:t>105.</w:t>
      </w:r>
      <w:r>
        <w:tab/>
        <w:t>Национальный орган по улучшению положения женщин начал общен</w:t>
      </w:r>
      <w:r>
        <w:t>а</w:t>
      </w:r>
      <w:r>
        <w:t>циональную кампанию "Определение признаков склонности к насилию на ст</w:t>
      </w:r>
      <w:r>
        <w:t>а</w:t>
      </w:r>
      <w:r>
        <w:t>дии ухаживания", в рамках которой было проведено около 200 семинаров, об</w:t>
      </w:r>
      <w:r>
        <w:t>ъ</w:t>
      </w:r>
      <w:r>
        <w:t>единивших 40 000 участников по всему Израилю. Национальный орган также провел широкомасштабную кампанию в средствах массовой информации, пр</w:t>
      </w:r>
      <w:r>
        <w:t>и</w:t>
      </w:r>
      <w:r>
        <w:t>званную проинформировать женщин о соответствующих способах выявления и предупреждения насилия во взаимоотношениях.</w:t>
      </w:r>
    </w:p>
    <w:p w:rsidR="00000000" w:rsidRDefault="00000000">
      <w:pPr>
        <w:pStyle w:val="SingleTxt"/>
      </w:pPr>
      <w:r>
        <w:t>106.</w:t>
      </w:r>
      <w:r>
        <w:tab/>
        <w:t>Судебная администрация проводит ежегодные пятидневные семинары для уполномоченных по положению женщин. Уполномоченные по положению женщин выполняют функцию координаторов по проблемам женщин в Админ</w:t>
      </w:r>
      <w:r>
        <w:t>и</w:t>
      </w:r>
      <w:r>
        <w:t>страции. На семинарах уполномоченные ознакомились с явлением феминизма, стереотипами, конструктивными мерами и соответствующим законодательс</w:t>
      </w:r>
      <w:r>
        <w:t>т</w:t>
      </w:r>
      <w:r>
        <w:t>вом. В 2002-2004 годах Администрация также провела семинары по проблемам насилия в отношении женщин, положения женщин и с</w:t>
      </w:r>
      <w:r>
        <w:t>а</w:t>
      </w:r>
      <w:r>
        <w:t>мообороны женщин.</w:t>
      </w:r>
    </w:p>
    <w:p w:rsidR="00000000" w:rsidRDefault="00000000">
      <w:pPr>
        <w:pStyle w:val="SingleTxt"/>
        <w:rPr>
          <w:b/>
        </w:rPr>
      </w:pPr>
      <w:r>
        <w:rPr>
          <w:b/>
        </w:rPr>
        <w:t>Ведение полицией дел о сексуальных преступлениях в отношении женщин</w:t>
      </w:r>
    </w:p>
    <w:p w:rsidR="00000000" w:rsidRDefault="00000000">
      <w:pPr>
        <w:pStyle w:val="SingleTxt"/>
      </w:pPr>
      <w:r>
        <w:t>107.</w:t>
      </w:r>
      <w:r>
        <w:tab/>
        <w:t>За последние четыре года, прошедшие с момента представления пред</w:t>
      </w:r>
      <w:r>
        <w:t>ы</w:t>
      </w:r>
      <w:r>
        <w:t>дущего доклада, сократилось число дел о сексуальном насилии, ведущихся п</w:t>
      </w:r>
      <w:r>
        <w:t>о</w:t>
      </w:r>
      <w:r>
        <w:t>лицией.</w:t>
      </w:r>
    </w:p>
    <w:p w:rsidR="00000000" w:rsidRDefault="00000000">
      <w:pPr>
        <w:pStyle w:val="SingleTxt"/>
        <w:spacing w:after="0" w:line="120" w:lineRule="exact"/>
        <w:ind w:left="1264" w:right="1264"/>
        <w:jc w:val="left"/>
        <w:rPr>
          <w:sz w:val="10"/>
        </w:rPr>
      </w:pPr>
    </w:p>
    <w:p w:rsidR="00000000" w:rsidRDefault="00000000">
      <w:pPr>
        <w:pStyle w:val="SingleTxt"/>
        <w:spacing w:after="0" w:line="120" w:lineRule="exact"/>
        <w:ind w:left="1264" w:right="1264"/>
        <w:jc w:val="lef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Диаграмма 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Случаи сексуального насилия в 1996-2003 годах </w:t>
      </w:r>
    </w:p>
    <w:p w:rsidR="00000000" w:rsidRDefault="00000000">
      <w:pPr>
        <w:pStyle w:val="SingleTxt"/>
        <w:keepNext/>
        <w:spacing w:after="0" w:line="120" w:lineRule="exact"/>
        <w:ind w:left="1264" w:right="1264"/>
        <w:jc w:val="left"/>
        <w:rPr>
          <w:sz w:val="10"/>
        </w:rPr>
      </w:pPr>
    </w:p>
    <w:p w:rsidR="00000000" w:rsidRDefault="00000000">
      <w:pPr>
        <w:pStyle w:val="SingleTxt"/>
        <w:keepNext/>
        <w:spacing w:after="0" w:line="120" w:lineRule="exact"/>
        <w:ind w:left="1264" w:right="1264"/>
        <w:jc w:val="left"/>
        <w:rPr>
          <w:sz w:val="10"/>
        </w:rPr>
      </w:pPr>
    </w:p>
    <w:p w:rsidR="00000000" w:rsidRDefault="00000000">
      <w:pPr>
        <w:keepNext/>
        <w:jc w:val="both"/>
      </w:pPr>
      <w:r>
        <w:rPr>
          <w:noProof/>
          <w:w w:val="1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72" type="#_x0000_t75" style="position:absolute;left:0;text-align:left;margin-left:133.3pt;margin-top:.1pt;width:183.9pt;height:108.25pt;z-index:2;mso-position-horizontal:absolute;mso-position-horizontal-relative:page;mso-position-vertical:absolute;mso-position-vertical-relative:text" o:allowincell="f" fillcolor="#0c9">
            <v:imagedata r:id="rId14" o:title=""/>
            <w10:wrap anchorx="page"/>
          </v:shape>
        </w:pict>
      </w:r>
    </w:p>
    <w:p w:rsidR="00000000" w:rsidRDefault="00000000">
      <w:pPr>
        <w:keepNext/>
        <w:jc w:val="both"/>
      </w:pPr>
    </w:p>
    <w:p w:rsidR="00000000" w:rsidRDefault="00000000">
      <w:pPr>
        <w:keepNext/>
        <w:jc w:val="both"/>
      </w:pPr>
    </w:p>
    <w:p w:rsidR="00000000" w:rsidRDefault="00000000">
      <w:pPr>
        <w:keepNext/>
        <w:jc w:val="both"/>
      </w:pPr>
    </w:p>
    <w:p w:rsidR="00000000" w:rsidRDefault="00000000">
      <w:pPr>
        <w:pStyle w:val="SingleTxt"/>
        <w:rPr>
          <w:i/>
        </w:rPr>
      </w:pPr>
    </w:p>
    <w:p w:rsidR="00000000" w:rsidRDefault="00000000">
      <w:pPr>
        <w:pStyle w:val="SingleTxt"/>
        <w:rPr>
          <w:i/>
        </w:rPr>
      </w:pPr>
    </w:p>
    <w:p w:rsidR="00000000" w:rsidRDefault="00000000">
      <w:pPr>
        <w:pStyle w:val="SingleTxt"/>
        <w:rPr>
          <w:i/>
        </w:rPr>
      </w:pPr>
    </w:p>
    <w:p w:rsidR="00000000" w:rsidRDefault="00000000">
      <w:pPr>
        <w:pStyle w:val="SingleTxt"/>
        <w:rPr>
          <w:i/>
        </w:rPr>
      </w:pPr>
    </w:p>
    <w:p w:rsidR="00000000" w:rsidRDefault="00000000">
      <w:pPr>
        <w:pStyle w:val="SingleTxt"/>
        <w:rPr>
          <w:i/>
        </w:rPr>
      </w:pPr>
      <w:r>
        <w:rPr>
          <w:i/>
        </w:rPr>
        <w:t xml:space="preserve">Источник: </w:t>
      </w:r>
      <w:r>
        <w:t>Полиция Израиля, Преступность в Израиле, 2003 год.</w:t>
      </w:r>
    </w:p>
    <w:p w:rsidR="00000000" w:rsidRDefault="00000000">
      <w:pPr>
        <w:pStyle w:val="SingleTxt"/>
      </w:pPr>
      <w:r>
        <w:t>108.</w:t>
      </w:r>
      <w:r>
        <w:tab/>
        <w:t>В 2003 году полицией Израиля было начато 3249 расследований в связи со случаями сексуального насилия в отношении женщин; в 655 из этих случаев насилие в отношении женщины совершалось в семье (не только инцесты), и в 249 из них изнасилование или непристойные действия совершались мужьями (по сравнению с 281 аналогичным случаем в 2002 году).</w:t>
      </w:r>
    </w:p>
    <w:p w:rsidR="00000000" w:rsidRDefault="00000000">
      <w:pPr>
        <w:pStyle w:val="SingleTxt"/>
        <w:rPr>
          <w:b/>
        </w:rPr>
      </w:pPr>
      <w:r>
        <w:rPr>
          <w:b/>
        </w:rPr>
        <w:t>Виновные в совершении сексуальных преступлений в пенитенциарных учреждениях</w:t>
      </w:r>
    </w:p>
    <w:p w:rsidR="00000000" w:rsidRDefault="00000000">
      <w:pPr>
        <w:pStyle w:val="SingleTxt"/>
      </w:pPr>
      <w:r>
        <w:t>109.</w:t>
      </w:r>
      <w:r>
        <w:tab/>
        <w:t>Пенитенциарная служба организует терапевтические занятия для групп виновных в сексуальных преступлениях при содействии Центра психического здоровья г. Рамла, целью которых является снижение риска сексуального нас</w:t>
      </w:r>
      <w:r>
        <w:t>и</w:t>
      </w:r>
      <w:r>
        <w:t>лия. Существуют также программы дальнейшего лечения, реализуемые в ра</w:t>
      </w:r>
      <w:r>
        <w:t>з</w:t>
      </w:r>
      <w:r>
        <w:t>ли</w:t>
      </w:r>
      <w:r>
        <w:t>ч</w:t>
      </w:r>
      <w:r>
        <w:t>ных тюрьмах социальными работниками.</w:t>
      </w:r>
    </w:p>
    <w:p w:rsidR="00000000" w:rsidRDefault="00000000">
      <w:pPr>
        <w:pStyle w:val="SingleTxt"/>
      </w:pPr>
      <w:r>
        <w:t>110.</w:t>
      </w:r>
      <w:r>
        <w:tab/>
        <w:t>Досрочное освобождение и отмена приговоров заключенных, осужденных за насилие в семье, обсуждается совместными комитетами в четырех округах. В состав таких комитетов входят сотрудники Пенитенциарной службы и М</w:t>
      </w:r>
      <w:r>
        <w:t>и</w:t>
      </w:r>
      <w:r>
        <w:t>нистерства по социальным вопросам. Комитеты рассматривают доклады соц</w:t>
      </w:r>
      <w:r>
        <w:t>и</w:t>
      </w:r>
      <w:r>
        <w:t>альных служб о положении семей (например, жертв) и лечении, пройденном заключенным в тюрьме. Существуют также региональные комитеты, в состав которых входят психиатры Министерства здравоохранения и которые призваны рассматривать самые тяжелые случаи насилия в семье и давать им экспертную оценку.</w:t>
      </w:r>
    </w:p>
    <w:p w:rsidR="00000000" w:rsidRDefault="00000000">
      <w:pPr>
        <w:pStyle w:val="SingleTxt"/>
        <w:rPr>
          <w:b/>
        </w:rPr>
      </w:pPr>
      <w:r>
        <w:rPr>
          <w:b/>
        </w:rPr>
        <w:t>Данные центров по оказанию помощи жертвам сексуальных нападений</w:t>
      </w:r>
    </w:p>
    <w:p w:rsidR="00000000" w:rsidRDefault="00000000">
      <w:pPr>
        <w:pStyle w:val="SingleTxt"/>
      </w:pPr>
      <w:r>
        <w:t>111.</w:t>
      </w:r>
      <w:r>
        <w:tab/>
        <w:t>Союз центров по оказанию помощи жертвам сексуальных нападений в Израиле объединяет все центры помощи Израиля и играет роль фактора, опр</w:t>
      </w:r>
      <w:r>
        <w:t>е</w:t>
      </w:r>
      <w:r>
        <w:t>деляющего социальные изменения, на национальном уровне, лоббируя попра</w:t>
      </w:r>
      <w:r>
        <w:t>в</w:t>
      </w:r>
      <w:r>
        <w:t>ки к законодательным актам и выпускает ежегодные доклады по проблеме се</w:t>
      </w:r>
      <w:r>
        <w:t>к</w:t>
      </w:r>
      <w:r>
        <w:t>с</w:t>
      </w:r>
      <w:r>
        <w:t>у</w:t>
      </w:r>
      <w:r>
        <w:t>альных нападений.</w:t>
      </w:r>
    </w:p>
    <w:p w:rsidR="00000000" w:rsidRDefault="00000000">
      <w:pPr>
        <w:pStyle w:val="SingleTxt"/>
      </w:pPr>
      <w:r>
        <w:t>112.</w:t>
      </w:r>
      <w:r>
        <w:tab/>
        <w:t xml:space="preserve">Союз стал инициатором двух крайне важных законодательных поправок, одна из которых была призвана расширить определение понятия "член семьи" в </w:t>
      </w:r>
      <w:r>
        <w:rPr>
          <w:i/>
        </w:rPr>
        <w:t>Уголовном законе</w:t>
      </w:r>
      <w:r>
        <w:t xml:space="preserve"> и включить в это понятие членов приемных семей и дво</w:t>
      </w:r>
      <w:r>
        <w:t>ю</w:t>
      </w:r>
      <w:r>
        <w:t>родных братьев и сестер. Вторая поправка стала ответом на необходимость увеличения срока, предусмотренного Законом об ограничениях №5718-1958 (Закон об ограничениях), для преступлений, совершенных против несоверше</w:t>
      </w:r>
      <w:r>
        <w:t>н</w:t>
      </w:r>
      <w:r>
        <w:t>нолетних нечленов семьи.</w:t>
      </w:r>
    </w:p>
    <w:p w:rsidR="00000000" w:rsidRDefault="00000000">
      <w:pPr>
        <w:pStyle w:val="SingleTxt"/>
      </w:pPr>
      <w:r>
        <w:t>113.</w:t>
      </w:r>
      <w:r>
        <w:tab/>
        <w:t>Союз также занимается вопросом отношения судов к сексуальным пр</w:t>
      </w:r>
      <w:r>
        <w:t>е</w:t>
      </w:r>
      <w:r>
        <w:t>ступлениям, средний срок приговоров окружных судов за совершение которых в 2003 году составлял 5,9 лет (юрисдикция окружных судов распространяется только на преступления, максимальный срок наказания за которые не прев</w:t>
      </w:r>
      <w:r>
        <w:t>ы</w:t>
      </w:r>
      <w:r>
        <w:t>шает 7 лет). Еще одним вопросом, над которым работает в настоящее время Союз, это ставшая предметов его активной кампании предлагаемая поправка к Закону об ограничениях, связанная с отказом государства ввести особо пр</w:t>
      </w:r>
      <w:r>
        <w:t>о</w:t>
      </w:r>
      <w:r>
        <w:t>должительный срок ограничения в особенности для жертв сексуальных нап</w:t>
      </w:r>
      <w:r>
        <w:t>а</w:t>
      </w:r>
      <w:r>
        <w:t>дений.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00" w:lineRule="exact"/>
        <w:ind w:left="792" w:right="1210"/>
      </w:pPr>
      <w:r>
        <w:t>Насилие в семье - правовые аспекты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pPr>
      <w:r>
        <w:rPr>
          <w:b/>
        </w:rPr>
        <w:t>Недавние поправки к Закону о предупреждении насилия в семье</w:t>
      </w:r>
    </w:p>
    <w:p w:rsidR="00000000" w:rsidRDefault="00000000">
      <w:pPr>
        <w:pStyle w:val="SingleTxt"/>
      </w:pPr>
      <w:r>
        <w:t>114.</w:t>
      </w:r>
      <w:r>
        <w:tab/>
        <w:t>Поправка №5 (от 2002 года) к Закону о предупреждении насилия в семье касается изменения правил хранения огнестрельного оружия для лиц, в отн</w:t>
      </w:r>
      <w:r>
        <w:t>о</w:t>
      </w:r>
      <w:r>
        <w:t>шении которых был издан защищающий запрет. До этого суд, вынесший кому-либо приговор за совершение любых насильственных действий, не мог без особых причин дать отказ в связи с требованием обвинения ни о приостано</w:t>
      </w:r>
      <w:r>
        <w:t>в</w:t>
      </w:r>
      <w:r>
        <w:t>лении разрешения на какое-либо огнестрельное оружие, имеющееся у осу</w:t>
      </w:r>
      <w:r>
        <w:t>ж</w:t>
      </w:r>
      <w:r>
        <w:t>денного, ни о сдаче этого оружия на хранение в полицию. В соответствии с п</w:t>
      </w:r>
      <w:r>
        <w:t>о</w:t>
      </w:r>
      <w:r>
        <w:t>правкой №5 лицу, в отношении которого был издан защищающий запрет, авт</w:t>
      </w:r>
      <w:r>
        <w:t>о</w:t>
      </w:r>
      <w:r>
        <w:t>матически запрещается хранение или ношение огнестрельного оружия, вкл</w:t>
      </w:r>
      <w:r>
        <w:t>ю</w:t>
      </w:r>
      <w:r>
        <w:t>чая оружие, выданное силами безопасности или другим государственным о</w:t>
      </w:r>
      <w:r>
        <w:t>р</w:t>
      </w:r>
      <w:r>
        <w:t>ганом; этот запрет действует во всех случаях, кроме отдельно огов</w:t>
      </w:r>
      <w:r>
        <w:t>о</w:t>
      </w:r>
      <w:r>
        <w:t>ренных.</w:t>
      </w:r>
    </w:p>
    <w:p w:rsidR="00000000" w:rsidRDefault="00000000">
      <w:pPr>
        <w:pStyle w:val="SingleTxt"/>
      </w:pPr>
      <w:r>
        <w:t>115.</w:t>
      </w:r>
      <w:r>
        <w:tab/>
        <w:t>Поправка №7 от 2001 года к этому же закону предусматривает обязател</w:t>
      </w:r>
      <w:r>
        <w:t>ь</w:t>
      </w:r>
      <w:r>
        <w:t>ство лиц определенных профессий, перечисленных ниже, информировать лиц, которых они консультируют или лечат по долгу службы и в отношении которых есть обоснованные предположения о том, что они стали жертвами насилия или сексуальных преступлений, совершенных их бывшими или настоящими супр</w:t>
      </w:r>
      <w:r>
        <w:t>у</w:t>
      </w:r>
      <w:r>
        <w:t>гами, о том выборе, который у них есть: обратиться в полицию, департамент социального обслуживания или центр помощи и предупреждения насилия в семье. Данное обязательство распространяется на врачей, медицинских сестер, педагогов, социальных работников, сотрудников полиции, психологов, клин</w:t>
      </w:r>
      <w:r>
        <w:t>и</w:t>
      </w:r>
      <w:r>
        <w:t>ческих криминологов, средний медицинский персонал, юристов, религиозных наставников и раввинов.</w:t>
      </w:r>
    </w:p>
    <w:p w:rsidR="00000000" w:rsidRDefault="00000000">
      <w:pPr>
        <w:pStyle w:val="SingleTxt"/>
        <w:rPr>
          <w:b/>
        </w:rPr>
      </w:pPr>
      <w:r>
        <w:rPr>
          <w:b/>
        </w:rPr>
        <w:t>Другие законодательные изменения</w:t>
      </w:r>
    </w:p>
    <w:p w:rsidR="00000000" w:rsidRDefault="00000000">
      <w:pPr>
        <w:pStyle w:val="SingleTxt"/>
      </w:pPr>
      <w:r>
        <w:t>116.</w:t>
      </w:r>
      <w:r>
        <w:tab/>
        <w:t>Еще одним законодательным изменением стала поправка №36 от 2002 года к Уголовно-процессуальным правилам 1982 года, которой были д</w:t>
      </w:r>
      <w:r>
        <w:t>о</w:t>
      </w:r>
      <w:r>
        <w:t>бавлены разделы 59А и 62А. в соответствии с этими разделами сотрудник п</w:t>
      </w:r>
      <w:r>
        <w:t>о</w:t>
      </w:r>
      <w:r>
        <w:t>лиции и/или государственный обвинитель могут руководствоваться не только заявлением супруги при определении того, представляет ли дело интерес для общественности, и принятии решения не проводить расследования и не пр</w:t>
      </w:r>
      <w:r>
        <w:t>е</w:t>
      </w:r>
      <w:r>
        <w:t>следовать виновных в сексуальных преступлениях или насильственных дейс</w:t>
      </w:r>
      <w:r>
        <w:t>т</w:t>
      </w:r>
      <w:r>
        <w:t>виях, совершающихся в семье. В основе этой поправки лежит общеизвестный факт, что часто жертва преступления стремится забрать свое заявление, даже если оно обосновано, из страха перед нападавшим.</w:t>
      </w:r>
    </w:p>
    <w:p w:rsidR="00000000" w:rsidRDefault="00000000">
      <w:pPr>
        <w:pStyle w:val="SingleTxt"/>
      </w:pPr>
      <w:r>
        <w:t>117.</w:t>
      </w:r>
      <w:r>
        <w:tab/>
        <w:t>С тем чтобы убедить жертв сексуальных преступлений обращаться за п</w:t>
      </w:r>
      <w:r>
        <w:t>о</w:t>
      </w:r>
      <w:r>
        <w:t>мощью и делать заявления, в сентябре 2004 года Верховный суд вынес пост</w:t>
      </w:r>
      <w:r>
        <w:t>а</w:t>
      </w:r>
      <w:r>
        <w:t>новление прекратить публикацию имен заявителей по делам о сексуальных преступлениях, в которых обвиняемые были оправданы (дело №5877/99 - Хаим Янос против Государства Израиль (28.09.04)). Суд постановил, что в том сл</w:t>
      </w:r>
      <w:r>
        <w:t>у</w:t>
      </w:r>
      <w:r>
        <w:t>чае, если он отклоняет заявление конкретной истицы, он не должен более з</w:t>
      </w:r>
      <w:r>
        <w:t>а</w:t>
      </w:r>
      <w:r>
        <w:t>щищать ее и ее интересы (неприкосновенность частной жизни, человеческое достоинство и репутация). Однако первостепенными были признаны интересы общества: необходимо, чтобы женщины обращались за помощью и подавали заявления. Стремлению общества объявлять имена преступников сильно п</w:t>
      </w:r>
      <w:r>
        <w:t>о</w:t>
      </w:r>
      <w:r>
        <w:t>вредит публикация имен заявителей, даже ложных.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300" w:lineRule="exact"/>
        <w:ind w:left="792" w:right="1210"/>
      </w:pPr>
      <w:r>
        <w:t>Масштаб явления насилия в семье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rPr>
          <w:b/>
        </w:rPr>
      </w:pPr>
      <w:r>
        <w:rPr>
          <w:b/>
        </w:rPr>
        <w:t>Насилие в семье - общие сведения</w:t>
      </w:r>
    </w:p>
    <w:p w:rsidR="00000000" w:rsidRDefault="00000000">
      <w:pPr>
        <w:pStyle w:val="SingleTxt"/>
      </w:pPr>
      <w:r>
        <w:t>118.</w:t>
      </w:r>
      <w:r>
        <w:tab/>
        <w:t>Последние данные, представленные Национальной службой по социал</w:t>
      </w:r>
      <w:r>
        <w:t>ь</w:t>
      </w:r>
      <w:r>
        <w:t>ной работе Министерства здравоохранения показывают, что в среднем ежего</w:t>
      </w:r>
      <w:r>
        <w:t>д</w:t>
      </w:r>
      <w:r>
        <w:t>но сообщается о 2500 женщинах, ставших жертвами насилия. В основе этих цифр лежит информация, сообщаемая больницами, больничными кассами и подразделениями по охране матери и ребенка. Большинство таких женщин (80 процентов) выявляется по причине наличия телесных повреждений, 10 процентов — по сообщениям о сексуальном нападении, а остальные — по отчужденности и другим видам душевных страданий.</w:t>
      </w:r>
    </w:p>
    <w:p w:rsidR="00000000" w:rsidRDefault="00000000">
      <w:pPr>
        <w:pStyle w:val="SingleTxt"/>
      </w:pPr>
      <w:r>
        <w:t>119.</w:t>
      </w:r>
      <w:r>
        <w:tab/>
        <w:t>Министерство здравоохранения организовало семинары, практикумы и лекции, призванные помочь персоналу медицинских служб более эффективно выявлять жертв насилия в семье. С 2002 по 2003 год участниками таких курсов стали более 7000 врачей, медицинских сестер и других медработников. Кроме того, Министерство здравоохранения начало программу, приветствующую в</w:t>
      </w:r>
      <w:r>
        <w:t>ы</w:t>
      </w:r>
      <w:r>
        <w:t>яснение медперсоналом не подверглась ли поступающая в больницу женщина насилию, по какой бы причине она не поступила в больницу. Генеральный д</w:t>
      </w:r>
      <w:r>
        <w:t>и</w:t>
      </w:r>
      <w:r>
        <w:t>ректор Министерства здравоохранения выпустил циркуляр, обязывающий вр</w:t>
      </w:r>
      <w:r>
        <w:t>а</w:t>
      </w:r>
      <w:r>
        <w:t>чей при приеме пациенток в больницу выяснять, подвергалась ли женщина н</w:t>
      </w:r>
      <w:r>
        <w:t>а</w:t>
      </w:r>
      <w:r>
        <w:t>силию ранее.</w:t>
      </w:r>
    </w:p>
    <w:p w:rsidR="00000000" w:rsidRDefault="00000000">
      <w:pPr>
        <w:pStyle w:val="SingleTxt"/>
      </w:pPr>
      <w:r>
        <w:t>120.</w:t>
      </w:r>
      <w:r>
        <w:tab/>
        <w:t>В числе дополнительных шагов по борьбе с насилием в семье можно н</w:t>
      </w:r>
      <w:r>
        <w:t>а</w:t>
      </w:r>
      <w:r>
        <w:t>звать распространение информационных материалов и руководств для перс</w:t>
      </w:r>
      <w:r>
        <w:t>о</w:t>
      </w:r>
      <w:r>
        <w:t>нала, работающего с жертвами насилия и самих жертв насилия, увеличение числа социальных работников, имеющих опыт работы с жертвами насилия, в штате окружных медицинских центров и больниц, создание трех окружных центров для помощи женщин, ставших жертвами сексуальных нападений (в г. Тель-Авив, Хайфа и Тиверия), введение соответствующих профессионал</w:t>
      </w:r>
      <w:r>
        <w:t>ь</w:t>
      </w:r>
      <w:r>
        <w:t>ных инструкций для всех сотрудников системы здравоохранения, создание банков данных по жертвам насилия в семье, сексуальных нападений и неи</w:t>
      </w:r>
      <w:r>
        <w:t>с</w:t>
      </w:r>
      <w:r>
        <w:t>полнению родительских обязанностей в отношении несовершеннолетних и беспомощных.</w:t>
      </w:r>
    </w:p>
    <w:p w:rsidR="00000000" w:rsidRDefault="00000000">
      <w:pPr>
        <w:pStyle w:val="SingleTxt"/>
      </w:pPr>
      <w:r>
        <w:t>121.</w:t>
      </w:r>
      <w:r>
        <w:tab/>
        <w:t>Национальный орган по улучшению положения женщин провел широк</w:t>
      </w:r>
      <w:r>
        <w:t>о</w:t>
      </w:r>
      <w:r>
        <w:t>масштабной исследование, призванное установить степень способности пре</w:t>
      </w:r>
      <w:r>
        <w:t>д</w:t>
      </w:r>
      <w:r>
        <w:t>ставителей общества выявлять склонность партнера к насилию еще на стадии ухаживания. Исследование показало, что уровень такой способности крайне низок. Тем не менее, 90 процентов женщин заявили, что они разорвали бы о</w:t>
      </w:r>
      <w:r>
        <w:t>т</w:t>
      </w:r>
      <w:r>
        <w:t>ношения при выявлении признаков такой склонности. Около трети опроше</w:t>
      </w:r>
      <w:r>
        <w:t>н</w:t>
      </w:r>
      <w:r>
        <w:t>ных указали, что им известно о случаях насилия в семьях их друзей, а около 17 процентов опрошенных женщин сами пережили насилие в период ухажив</w:t>
      </w:r>
      <w:r>
        <w:t>а</w:t>
      </w:r>
      <w:r>
        <w:t>ния.</w:t>
      </w:r>
    </w:p>
    <w:p w:rsidR="00000000" w:rsidRDefault="00000000">
      <w:pPr>
        <w:pStyle w:val="SingleTxt"/>
        <w:rPr>
          <w:b/>
        </w:rPr>
      </w:pPr>
      <w:r>
        <w:rPr>
          <w:b/>
        </w:rPr>
        <w:t>Ведение полицией дел о насилии в семье</w:t>
      </w:r>
    </w:p>
    <w:p w:rsidR="00000000" w:rsidRDefault="00000000">
      <w:pPr>
        <w:pStyle w:val="SingleTxt"/>
      </w:pPr>
      <w:r>
        <w:t>122.</w:t>
      </w:r>
      <w:r>
        <w:tab/>
        <w:t>Согласно статистике, ведущейся полицией, число обратившихся с заявл</w:t>
      </w:r>
      <w:r>
        <w:t>е</w:t>
      </w:r>
      <w:r>
        <w:t>ниями о насилии в семье, снизилось. Так, в 2003 году было зарегистрировано 20 267 случаев насилия в семье, что на 2,9 процентов ниже аналогичного пок</w:t>
      </w:r>
      <w:r>
        <w:t>а</w:t>
      </w:r>
      <w:r>
        <w:t>зателя за 2002 год (20 857 случаев). Из всех зарегистрированных случаев физ</w:t>
      </w:r>
      <w:r>
        <w:t>и</w:t>
      </w:r>
      <w:r>
        <w:t>ческое насилие применялось в 15 468 по сравнению с 19 058 аналогичными случаями в 2002 году. Следующая таблица показывает разбивку случаев нас</w:t>
      </w:r>
      <w:r>
        <w:t>и</w:t>
      </w:r>
      <w:r>
        <w:t>лия в семье по основным видам совершаемых преступл</w:t>
      </w:r>
      <w:r>
        <w:t>е</w:t>
      </w:r>
      <w:r>
        <w:t>ний.</w:t>
      </w:r>
    </w:p>
    <w:p w:rsidR="00000000" w:rsidRDefault="00000000">
      <w:pPr>
        <w:pStyle w:val="SingleTxt"/>
        <w:spacing w:after="0" w:line="120" w:lineRule="exact"/>
        <w:ind w:left="1264" w:right="1264"/>
        <w:jc w:val="left"/>
        <w:rPr>
          <w:sz w:val="10"/>
        </w:rPr>
      </w:pPr>
      <w:r>
        <w:br w:type="page"/>
      </w:r>
    </w:p>
    <w:p w:rsidR="00000000" w:rsidRDefault="00000000">
      <w:pPr>
        <w:pStyle w:val="SingleTxt"/>
        <w:spacing w:after="0" w:line="120" w:lineRule="exact"/>
        <w:ind w:left="1264" w:right="1264"/>
        <w:jc w:val="lef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Диаграмма 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Случаи насилия в семье, 2003 год.</w:t>
      </w:r>
    </w:p>
    <w:p w:rsidR="00000000" w:rsidRDefault="00000000">
      <w:pPr>
        <w:pStyle w:val="SingleTxt"/>
        <w:keepNext/>
        <w:spacing w:after="0" w:line="120" w:lineRule="exact"/>
        <w:ind w:left="1264" w:right="1264"/>
        <w:jc w:val="left"/>
        <w:rPr>
          <w:sz w:val="10"/>
        </w:rPr>
      </w:pPr>
    </w:p>
    <w:p w:rsidR="00000000" w:rsidRDefault="00000000">
      <w:pPr>
        <w:pStyle w:val="SingleTxt"/>
        <w:keepNext/>
        <w:spacing w:after="0" w:line="120" w:lineRule="exact"/>
        <w:ind w:left="1264" w:right="1264"/>
        <w:jc w:val="left"/>
        <w:rPr>
          <w:sz w:val="10"/>
        </w:rPr>
      </w:pPr>
    </w:p>
    <w:p w:rsidR="00000000" w:rsidRDefault="00000000">
      <w:pPr>
        <w:spacing w:line="480" w:lineRule="auto"/>
        <w:ind w:left="720"/>
        <w:jc w:val="both"/>
        <w:rPr>
          <w:sz w:val="24"/>
          <w:highlight w:val="cyan"/>
        </w:rPr>
      </w:pPr>
      <w:r>
        <w:rPr>
          <w:sz w:val="24"/>
        </w:rPr>
        <w:object w:dxaOrig="6254" w:dyaOrig="3014">
          <v:shape id="_x0000_i1025" type="#_x0000_t75" style="width:312.75pt;height:150.75pt" o:ole="">
            <v:imagedata r:id="rId15" o:title=""/>
          </v:shape>
          <o:OLEObject Type="Embed" ProgID="MSGraph.Chart.8" ShapeID="_x0000_i1025" DrawAspect="Content" ObjectID="_1395241336" r:id="rId16">
            <o:FieldCodes>\s</o:FieldCodes>
          </o:OLEObject>
        </w:object>
      </w:r>
    </w:p>
    <w:p w:rsidR="00000000" w:rsidRDefault="00000000">
      <w:pPr>
        <w:pStyle w:val="SingleTxt"/>
        <w:rPr>
          <w:i/>
        </w:rPr>
      </w:pPr>
      <w:r>
        <w:rPr>
          <w:i/>
        </w:rPr>
        <w:t xml:space="preserve">Источник: </w:t>
      </w:r>
      <w:r>
        <w:t>Полиция Израиля, Преступность в Израиле, 2003 год.</w:t>
      </w:r>
    </w:p>
    <w:p w:rsidR="00000000" w:rsidRDefault="00000000">
      <w:pPr>
        <w:pStyle w:val="SingleTxt"/>
      </w:pPr>
      <w:r>
        <w:t>123.</w:t>
      </w:r>
      <w:r>
        <w:tab/>
        <w:t>Насилие в семье продолжает оставаться угрозой для женщин и их жизни. За первые 9 месяцев 2004 года десять женщин были убиты своими супругами. В приведенной ниже таблице показан рост числа убийств, совершенных супр</w:t>
      </w:r>
      <w:r>
        <w:t>у</w:t>
      </w:r>
      <w:r>
        <w:t>гами.</w:t>
      </w:r>
    </w:p>
    <w:p w:rsidR="00000000" w:rsidRDefault="00000000">
      <w:pPr>
        <w:pStyle w:val="SingleTxt"/>
        <w:spacing w:after="0" w:line="120" w:lineRule="exact"/>
        <w:ind w:left="1264" w:right="1264"/>
        <w:jc w:val="left"/>
        <w:rPr>
          <w:sz w:val="10"/>
        </w:rPr>
      </w:pPr>
    </w:p>
    <w:p w:rsidR="00000000" w:rsidRDefault="00000000">
      <w:pPr>
        <w:pStyle w:val="SingleTxt"/>
        <w:spacing w:after="0" w:line="120" w:lineRule="exact"/>
        <w:ind w:left="1264" w:right="1264"/>
        <w:jc w:val="lef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Диаграмма 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Убийство женщин их супругами в 1994-2003 годах. </w:t>
      </w:r>
    </w:p>
    <w:p w:rsidR="00000000" w:rsidRDefault="00000000">
      <w:pPr>
        <w:pStyle w:val="SingleTxt"/>
        <w:keepNext/>
        <w:spacing w:after="0" w:line="120" w:lineRule="exact"/>
        <w:ind w:left="1264" w:right="1264"/>
        <w:jc w:val="left"/>
        <w:rPr>
          <w:sz w:val="10"/>
        </w:rPr>
      </w:pPr>
    </w:p>
    <w:p w:rsidR="00000000" w:rsidRDefault="00000000">
      <w:pPr>
        <w:pStyle w:val="SingleTxt"/>
        <w:keepNext/>
        <w:spacing w:after="0" w:line="120" w:lineRule="exact"/>
        <w:ind w:left="1264" w:right="1264"/>
        <w:jc w:val="left"/>
        <w:rPr>
          <w:sz w:val="10"/>
        </w:rPr>
      </w:pPr>
    </w:p>
    <w:p w:rsidR="00000000" w:rsidRDefault="00000000">
      <w:pPr>
        <w:pStyle w:val="SingleTxt"/>
        <w:rPr>
          <w:i/>
        </w:rPr>
      </w:pPr>
      <w:r>
        <w:rPr>
          <w:i/>
          <w:noProof/>
          <w:w w:val="100"/>
        </w:rPr>
        <w:pict>
          <v:shape id="_x0000_s2174" type="#_x0000_t75" style="position:absolute;left:0;text-align:left;margin-left:88.3pt;margin-top:12.1pt;width:310.9pt;height:176pt;z-index:3;mso-wrap-distance-left:0;mso-wrap-distance-right:0;mso-position-horizontal:absolute;mso-position-horizontal-relative:page;mso-position-vertical:absolute;mso-position-vertical-relative:text" o:allowincell="f" fillcolor="#0c9">
            <v:imagedata r:id="rId17" o:title=""/>
            <w10:wrap anchorx="page"/>
          </v:shape>
        </w:pict>
      </w:r>
    </w:p>
    <w:p w:rsidR="00000000" w:rsidRDefault="00000000">
      <w:pPr>
        <w:pStyle w:val="SingleTxt"/>
        <w:rPr>
          <w:i/>
        </w:rPr>
      </w:pPr>
    </w:p>
    <w:p w:rsidR="00000000" w:rsidRDefault="00000000">
      <w:pPr>
        <w:pStyle w:val="SingleTxt"/>
        <w:rPr>
          <w:i/>
        </w:rPr>
      </w:pPr>
    </w:p>
    <w:p w:rsidR="00000000" w:rsidRDefault="00000000">
      <w:pPr>
        <w:pStyle w:val="SingleTxt"/>
        <w:rPr>
          <w:i/>
        </w:rPr>
      </w:pPr>
    </w:p>
    <w:p w:rsidR="00000000" w:rsidRDefault="00000000">
      <w:pPr>
        <w:pStyle w:val="SingleTxt"/>
        <w:rPr>
          <w:i/>
        </w:rPr>
      </w:pPr>
    </w:p>
    <w:p w:rsidR="00000000" w:rsidRDefault="00000000">
      <w:pPr>
        <w:pStyle w:val="SingleTxt"/>
        <w:rPr>
          <w:i/>
        </w:rPr>
      </w:pPr>
    </w:p>
    <w:p w:rsidR="00000000" w:rsidRDefault="00000000">
      <w:pPr>
        <w:pStyle w:val="SingleTxt"/>
      </w:pPr>
    </w:p>
    <w:p w:rsidR="00000000" w:rsidRDefault="00000000">
      <w:pPr>
        <w:pStyle w:val="SingleTxt"/>
        <w:rPr>
          <w:i/>
        </w:rPr>
      </w:pPr>
    </w:p>
    <w:p w:rsidR="00000000" w:rsidRDefault="00000000">
      <w:pPr>
        <w:pStyle w:val="SingleTxt"/>
        <w:rPr>
          <w:i/>
        </w:rPr>
      </w:pPr>
    </w:p>
    <w:p w:rsidR="00000000" w:rsidRDefault="00000000">
      <w:pPr>
        <w:pStyle w:val="SingleTxt"/>
        <w:rPr>
          <w:i/>
        </w:rPr>
      </w:pPr>
    </w:p>
    <w:p w:rsidR="00000000" w:rsidRDefault="00000000">
      <w:pPr>
        <w:pStyle w:val="SingleTxt"/>
        <w:rPr>
          <w:i/>
        </w:rPr>
      </w:pPr>
    </w:p>
    <w:p w:rsidR="00000000" w:rsidRDefault="00000000">
      <w:pPr>
        <w:pStyle w:val="SingleTxt"/>
        <w:rPr>
          <w:i/>
        </w:rPr>
      </w:pPr>
    </w:p>
    <w:p w:rsidR="00000000" w:rsidRDefault="00000000">
      <w:pPr>
        <w:pStyle w:val="SingleTxt"/>
        <w:rPr>
          <w:i/>
        </w:rPr>
      </w:pPr>
      <w:r>
        <w:rPr>
          <w:i/>
        </w:rPr>
        <w:t xml:space="preserve">Источник: </w:t>
      </w:r>
      <w:r>
        <w:t>Полиция Израиля, Преступность в Израиле, 2003 год.</w:t>
      </w:r>
    </w:p>
    <w:p w:rsidR="00000000" w:rsidRDefault="00000000">
      <w:pPr>
        <w:pStyle w:val="SingleTxt"/>
      </w:pPr>
      <w:r>
        <w:t>124.</w:t>
      </w:r>
      <w:r>
        <w:tab/>
        <w:t>Как мы уже сообщали в нашем предыдущем докладе, с 1998 года в пол</w:t>
      </w:r>
      <w:r>
        <w:t>и</w:t>
      </w:r>
      <w:r>
        <w:t>цейских участках по всей стране функционирует система расследования случ</w:t>
      </w:r>
      <w:r>
        <w:t>а</w:t>
      </w:r>
      <w:r>
        <w:t>ев насилия в семье, в состав которой входят 120 специально подготовленных следователей, специализирующихся на случаях насилия в семье. Еще 50 других следователей работает с делами о насилии в семье в более мален</w:t>
      </w:r>
      <w:r>
        <w:t>ь</w:t>
      </w:r>
      <w:r>
        <w:t>ких полицейских участках в дополнение в своей основной нагрузке. В каждом полицейском участке в зависимости от его размеров работает от 2 до 7 следователей, занимающихся случаями насилия в семье. Девять из 120 таких должностей закреплены за арабскими женщинами-следователями, работающ</w:t>
      </w:r>
      <w:r>
        <w:t>и</w:t>
      </w:r>
      <w:r>
        <w:t>ми в участках, обслуживающих арабские общины; в настоящее время работает 18 следователей со знанием арабского языка, 14 со знанием русского и 3 со знанием амхарского. Помимо недельного подготовительного курса, о котором рассказывалось в нашем предыдущем докладе, включающего теоретические и практические аспекты по вопросам социологии и правовым вопросам насилия в семье, а также различных руководств для сотрудников полиции в этой обла</w:t>
      </w:r>
      <w:r>
        <w:t>с</w:t>
      </w:r>
      <w:r>
        <w:t>ти, существуют также годичные семинары для новых следователей, приход</w:t>
      </w:r>
      <w:r>
        <w:t>я</w:t>
      </w:r>
      <w:r>
        <w:t>щих на работу в систему. Кроме того, проводятся семинары по проблеме нас</w:t>
      </w:r>
      <w:r>
        <w:t>и</w:t>
      </w:r>
      <w:r>
        <w:t>лия в семье (а также сексуальных преступлений) для руководителей следстве</w:t>
      </w:r>
      <w:r>
        <w:t>н</w:t>
      </w:r>
      <w:r>
        <w:t>ных подразделений, а также для сотрудников участков, следователей, зам</w:t>
      </w:r>
      <w:r>
        <w:t>е</w:t>
      </w:r>
      <w:r>
        <w:t>щающих сотру</w:t>
      </w:r>
      <w:r>
        <w:t>д</w:t>
      </w:r>
      <w:r>
        <w:t>ников, патрульных и т.д.</w:t>
      </w:r>
    </w:p>
    <w:p w:rsidR="00000000" w:rsidRDefault="00000000">
      <w:pPr>
        <w:pStyle w:val="SingleTxt"/>
      </w:pPr>
      <w:r>
        <w:t>125.</w:t>
      </w:r>
      <w:r>
        <w:tab/>
        <w:t>По просьбе Подразделения полиции по работе с жертвами преступлений Департамент полиции по наукам о поведении провел обширное исследование по проблеме отношения следователей и патрульных в случаях насилия в семье с тематической разбивкой по различным аспектам насилия в отношении же</w:t>
      </w:r>
      <w:r>
        <w:t>н</w:t>
      </w:r>
      <w:r>
        <w:t>щин. В целом, исследование показало, что следователи, занимающиеся вопр</w:t>
      </w:r>
      <w:r>
        <w:t>о</w:t>
      </w:r>
      <w:r>
        <w:t>сами насилия в семье, проявляют более позитивное отношение к пострада</w:t>
      </w:r>
      <w:r>
        <w:t>в</w:t>
      </w:r>
      <w:r>
        <w:t>шим женщинам, нежели патрульные. И те и другие относятся с равным дов</w:t>
      </w:r>
      <w:r>
        <w:t>е</w:t>
      </w:r>
      <w:r>
        <w:t>рием к тем причинам, по которым женщина подает заявление. Следователи также расценивают работу полиции в случаях насилия в семье как эффекти</w:t>
      </w:r>
      <w:r>
        <w:t>в</w:t>
      </w:r>
      <w:r>
        <w:t>ную. В исследовании также проводилось сравнение настоящей ситуации с с</w:t>
      </w:r>
      <w:r>
        <w:t>и</w:t>
      </w:r>
      <w:r>
        <w:t>туацией, отраженной в исследовании 1993 года: отношение сотрудников пол</w:t>
      </w:r>
      <w:r>
        <w:t>и</w:t>
      </w:r>
      <w:r>
        <w:t>ции к пострадавшим женщинам стало лучше, в отличие от отношения соц</w:t>
      </w:r>
      <w:r>
        <w:t>и</w:t>
      </w:r>
      <w:r>
        <w:t>альных работников. Это сравнение значительное улучшение ситуации в пол</w:t>
      </w:r>
      <w:r>
        <w:t>и</w:t>
      </w:r>
      <w:r>
        <w:t>ции в целом и следователей, занимающихся случаями насилия в семье, в час</w:t>
      </w:r>
      <w:r>
        <w:t>т</w:t>
      </w:r>
      <w:r>
        <w:t>ности.</w:t>
      </w:r>
    </w:p>
    <w:p w:rsidR="00000000" w:rsidRDefault="00000000">
      <w:pPr>
        <w:pStyle w:val="SingleTxt"/>
        <w:rPr>
          <w:b/>
          <w:i/>
        </w:rPr>
      </w:pPr>
      <w:r>
        <w:rPr>
          <w:b/>
          <w:i/>
        </w:rPr>
        <w:t>Дополнительная информация о полицейской практике в случаях насилия в семье</w:t>
      </w:r>
    </w:p>
    <w:p w:rsidR="00000000" w:rsidRDefault="00000000">
      <w:pPr>
        <w:pStyle w:val="SingleTxt"/>
      </w:pPr>
      <w:r>
        <w:t>126.</w:t>
      </w:r>
      <w:r>
        <w:tab/>
        <w:t>Следует отметить, что в соответствии с внутренними правилами сотру</w:t>
      </w:r>
      <w:r>
        <w:t>д</w:t>
      </w:r>
      <w:r>
        <w:t>ники полиции должны быстро и эффективно реагировать на случаи нарушения постановлений об ограничениях, в зависимости от того, насколько серьезно нарушение и какую опасность оно представляет.</w:t>
      </w:r>
    </w:p>
    <w:p w:rsidR="00000000" w:rsidRDefault="00000000">
      <w:pPr>
        <w:pStyle w:val="SingleTxt"/>
        <w:rPr>
          <w:b/>
        </w:rPr>
      </w:pPr>
      <w:r>
        <w:rPr>
          <w:b/>
        </w:rPr>
        <w:t>Лечебно-профилактические центры по проблемам насилия в семье</w:t>
      </w:r>
    </w:p>
    <w:p w:rsidR="00000000" w:rsidRDefault="00000000">
      <w:pPr>
        <w:pStyle w:val="SingleTxt"/>
      </w:pPr>
      <w:r>
        <w:t>127.</w:t>
      </w:r>
      <w:r>
        <w:tab/>
        <w:t>Число лечебно-профилактических центров по проблемам насилия в семье постоянно растет: в настоящее время их насчитывается 49 (18 центров было открыто с момента представления нашего предыдущего доклада). В 2004 году центры оказали помощь 6947 семьям (8556 человек) — на 13 процентов выше, чем в 2003 году — из них 26 процентов составили мужчины, 65 процентов — женщины, а 9 процентов — дети, ставшие свидетелями насилия в семье. В о</w:t>
      </w:r>
      <w:r>
        <w:t>б</w:t>
      </w:r>
      <w:r>
        <w:t>щей сложности в центрах ведется 266 терапевтических групп (увеличение на 27 процентов по сравнению с 210 в 2003 году). Кроме того, в 15 из таких це</w:t>
      </w:r>
      <w:r>
        <w:t>н</w:t>
      </w:r>
      <w:r>
        <w:t>тров ведутся программы по борьбе с насилием в отношении пожилых людей. Некоторые центры управляются женскими объединениями и организациями, но полностью финансируются Министерством по социальным вопросам (75 процентов) и муниципалитетами (25 процентов).</w:t>
      </w:r>
    </w:p>
    <w:p w:rsidR="00000000" w:rsidRDefault="00000000">
      <w:pPr>
        <w:pStyle w:val="SingleTxt"/>
      </w:pPr>
      <w:r>
        <w:t>128.</w:t>
      </w:r>
      <w:r>
        <w:tab/>
        <w:t>В 12 муниципалитетах в полицейских участках стали работать социал</w:t>
      </w:r>
      <w:r>
        <w:t>ь</w:t>
      </w:r>
      <w:r>
        <w:t>ные работники, которые должны проводить беседы а жертвами насилия в семье и агрессорами и направлять их в центры.</w:t>
      </w:r>
    </w:p>
    <w:p w:rsidR="00000000" w:rsidRDefault="00000000">
      <w:pPr>
        <w:pStyle w:val="SingleTxt"/>
        <w:rPr>
          <w:b/>
        </w:rPr>
      </w:pPr>
      <w:r>
        <w:rPr>
          <w:b/>
        </w:rPr>
        <w:t>Приюты для женщин, подвергшихся побоям</w:t>
      </w:r>
    </w:p>
    <w:p w:rsidR="00000000" w:rsidRDefault="00000000">
      <w:pPr>
        <w:pStyle w:val="SingleTxt"/>
      </w:pPr>
      <w:r>
        <w:t>129.</w:t>
      </w:r>
      <w:r>
        <w:tab/>
        <w:t>Министерство по социальным вопросам предоставляет женщинам, по</w:t>
      </w:r>
      <w:r>
        <w:t>д</w:t>
      </w:r>
      <w:r>
        <w:t>вергшимся побоям, три типа приютов. Все приюты управляются женскими объединениями и организациями, но полностью финансируются Министерс</w:t>
      </w:r>
      <w:r>
        <w:t>т</w:t>
      </w:r>
      <w:r>
        <w:t>вом по социальным вопросам и муниципалитетами.</w:t>
      </w:r>
    </w:p>
    <w:p w:rsidR="00000000" w:rsidRDefault="00000000">
      <w:pPr>
        <w:pStyle w:val="SingleTxt"/>
      </w:pPr>
      <w:r>
        <w:t>130.</w:t>
      </w:r>
      <w:r>
        <w:tab/>
        <w:t>Приюты первого типа, "приемные центры", предназначены для временн</w:t>
      </w:r>
      <w:r>
        <w:t>о</w:t>
      </w:r>
      <w:r>
        <w:t>го приема женщин, переезжающих из дома в приют, они есть в 5 муниципал</w:t>
      </w:r>
      <w:r>
        <w:t>и</w:t>
      </w:r>
      <w:r>
        <w:t>тетах: Афула, Ашдод, Ашкелон, Беэр-Шева, Димона. Эти приюты предназн</w:t>
      </w:r>
      <w:r>
        <w:t>а</w:t>
      </w:r>
      <w:r>
        <w:t>чены для женщин из любых общин, они также приспособлены для женщин-инвалидов. Продолжительность пребывания в таких приютах составляет шесть недель, в 2004 году ими воспользовались 63 женщины и около 100 детей (что на 43 процента выше, чем в 2003 году).</w:t>
      </w:r>
    </w:p>
    <w:p w:rsidR="00000000" w:rsidRDefault="00000000">
      <w:pPr>
        <w:pStyle w:val="SingleTxt"/>
      </w:pPr>
      <w:r>
        <w:t>131.</w:t>
      </w:r>
      <w:r>
        <w:tab/>
        <w:t>Ко второму типу относятся 14 приютов для женщин, подвергшихся поб</w:t>
      </w:r>
      <w:r>
        <w:t>о</w:t>
      </w:r>
      <w:r>
        <w:t>ям, и их детей. В 2004 году этими приютами воспользовалось 692 женщины и 1064 ребенка. На данный момент имеются два приюта, обслуживающий ара</w:t>
      </w:r>
      <w:r>
        <w:t>б</w:t>
      </w:r>
      <w:r>
        <w:t>ские общины, и один приют для женщин из ортодоксальной и ультраортодо</w:t>
      </w:r>
      <w:r>
        <w:t>к</w:t>
      </w:r>
      <w:r>
        <w:t>сальной общин. Один из приютов и один из двух арабских приютов рассчит</w:t>
      </w:r>
      <w:r>
        <w:t>а</w:t>
      </w:r>
      <w:r>
        <w:t>ны в том числе и на женщин-инвалидов. Еще в одном в настоящее время в</w:t>
      </w:r>
      <w:r>
        <w:t>е</w:t>
      </w:r>
      <w:r>
        <w:t>дутся работы по приспособлению его к потребностям женщин-инвалидов. Т</w:t>
      </w:r>
      <w:r>
        <w:t>а</w:t>
      </w:r>
      <w:r>
        <w:t>кие приюты расположены по всему Израилю, во всех женщины принимаются круглос</w:t>
      </w:r>
      <w:r>
        <w:t>у</w:t>
      </w:r>
      <w:r>
        <w:t>точно.</w:t>
      </w:r>
    </w:p>
    <w:p w:rsidR="00000000" w:rsidRDefault="00000000">
      <w:pPr>
        <w:pStyle w:val="SingleTxt"/>
      </w:pPr>
      <w:r>
        <w:t>132.</w:t>
      </w:r>
      <w:r>
        <w:tab/>
        <w:t>И, наконец, на данный момент имеется 16 "переходных приютов", пр</w:t>
      </w:r>
      <w:r>
        <w:t>и</w:t>
      </w:r>
      <w:r>
        <w:t xml:space="preserve">званных помочь женщинам вернуться к жизни за пределами приюта. В 2004 году такими приютами воспользовались 54 женщины и 93 ребенка, продолжительность их пребывания составляла от 6 до 12 месяцев. </w:t>
      </w:r>
    </w:p>
    <w:p w:rsidR="00000000" w:rsidRDefault="00000000">
      <w:pPr>
        <w:pStyle w:val="SingleTxt"/>
        <w:rPr>
          <w:b/>
        </w:rPr>
      </w:pPr>
      <w:r>
        <w:rPr>
          <w:b/>
        </w:rPr>
        <w:t>"Горячие линии"</w:t>
      </w:r>
    </w:p>
    <w:p w:rsidR="00000000" w:rsidRDefault="00000000">
      <w:pPr>
        <w:pStyle w:val="SingleTxt"/>
      </w:pPr>
      <w:r>
        <w:t>133.</w:t>
      </w:r>
      <w:r>
        <w:tab/>
        <w:t>В настоящее время функционирует национальная "горячая линия" для женщин, подвергшихся побоям, и детей, эта линия содержится Министерством по социальным вопросам с помощью объединения "Линия экстренной пом</w:t>
      </w:r>
      <w:r>
        <w:t>о</w:t>
      </w:r>
      <w:r>
        <w:t>щи". В 2004 году поступило 4700 звонков от женщин, мужчин и детей. Эта л</w:t>
      </w:r>
      <w:r>
        <w:t>и</w:t>
      </w:r>
      <w:r>
        <w:t>ния работает на иврите, арабском, русском и амхарском языках. Существует несколько дополнительных "горячих линий", содержащихся НПО, в которые поступает примерно такое же количество звонков. Израильский Союз центров помощи жертвам сексуальных нападений сообщает, что за 9 месяцев с начала 2004 года поступило 5600 заявлений от женщин, которые подверглись изнас</w:t>
      </w:r>
      <w:r>
        <w:t>и</w:t>
      </w:r>
      <w:r>
        <w:t>лованию или сексуальным нападениям.</w:t>
      </w:r>
    </w:p>
    <w:p w:rsidR="00000000" w:rsidRDefault="00000000">
      <w:pPr>
        <w:pStyle w:val="SingleTxt"/>
        <w:rPr>
          <w:b/>
        </w:rPr>
      </w:pPr>
      <w:r>
        <w:rPr>
          <w:b/>
        </w:rPr>
        <w:t>Работа с мужчинами, избивающими своих жен</w:t>
      </w:r>
    </w:p>
    <w:p w:rsidR="00000000" w:rsidRDefault="00000000">
      <w:pPr>
        <w:pStyle w:val="SingleTxt"/>
      </w:pPr>
      <w:r>
        <w:t>134.</w:t>
      </w:r>
      <w:r>
        <w:tab/>
        <w:t>Существует несколько программ работы с мужчинами, избивающими своих жен. В Пенитенциарной службе создано несколько различных программ для виновных в насилии. Одна из них называется "Беит Хатиквах" или "Дом надежды" и нацелена на снижение склонности осужденных к насилию, она действует в хермонской тюрьме. Две аналогичные программы проводятся в тюрьмах Цалмон и Кармел. Помимо этого, группы по работе с виновными в насилии в семье, в которых им помогают признать наличие проблемы и решить ее, есть в каждой тюрьме.</w:t>
      </w:r>
    </w:p>
    <w:p w:rsidR="00000000" w:rsidRDefault="00000000">
      <w:pPr>
        <w:pStyle w:val="SingleTxt"/>
        <w:rPr>
          <w:b/>
        </w:rPr>
      </w:pPr>
      <w:r>
        <w:rPr>
          <w:b/>
        </w:rPr>
        <w:t>Насилие в отношении женщин в арабских общинах</w:t>
      </w:r>
    </w:p>
    <w:p w:rsidR="00000000" w:rsidRDefault="00000000">
      <w:pPr>
        <w:pStyle w:val="SingleTxt"/>
      </w:pPr>
      <w:r>
        <w:t>135.</w:t>
      </w:r>
      <w:r>
        <w:tab/>
        <w:t>В 2003 году 3 арабских женщины были убиты во имя того, что называется "честь семьи". Убийство — это крайне тяжелое преступление, которое карается пожизненным заключением. Полиция Израиля, а также вся правовая система Израиля, рассматривают убийства именно так и расследуют их с особой стр</w:t>
      </w:r>
      <w:r>
        <w:t>о</w:t>
      </w:r>
      <w:r>
        <w:t>гостью, независимо от мотивов, по которым оно совершается. Израильские з</w:t>
      </w:r>
      <w:r>
        <w:t>а</w:t>
      </w:r>
      <w:r>
        <w:t>коны не признают никаких смягчающих вину обстоятельств в таких случаях, и виновные преследуются, предаются суду и наказываются по всей строгости з</w:t>
      </w:r>
      <w:r>
        <w:t>а</w:t>
      </w:r>
      <w:r>
        <w:t>кона.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Ch"/>
        <w:ind w:left="778" w:right="1267"/>
      </w:pPr>
      <w:r>
        <w:t>Статья 6. Пресечение эксплуатации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spacing w:line="300" w:lineRule="exact"/>
        <w:ind w:left="778" w:right="1267"/>
      </w:pPr>
      <w:r>
        <w:t>Общие положения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136.</w:t>
      </w:r>
      <w:r>
        <w:tab/>
        <w:t>Израиль является страной назначения для жертв торговли людьми в целях вовлечения их в проституцию. По оценкам полиции, в 2003 году примерно 2 000-3 000 женщин занимались в Израиле проституцией и большинство таких женщин, фактически, были жертвами торговли. По оценкам полиции, в 2004 году число женщин, занимающихся проституцией, заметно снизилось, в ос</w:t>
      </w:r>
      <w:r>
        <w:t>о</w:t>
      </w:r>
      <w:r>
        <w:t>бенности в районе Тель-Авива, где такая деятельность преимущество и осущ</w:t>
      </w:r>
      <w:r>
        <w:t>е</w:t>
      </w:r>
      <w:r>
        <w:t xml:space="preserve">ствляется.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137.</w:t>
      </w:r>
      <w:r>
        <w:tab/>
        <w:t>Жертвы торговли прибывают главным образом из бывших республик С</w:t>
      </w:r>
      <w:r>
        <w:t>о</w:t>
      </w:r>
      <w:r>
        <w:t>ветского Союза и в процессе торговли нелегально перевозятся преимущес</w:t>
      </w:r>
      <w:r>
        <w:t>т</w:t>
      </w:r>
      <w:r>
        <w:t>венно через границу с Египтом. Ввиду строгого надзора доля проникающих через официальные мо</w:t>
      </w:r>
      <w:r>
        <w:t>р</w:t>
      </w:r>
      <w:r>
        <w:t>ские порты и аэропорты весьма незначительна.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138.</w:t>
      </w:r>
      <w:r>
        <w:tab/>
        <w:t>Государство Израиль не проявляет терпимость в отношении такого явл</w:t>
      </w:r>
      <w:r>
        <w:t>е</w:t>
      </w:r>
      <w:r>
        <w:t>ния, как торговля людьми, боролось с этим явлением в прошлом и активизир</w:t>
      </w:r>
      <w:r>
        <w:t>о</w:t>
      </w:r>
      <w:r>
        <w:t>вало соответствующие усилия в отчетном периоде. Этот вопрос является пр</w:t>
      </w:r>
      <w:r>
        <w:t>и</w:t>
      </w:r>
      <w:r>
        <w:t xml:space="preserve">оритетным для правительства. За последние четыре года, в частности, Израиль активизировал свои усилия по предотвращению торговли, защите ее жертв и преследованию виновных в ней.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spacing w:line="300" w:lineRule="exact"/>
        <w:ind w:left="778" w:right="1267"/>
      </w:pPr>
      <w:r>
        <w:t xml:space="preserve">Предотвращение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spacing w:line="300" w:lineRule="exact"/>
        <w:ind w:left="1092" w:right="1267" w:firstLine="172"/>
      </w:pPr>
      <w:r>
        <w:t>Информационные кампании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139.</w:t>
      </w:r>
      <w:r>
        <w:tab/>
        <w:t>Что касается работы по предотвращению, то особое внимание уделялось проведению информационных кампаний с охватом потенциальных жертв и ориентированных на общество в целом.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140.</w:t>
      </w:r>
      <w:r>
        <w:tab/>
        <w:t>Во второй половине 2004 года министерство иностранных дел развернуло информационную кампанию в странах происхождения потенциальных жертв торговли с тем, чтобы предупредить их об опасностях и рисках, связанных с незаконным въездом в Израиль, и привлечь их внимание к тому, что реальная ситуация, в которой они окажутся, будет резко отличаться от того, что было обещано торговцами. Об этой беспрецедентной кампании уже поступили поз</w:t>
      </w:r>
      <w:r>
        <w:t>и</w:t>
      </w:r>
      <w:r>
        <w:t xml:space="preserve">тивные отклики со стороны организаций в странах происхождения.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141.</w:t>
      </w:r>
      <w:r>
        <w:tab/>
        <w:t>Что касается предотвращения, то министерство юстиции также опублик</w:t>
      </w:r>
      <w:r>
        <w:t>о</w:t>
      </w:r>
      <w:r>
        <w:t xml:space="preserve">вало информацию о таком явлении, как торговля, и о шагах, предпринятых правительством для борьбы с ней, на общедоступном сайте министерства в Интернете. О появлении этой информации общественность была оповещена с помощью объявлений в двух ежедневных газетах. Кроме того, министерство юстиции издало "заключение" по вопросу о незаконной торговле, с которым может ознакомиться общественность.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142.</w:t>
      </w:r>
      <w:r>
        <w:tab/>
        <w:t>На государственном телевидении было снято несколько документальных фильмов для повышения степени осведомленности общественности о пробл</w:t>
      </w:r>
      <w:r>
        <w:t>е</w:t>
      </w:r>
      <w:r>
        <w:t>ме незаконной торговли. Кроме того, министерство образования, культуры и спорта включает соответствующие программы в школьный учебный план.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spacing w:line="300" w:lineRule="exact"/>
        <w:ind w:left="1092" w:right="1267" w:firstLine="172"/>
      </w:pPr>
      <w:r>
        <w:t>Пограничный контроль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143.</w:t>
      </w:r>
      <w:r>
        <w:tab/>
        <w:t>Благодаря строгому надзору весьма незначительное число жертв незако</w:t>
      </w:r>
      <w:r>
        <w:t>н</w:t>
      </w:r>
      <w:r>
        <w:t>ной торговли прибывает через официальные морские порты и аэропорты. Их в основном незаконно переправляют через границу с Египтом. В марте 2003 года для осуществления контроля над границей с Египтом в целях предотвращения незаконного ввоза людей, наркотиков и оружия было создано новое полице</w:t>
      </w:r>
      <w:r>
        <w:t>й</w:t>
      </w:r>
      <w:r>
        <w:t>ское подразделение, именуемое группой пограничной полиции Рамон. Оно п</w:t>
      </w:r>
      <w:r>
        <w:t>о</w:t>
      </w:r>
      <w:r>
        <w:t>лучило особое указание, касающееся обращения с предполагаемыми жертвами незаконной торговли. Укрепление правоприменения привело к сокращению числа лиц, незаконно перевозимых через границу, на 20 процентов.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144.</w:t>
      </w:r>
      <w:r>
        <w:tab/>
        <w:t>В этом отношении были приняты серьезные меры. В результате инте</w:t>
      </w:r>
      <w:r>
        <w:t>н</w:t>
      </w:r>
      <w:r>
        <w:t>сивной деятельности в 2004 году на границе с Египтом было задержано 36 женщин, которые должны были незаконно въехать в Израиль для того, чт</w:t>
      </w:r>
      <w:r>
        <w:t>о</w:t>
      </w:r>
      <w:r>
        <w:t>бы заниматься там пр</w:t>
      </w:r>
      <w:r>
        <w:t>о</w:t>
      </w:r>
      <w:r>
        <w:t xml:space="preserve">ституцией.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Правовая основа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b/>
          <w:sz w:val="10"/>
        </w:rPr>
      </w:pPr>
    </w:p>
    <w:p w:rsidR="00000000" w:rsidRDefault="00000000">
      <w:pPr>
        <w:pStyle w:val="H1"/>
        <w:spacing w:line="300" w:lineRule="exact"/>
        <w:ind w:left="1092" w:right="1267" w:firstLine="172"/>
        <w:rPr>
          <w:b w:val="0"/>
        </w:rPr>
      </w:pPr>
      <w:r>
        <w:t>Законодательство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145.</w:t>
      </w:r>
      <w:r>
        <w:tab/>
        <w:t>Законодательство Израиля предусматривает конкретный запрет на торго</w:t>
      </w:r>
      <w:r>
        <w:t>в</w:t>
      </w:r>
      <w:r>
        <w:t>лю людьми. Фактически, в израильском Уголовном кодексе имеется конкретное положение о запрете торговли людьми. Речь идет о разделе 203А Уголовного кодекса, который гласит, что: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39" w:hanging="475"/>
      </w:pPr>
      <w:r>
        <w:t>а)</w:t>
      </w:r>
      <w:r>
        <w:tab/>
        <w:t>"продажа или приобретение человека для его вовлечения в занятие пр</w:t>
      </w:r>
      <w:r>
        <w:t>о</w:t>
      </w:r>
      <w:r>
        <w:t>ституцией или исполнение функций посредника в процессе продажи или покупки человека с этой целью наказывается тюремным заключением на срок 16 лет; для целей этого раздела "продажа" или "покупка" включает выгоду в форме денежных сумм, ценностей, услуг или любого другого интереса.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739" w:hanging="475"/>
      </w:pPr>
      <w:r>
        <w:rPr>
          <w:lang w:val="en-US"/>
        </w:rPr>
        <w:t>b</w:t>
      </w:r>
      <w:r>
        <w:t>)</w:t>
      </w:r>
      <w:r>
        <w:tab/>
        <w:t>принуждение лица к тому, чтобы покинуть государство своего прожив</w:t>
      </w:r>
      <w:r>
        <w:t>а</w:t>
      </w:r>
      <w:r>
        <w:t>ния для занятия проституцией наказывается тюремным заключением на срок 10 лет".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146.</w:t>
      </w:r>
      <w:r>
        <w:tab/>
        <w:t>Если потерпевший является несовершеннолетним, то наказание назнач</w:t>
      </w:r>
      <w:r>
        <w:t>а</w:t>
      </w:r>
      <w:r>
        <w:t xml:space="preserve">ется в виде 20 лет лишения свободы. Преступления, связанные с незаконной торговлей, также включены в качестве основных правонарушений в </w:t>
      </w:r>
      <w:r>
        <w:rPr>
          <w:i/>
        </w:rPr>
        <w:t>Закон о з</w:t>
      </w:r>
      <w:r>
        <w:rPr>
          <w:i/>
        </w:rPr>
        <w:t>а</w:t>
      </w:r>
      <w:r>
        <w:rPr>
          <w:i/>
        </w:rPr>
        <w:t xml:space="preserve">прете на отмывание денег, </w:t>
      </w:r>
      <w:r>
        <w:t>5760-2000</w:t>
      </w:r>
      <w:r>
        <w:rPr>
          <w:i/>
        </w:rPr>
        <w:t xml:space="preserve"> </w:t>
      </w:r>
      <w:r>
        <w:t>("</w:t>
      </w:r>
      <w:r>
        <w:rPr>
          <w:i/>
        </w:rPr>
        <w:t>Закон о запрете на отмывание д</w:t>
      </w:r>
      <w:r>
        <w:rPr>
          <w:i/>
        </w:rPr>
        <w:t>е</w:t>
      </w:r>
      <w:r>
        <w:rPr>
          <w:i/>
        </w:rPr>
        <w:t>нег</w:t>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147.</w:t>
      </w:r>
      <w:r>
        <w:tab/>
        <w:t>Подспорьем в борьбе с незаконной торговлей служит ряд недавно прин</w:t>
      </w:r>
      <w:r>
        <w:t>я</w:t>
      </w:r>
      <w:r>
        <w:t xml:space="preserve">тых законов. Например, принципиально новый закон против организованной преступности, озаглавленный </w:t>
      </w:r>
      <w:r>
        <w:rPr>
          <w:i/>
        </w:rPr>
        <w:t>Закон о борьбе с организованной преступн</w:t>
      </w:r>
      <w:r>
        <w:rPr>
          <w:i/>
        </w:rPr>
        <w:t>о</w:t>
      </w:r>
      <w:r>
        <w:rPr>
          <w:i/>
        </w:rPr>
        <w:t xml:space="preserve">стью, </w:t>
      </w:r>
      <w:r>
        <w:t>5763-2003 ("</w:t>
      </w:r>
      <w:r>
        <w:rPr>
          <w:i/>
        </w:rPr>
        <w:t>Закон о борьбе с организованной преступностью</w:t>
      </w:r>
      <w:r>
        <w:t>"), относит торговлю женщинами к категории особо тяжких преступлений. Кроме того, е</w:t>
      </w:r>
      <w:r>
        <w:t>с</w:t>
      </w:r>
      <w:r>
        <w:t>ли преступление совершено в рамках преступной организации, даже если о</w:t>
      </w:r>
      <w:r>
        <w:t>п</w:t>
      </w:r>
      <w:r>
        <w:t>ределенное деяние не предусмотрено в новом законе, правонарушителю назн</w:t>
      </w:r>
      <w:r>
        <w:t>а</w:t>
      </w:r>
      <w:r>
        <w:t>чается такое наказание, которое в два раза длиннее установленного соответс</w:t>
      </w:r>
      <w:r>
        <w:t>т</w:t>
      </w:r>
      <w:r>
        <w:t xml:space="preserve">вующим уголовным законодательством (до 25 лет лишения свободы). Суровое наказание назначается за правонарушения, связанные с незаконной торговлей в рамках организованной преступности, а именно до 25 лет лишения свободы.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148.</w:t>
      </w:r>
      <w:r>
        <w:tab/>
        <w:t>Кроме того, были приняты и другие поправки, ограничивающие мин</w:t>
      </w:r>
      <w:r>
        <w:t>и</w:t>
      </w:r>
      <w:r>
        <w:t>мальное наказание для торговцев одной четвертой максимального наказания, санкционирующие вынесение обвинительного акта против граждан и резиде</w:t>
      </w:r>
      <w:r>
        <w:t>н</w:t>
      </w:r>
      <w:r>
        <w:t>тов, совершивших связанные с незаконной торговлей преступления за руб</w:t>
      </w:r>
      <w:r>
        <w:t>е</w:t>
      </w:r>
      <w:r>
        <w:t>жом, если даже такое деяние является законным в рамках иностранной юри</w:t>
      </w:r>
      <w:r>
        <w:t>с</w:t>
      </w:r>
      <w:r>
        <w:t>дикции, ускоряющие процесс заблаговременного предоставления свидетел</w:t>
      </w:r>
      <w:r>
        <w:t>ь</w:t>
      </w:r>
      <w:r>
        <w:t>ских показаний потерпевшими и позволяющие потерпевшим давать свидетел</w:t>
      </w:r>
      <w:r>
        <w:t>ь</w:t>
      </w:r>
      <w:r>
        <w:t>ские показания в о</w:t>
      </w:r>
      <w:r>
        <w:t>т</w:t>
      </w:r>
      <w:r>
        <w:t>сутствие обвиняемых.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149.</w:t>
      </w:r>
      <w:r>
        <w:tab/>
        <w:t>Был предложен целый ряд законопроектов по борьбе с торговлей людьми, в том числе законопроект с широкой сферой охвата, посвященный такой то</w:t>
      </w:r>
      <w:r>
        <w:t>р</w:t>
      </w:r>
      <w:r>
        <w:t>говле и предусматривающий существенные и процедурные положения. Этот законопроект уже прошел предварительные чтения, и Комитет по конституции и законодательству приступил к его обсуждению для подготовки первого чт</w:t>
      </w:r>
      <w:r>
        <w:t>е</w:t>
      </w:r>
      <w:r>
        <w:t xml:space="preserve">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Расследование и судебное преследование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2" w:right="1267" w:firstLine="172"/>
      </w:pPr>
      <w:r>
        <w:t>Деятельность полиции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150.</w:t>
      </w:r>
      <w:r>
        <w:tab/>
        <w:t>Израильская полиция сотрудничает с полицейскими органами стран пр</w:t>
      </w:r>
      <w:r>
        <w:t>о</w:t>
      </w:r>
      <w:r>
        <w:t>исхождения, проводя, таким образом, подготовительную работу для экстрад</w:t>
      </w:r>
      <w:r>
        <w:t>и</w:t>
      </w:r>
      <w:r>
        <w:t>ции главного торговца в 2004 году. Глава полиции заявил, что приоритетной задачей в 2004 году будет борьба с организованной преступностью, включая торговлю людьми. В результате полиция стала принимать более активные меры для закрытия публичных домов и задержания преступников, связанных с пр</w:t>
      </w:r>
      <w:r>
        <w:t>о</w:t>
      </w:r>
      <w:r>
        <w:t>ституцией и торговлей людьми.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151.</w:t>
      </w:r>
      <w:r>
        <w:tab/>
        <w:t>В этом отношении стратегия полиции предусматривает укрепление коо</w:t>
      </w:r>
      <w:r>
        <w:t>р</w:t>
      </w:r>
      <w:r>
        <w:t>динации с экономическими правоприменительными органами, такими, напр</w:t>
      </w:r>
      <w:r>
        <w:t>и</w:t>
      </w:r>
      <w:r>
        <w:t>мер, как налоговые органы и агентство по вопросам отмывания денег в связи с организованной преступностью в целом и незаконной торговлей, в час</w:t>
      </w:r>
      <w:r>
        <w:t>т</w:t>
      </w:r>
      <w:r>
        <w:t>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152.</w:t>
      </w:r>
      <w:r>
        <w:tab/>
        <w:t>Позитивное сотрудничество развивается между израильской полицией и полицейскими силами Германии, России и Украины. Недавно Германия начала расследование, посвященное участию израильских граждан русского происх</w:t>
      </w:r>
      <w:r>
        <w:t>о</w:t>
      </w:r>
      <w:r>
        <w:t>ждения в деятельности организованных преступных групп и торговле женщ</w:t>
      </w:r>
      <w:r>
        <w:t>и</w:t>
      </w:r>
      <w:r>
        <w:t>нами. По этому эпизоду было арестовано множество людей. Израиль оказал помощь полицейским силам Германии, направив агентурные материалы и до</w:t>
      </w:r>
      <w:r>
        <w:t>з</w:t>
      </w:r>
      <w:r>
        <w:t xml:space="preserve">навателей.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Меры, принимаемые полицией против торговцев</w:t>
      </w:r>
    </w:p>
    <w:p w:rsidR="00000000" w:rsidRDefault="00000000">
      <w:pPr>
        <w:pStyle w:val="SingleTxt"/>
        <w:keepNext/>
        <w:spacing w:after="0" w:line="240" w:lineRule="auto"/>
        <w:rPr>
          <w:sz w:val="10"/>
        </w:rPr>
      </w:pPr>
    </w:p>
    <w:p w:rsidR="00000000" w:rsidRDefault="00000000">
      <w:pPr>
        <w:pStyle w:val="SingleTxt"/>
        <w:keepNext/>
        <w:spacing w:after="0" w:line="240" w:lineRule="auto"/>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392"/>
        <w:gridCol w:w="900"/>
        <w:gridCol w:w="900"/>
        <w:gridCol w:w="907"/>
      </w:tblGrid>
      <w:tr w:rsidR="00000000">
        <w:tblPrEx>
          <w:tblCellMar>
            <w:top w:w="0" w:type="dxa"/>
            <w:left w:w="0" w:type="dxa"/>
            <w:bottom w:w="0" w:type="dxa"/>
            <w:right w:w="0" w:type="dxa"/>
          </w:tblCellMar>
        </w:tblPrEx>
        <w:trPr>
          <w:tblHeader/>
        </w:trPr>
        <w:tc>
          <w:tcPr>
            <w:tcW w:w="4392"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rPr>
                <w:i/>
                <w:sz w:val="17"/>
              </w:rPr>
            </w:pPr>
          </w:p>
        </w:tc>
        <w:tc>
          <w:tcPr>
            <w:tcW w:w="900"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2002 год</w:t>
            </w:r>
          </w:p>
        </w:tc>
        <w:tc>
          <w:tcPr>
            <w:tcW w:w="900"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2003 год</w:t>
            </w:r>
          </w:p>
        </w:tc>
        <w:tc>
          <w:tcPr>
            <w:tcW w:w="907"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jc w:val="right"/>
              <w:rPr>
                <w:i/>
                <w:sz w:val="14"/>
              </w:rPr>
            </w:pPr>
            <w:r>
              <w:rPr>
                <w:i/>
                <w:sz w:val="14"/>
              </w:rPr>
              <w:t>2004 год</w:t>
            </w:r>
          </w:p>
        </w:tc>
      </w:tr>
      <w:tr w:rsidR="00000000">
        <w:tblPrEx>
          <w:tblCellMar>
            <w:top w:w="0" w:type="dxa"/>
            <w:left w:w="0" w:type="dxa"/>
            <w:bottom w:w="0" w:type="dxa"/>
            <w:right w:w="0" w:type="dxa"/>
          </w:tblCellMar>
        </w:tblPrEx>
        <w:trPr>
          <w:trHeight w:hRule="exact" w:val="115"/>
          <w:tblHeader/>
        </w:trPr>
        <w:tc>
          <w:tcPr>
            <w:tcW w:w="4392"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907"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392" w:type="dxa"/>
            <w:tcBorders>
              <w:top w:val="nil"/>
              <w:left w:val="nil"/>
              <w:bottom w:val="nil"/>
              <w:right w:val="nil"/>
            </w:tcBorders>
          </w:tcPr>
          <w:p w:rsidR="00000000" w:rsidRDefault="00000000">
            <w:pPr>
              <w:suppressAutoHyphens/>
              <w:spacing w:after="120"/>
              <w:rPr>
                <w:sz w:val="17"/>
                <w:lang w:eastAsia="en-US"/>
              </w:rPr>
            </w:pPr>
            <w:r>
              <w:rPr>
                <w:sz w:val="17"/>
                <w:lang w:eastAsia="en-US"/>
              </w:rPr>
              <w:t>Число расследований</w:t>
            </w:r>
          </w:p>
        </w:tc>
        <w:tc>
          <w:tcPr>
            <w:tcW w:w="900" w:type="dxa"/>
            <w:tcBorders>
              <w:top w:val="nil"/>
              <w:left w:val="nil"/>
              <w:bottom w:val="nil"/>
              <w:right w:val="nil"/>
            </w:tcBorders>
            <w:vAlign w:val="bottom"/>
          </w:tcPr>
          <w:p w:rsidR="00000000" w:rsidRDefault="00000000">
            <w:pPr>
              <w:spacing w:after="120"/>
              <w:jc w:val="right"/>
              <w:rPr>
                <w:sz w:val="17"/>
                <w:lang w:eastAsia="en-US"/>
              </w:rPr>
            </w:pPr>
            <w:r>
              <w:rPr>
                <w:sz w:val="17"/>
                <w:lang w:eastAsia="en-US"/>
              </w:rPr>
              <w:t>67</w:t>
            </w:r>
          </w:p>
        </w:tc>
        <w:tc>
          <w:tcPr>
            <w:tcW w:w="900" w:type="dxa"/>
            <w:tcBorders>
              <w:top w:val="nil"/>
              <w:left w:val="nil"/>
              <w:bottom w:val="nil"/>
              <w:right w:val="nil"/>
            </w:tcBorders>
            <w:vAlign w:val="bottom"/>
          </w:tcPr>
          <w:p w:rsidR="00000000" w:rsidRDefault="00000000">
            <w:pPr>
              <w:spacing w:after="120"/>
              <w:jc w:val="right"/>
              <w:rPr>
                <w:sz w:val="17"/>
                <w:lang w:eastAsia="en-US"/>
              </w:rPr>
            </w:pPr>
            <w:r>
              <w:rPr>
                <w:sz w:val="17"/>
                <w:lang w:eastAsia="en-US"/>
              </w:rPr>
              <w:t>51</w:t>
            </w:r>
          </w:p>
        </w:tc>
        <w:tc>
          <w:tcPr>
            <w:tcW w:w="907" w:type="dxa"/>
            <w:tcBorders>
              <w:top w:val="nil"/>
              <w:left w:val="nil"/>
              <w:bottom w:val="nil"/>
              <w:right w:val="nil"/>
            </w:tcBorders>
            <w:vAlign w:val="bottom"/>
          </w:tcPr>
          <w:p w:rsidR="00000000" w:rsidRDefault="00000000">
            <w:pPr>
              <w:spacing w:after="120"/>
              <w:jc w:val="right"/>
              <w:rPr>
                <w:sz w:val="17"/>
                <w:lang w:eastAsia="en-US"/>
              </w:rPr>
            </w:pPr>
            <w:r>
              <w:rPr>
                <w:sz w:val="17"/>
                <w:lang w:eastAsia="en-US"/>
              </w:rPr>
              <w:t>50</w:t>
            </w:r>
          </w:p>
        </w:tc>
      </w:tr>
      <w:tr w:rsidR="00000000">
        <w:tblPrEx>
          <w:tblCellMar>
            <w:top w:w="0" w:type="dxa"/>
            <w:left w:w="0" w:type="dxa"/>
            <w:bottom w:w="0" w:type="dxa"/>
            <w:right w:w="0" w:type="dxa"/>
          </w:tblCellMar>
        </w:tblPrEx>
        <w:tc>
          <w:tcPr>
            <w:tcW w:w="4392" w:type="dxa"/>
            <w:tcBorders>
              <w:top w:val="nil"/>
              <w:left w:val="nil"/>
              <w:bottom w:val="nil"/>
              <w:right w:val="nil"/>
            </w:tcBorders>
          </w:tcPr>
          <w:p w:rsidR="00000000" w:rsidRDefault="00000000">
            <w:pPr>
              <w:pStyle w:val="Heading7"/>
              <w:suppressAutoHyphens/>
              <w:spacing w:before="0" w:after="120" w:line="240" w:lineRule="exact"/>
              <w:jc w:val="left"/>
              <w:rPr>
                <w:sz w:val="17"/>
                <w:lang w:val="ru-RU" w:eastAsia="en-US"/>
              </w:rPr>
            </w:pPr>
            <w:r>
              <w:rPr>
                <w:sz w:val="17"/>
                <w:lang w:val="ru-RU" w:eastAsia="en-US"/>
              </w:rPr>
              <w:t>Число арестованных подозреваемых</w:t>
            </w:r>
          </w:p>
        </w:tc>
        <w:tc>
          <w:tcPr>
            <w:tcW w:w="900" w:type="dxa"/>
            <w:tcBorders>
              <w:top w:val="nil"/>
              <w:left w:val="nil"/>
              <w:bottom w:val="nil"/>
              <w:right w:val="nil"/>
            </w:tcBorders>
            <w:vAlign w:val="bottom"/>
          </w:tcPr>
          <w:p w:rsidR="00000000" w:rsidRDefault="00000000">
            <w:pPr>
              <w:spacing w:after="120"/>
              <w:jc w:val="right"/>
              <w:rPr>
                <w:sz w:val="17"/>
                <w:lang w:eastAsia="en-US"/>
              </w:rPr>
            </w:pPr>
            <w:r>
              <w:rPr>
                <w:sz w:val="17"/>
                <w:lang w:eastAsia="en-US"/>
              </w:rPr>
              <w:t>92</w:t>
            </w:r>
          </w:p>
        </w:tc>
        <w:tc>
          <w:tcPr>
            <w:tcW w:w="900" w:type="dxa"/>
            <w:tcBorders>
              <w:top w:val="nil"/>
              <w:left w:val="nil"/>
              <w:bottom w:val="nil"/>
              <w:right w:val="nil"/>
            </w:tcBorders>
            <w:vAlign w:val="bottom"/>
          </w:tcPr>
          <w:p w:rsidR="00000000" w:rsidRDefault="00000000">
            <w:pPr>
              <w:spacing w:after="120"/>
              <w:jc w:val="right"/>
              <w:rPr>
                <w:sz w:val="17"/>
                <w:lang w:eastAsia="en-US"/>
              </w:rPr>
            </w:pPr>
            <w:r>
              <w:rPr>
                <w:sz w:val="17"/>
                <w:lang w:eastAsia="en-US"/>
              </w:rPr>
              <w:t>92</w:t>
            </w:r>
          </w:p>
        </w:tc>
        <w:tc>
          <w:tcPr>
            <w:tcW w:w="907" w:type="dxa"/>
            <w:tcBorders>
              <w:top w:val="nil"/>
              <w:left w:val="nil"/>
              <w:bottom w:val="nil"/>
              <w:right w:val="nil"/>
            </w:tcBorders>
            <w:vAlign w:val="bottom"/>
          </w:tcPr>
          <w:p w:rsidR="00000000" w:rsidRDefault="00000000">
            <w:pPr>
              <w:spacing w:after="120"/>
              <w:jc w:val="right"/>
              <w:rPr>
                <w:sz w:val="17"/>
                <w:lang w:eastAsia="en-US"/>
              </w:rPr>
            </w:pPr>
            <w:r>
              <w:rPr>
                <w:sz w:val="17"/>
                <w:lang w:eastAsia="en-US"/>
              </w:rPr>
              <w:t>109</w:t>
            </w:r>
          </w:p>
        </w:tc>
      </w:tr>
      <w:tr w:rsidR="00000000">
        <w:tblPrEx>
          <w:tblCellMar>
            <w:top w:w="0" w:type="dxa"/>
            <w:left w:w="0" w:type="dxa"/>
            <w:bottom w:w="0" w:type="dxa"/>
            <w:right w:w="0" w:type="dxa"/>
          </w:tblCellMar>
        </w:tblPrEx>
        <w:tc>
          <w:tcPr>
            <w:tcW w:w="4392" w:type="dxa"/>
            <w:tcBorders>
              <w:top w:val="nil"/>
              <w:left w:val="nil"/>
              <w:bottom w:val="nil"/>
              <w:right w:val="nil"/>
            </w:tcBorders>
          </w:tcPr>
          <w:p w:rsidR="00000000" w:rsidRDefault="00000000">
            <w:pPr>
              <w:suppressAutoHyphens/>
              <w:spacing w:after="120"/>
              <w:rPr>
                <w:sz w:val="17"/>
                <w:lang w:eastAsia="en-US"/>
              </w:rPr>
            </w:pPr>
            <w:r>
              <w:rPr>
                <w:sz w:val="17"/>
                <w:lang w:eastAsia="en-US"/>
              </w:rPr>
              <w:t xml:space="preserve">Подозреваемые, арестованные на период судебного разбирательства </w:t>
            </w:r>
          </w:p>
        </w:tc>
        <w:tc>
          <w:tcPr>
            <w:tcW w:w="900" w:type="dxa"/>
            <w:tcBorders>
              <w:top w:val="nil"/>
              <w:left w:val="nil"/>
              <w:bottom w:val="nil"/>
              <w:right w:val="nil"/>
            </w:tcBorders>
            <w:vAlign w:val="bottom"/>
          </w:tcPr>
          <w:p w:rsidR="00000000" w:rsidRDefault="00000000">
            <w:pPr>
              <w:spacing w:after="120"/>
              <w:jc w:val="right"/>
              <w:rPr>
                <w:sz w:val="17"/>
                <w:lang w:eastAsia="en-US"/>
              </w:rPr>
            </w:pPr>
            <w:r>
              <w:rPr>
                <w:sz w:val="17"/>
                <w:lang w:eastAsia="en-US"/>
              </w:rPr>
              <w:t>55</w:t>
            </w:r>
          </w:p>
        </w:tc>
        <w:tc>
          <w:tcPr>
            <w:tcW w:w="900" w:type="dxa"/>
            <w:tcBorders>
              <w:top w:val="nil"/>
              <w:left w:val="nil"/>
              <w:bottom w:val="nil"/>
              <w:right w:val="nil"/>
            </w:tcBorders>
            <w:vAlign w:val="bottom"/>
          </w:tcPr>
          <w:p w:rsidR="00000000" w:rsidRDefault="00000000">
            <w:pPr>
              <w:spacing w:after="120"/>
              <w:jc w:val="right"/>
              <w:rPr>
                <w:sz w:val="17"/>
                <w:lang w:eastAsia="en-US"/>
              </w:rPr>
            </w:pPr>
            <w:r>
              <w:rPr>
                <w:sz w:val="17"/>
                <w:lang w:eastAsia="en-US"/>
              </w:rPr>
              <w:t>65</w:t>
            </w:r>
          </w:p>
        </w:tc>
        <w:tc>
          <w:tcPr>
            <w:tcW w:w="907" w:type="dxa"/>
            <w:tcBorders>
              <w:top w:val="nil"/>
              <w:left w:val="nil"/>
              <w:bottom w:val="nil"/>
              <w:right w:val="nil"/>
            </w:tcBorders>
            <w:vAlign w:val="bottom"/>
          </w:tcPr>
          <w:p w:rsidR="00000000" w:rsidRDefault="00000000">
            <w:pPr>
              <w:spacing w:after="120"/>
              <w:jc w:val="right"/>
              <w:rPr>
                <w:sz w:val="17"/>
                <w:lang w:eastAsia="en-US"/>
              </w:rPr>
            </w:pPr>
            <w:r>
              <w:rPr>
                <w:sz w:val="17"/>
                <w:lang w:eastAsia="en-US"/>
              </w:rPr>
              <w:t>72</w:t>
            </w:r>
          </w:p>
        </w:tc>
      </w:tr>
      <w:tr w:rsidR="00000000">
        <w:tblPrEx>
          <w:tblCellMar>
            <w:top w:w="0" w:type="dxa"/>
            <w:left w:w="0" w:type="dxa"/>
            <w:bottom w:w="0" w:type="dxa"/>
            <w:right w:w="0" w:type="dxa"/>
          </w:tblCellMar>
        </w:tblPrEx>
        <w:tc>
          <w:tcPr>
            <w:tcW w:w="4392" w:type="dxa"/>
            <w:tcBorders>
              <w:top w:val="nil"/>
              <w:left w:val="nil"/>
              <w:bottom w:val="single" w:sz="12" w:space="0" w:color="auto"/>
              <w:right w:val="nil"/>
            </w:tcBorders>
          </w:tcPr>
          <w:p w:rsidR="00000000" w:rsidRDefault="00000000">
            <w:pPr>
              <w:suppressAutoHyphens/>
              <w:spacing w:after="120"/>
              <w:rPr>
                <w:sz w:val="17"/>
                <w:lang w:eastAsia="en-US"/>
              </w:rPr>
            </w:pPr>
            <w:r>
              <w:rPr>
                <w:sz w:val="17"/>
                <w:lang w:eastAsia="en-US"/>
              </w:rPr>
              <w:t>Свидетели, проживавшие в финансируемых полицией общежитиях</w:t>
            </w:r>
          </w:p>
        </w:tc>
        <w:tc>
          <w:tcPr>
            <w:tcW w:w="900" w:type="dxa"/>
            <w:tcBorders>
              <w:top w:val="nil"/>
              <w:left w:val="nil"/>
              <w:bottom w:val="single" w:sz="12" w:space="0" w:color="auto"/>
              <w:right w:val="nil"/>
            </w:tcBorders>
            <w:vAlign w:val="bottom"/>
          </w:tcPr>
          <w:p w:rsidR="00000000" w:rsidRDefault="00000000">
            <w:pPr>
              <w:spacing w:after="120"/>
              <w:jc w:val="right"/>
              <w:rPr>
                <w:sz w:val="17"/>
                <w:lang w:eastAsia="en-US"/>
              </w:rPr>
            </w:pPr>
            <w:r>
              <w:rPr>
                <w:sz w:val="17"/>
                <w:lang w:eastAsia="en-US"/>
              </w:rPr>
              <w:t>130</w:t>
            </w:r>
          </w:p>
          <w:p w:rsidR="00000000" w:rsidRDefault="00000000">
            <w:pPr>
              <w:spacing w:after="120"/>
              <w:jc w:val="right"/>
              <w:rPr>
                <w:sz w:val="17"/>
                <w:lang w:eastAsia="en-US"/>
              </w:rPr>
            </w:pPr>
          </w:p>
        </w:tc>
        <w:tc>
          <w:tcPr>
            <w:tcW w:w="900" w:type="dxa"/>
            <w:tcBorders>
              <w:top w:val="nil"/>
              <w:left w:val="nil"/>
              <w:bottom w:val="single" w:sz="12" w:space="0" w:color="auto"/>
              <w:right w:val="nil"/>
            </w:tcBorders>
          </w:tcPr>
          <w:p w:rsidR="00000000" w:rsidRDefault="00000000">
            <w:pPr>
              <w:spacing w:after="120"/>
              <w:jc w:val="right"/>
              <w:rPr>
                <w:sz w:val="17"/>
                <w:lang w:eastAsia="en-US"/>
              </w:rPr>
            </w:pPr>
            <w:r>
              <w:rPr>
                <w:sz w:val="17"/>
                <w:lang w:eastAsia="en-US"/>
              </w:rPr>
              <w:t>114</w:t>
            </w:r>
          </w:p>
        </w:tc>
        <w:tc>
          <w:tcPr>
            <w:tcW w:w="907" w:type="dxa"/>
            <w:tcBorders>
              <w:top w:val="nil"/>
              <w:left w:val="nil"/>
              <w:bottom w:val="single" w:sz="12" w:space="0" w:color="auto"/>
              <w:right w:val="nil"/>
            </w:tcBorders>
            <w:vAlign w:val="bottom"/>
          </w:tcPr>
          <w:p w:rsidR="00000000" w:rsidRDefault="00000000">
            <w:pPr>
              <w:spacing w:after="120" w:line="240" w:lineRule="auto"/>
              <w:jc w:val="right"/>
              <w:rPr>
                <w:sz w:val="17"/>
                <w:lang w:eastAsia="en-US"/>
              </w:rPr>
            </w:pPr>
            <w:r>
              <w:rPr>
                <w:sz w:val="17"/>
                <w:lang w:eastAsia="en-US"/>
              </w:rPr>
              <w:t>166</w:t>
            </w:r>
          </w:p>
          <w:p w:rsidR="00000000" w:rsidRDefault="00000000">
            <w:pPr>
              <w:spacing w:after="120" w:line="240" w:lineRule="auto"/>
              <w:jc w:val="right"/>
              <w:rPr>
                <w:sz w:val="17"/>
                <w:lang w:eastAsia="en-US"/>
              </w:rPr>
            </w:pPr>
            <w:r>
              <w:rPr>
                <w:sz w:val="17"/>
                <w:lang w:eastAsia="en-US"/>
              </w:rPr>
              <w:t>в приюте</w:t>
            </w:r>
          </w:p>
        </w:tc>
      </w:tr>
    </w:tbl>
    <w:p w:rsidR="00000000" w:rsidRDefault="00000000">
      <w:pPr>
        <w:pStyle w:val="SingleTxt"/>
        <w:spacing w:after="0" w:line="120" w:lineRule="exact"/>
        <w:ind w:left="1264" w:right="1264"/>
        <w:jc w:val="lef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rPr>
          <w:i/>
        </w:rPr>
        <w:t xml:space="preserve">Источник: </w:t>
      </w:r>
      <w:r>
        <w:t>израильская полиция, январь 2005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153.</w:t>
      </w:r>
      <w:r>
        <w:tab/>
        <w:t>По оценкам полиции, в разгар принятия этих целенаправленных мер чи</w:t>
      </w:r>
      <w:r>
        <w:t>с</w:t>
      </w:r>
      <w:r>
        <w:t>ло пострадавших от торго</w:t>
      </w:r>
      <w:r>
        <w:t>в</w:t>
      </w:r>
      <w:r>
        <w:t xml:space="preserve">ли в 2004 году значительно снизилось.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5" w:right="1267" w:firstLine="172"/>
      </w:pPr>
      <w:r>
        <w:t>Судебное преследование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154.</w:t>
      </w:r>
      <w:r>
        <w:tab/>
        <w:t>За 2003 год государственной прокуратурой было вынесено свыше 50 о</w:t>
      </w:r>
      <w:r>
        <w:t>б</w:t>
      </w:r>
      <w:r>
        <w:t>винительных актов. За период с марта 2003 по февраль 2004 года прокуратура вынесла приблизительно 53 обвинительных акта в связи с торговлей людьми для вовлечения их в проституцию и взаимосвязанными преступлениями, в к</w:t>
      </w:r>
      <w:r>
        <w:t>о</w:t>
      </w:r>
      <w:r>
        <w:t>торых оказалось замешано свыше 90 обвиняемых.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155.</w:t>
      </w:r>
      <w:r>
        <w:tab/>
        <w:t>По данным судебной администрации, в течение 2004 года было вынесено 89 обвинительных актов в связи с торговлей людьми в целях вовлечения их в занятие проституцией и взаимосвязанными престу</w:t>
      </w:r>
      <w:r>
        <w:t>п</w:t>
      </w:r>
      <w:r>
        <w:t>лениями.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156.</w:t>
      </w:r>
      <w:r>
        <w:tab/>
        <w:t>Несколько обвинительных актов, вынесенных в 2004 году, охватывали о</w:t>
      </w:r>
      <w:r>
        <w:t>р</w:t>
      </w:r>
      <w:r>
        <w:t>ганизованную преступность, а также связанные с торговлей преступления. Н</w:t>
      </w:r>
      <w:r>
        <w:t>е</w:t>
      </w:r>
      <w:r>
        <w:t>которые обвинительные акты включали запрос о конфискации доходов, пол</w:t>
      </w:r>
      <w:r>
        <w:t>у</w:t>
      </w:r>
      <w:r>
        <w:t>ченных в результате совершения преступлений. Один раз был также включен и запрос о конфискации имущества и транспортных средств. Это - важное изм</w:t>
      </w:r>
      <w:r>
        <w:t>е</w:t>
      </w:r>
      <w:r>
        <w:t>нение, поскольку лишь подорвав экономическую основу торговли ее можно и</w:t>
      </w:r>
      <w:r>
        <w:t>с</w:t>
      </w:r>
      <w:r>
        <w:t>кор</w:t>
      </w:r>
      <w:r>
        <w:t>е</w:t>
      </w:r>
      <w:r>
        <w:t>нить.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157.</w:t>
      </w:r>
      <w:r>
        <w:tab/>
        <w:t>Следственные органы выступают за широкое толкование раздела 203А Уголовного кодекса (преступление, связанное с незаконной торговлей) в суде и за введение жестких санкций в отношении торговцев, включая компенсацию ее жертвам. Соответственно, по ряду дел в отношении торговцев были введены жесткие экон</w:t>
      </w:r>
      <w:r>
        <w:t>о</w:t>
      </w:r>
      <w:r>
        <w:t>мические санкции.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5" w:right="1267" w:firstLine="172"/>
      </w:pPr>
      <w:r>
        <w:t>Суды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158.</w:t>
      </w:r>
      <w:r>
        <w:tab/>
        <w:t>После принятия в 2000 году соответствующих законодательных актов с</w:t>
      </w:r>
      <w:r>
        <w:t>у</w:t>
      </w:r>
      <w:r>
        <w:t>ды широко толковали их, позволяя, таким образом, осуждать торговцев н</w:t>
      </w:r>
      <w:r>
        <w:t>е</w:t>
      </w:r>
      <w:r>
        <w:t>смотря на усилия адвокатов, направленные на то, чтобы поставить во главу у</w:t>
      </w:r>
      <w:r>
        <w:t>г</w:t>
      </w:r>
      <w:r>
        <w:t>ла букву закона, а не его дух. Суды продемонстрировали также, что они стали лучше понимать и осознавать тяжесть этого преступления и необходимость в назначении более суровых наказаний. Неоднократно суды недвусмысленно подчеркивали тяжесть преступлений, связанных с незаконной торговлей, и в</w:t>
      </w:r>
      <w:r>
        <w:t>ы</w:t>
      </w:r>
      <w:r>
        <w:t>ражали мнение о том, что они обязаны назначать суровые наказания, с тем чтобы отразить то суровое максимальное наказание, которое предусмотрено законодательством (лишение своб</w:t>
      </w:r>
      <w:r>
        <w:t>о</w:t>
      </w:r>
      <w:r>
        <w:t xml:space="preserve">ды на срок 16 лет).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159.</w:t>
      </w:r>
      <w:r>
        <w:tab/>
        <w:t>Помимо назначения суровых наказаний, в соответствии с разделом 77 Уголовного кодекса, суды уполномочены выносить решение о выплате компе</w:t>
      </w:r>
      <w:r>
        <w:t>н</w:t>
      </w:r>
      <w:r>
        <w:t>саций потерпевшим в результате преступлений на сумму до 228 000 новых ш</w:t>
      </w:r>
      <w:r>
        <w:t>е</w:t>
      </w:r>
      <w:r>
        <w:t xml:space="preserve">келей по каждому преступлению. Суды все чаще выносят решение о выплате компенсации потерпевшим в результате торговли. Следует отметить, что столь же жесткий подход суды ясно демонстрируют и в случаях с взаимосвязанными преступлениями.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Парламентский комитет по расследованию случаев торговли женщинами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160.</w:t>
      </w:r>
      <w:r>
        <w:tab/>
        <w:t>Одним из основных факторов, способствующих борьбе с торговлей людьми, как в области законодательства, так и повышения осведомленности общественности, является деятельность парламентского комитета по расслед</w:t>
      </w:r>
      <w:r>
        <w:t>о</w:t>
      </w:r>
      <w:r>
        <w:t>ванию случаев торговли женщинами. Парламентский комитет по расследов</w:t>
      </w:r>
      <w:r>
        <w:t>а</w:t>
      </w:r>
      <w:r>
        <w:t>нию, который не постоянным, созданным на ограниченный период времени комитетом, недавно был преобразован в постоянный подкомитет Комитета уполномоченного по правам человека кнессета. Это свидетельствует о призн</w:t>
      </w:r>
      <w:r>
        <w:t>а</w:t>
      </w:r>
      <w:r>
        <w:t>нии актуал</w:t>
      </w:r>
      <w:r>
        <w:t>ь</w:t>
      </w:r>
      <w:r>
        <w:t xml:space="preserve">ности этой проблемы среди высшего руководства кнессета.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161.</w:t>
      </w:r>
      <w:r>
        <w:tab/>
        <w:t>Комитет активно действует в законодательной сфере, предложив ряд з</w:t>
      </w:r>
      <w:r>
        <w:t>а</w:t>
      </w:r>
      <w:r>
        <w:t>конопроектов, и по сути своей является тем форумом, где представители ра</w:t>
      </w:r>
      <w:r>
        <w:t>з</w:t>
      </w:r>
      <w:r>
        <w:t>личных министерств обсуждают друг с другом и с представителями НПО пр</w:t>
      </w:r>
      <w:r>
        <w:t>о</w:t>
      </w:r>
      <w:r>
        <w:t>блемы и возможные способы борьбы с таким явлением, как незаконная торго</w:t>
      </w:r>
      <w:r>
        <w:t>в</w:t>
      </w:r>
      <w:r>
        <w:t>ля.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sz w:val="10"/>
        </w:rPr>
      </w:pPr>
      <w:r>
        <w:br w:type="page"/>
      </w:r>
    </w:p>
    <w:p w:rsidR="00000000" w:rsidRDefault="00000000">
      <w:pPr>
        <w:pStyle w:val="H1"/>
        <w:spacing w:line="300" w:lineRule="exact"/>
        <w:ind w:left="778" w:right="1267"/>
      </w:pPr>
      <w:r>
        <w:t>Оценка существующего положения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Назначение наказаний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5" w:right="1267" w:firstLine="172"/>
      </w:pPr>
      <w:r>
        <w:t>Суровые наказания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162.</w:t>
      </w:r>
      <w:r>
        <w:tab/>
        <w:t>После принятия раздела 203А число осужденных за преступления, св</w:t>
      </w:r>
      <w:r>
        <w:t>я</w:t>
      </w:r>
      <w:r>
        <w:t>занные с торговлей, неуклонно растет и за последние два года в целом ряде случаев торговцам назначались весьма суровые наказания. Суды неоднократно и недвусмысленно подчеркивали тяжесть преступлений, связанных с торго</w:t>
      </w:r>
      <w:r>
        <w:t>в</w:t>
      </w:r>
      <w:r>
        <w:t>лей, и выражают мнение о том, что они обязаны назначать суровые наказания с тем, чтобы отразить суровое максимальное наказание, предусмотренное зак</w:t>
      </w:r>
      <w:r>
        <w:t>о</w:t>
      </w:r>
      <w:r>
        <w:t xml:space="preserve">ном (лишение свободы на срок 16 лет). По делу С.С. 904/03 </w:t>
      </w:r>
      <w:r>
        <w:rPr>
          <w:i/>
        </w:rPr>
        <w:t>государство Изр</w:t>
      </w:r>
      <w:r>
        <w:rPr>
          <w:i/>
        </w:rPr>
        <w:t>а</w:t>
      </w:r>
      <w:r>
        <w:rPr>
          <w:i/>
        </w:rPr>
        <w:t>иль против Шраги Бен Виктора Злуцкого и других</w:t>
      </w:r>
      <w:r>
        <w:t xml:space="preserve"> (1.2.05) суд назначил сур</w:t>
      </w:r>
      <w:r>
        <w:t>о</w:t>
      </w:r>
      <w:r>
        <w:t>вое наказание в духе закона: первому обвиняемому было назначено наказание в виде 13 лет лишения свободы и уплаты каждой потерпевшей по 25 000 новых шекелей в качестве компенсации, второму обвиняемому было назначено нак</w:t>
      </w:r>
      <w:r>
        <w:t>а</w:t>
      </w:r>
      <w:r>
        <w:t xml:space="preserve">зание в виде 6 лет лишения свободы и уплаты каждой потерпевшей по 15 000 новых шекелей в качестве компенсации. Аналогичным образом, по делу С.С. 212/01 </w:t>
      </w:r>
      <w:r>
        <w:rPr>
          <w:i/>
        </w:rPr>
        <w:t xml:space="preserve">государство Израиль против Мордехая </w:t>
      </w:r>
      <w:r>
        <w:t>(8.2.05) суд назначил обвиня</w:t>
      </w:r>
      <w:r>
        <w:t>е</w:t>
      </w:r>
      <w:r>
        <w:t>мому в незаконной торговле наказание в виде 12 лет лишения свободы. По н</w:t>
      </w:r>
      <w:r>
        <w:t>е</w:t>
      </w:r>
      <w:r>
        <w:t xml:space="preserve">давно рассматривавшемуся делу С.С. 774/04 (14.3.05) </w:t>
      </w:r>
      <w:r>
        <w:rPr>
          <w:i/>
        </w:rPr>
        <w:t>государство Израиль против Геннадия Бославеца и других</w:t>
      </w:r>
      <w:r>
        <w:t xml:space="preserve"> обвиняемым было назначено суровое н</w:t>
      </w:r>
      <w:r>
        <w:t>а</w:t>
      </w:r>
      <w:r>
        <w:t>казание. Первому обвиняемому было назначено наказание в виде 14 лет лиш</w:t>
      </w:r>
      <w:r>
        <w:t>е</w:t>
      </w:r>
      <w:r>
        <w:t>ния свободы, 2 лет условного лишения свободы, уплаты 15 000 новых шекелей в качестве компенсации каждому из 10 потерпевших, уплаты 50 000 новых ш</w:t>
      </w:r>
      <w:r>
        <w:t>е</w:t>
      </w:r>
      <w:r>
        <w:t>келей в качестве штрафа или, как альтернатива, 6 месяцев лишения свободы, а также конфискации 200 000 новых шекелей. Второму обвиняемому было н</w:t>
      </w:r>
      <w:r>
        <w:t>а</w:t>
      </w:r>
      <w:r>
        <w:t>значено наказание в виде 10,5 лет лишения свободы, 1,5 лет условного лиш</w:t>
      </w:r>
      <w:r>
        <w:t>е</w:t>
      </w:r>
      <w:r>
        <w:t>ния свободы, уплаты штрафа в 20 000 новых шекелей или, как альтернатива, лишения свободы на срок 3 месяца.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163.</w:t>
      </w:r>
      <w:r>
        <w:tab/>
        <w:t>В этом году в своем историческом решении Верховный суд установил п</w:t>
      </w:r>
      <w:r>
        <w:t>о</w:t>
      </w:r>
      <w:r>
        <w:t>рядок назначения наказаний в тех случаях, когда незаконная торговля не с</w:t>
      </w:r>
      <w:r>
        <w:t>о</w:t>
      </w:r>
      <w:r>
        <w:t xml:space="preserve">провождалась открытым насилием. По делу С.С. 1075/03 </w:t>
      </w:r>
      <w:r>
        <w:rPr>
          <w:i/>
        </w:rPr>
        <w:t>государство Израиль против Александра Шалом Милокондова</w:t>
      </w:r>
      <w:r>
        <w:t xml:space="preserve"> (23.9.04) суд, назначив наказание в виде 12 лет лишения свободы, постановил, что согласие женщины не имеет значения с точки зрения преступления, связанного с торговлей, и что это пр</w:t>
      </w:r>
      <w:r>
        <w:t>е</w:t>
      </w:r>
      <w:r>
        <w:t>ступление носит настолько тяжкий характер, что виновные в его совершении заслуживают сурового наказания, даже если они не прибегали к открытому н</w:t>
      </w:r>
      <w:r>
        <w:t>а</w:t>
      </w:r>
      <w:r>
        <w:t xml:space="preserve">силию.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5" w:right="1267" w:firstLine="172"/>
      </w:pPr>
      <w:r>
        <w:t>Компенсация для потерпевшего от преступления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164.</w:t>
      </w:r>
      <w:r>
        <w:tab/>
        <w:t>В соответствии с разделом 77 Уголовного кодекса суды уполномочены выносить решения об уплате потерпевшим от преступления компенсации на сумму до 228 000 новых шекелей по каждом преступлению. По большинству рассматривавшихся ими дел суды назначали выплату компенсации потерпе</w:t>
      </w:r>
      <w:r>
        <w:t>в</w:t>
      </w:r>
      <w:r>
        <w:t>шим. Кроме того, в последнее время их суммы были относительно велики. Н</w:t>
      </w:r>
      <w:r>
        <w:t>а</w:t>
      </w:r>
      <w:r>
        <w:t xml:space="preserve">пример, по делу С.А. 3719/03 </w:t>
      </w:r>
      <w:r>
        <w:rPr>
          <w:i/>
        </w:rPr>
        <w:t xml:space="preserve">Анонимное лицо против государства Израиль </w:t>
      </w:r>
      <w:r>
        <w:t>(10.6.04) суд постановил, что потерпевшей должно быть выплачено 25 000 н</w:t>
      </w:r>
      <w:r>
        <w:t>о</w:t>
      </w:r>
      <w:r>
        <w:t xml:space="preserve">вых шекелей. По делу С.С. 1237/02 </w:t>
      </w:r>
      <w:r>
        <w:rPr>
          <w:i/>
        </w:rPr>
        <w:t xml:space="preserve">государство Израиль против Владимира Ваба Бен Нисон Чаймова и других </w:t>
      </w:r>
      <w:r>
        <w:t>(15.6.04) суд постановил, что одним из о</w:t>
      </w:r>
      <w:r>
        <w:t>б</w:t>
      </w:r>
      <w:r>
        <w:t xml:space="preserve">виняемых двум потерпевшим должно быть уплачено 15 000 новых шекелей, а другим четырем потерпевшим каждый обвиняемый должен уплатить по 7 500 новых шекелей. По делу С.С. 904/04 </w:t>
      </w:r>
      <w:r>
        <w:rPr>
          <w:i/>
        </w:rPr>
        <w:t xml:space="preserve">государство Израиль против Шраги Бен Виктора Злуцкого и других </w:t>
      </w:r>
      <w:r>
        <w:t xml:space="preserve">(1.2.05) каждая из потерпевших должна получить в общей сложности 40 000 новых шекелей от двух обвиняемых. По делу С.С. 774/04 (14.3.05) </w:t>
      </w:r>
      <w:r>
        <w:rPr>
          <w:i/>
        </w:rPr>
        <w:t>государство Израиль против Геннадия Бословица и других</w:t>
      </w:r>
      <w:r>
        <w:t xml:space="preserve"> первый обвиняемый обязан уплатить каждой из 10 потерпевших по 15 000 н</w:t>
      </w:r>
      <w:r>
        <w:t>о</w:t>
      </w:r>
      <w:r>
        <w:t>вых ш</w:t>
      </w:r>
      <w:r>
        <w:t>е</w:t>
      </w:r>
      <w:r>
        <w:t>келей.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keepNext/>
        <w:spacing w:line="300" w:lineRule="exact"/>
        <w:ind w:left="778" w:right="1267"/>
      </w:pPr>
      <w:r>
        <w:t>Защита и человеческий фактор</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keepNext/>
        <w:spacing w:line="300" w:lineRule="exact"/>
        <w:ind w:left="1095" w:right="1267" w:firstLine="172"/>
      </w:pPr>
      <w:r>
        <w:t>Приют</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165.</w:t>
      </w:r>
      <w:r>
        <w:tab/>
        <w:t>Был создан приют для жертв торговли, который функционирует с 15 фе</w:t>
      </w:r>
      <w:r>
        <w:t>в</w:t>
      </w:r>
      <w:r>
        <w:t>раля 2004 года. В приюте может быть размещено до 50 человек и поддержив</w:t>
      </w:r>
      <w:r>
        <w:t>а</w:t>
      </w:r>
      <w:r>
        <w:t>ется благожелательный климат с предоставлением доступа к психологической, социальной, медицинской и юридической помощи. В последнее время приют практически полностью заполнен. Руководит работой приюта НПО, хотя он и входит в сферу компетенции и контроля министерства по социальным вопр</w:t>
      </w:r>
      <w:r>
        <w:t>о</w:t>
      </w:r>
      <w:r>
        <w:t>сам.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2" w:right="1267" w:firstLine="172"/>
      </w:pPr>
      <w:r>
        <w:t>Помощь потерпевшим вне рамок приюта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166.</w:t>
      </w:r>
      <w:r>
        <w:tab/>
      </w:r>
      <w:r>
        <w:rPr>
          <w:i/>
        </w:rPr>
        <w:t>Жилье.</w:t>
      </w:r>
      <w:r>
        <w:t xml:space="preserve"> Потерпевших, которые не проживают в приюте, размещают в о</w:t>
      </w:r>
      <w:r>
        <w:t>п</w:t>
      </w:r>
      <w:r>
        <w:t>ределенных местах. Как правило, их не помещают в тюрьмы. Тех, кто прин</w:t>
      </w:r>
      <w:r>
        <w:t>и</w:t>
      </w:r>
      <w:r>
        <w:t>мает решение не давать показания и не проживает в приюте, направляют в одно из нижеследующих мест - в центр "Михал" для нелегальных иммигрантов в Хадере, в Зохаре на юге и в специальное отделение для незаконных мигрантов в тюрьме Маасиху. Во всех этих местах содержания условия относительно бл</w:t>
      </w:r>
      <w:r>
        <w:t>а</w:t>
      </w:r>
      <w:r>
        <w:t>гоприятные, потерпевших знакомят с их правами, представителям НПО пр</w:t>
      </w:r>
      <w:r>
        <w:t>е</w:t>
      </w:r>
      <w:r>
        <w:t>доставляется доступ для оказания помощи и предпринимаются попытки выя</w:t>
      </w:r>
      <w:r>
        <w:t>с</w:t>
      </w:r>
      <w:r>
        <w:t>нить ну</w:t>
      </w:r>
      <w:r>
        <w:t>ж</w:t>
      </w:r>
      <w:r>
        <w:t>ды потерпевших.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167.</w:t>
      </w:r>
      <w:r>
        <w:tab/>
      </w:r>
      <w:r>
        <w:rPr>
          <w:i/>
        </w:rPr>
        <w:t>Медицинское обслуживание.</w:t>
      </w:r>
      <w:r>
        <w:t xml:space="preserve"> Потерпевшим, не проживающим в приюте, предоставляются предметы первой необходимости и медицинская помощь в рамках учреждений администрации по делам иммиграции. Госпиталь Ичилов в Тель-Авиве и госпиталь Шаарей Цедек в Иерусалиме оказывают женщинам основную медицинскую помощь. Женщины без всяких условий могут пол</w:t>
      </w:r>
      <w:r>
        <w:t>у</w:t>
      </w:r>
      <w:r>
        <w:t>чить неотложную медицинскую помощь в любом из пунктов экстренной п</w:t>
      </w:r>
      <w:r>
        <w:t>о</w:t>
      </w:r>
      <w:r>
        <w:t>мощи в стране. Кроме того, они по-прежнему имеют право на получение бе</w:t>
      </w:r>
      <w:r>
        <w:t>с</w:t>
      </w:r>
      <w:r>
        <w:t>платной медицинской помощи для лечения передаваемых половым путем заб</w:t>
      </w:r>
      <w:r>
        <w:t>о</w:t>
      </w:r>
      <w:r>
        <w:t>леваний в двух клиниках в рамках медицинского центра Ливинского в Тель-Авиве и Ха</w:t>
      </w:r>
      <w:r>
        <w:t>й</w:t>
      </w:r>
      <w:r>
        <w:t>фе.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168.</w:t>
      </w:r>
      <w:r>
        <w:tab/>
      </w:r>
      <w:r>
        <w:rPr>
          <w:i/>
        </w:rPr>
        <w:t>Оценка риска</w:t>
      </w:r>
      <w:r>
        <w:t>. При получении каких-либо данных об угрожающей жертве торговле опасности органы полиции при содействии со стороны Интерпола и представителей израильской полиции за рубежом готовят оценку риска, кот</w:t>
      </w:r>
      <w:r>
        <w:t>о</w:t>
      </w:r>
      <w:r>
        <w:t>рому она подвергается в Израиле и в стране своего происхождения. Если будет установлено, что она подвергается опасности в стране происхождения, то б</w:t>
      </w:r>
      <w:r>
        <w:t>у</w:t>
      </w:r>
      <w:r>
        <w:t>дут предприняты попытки найти способ решения проблемы, например, нал</w:t>
      </w:r>
      <w:r>
        <w:t>а</w:t>
      </w:r>
      <w:r>
        <w:t>див контакт с ИОМ (Международной организацией по миграции) или НПО в странах происхождения с тем, чтобы скоординировать проведение программы нахо</w:t>
      </w:r>
      <w:r>
        <w:t>ж</w:t>
      </w:r>
      <w:r>
        <w:t>дения безопасного места жительства и реабилитации.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169.</w:t>
      </w:r>
      <w:r>
        <w:tab/>
        <w:t>По двум делам в течение 2004 года полиция пришла к выводу, что эти требования были достаточно обоснованными и женщины, поэтому, не были выдв</w:t>
      </w:r>
      <w:r>
        <w:t>о</w:t>
      </w:r>
      <w:r>
        <w:t xml:space="preserve">рены в страны своего происхождения.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keepNext/>
        <w:spacing w:line="300" w:lineRule="exact"/>
        <w:ind w:left="1095" w:right="1267" w:firstLine="172"/>
      </w:pPr>
      <w:r>
        <w:t>Координация</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170.</w:t>
      </w:r>
      <w:r>
        <w:tab/>
        <w:t>28 декабря 2003 года правительство постановило учредить Комитет ген</w:t>
      </w:r>
      <w:r>
        <w:t>е</w:t>
      </w:r>
      <w:r>
        <w:t>ральных директоров для разработки политики и программ, касающихся нез</w:t>
      </w:r>
      <w:r>
        <w:t>а</w:t>
      </w:r>
      <w:r>
        <w:t>конной торговли, в таких областях, как предотвращение и защита прав поте</w:t>
      </w:r>
      <w:r>
        <w:t>р</w:t>
      </w:r>
      <w:r>
        <w:t>певших. В своем постановлении правительство обязало министра юстиции н</w:t>
      </w:r>
      <w:r>
        <w:t>а</w:t>
      </w:r>
      <w:r>
        <w:t>значить координатора деятельности по предотвращению, а также по защите потерпевших. В течение последних двух лет координатор, де-факто действ</w:t>
      </w:r>
      <w:r>
        <w:t>о</w:t>
      </w:r>
      <w:r>
        <w:t>вавший под эгидой министерства юстиции, координировал усилия других пр</w:t>
      </w:r>
      <w:r>
        <w:t>а</w:t>
      </w:r>
      <w:r>
        <w:t>вительственных ведомств и НПО по обеспечению максимально возможного соблюдения прав потерпевших. Это помогло найти способы решения целого ряда неотложных, личных проблем, а также общих вопросов по линии соотве</w:t>
      </w:r>
      <w:r>
        <w:t>т</w:t>
      </w:r>
      <w:r>
        <w:t>ствующих правительственных учреждений. В настоящее время должен быть назначен н</w:t>
      </w:r>
      <w:r>
        <w:t>о</w:t>
      </w:r>
      <w:r>
        <w:t>вый координатор.</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5" w:right="1267" w:firstLine="172"/>
      </w:pPr>
      <w:r>
        <w:t>Визы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171.</w:t>
      </w:r>
      <w:r>
        <w:tab/>
        <w:t>За последние несколько лет министерство внутренних дел выдавало вр</w:t>
      </w:r>
      <w:r>
        <w:t>е</w:t>
      </w:r>
      <w:r>
        <w:t>менные визы жертвам незаконной торговли первоначально на шестимесячный период (который может быть продлен). В течение 2004 года бывший министр внутренних дел удовлетворил все ходатайства о выдаче временных виз, пре</w:t>
      </w:r>
      <w:r>
        <w:t>д</w:t>
      </w:r>
      <w:r>
        <w:t>ставленные потерпевшими, которые дали свидетельские показания. Все поте</w:t>
      </w:r>
      <w:r>
        <w:t>р</w:t>
      </w:r>
      <w:r>
        <w:t>певшие, проживающие в приюте, автоматически получают временные визы. Более того, бывший министр внутренних дел издал циркуляр, согласно кот</w:t>
      </w:r>
      <w:r>
        <w:t>о</w:t>
      </w:r>
      <w:r>
        <w:t>рому потерпевшим, которые дали свидетельские показания, как правило, пр</w:t>
      </w:r>
      <w:r>
        <w:t>е</w:t>
      </w:r>
      <w:r>
        <w:t>доставляются временные визы, включающие в том числе и разрешение на р</w:t>
      </w:r>
      <w:r>
        <w:t>а</w:t>
      </w:r>
      <w:r>
        <w:t>боту. Кроме того, в одном случае по рекомендации суда министр предоставил двухгодичную визу жертве незаконной торговле, зараженной вир</w:t>
      </w:r>
      <w:r>
        <w:t>у</w:t>
      </w:r>
      <w:r>
        <w:t>сом ВИЧ.</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5" w:right="1267" w:firstLine="172"/>
      </w:pPr>
      <w:r>
        <w:t>Суды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172.</w:t>
      </w:r>
      <w:r>
        <w:tab/>
        <w:t>Верховный суд выступал в качестве инициатора перемен и в ряде случаев ясно заявил, что незаконная торговля нарушает права человека и что связанные с незаконной торговлей преступления следует широко толковать в соответс</w:t>
      </w:r>
      <w:r>
        <w:t>т</w:t>
      </w:r>
      <w:r>
        <w:t>вии с международными конвенциями по незаконной торговле и конституцио</w:t>
      </w:r>
      <w:r>
        <w:t>н</w:t>
      </w:r>
      <w:r>
        <w:t xml:space="preserve">ными нормами, касающимися прав человека. Кроме того, суды стали все чаще назначать компенсации жертвам незаконной торговли. В связи с делом С.С. 455/02 </w:t>
      </w:r>
      <w:r>
        <w:rPr>
          <w:i/>
        </w:rPr>
        <w:t>государство Израиль против Бурштейна</w:t>
      </w:r>
      <w:r>
        <w:t xml:space="preserve"> (7.6.04) суд продолжит разр</w:t>
      </w:r>
      <w:r>
        <w:t>а</w:t>
      </w:r>
      <w:r>
        <w:t xml:space="preserve">ботку определения "посредника" в том, что касается связанного с незаконной торговлей преступления. Это преступление было широко истолковано так, что оно необязательно должно предусматривать прямые доказательства передачи денежных средств. Другое важное изменение - это более широкое применение законов об изнасиловании к ситуациям, связанным с незаконной торговлей. В таких ситуациях вступление торговцев в половую связь с находящейся под его контролем женщиной может быть сочтено изнасилованием, даже если она прямо об этом не говорит или не оказывает физическое сопротивление (С.С. 904/03 </w:t>
      </w:r>
      <w:r>
        <w:rPr>
          <w:i/>
        </w:rPr>
        <w:t>государство Изр</w:t>
      </w:r>
      <w:r>
        <w:rPr>
          <w:i/>
        </w:rPr>
        <w:t>а</w:t>
      </w:r>
      <w:r>
        <w:rPr>
          <w:i/>
        </w:rPr>
        <w:t>иль против Шраги Бен Виктора Злуцкого и других</w:t>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keepNext/>
        <w:spacing w:line="300" w:lineRule="exact"/>
        <w:ind w:left="1095" w:right="1267" w:firstLine="172"/>
      </w:pPr>
      <w:r>
        <w:t>Правовая помощь</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173.</w:t>
      </w:r>
      <w:r>
        <w:tab/>
        <w:t>В августе 2003 года вступил в силу законодательный акт, в соответствии с которым юристы из службы правовой помощи министерства юстиции могут представлять интересы потерпевших в рамках гражданских судебных проце</w:t>
      </w:r>
      <w:r>
        <w:t>с</w:t>
      </w:r>
      <w:r>
        <w:t>сов против торговцев и некоторых административных слушаний. Этот закон</w:t>
      </w:r>
      <w:r>
        <w:t>о</w:t>
      </w:r>
      <w:r>
        <w:t>дательный акт не предусматривает обязательного условия о финансовой с</w:t>
      </w:r>
      <w:r>
        <w:t>о</w:t>
      </w:r>
      <w:r>
        <w:t>стоятельности и будет применяться на практике поэтапно.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2" w:right="1267" w:firstLine="172"/>
      </w:pPr>
      <w:r>
        <w:t>Полиция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174.</w:t>
      </w:r>
      <w:r>
        <w:tab/>
        <w:t>Полиция доказала, что она все лучше осознает права потерпевших, и и</w:t>
      </w:r>
      <w:r>
        <w:t>з</w:t>
      </w:r>
      <w:r>
        <w:t>дала руководящие принципы по защите этих прав. Например, в общем, запр</w:t>
      </w:r>
      <w:r>
        <w:t>е</w:t>
      </w:r>
      <w:r>
        <w:t>щено подвергать аресту жертв торговли или возбуждать в отношении них ра</w:t>
      </w:r>
      <w:r>
        <w:t>с</w:t>
      </w:r>
      <w:r>
        <w:t>следование по подозрению в совершении преступлений, неразрывно связанных с их положением в стране, как, например, незаконный въезд. Кроме того, пол</w:t>
      </w:r>
      <w:r>
        <w:t>и</w:t>
      </w:r>
      <w:r>
        <w:t>ции запрещено склонять к даче показаний о незаконной торговле и ее внимание привлекается к тому, что дающих свидетельские показания потерпевших нел</w:t>
      </w:r>
      <w:r>
        <w:t>ь</w:t>
      </w:r>
      <w:r>
        <w:t>зя заключать под стражу.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175.</w:t>
      </w:r>
      <w:r>
        <w:tab/>
        <w:t>Полиция также оказывает помощь в защите потерпевших, проводя оценку риска в тех случаях, когда, по утверждению потерпевшей, она или ее семья б</w:t>
      </w:r>
      <w:r>
        <w:t>у</w:t>
      </w:r>
      <w:r>
        <w:t>дет подвергаться опасности после возвращения в страну своего происхожд</w:t>
      </w:r>
      <w:r>
        <w:t>е</w:t>
      </w:r>
      <w:r>
        <w:t xml:space="preserve">ния. Кроме того, дознаватели в целом относятся к потерпевшим с сочувствием.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5" w:right="1267" w:firstLine="172"/>
      </w:pPr>
      <w:r>
        <w:t>Образование, повышение осведомленности и сотрудничество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5" w:right="1267" w:firstLine="172"/>
      </w:pPr>
      <w:r>
        <w:t>Обучение и подготовка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176.</w:t>
      </w:r>
      <w:r>
        <w:tab/>
        <w:t>Следователи полиции ежегодно проходят специальную подготовку по в</w:t>
      </w:r>
      <w:r>
        <w:t>о</w:t>
      </w:r>
      <w:r>
        <w:t>просам рассмотрения дел, связанных с незаконной торговлей. Школа повыш</w:t>
      </w:r>
      <w:r>
        <w:t>е</w:t>
      </w:r>
      <w:r>
        <w:t>ния квалификации сотрудников полиции недавно осуществила две программы, касающиеся незаконной торговли. Одна из них была рассчитана на неделю и посвящена организованной преступности, охватывая и объединения торговцев (декабрь 2004 года). Другая программа в феврале 2005 года была рассчитана на неделю и посвящена торговле людьми. 3 февраля 2005 года Институт правовой подготовки адвокатов и юрисконсультов при министерстве юстиции провел с</w:t>
      </w:r>
      <w:r>
        <w:t>е</w:t>
      </w:r>
      <w:r>
        <w:t>минар по проблеме воздействия международного права на уголовное право, который включал лекцию, посвященную торговле людьми. В обоих учрежд</w:t>
      </w:r>
      <w:r>
        <w:t>е</w:t>
      </w:r>
      <w:r>
        <w:t>ниях за последние четыре года работники следственных органов и органов прокур</w:t>
      </w:r>
      <w:r>
        <w:t>а</w:t>
      </w:r>
      <w:r>
        <w:t xml:space="preserve">туры проходили подготовку по вопросам незаконной торговли.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2" w:right="1267" w:firstLine="172"/>
      </w:pPr>
      <w:r>
        <w:t>Сотрудничество с НПО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177.</w:t>
      </w:r>
      <w:r>
        <w:tab/>
        <w:t>Правительство придает большое значение постоянному поддержанию контактов с НПО и гражданским обществом в целом по проблеме незаконной торговли. С этой целью правительство сотрудничает со многими НПО в ра</w:t>
      </w:r>
      <w:r>
        <w:t>з</w:t>
      </w:r>
      <w:r>
        <w:t>личных областях, как, например, профилактика и защита жертв торговли. Ра</w:t>
      </w:r>
      <w:r>
        <w:t>з</w:t>
      </w:r>
      <w:r>
        <w:t>личные правительственные органы и НПО поддерживают постоянный диалог по проблеме незаконной торговли. Этот обмен мнениями привел как к закон</w:t>
      </w:r>
      <w:r>
        <w:t>о</w:t>
      </w:r>
      <w:r>
        <w:t>дательным инициативам, так и принятию совместных мер.</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178.</w:t>
      </w:r>
      <w:r>
        <w:tab/>
        <w:t>Израильские НПО организуют мероприятия для повышения осведомле</w:t>
      </w:r>
      <w:r>
        <w:t>н</w:t>
      </w:r>
      <w:r>
        <w:t xml:space="preserve">ности о проблеме торговли людьми, на низовом уровне проводятся различные встречи между представителями правительства и представителями НПО.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2" w:right="1267" w:firstLine="172"/>
      </w:pPr>
      <w:r>
        <w:t>Международные конференции и сотрудничество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179.</w:t>
      </w:r>
      <w:r>
        <w:tab/>
        <w:t>Правительство Израиля придает большое значение своему участию в ре</w:t>
      </w:r>
      <w:r>
        <w:t>а</w:t>
      </w:r>
      <w:r>
        <w:t>лизации соответствующих инициатив на международной арене. Правительство координирует работу нескольких международных рабочих групп и меропри</w:t>
      </w:r>
      <w:r>
        <w:t>я</w:t>
      </w:r>
      <w:r>
        <w:t>тий по предотвращению незаконной торговли, наблюдению и контролю за ней, а также уч</w:t>
      </w:r>
      <w:r>
        <w:t>а</w:t>
      </w:r>
      <w:r>
        <w:t>ствует в такой работе.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180.</w:t>
      </w:r>
      <w:r>
        <w:tab/>
        <w:t>Израильская полиция тесно сотрудничает с Интерполом по вопросам н</w:t>
      </w:r>
      <w:r>
        <w:t>е</w:t>
      </w:r>
      <w:r>
        <w:t>законной торговли. Израильская полиция наладила прямое сотрудничество с рядом стран происхождения и другими странами с помощью своих представ</w:t>
      </w:r>
      <w:r>
        <w:t>и</w:t>
      </w:r>
      <w:r>
        <w:t>телей за рубежом. В течение 2004 года по ряду дел активное сотрудничество осуществлялось с полицейскими силами таких государств, как Россия, Украина и Германия.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Вовлечение несовершеннолетних в занятие проституцией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181.</w:t>
      </w:r>
      <w:r>
        <w:tab/>
        <w:t>Последние данные свидетельствуют о том, что 10-12 процентов несове</w:t>
      </w:r>
      <w:r>
        <w:t>р</w:t>
      </w:r>
      <w:r>
        <w:t>шеннолетних девочек на попечении службы по делам женщин и министерства по социальным вопросам занимаются проституцией (примерно 45 несове</w:t>
      </w:r>
      <w:r>
        <w:t>р</w:t>
      </w:r>
      <w:r>
        <w:t>шеннолетних девочек). Еще какое-то количество несовершеннолетних девочек, которых, по оценкам изучающего эту проблему межминистерского и межорг</w:t>
      </w:r>
      <w:r>
        <w:t>а</w:t>
      </w:r>
      <w:r>
        <w:t>низационного комитета, насчитывается множество сотен, подвергаются ра</w:t>
      </w:r>
      <w:r>
        <w:t>з</w:t>
      </w:r>
      <w:r>
        <w:t xml:space="preserve">личным видам коммерческой сексуальной эксплуатации.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r>
        <w:rPr>
          <w:sz w:val="10"/>
        </w:rPr>
        <w:br w:type="page"/>
      </w:r>
    </w:p>
    <w:p w:rsidR="00000000" w:rsidRDefault="00000000">
      <w:pPr>
        <w:pStyle w:val="H1"/>
        <w:spacing w:line="300" w:lineRule="exact"/>
        <w:ind w:left="778" w:right="1224"/>
      </w:pPr>
      <w:r>
        <w:t>Программы реабилитации для женщин и девушек, находящихся в бедственном положении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182.</w:t>
      </w:r>
      <w:r>
        <w:tab/>
        <w:t>Как указывалось в нашем предыдущем докладе, не осуществляется ник</w:t>
      </w:r>
      <w:r>
        <w:t>а</w:t>
      </w:r>
      <w:r>
        <w:t>ких программ по реабилитации именно тех девушек и женщин, которые по</w:t>
      </w:r>
      <w:r>
        <w:t>д</w:t>
      </w:r>
      <w:r>
        <w:t>вергаются сексуальной эксплуатации. Основной реабилитационной програ</w:t>
      </w:r>
      <w:r>
        <w:t>м</w:t>
      </w:r>
      <w:r>
        <w:t>мой для девушек является Служба для оказания помощи девушкам, наход</w:t>
      </w:r>
      <w:r>
        <w:t>я</w:t>
      </w:r>
      <w:r>
        <w:t>щимся в бедственном положении, министерства по социальным вопросам. Данная служба занимается девушками в возрасте от 13 лет до 21 года в евре</w:t>
      </w:r>
      <w:r>
        <w:t>й</w:t>
      </w:r>
      <w:r>
        <w:t>ском секторе и девушками в возрасте до 25 лет, проживающими в арабском секторе. В 2000 году служба оказала помощь в общей сложности 17 000 дев</w:t>
      </w:r>
      <w:r>
        <w:t>у</w:t>
      </w:r>
      <w:r>
        <w:t>шек.</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Ch"/>
        <w:ind w:left="778" w:right="1224"/>
      </w:pPr>
      <w:r>
        <w:t>Статья 7. Политическая и общественная жизнь</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keepNext/>
        <w:spacing w:line="300" w:lineRule="exact"/>
        <w:ind w:left="778" w:right="1267"/>
      </w:pPr>
      <w:r>
        <w:t>Участие женщин в политической жизни в Израиле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183.</w:t>
      </w:r>
      <w:r>
        <w:tab/>
        <w:t>Женщины в Израиле имеют право голосовать на всех выборах и избират</w:t>
      </w:r>
      <w:r>
        <w:t>ь</w:t>
      </w:r>
      <w:r>
        <w:t>ся в любое государственное учреждение, а также занимать выборные должн</w:t>
      </w:r>
      <w:r>
        <w:t>о</w:t>
      </w:r>
      <w:r>
        <w:t>сти, они принимают участие в разработке всех аспектов государственной пол</w:t>
      </w:r>
      <w:r>
        <w:t>и</w:t>
      </w:r>
      <w:r>
        <w:t>тики и ее осуществлении, о чем подробно говорится в разделе настоящего до</w:t>
      </w:r>
      <w:r>
        <w:t>к</w:t>
      </w:r>
      <w:r>
        <w:t>лада, посвященном вышеуказанной статье.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184.</w:t>
      </w:r>
      <w:r>
        <w:tab/>
        <w:t>Участие женщин в политической жизни Израиля повсеместно расшир</w:t>
      </w:r>
      <w:r>
        <w:t>и</w:t>
      </w:r>
      <w:r>
        <w:t>лось, хотя в определенных областях политической жизни между численностью мужчин и численностью женщин по-прежнему имеется ра</w:t>
      </w:r>
      <w:r>
        <w:t>з</w:t>
      </w:r>
      <w:r>
        <w:t xml:space="preserve">рыв.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Представительство женщин в кнессете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185.</w:t>
      </w:r>
      <w:r>
        <w:tab/>
        <w:t>В нынешнем кнессете 16-го созыва имеется 18 депутатов-женщин, кот</w:t>
      </w:r>
      <w:r>
        <w:t>о</w:t>
      </w:r>
      <w:r>
        <w:t>рые составляют 15 процентов членов кнессета, что является беспрецедентно высоким показателем. В нынешнем составе кнессета женщина-депутат выпо</w:t>
      </w:r>
      <w:r>
        <w:t>л</w:t>
      </w:r>
      <w:r>
        <w:t>няет обязанности заместителя спикера кнессета, 4 женщины возглавляют к</w:t>
      </w:r>
      <w:r>
        <w:t>о</w:t>
      </w:r>
      <w:r>
        <w:t xml:space="preserve">митеты кнессета, а две женщины - подкомитеты.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Женщины в составе правительства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186.</w:t>
      </w:r>
      <w:r>
        <w:tab/>
        <w:t>В состав нынешнего 29-го правительства, возглавляемого премьер-министром Ариэлем Шароном, входит три женщины-министра (юстиции, о</w:t>
      </w:r>
      <w:r>
        <w:t>б</w:t>
      </w:r>
      <w:r>
        <w:t>разования и связи). Кроме того, в различных правительственных министерс</w:t>
      </w:r>
      <w:r>
        <w:t>т</w:t>
      </w:r>
      <w:r>
        <w:t>вах генеральными директорами работает пять женщин. Четыре женщины в н</w:t>
      </w:r>
      <w:r>
        <w:t>а</w:t>
      </w:r>
      <w:r>
        <w:t>стоящее время занимают должность заместителя министра.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Женщины в составе местных органов власти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187.</w:t>
      </w:r>
      <w:r>
        <w:tab/>
        <w:t>Хотя женщины и составляют около 60 процентов сотрудников местных органов власти, лишь 4 процента из них достигли высоких должностей.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188.</w:t>
      </w:r>
      <w:r>
        <w:tab/>
        <w:t>В ходе последних выборов в советы местных органов власти было избр</w:t>
      </w:r>
      <w:r>
        <w:t>а</w:t>
      </w:r>
      <w:r>
        <w:t>но 207 женщин - 10,3 процента всех избранных лиц. В целом женщины были избраны в 87 из 158 советов местных властей. Так, в то время как доля женщин в еврейских советах местных органов власти достигает 14,2 процента, ара</w:t>
      </w:r>
      <w:r>
        <w:t>б</w:t>
      </w:r>
      <w:r>
        <w:t>ские женщины составляют в них лишь 0,5 процента. Аналогичным образом, женщины были избраны в 82 процента еврейских местных советов и лишь в 4 процента арабских местных советов. Этот разрыв, как правило, объясняется действием различных социокультурных факторов, как, например, религия и местная традиция, с учетом того, что в некоторых общинах меньшинств роль женщины по-прежнему несколько ограничена, когда речь заходит о государс</w:t>
      </w:r>
      <w:r>
        <w:t>т</w:t>
      </w:r>
      <w:r>
        <w:t xml:space="preserve">венной службе.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189.</w:t>
      </w:r>
      <w:r>
        <w:tab/>
        <w:t>Следует отметить, что Орган по улучшению положения женщин приним</w:t>
      </w:r>
      <w:r>
        <w:t>а</w:t>
      </w:r>
      <w:r>
        <w:t>ет меры к расширению участия женщин в деятельности муниципалитетов. Для этого повышается осведомленность об участии женщин в политической де</w:t>
      </w:r>
      <w:r>
        <w:t>я</w:t>
      </w:r>
      <w:r>
        <w:t>тельности на местном уровне и готовится "резерв женщин" для следующих м</w:t>
      </w:r>
      <w:r>
        <w:t>е</w:t>
      </w:r>
      <w:r>
        <w:t>стных выборов, в особенности в арабском секторе. Орган по улучшению пол</w:t>
      </w:r>
      <w:r>
        <w:t>о</w:t>
      </w:r>
      <w:r>
        <w:t>жения женщин и союз местных органов власти также обращались с призывами о назначении женщин на высокие должности в муниципальных корпор</w:t>
      </w:r>
      <w:r>
        <w:t>а</w:t>
      </w:r>
      <w:r>
        <w:t xml:space="preserve">циях. </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keepNext/>
        <w:spacing w:line="300" w:lineRule="exact"/>
        <w:ind w:left="778" w:right="1267"/>
      </w:pPr>
      <w:r>
        <w:t>Женщины на гражданской службе</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keepNext/>
        <w:spacing w:line="300" w:lineRule="exact"/>
        <w:ind w:left="1092" w:right="1267" w:firstLine="172"/>
        <w:rPr>
          <w:b w:val="0"/>
        </w:rPr>
      </w:pPr>
      <w:r>
        <w:rPr>
          <w:b w:val="0"/>
        </w:rPr>
        <w:t>Ранги женщин в системе гражданской службы</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190.</w:t>
      </w:r>
      <w:r>
        <w:tab/>
        <w:t>Женщины составляют абсолютное большинство в следующих професси</w:t>
      </w:r>
      <w:r>
        <w:t>о</w:t>
      </w:r>
      <w:r>
        <w:t>нальных группах в системе гражданской службы: медицинские сестры (84 процента), биохимики-инженеры (84 процента), социальные работники (84 процента), адвокаты (66 процентов), юристы (66 процентов) и администрати</w:t>
      </w:r>
      <w:r>
        <w:t>в</w:t>
      </w:r>
      <w:r>
        <w:t>ные работники (63 процента).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191.</w:t>
      </w:r>
      <w:r>
        <w:tab/>
        <w:t>Хотя женщины и составляют 64 процента гражданских служащих, их доля среди руководителей высшего звена остается относительно низкой. Доля же</w:t>
      </w:r>
      <w:r>
        <w:t>н</w:t>
      </w:r>
      <w:r>
        <w:t>щин среди трех высших рангов старших руководителей на гражданской слу</w:t>
      </w:r>
      <w:r>
        <w:t>ж</w:t>
      </w:r>
      <w:r>
        <w:t>бе, из которых в основном и состоят административные руководители, ост</w:t>
      </w:r>
      <w:r>
        <w:t>а</w:t>
      </w:r>
      <w:r>
        <w:t>лась прежней после представления нашего предыдущего доклада. В 2003 году женщины составляли 40 процентов руководителей трех высших рангов и 72 пр</w:t>
      </w:r>
      <w:r>
        <w:t>о</w:t>
      </w:r>
      <w:r>
        <w:t>центов сотрудников более низких рангов.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2" w:right="1267" w:firstLine="172"/>
      </w:pPr>
      <w:r>
        <w:t>Конкурсы в системе гражданской службы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192.</w:t>
      </w:r>
      <w:r>
        <w:tab/>
        <w:t xml:space="preserve">Важным изменением в этой области стало принятие </w:t>
      </w:r>
      <w:r>
        <w:rPr>
          <w:i/>
        </w:rPr>
        <w:t>Закона о государс</w:t>
      </w:r>
      <w:r>
        <w:rPr>
          <w:i/>
        </w:rPr>
        <w:t>т</w:t>
      </w:r>
      <w:r>
        <w:rPr>
          <w:i/>
        </w:rPr>
        <w:t>венном конкурсе</w:t>
      </w:r>
      <w:r>
        <w:t xml:space="preserve"> (поправка № 12 от 2002 года), касающегося проводимых гос</w:t>
      </w:r>
      <w:r>
        <w:t>у</w:t>
      </w:r>
      <w:r>
        <w:t>дарством конкурсов для приобретения товаров, недвижимого имущества и у</w:t>
      </w:r>
      <w:r>
        <w:t>с</w:t>
      </w:r>
      <w:r>
        <w:t>луг, который запрещает дискриминацию среди кандидатов в рамках правител</w:t>
      </w:r>
      <w:r>
        <w:t>ь</w:t>
      </w:r>
      <w:r>
        <w:t xml:space="preserve">ственного конкурса на определенных основаниях, включая пол, сексуальную ориентацию, личный статус и наличие детей.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193.</w:t>
      </w:r>
      <w:r>
        <w:tab/>
        <w:t>За последние четыре года сократился разрыв между мужчинами и женщ</w:t>
      </w:r>
      <w:r>
        <w:t>и</w:t>
      </w:r>
      <w:r>
        <w:t>нами с точки зрения участия во внутренних конкурсах на замещение вакан</w:t>
      </w:r>
      <w:r>
        <w:t>т</w:t>
      </w:r>
      <w:r>
        <w:t>ных должностей, как в виде кандидатов, так и победителей таких конкурсов. Каждый год начиная с 2000 женщин-кандидатов было больше, чем мужчин, причем в 2003 году их доля достигла 62,36 процента. Эта тенденция также проявляется в области назначения женщин на должности гражданских служ</w:t>
      </w:r>
      <w:r>
        <w:t>а</w:t>
      </w:r>
      <w:r>
        <w:t>щих, причем в 2003 году на эти должности было назначено 61,52 процента женщин. Положение женщин на государственных конкурсах также улучш</w:t>
      </w:r>
      <w:r>
        <w:t>и</w:t>
      </w:r>
      <w:r>
        <w:t>лось, причем в 2003 году они составили 49,11 процента кандидатов и 53,5 пр</w:t>
      </w:r>
      <w:r>
        <w:t>о</w:t>
      </w:r>
      <w:r>
        <w:t>цента выигравших такие конкурсы. Однако положение мужчин все еще нен</w:t>
      </w:r>
      <w:r>
        <w:t>а</w:t>
      </w:r>
      <w:r>
        <w:t>много лучше (с точки зрения их высокой процентной доли на гражданской службе в целом).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194.</w:t>
      </w:r>
      <w:r>
        <w:tab/>
        <w:t>Комиссия по гражданской службе включила в конкурсное объявление ра</w:t>
      </w:r>
      <w:r>
        <w:t>з</w:t>
      </w:r>
      <w:r>
        <w:t>дел, касающийся конструктивных действий в интересах женщин, предусматр</w:t>
      </w:r>
      <w:r>
        <w:t>и</w:t>
      </w:r>
      <w:r>
        <w:t>вающей принятие особых мер в интересах женщин и разработку учебных пр</w:t>
      </w:r>
      <w:r>
        <w:t>о</w:t>
      </w:r>
      <w:r>
        <w:t>грамм по вопросу о конструктивных действиях в интересах женщин для чл</w:t>
      </w:r>
      <w:r>
        <w:t>е</w:t>
      </w:r>
      <w:r>
        <w:t>нов конкурсных комиссий.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Женщины на ключевых должностях в экономике и общественной жизни Израиля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195.</w:t>
      </w:r>
      <w:r>
        <w:tab/>
        <w:t xml:space="preserve">В конце 2002 года кнессет внес поправки в </w:t>
      </w:r>
      <w:r>
        <w:rPr>
          <w:i/>
        </w:rPr>
        <w:t>Закон о планировании и строительстве</w:t>
      </w:r>
      <w:r>
        <w:t xml:space="preserve"> с требованием включить представительницу женских орган</w:t>
      </w:r>
      <w:r>
        <w:t>и</w:t>
      </w:r>
      <w:r>
        <w:t>заций в состав национального совета по планированию и строительству с тем, чтобы учесть проблемы женщин в общей повестке дня в области планирования и стро</w:t>
      </w:r>
      <w:r>
        <w:t>и</w:t>
      </w:r>
      <w:r>
        <w:t xml:space="preserve">тельства.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196.</w:t>
      </w:r>
      <w:r>
        <w:tab/>
        <w:t>Кодекс по выборам в комитет наемных работников "нового Хизтадрута" (крупнейшей организации наемных работников в Израиле) предусматривает, что женщине-кандидату, получившей 50 процентов голосов, отдается предпо</w:t>
      </w:r>
      <w:r>
        <w:t>ч</w:t>
      </w:r>
      <w:r>
        <w:t>тение перед мужчиной, получившим столько же голосов, в компаниях, где з</w:t>
      </w:r>
      <w:r>
        <w:t>а</w:t>
      </w:r>
      <w:r>
        <w:t>нято свыше 300 работников, как минимум 25 процентов из которых - это же</w:t>
      </w:r>
      <w:r>
        <w:t>н</w:t>
      </w:r>
      <w:r>
        <w:t>щины. Кроме того, кодекс предусматривает, что в комитетах наемных работн</w:t>
      </w:r>
      <w:r>
        <w:t>и</w:t>
      </w:r>
      <w:r>
        <w:t>ков представители каждого пола должны составлять не менее 30 процентов.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Судопроизводство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197.</w:t>
      </w:r>
      <w:r>
        <w:tab/>
        <w:t>Число женщин-судей продолжает расти. В октябре 2004 года из 542 судей 262 были женщинами (48,3 процента судейского корпуса в Израиле). Число женщин-судей в составе Верховного суда возросло до 41 процента (5 из 12 п</w:t>
      </w:r>
      <w:r>
        <w:t>о</w:t>
      </w:r>
      <w:r>
        <w:t>стоянных членов Верховного суда). Женщины по-прежнему составляют бол</w:t>
      </w:r>
      <w:r>
        <w:t>ь</w:t>
      </w:r>
      <w:r>
        <w:t>шинство профессиональных судей по трудовым спорам (67,3 процента судей и 57,1 процента секретарей), почти половину судей окружных судов (41,3 пр</w:t>
      </w:r>
      <w:r>
        <w:t>о</w:t>
      </w:r>
      <w:r>
        <w:t>цента), почти половину судей мировых судов (48,7 процента) и свыше полов</w:t>
      </w:r>
      <w:r>
        <w:t>и</w:t>
      </w:r>
      <w:r>
        <w:t>ны секретарей в обеих судебных инстанциях (56,9 процента). Кроме того, во</w:t>
      </w:r>
      <w:r>
        <w:t>з</w:t>
      </w:r>
      <w:r>
        <w:t>росла роль женщин и в качестве общественных представителей в судах по тр</w:t>
      </w:r>
      <w:r>
        <w:t>у</w:t>
      </w:r>
      <w:r>
        <w:t>довым спорам (их доля составляет 14,8 процента), представляющих интересы союзов трудящихся и работодателей рука об руку с профессиональными юр</w:t>
      </w:r>
      <w:r>
        <w:t>и</w:t>
      </w:r>
      <w:r>
        <w:t xml:space="preserve">стами.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b/>
        </w:rPr>
      </w:pPr>
      <w:r>
        <w:t>198.</w:t>
      </w:r>
      <w:r>
        <w:tab/>
      </w:r>
      <w:r>
        <w:rPr>
          <w:u w:val="single"/>
        </w:rPr>
        <w:t>Юридические органы</w:t>
      </w:r>
      <w:r>
        <w:t>. Как уже подробно разъяснялось в нашем предыд</w:t>
      </w:r>
      <w:r>
        <w:t>у</w:t>
      </w:r>
      <w:r>
        <w:t>щем докладе, в государственно-правовом секторе женщины по-прежнему с</w:t>
      </w:r>
      <w:r>
        <w:t>о</w:t>
      </w:r>
      <w:r>
        <w:t>ставляют большинство. Женщина ушла с поста генерального прокурора, а по состоянию на июль 2004 года из 169 юрисконсультов министерства юстиции 113 (66,9 процента) были женщинами и аналогичная процентная доля женщин работает в государственной прокуратуре и генеральной прокуратуре (432 же</w:t>
      </w:r>
      <w:r>
        <w:t>н</w:t>
      </w:r>
      <w:r>
        <w:t>щины против 210 мужчин) и в службе государственных защитников (33 же</w:t>
      </w:r>
      <w:r>
        <w:t>н</w:t>
      </w:r>
      <w:r>
        <w:t xml:space="preserve">щины против 15 мужчин). Кроме того, юристами-стажерами является 201 женщина по сравнению со 120 мужчинами, а 22 женщины, по сравнению с всего лишь 8 мужчинами, по своему рангу приравнены к старшим судьям.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Правительственные корпорации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199.</w:t>
      </w:r>
      <w:r>
        <w:tab/>
        <w:t>Как указывается в нашем предыдущем докладе, представленность же</w:t>
      </w:r>
      <w:r>
        <w:t>н</w:t>
      </w:r>
      <w:r>
        <w:t>щин в советах правительственных корпораций растет. По состоянию на начало 2005 года женщины составляли 37 процентов директоров. Пять женщин (11,36 процента) возглавляли совета директоров (4 новых назначения после подготовки нашего предыдущего периодического доклада) и 10 женщин явл</w:t>
      </w:r>
      <w:r>
        <w:t>я</w:t>
      </w:r>
      <w:r>
        <w:t>лись генеральными директорами прав</w:t>
      </w:r>
      <w:r>
        <w:t>и</w:t>
      </w:r>
      <w:r>
        <w:t xml:space="preserve">тельственных корпораций.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200.</w:t>
      </w:r>
      <w:r>
        <w:tab/>
        <w:t>Орган по правительственным корпорациям, в сотрудничестве с Органом по улучшению положения женщин, обратились ко всем правительственным корпорациям с просьбой рассмотреть вопрос о надлежащей представленности женщин в своих ежегодных докладах.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Женщины на военной службе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2" w:right="1267" w:firstLine="172"/>
      </w:pPr>
      <w:r>
        <w:t>Правовая служба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201.</w:t>
      </w:r>
      <w:r>
        <w:tab/>
        <w:t xml:space="preserve">В декабре 2000 года министр обороны издал </w:t>
      </w:r>
      <w:r>
        <w:rPr>
          <w:i/>
        </w:rPr>
        <w:t>Правила прохождения вое</w:t>
      </w:r>
      <w:r>
        <w:rPr>
          <w:i/>
        </w:rPr>
        <w:t>н</w:t>
      </w:r>
      <w:r>
        <w:rPr>
          <w:i/>
        </w:rPr>
        <w:t xml:space="preserve">ной службы (определение должностей, которые могут занимать женщины-добровольцы), 5761-1001 </w:t>
      </w:r>
      <w:r>
        <w:t>("</w:t>
      </w:r>
      <w:r>
        <w:rPr>
          <w:i/>
        </w:rPr>
        <w:t>Правила прохождения военной службы (определ</w:t>
      </w:r>
      <w:r>
        <w:rPr>
          <w:i/>
        </w:rPr>
        <w:t>е</w:t>
      </w:r>
      <w:r>
        <w:rPr>
          <w:i/>
        </w:rPr>
        <w:t>ние должностей, которые могут занимать женщины-добровольцы)") в соо</w:t>
      </w:r>
      <w:r>
        <w:rPr>
          <w:i/>
        </w:rPr>
        <w:t>т</w:t>
      </w:r>
      <w:r>
        <w:rPr>
          <w:i/>
        </w:rPr>
        <w:t>ветствии с разделом 16А Закона о воинской службе [объединенный текст]</w:t>
      </w:r>
      <w:r>
        <w:t xml:space="preserve"> с указанием всех должностей, требующих активного набора добровольцев, ура</w:t>
      </w:r>
      <w:r>
        <w:t>в</w:t>
      </w:r>
      <w:r>
        <w:t>няв, таким образом, в правах тех мужчин и женщин, которые проходили слу</w:t>
      </w:r>
      <w:r>
        <w:t>ж</w:t>
      </w:r>
      <w:r>
        <w:t>бу на этих должностях. Кроме того, раздел 16А нацелен на обеспечение сущ</w:t>
      </w:r>
      <w:r>
        <w:t>е</w:t>
      </w:r>
      <w:r>
        <w:t>ственного равенства возможностей мужчин и женщин при прохождении ими воинской службы и работе в вооруженных силах, а также при выполнении ими обязанностей, связанных с такой службой, которые предписываются минис</w:t>
      </w:r>
      <w:r>
        <w:t>т</w:t>
      </w:r>
      <w:r>
        <w:t>ром обор</w:t>
      </w:r>
      <w:r>
        <w:t>о</w:t>
      </w:r>
      <w:r>
        <w:t>ны в соответствии с законом.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202.</w:t>
      </w:r>
      <w:r>
        <w:tab/>
        <w:t>После ликвидации женского корпуса ("Чен") 1 августа 2001 года начал</w:t>
      </w:r>
      <w:r>
        <w:t>ь</w:t>
      </w:r>
      <w:r>
        <w:t>ник штаба учредил специальный орган, возглавляемый советником по пробл</w:t>
      </w:r>
      <w:r>
        <w:t>е</w:t>
      </w:r>
      <w:r>
        <w:t>мам женщин (бригадным генералом). Этот орган призван добиться создания такой атмосферы, в которой женщины могут лучше реализовать свои возмо</w:t>
      </w:r>
      <w:r>
        <w:t>ж</w:t>
      </w:r>
      <w:r>
        <w:t>ности в военно-воздушных силах и других родах войск и обеспечить большее равноправие в целях расширения прав и возможностей женщин в военно-воздушных силах и других родах войск и в израил</w:t>
      </w:r>
      <w:r>
        <w:t>ь</w:t>
      </w:r>
      <w:r>
        <w:t>ском обществе.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r>
        <w:rPr>
          <w:sz w:val="10"/>
        </w:rPr>
        <w:br w:type="page"/>
      </w:r>
    </w:p>
    <w:p w:rsidR="00000000" w:rsidRDefault="00000000">
      <w:pPr>
        <w:pStyle w:val="H1"/>
        <w:spacing w:line="300" w:lineRule="exact"/>
        <w:ind w:left="778" w:right="1267"/>
      </w:pPr>
      <w:r>
        <w:t>Осуществление решений по делу Миллера в военно-воздушных сила и в других родах войск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203.</w:t>
      </w:r>
      <w:r>
        <w:tab/>
        <w:t xml:space="preserve">В 1995 году Верховный суд в своем решении по судьбоносному делу </w:t>
      </w:r>
      <w:r>
        <w:rPr>
          <w:i/>
        </w:rPr>
        <w:t>Элис Миллер</w:t>
      </w:r>
      <w:r>
        <w:t xml:space="preserve"> постановил, что военно-воздушные силы не могут ссылаться на то, что они связаны материально-техническими и бюджетными ограничениями в кач</w:t>
      </w:r>
      <w:r>
        <w:t>е</w:t>
      </w:r>
      <w:r>
        <w:t>стве основания для отказа женщинам в их праве служить летчиками в в</w:t>
      </w:r>
      <w:r>
        <w:t>о</w:t>
      </w:r>
      <w:r>
        <w:t>енно-воздушных силах. В трех отдельных принятых большинством заключениях суд отклонил аргументы военнослужащих и постановил, что принцип равноправия требует от армии снятия таких ограничений и учета естественных биологич</w:t>
      </w:r>
      <w:r>
        <w:t>е</w:t>
      </w:r>
      <w:r>
        <w:t xml:space="preserve">ских потребностей женщин. Военно-воздушные силы продолжают принимать меры для реализации на практике выводов, достигнутых в связи с делом </w:t>
      </w:r>
      <w:r>
        <w:rPr>
          <w:i/>
        </w:rPr>
        <w:t>Ми</w:t>
      </w:r>
      <w:r>
        <w:rPr>
          <w:i/>
        </w:rPr>
        <w:t>л</w:t>
      </w:r>
      <w:r>
        <w:rPr>
          <w:i/>
        </w:rPr>
        <w:t>лер</w:t>
      </w:r>
      <w:r>
        <w:t>, назначая женщин на самые разные должности в военно-воздушных силах, которые ранее занимали исключ</w:t>
      </w:r>
      <w:r>
        <w:t>и</w:t>
      </w:r>
      <w:r>
        <w:t>тельно мужчины.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 xml:space="preserve">204. Одна из мер, принятых для выполнения раздела 16А </w:t>
      </w:r>
      <w:r>
        <w:rPr>
          <w:i/>
        </w:rPr>
        <w:t xml:space="preserve">Закона о воинской службе [сводный текст], </w:t>
      </w:r>
      <w:r>
        <w:t>предусматривает проведение комплексного обзора всех изданных военных распоряжений с изучением различий в положении мужчин и женщин. В 2002-2003 годах было изучено 360 таких распоряжений и канцелярия советника по проблемам женщин пришла к выводу, что 160 из них заслуживали дополнительного рассмотрения, фактически рекомендуя упраз</w:t>
      </w:r>
      <w:r>
        <w:t>д</w:t>
      </w:r>
      <w:r>
        <w:t>нить или сократить предусмотренную в 74 процентах этих распоряжений ди</w:t>
      </w:r>
      <w:r>
        <w:t>с</w:t>
      </w:r>
      <w:r>
        <w:t>криминацию между полами. Была принята еще одна мера, связанная с прим</w:t>
      </w:r>
      <w:r>
        <w:t>е</w:t>
      </w:r>
      <w:r>
        <w:t>нением правила обеспечения равенства между мужчинами и женщинами, з</w:t>
      </w:r>
      <w:r>
        <w:t>а</w:t>
      </w:r>
      <w:r>
        <w:t>нимающими "боевые должности", в том, что касается срока добровольной службы. На стадии рассмотрения находятся и другие шаги, связанные с попо</w:t>
      </w:r>
      <w:r>
        <w:t>л</w:t>
      </w:r>
      <w:r>
        <w:t>нен</w:t>
      </w:r>
      <w:r>
        <w:t>и</w:t>
      </w:r>
      <w:r>
        <w:t>ем списка должностей, которые могут занимать женщины в военно-воздушных с</w:t>
      </w:r>
      <w:r>
        <w:t>и</w:t>
      </w:r>
      <w:r>
        <w:t>лах.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205.</w:t>
      </w:r>
      <w:r>
        <w:tab/>
        <w:t>Другая поправка связана с прохождением женщинами службы в резер</w:t>
      </w:r>
      <w:r>
        <w:t>в</w:t>
      </w:r>
      <w:r>
        <w:t>ных силах, где женщины теперь могут занимать "боевые должности" до до</w:t>
      </w:r>
      <w:r>
        <w:t>с</w:t>
      </w:r>
      <w:r>
        <w:t>тижения ими 45 лет, без всяких исключений для беременных женщин и мат</w:t>
      </w:r>
      <w:r>
        <w:t>е</w:t>
      </w:r>
      <w:r>
        <w:t>рей, тогда как женщины, занимающие "небоевые должности", служат до до</w:t>
      </w:r>
      <w:r>
        <w:t>с</w:t>
      </w:r>
      <w:r>
        <w:t>тижения 38 лет и освобождаются от службы ввиду беременности и материнс</w:t>
      </w:r>
      <w:r>
        <w:t>т</w:t>
      </w:r>
      <w:r>
        <w:t>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2" w:right="1267" w:firstLine="172"/>
      </w:pPr>
      <w:r>
        <w:t>Женщины и мужчины на военной службе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2" w:right="1267" w:firstLine="172"/>
      </w:pPr>
      <w:r>
        <w:t>Женщины и мужчины в качестве офицеров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206.</w:t>
      </w:r>
      <w:r>
        <w:tab/>
        <w:t>Женщины составляют 26 процентов офицеров регулярных войск и 18 процентов кадровых военнослужащих. За последние годы число женщин-офицеров в оперативных подразделениях резко возросло, а именно в 17 раз по сравнению с 1997 годом.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207.</w:t>
      </w:r>
      <w:r>
        <w:tab/>
        <w:t>Как указано в нижеследующей таблице число женщин среди полковников и бригадных генералов пост</w:t>
      </w:r>
      <w:r>
        <w:t>е</w:t>
      </w:r>
      <w:r>
        <w:t>пенно растет.</w:t>
      </w:r>
    </w:p>
    <w:p w:rsidR="00000000" w:rsidRDefault="00000000">
      <w:pPr>
        <w:pStyle w:val="SingleTxt"/>
        <w:spacing w:after="0" w:line="120" w:lineRule="exact"/>
        <w:rPr>
          <w:sz w:val="10"/>
        </w:rPr>
      </w:pPr>
      <w:r>
        <w:br w:type="page"/>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Таблица 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Доля женщин среди высокопоставленных офицеров в 2000, 2003 и 2004 годах</w:t>
      </w:r>
    </w:p>
    <w:p w:rsidR="00000000" w:rsidRDefault="00000000">
      <w:pPr>
        <w:pStyle w:val="SingleTxt"/>
        <w:keepNext/>
        <w:spacing w:after="0" w:line="240" w:lineRule="auto"/>
        <w:rPr>
          <w:sz w:val="10"/>
        </w:rPr>
      </w:pPr>
    </w:p>
    <w:p w:rsidR="00000000" w:rsidRDefault="00000000">
      <w:pPr>
        <w:pStyle w:val="SingleTxt"/>
        <w:keepNext/>
        <w:spacing w:after="0" w:line="240" w:lineRule="auto"/>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142"/>
        <w:gridCol w:w="1620"/>
        <w:gridCol w:w="1627"/>
        <w:gridCol w:w="1627"/>
      </w:tblGrid>
      <w:tr w:rsidR="00000000">
        <w:tblPrEx>
          <w:tblCellMar>
            <w:top w:w="0" w:type="dxa"/>
            <w:left w:w="0" w:type="dxa"/>
            <w:bottom w:w="0" w:type="dxa"/>
            <w:right w:w="0" w:type="dxa"/>
          </w:tblCellMar>
        </w:tblPrEx>
        <w:trPr>
          <w:tblHeader/>
        </w:trPr>
        <w:tc>
          <w:tcPr>
            <w:tcW w:w="2142"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rPr>
                <w:i/>
                <w:sz w:val="17"/>
              </w:rPr>
            </w:pPr>
            <w:r>
              <w:rPr>
                <w:i/>
                <w:sz w:val="14"/>
              </w:rPr>
              <w:t>Звание</w:t>
            </w:r>
          </w:p>
        </w:tc>
        <w:tc>
          <w:tcPr>
            <w:tcW w:w="1620" w:type="dxa"/>
            <w:tcBorders>
              <w:left w:val="nil"/>
              <w:bottom w:val="single" w:sz="12" w:space="0" w:color="auto"/>
              <w:right w:val="nil"/>
            </w:tcBorders>
            <w:vAlign w:val="bottom"/>
          </w:tcPr>
          <w:p w:rsidR="00000000" w:rsidRDefault="00000000">
            <w:pPr>
              <w:spacing w:after="120" w:line="240" w:lineRule="auto"/>
              <w:jc w:val="right"/>
              <w:rPr>
                <w:i/>
                <w:sz w:val="14"/>
              </w:rPr>
            </w:pPr>
            <w:r>
              <w:rPr>
                <w:i/>
                <w:sz w:val="14"/>
              </w:rPr>
              <w:t>Доля женщин в % в 2000 году</w:t>
            </w:r>
          </w:p>
        </w:tc>
        <w:tc>
          <w:tcPr>
            <w:tcW w:w="1627" w:type="dxa"/>
            <w:tcBorders>
              <w:left w:val="nil"/>
              <w:bottom w:val="single" w:sz="12" w:space="0" w:color="auto"/>
              <w:right w:val="nil"/>
            </w:tcBorders>
            <w:vAlign w:val="bottom"/>
          </w:tcPr>
          <w:p w:rsidR="00000000" w:rsidRDefault="00000000">
            <w:pPr>
              <w:spacing w:after="120" w:line="240" w:lineRule="auto"/>
              <w:jc w:val="right"/>
              <w:rPr>
                <w:i/>
                <w:sz w:val="14"/>
              </w:rPr>
            </w:pPr>
            <w:r>
              <w:rPr>
                <w:i/>
                <w:sz w:val="14"/>
              </w:rPr>
              <w:t>Доля женщин в % в 2003 году</w:t>
            </w:r>
          </w:p>
        </w:tc>
        <w:tc>
          <w:tcPr>
            <w:tcW w:w="1627" w:type="dxa"/>
            <w:tcBorders>
              <w:left w:val="nil"/>
              <w:bottom w:val="single" w:sz="12" w:space="0" w:color="auto"/>
              <w:right w:val="nil"/>
            </w:tcBorders>
            <w:vAlign w:val="bottom"/>
          </w:tcPr>
          <w:p w:rsidR="00000000" w:rsidRDefault="00000000">
            <w:pPr>
              <w:spacing w:after="120" w:line="240" w:lineRule="auto"/>
              <w:jc w:val="right"/>
              <w:rPr>
                <w:i/>
                <w:sz w:val="14"/>
              </w:rPr>
            </w:pPr>
            <w:r>
              <w:rPr>
                <w:i/>
                <w:sz w:val="14"/>
              </w:rPr>
              <w:t>Доля женщин в % в 2004 году</w:t>
            </w:r>
          </w:p>
        </w:tc>
      </w:tr>
      <w:tr w:rsidR="00000000">
        <w:tblPrEx>
          <w:tblCellMar>
            <w:top w:w="0" w:type="dxa"/>
            <w:left w:w="0" w:type="dxa"/>
            <w:bottom w:w="0" w:type="dxa"/>
            <w:right w:w="0" w:type="dxa"/>
          </w:tblCellMar>
        </w:tblPrEx>
        <w:trPr>
          <w:trHeight w:hRule="exact" w:val="115"/>
          <w:tblHeader/>
        </w:trPr>
        <w:tc>
          <w:tcPr>
            <w:tcW w:w="2142"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162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627"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627"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142" w:type="dxa"/>
            <w:tcBorders>
              <w:top w:val="nil"/>
              <w:left w:val="nil"/>
              <w:bottom w:val="nil"/>
              <w:right w:val="nil"/>
            </w:tcBorders>
          </w:tcPr>
          <w:p w:rsidR="00000000" w:rsidRDefault="00000000">
            <w:pPr>
              <w:spacing w:after="120" w:line="240" w:lineRule="auto"/>
              <w:rPr>
                <w:sz w:val="17"/>
              </w:rPr>
            </w:pPr>
            <w:r>
              <w:rPr>
                <w:sz w:val="17"/>
              </w:rPr>
              <w:t xml:space="preserve">Полковник </w:t>
            </w:r>
          </w:p>
        </w:tc>
        <w:tc>
          <w:tcPr>
            <w:tcW w:w="1620" w:type="dxa"/>
            <w:tcBorders>
              <w:top w:val="nil"/>
              <w:left w:val="nil"/>
              <w:bottom w:val="nil"/>
              <w:right w:val="nil"/>
            </w:tcBorders>
          </w:tcPr>
          <w:p w:rsidR="00000000" w:rsidRDefault="00000000">
            <w:pPr>
              <w:spacing w:after="120" w:line="240" w:lineRule="auto"/>
              <w:jc w:val="right"/>
              <w:rPr>
                <w:sz w:val="17"/>
              </w:rPr>
            </w:pPr>
            <w:r>
              <w:rPr>
                <w:sz w:val="17"/>
              </w:rPr>
              <w:t>3</w:t>
            </w:r>
          </w:p>
        </w:tc>
        <w:tc>
          <w:tcPr>
            <w:tcW w:w="1627" w:type="dxa"/>
            <w:tcBorders>
              <w:top w:val="nil"/>
              <w:left w:val="nil"/>
              <w:bottom w:val="nil"/>
              <w:right w:val="nil"/>
            </w:tcBorders>
          </w:tcPr>
          <w:p w:rsidR="00000000" w:rsidRDefault="00000000">
            <w:pPr>
              <w:spacing w:after="120" w:line="240" w:lineRule="auto"/>
              <w:jc w:val="right"/>
              <w:rPr>
                <w:sz w:val="17"/>
              </w:rPr>
            </w:pPr>
            <w:r>
              <w:rPr>
                <w:sz w:val="17"/>
              </w:rPr>
              <w:t>4</w:t>
            </w:r>
          </w:p>
        </w:tc>
        <w:tc>
          <w:tcPr>
            <w:tcW w:w="1627" w:type="dxa"/>
            <w:tcBorders>
              <w:top w:val="nil"/>
              <w:left w:val="nil"/>
              <w:bottom w:val="nil"/>
              <w:right w:val="nil"/>
            </w:tcBorders>
          </w:tcPr>
          <w:p w:rsidR="00000000" w:rsidRDefault="00000000">
            <w:pPr>
              <w:spacing w:after="120" w:line="240" w:lineRule="auto"/>
              <w:jc w:val="right"/>
              <w:rPr>
                <w:sz w:val="17"/>
              </w:rPr>
            </w:pPr>
            <w:r>
              <w:rPr>
                <w:sz w:val="17"/>
              </w:rPr>
              <w:t>4,5</w:t>
            </w:r>
          </w:p>
        </w:tc>
      </w:tr>
      <w:tr w:rsidR="00000000">
        <w:tblPrEx>
          <w:tblCellMar>
            <w:top w:w="0" w:type="dxa"/>
            <w:left w:w="0" w:type="dxa"/>
            <w:bottom w:w="0" w:type="dxa"/>
            <w:right w:w="0" w:type="dxa"/>
          </w:tblCellMar>
        </w:tblPrEx>
        <w:tc>
          <w:tcPr>
            <w:tcW w:w="2142" w:type="dxa"/>
            <w:tcBorders>
              <w:top w:val="nil"/>
              <w:left w:val="nil"/>
              <w:bottom w:val="single" w:sz="12" w:space="0" w:color="auto"/>
              <w:right w:val="nil"/>
            </w:tcBorders>
          </w:tcPr>
          <w:p w:rsidR="00000000" w:rsidRDefault="00000000">
            <w:pPr>
              <w:spacing w:after="120" w:line="240" w:lineRule="auto"/>
              <w:rPr>
                <w:sz w:val="17"/>
              </w:rPr>
            </w:pPr>
            <w:r>
              <w:rPr>
                <w:sz w:val="17"/>
              </w:rPr>
              <w:t>Бригадный ген</w:t>
            </w:r>
            <w:r>
              <w:rPr>
                <w:sz w:val="17"/>
              </w:rPr>
              <w:t>е</w:t>
            </w:r>
            <w:r>
              <w:rPr>
                <w:sz w:val="17"/>
              </w:rPr>
              <w:t>рал</w:t>
            </w:r>
          </w:p>
        </w:tc>
        <w:tc>
          <w:tcPr>
            <w:tcW w:w="1620" w:type="dxa"/>
            <w:tcBorders>
              <w:top w:val="nil"/>
              <w:left w:val="nil"/>
              <w:bottom w:val="single" w:sz="12" w:space="0" w:color="auto"/>
              <w:right w:val="nil"/>
            </w:tcBorders>
          </w:tcPr>
          <w:p w:rsidR="00000000" w:rsidRDefault="00000000">
            <w:pPr>
              <w:spacing w:after="120" w:line="240" w:lineRule="auto"/>
              <w:jc w:val="right"/>
              <w:rPr>
                <w:sz w:val="17"/>
              </w:rPr>
            </w:pPr>
            <w:r>
              <w:rPr>
                <w:sz w:val="17"/>
              </w:rPr>
              <w:t>1</w:t>
            </w:r>
          </w:p>
        </w:tc>
        <w:tc>
          <w:tcPr>
            <w:tcW w:w="1627" w:type="dxa"/>
            <w:tcBorders>
              <w:top w:val="nil"/>
              <w:left w:val="nil"/>
              <w:bottom w:val="single" w:sz="12" w:space="0" w:color="auto"/>
              <w:right w:val="nil"/>
            </w:tcBorders>
          </w:tcPr>
          <w:p w:rsidR="00000000" w:rsidRDefault="00000000">
            <w:pPr>
              <w:spacing w:after="120" w:line="240" w:lineRule="auto"/>
              <w:jc w:val="right"/>
              <w:rPr>
                <w:sz w:val="17"/>
              </w:rPr>
            </w:pPr>
            <w:r>
              <w:rPr>
                <w:sz w:val="17"/>
              </w:rPr>
              <w:t>3</w:t>
            </w:r>
          </w:p>
        </w:tc>
        <w:tc>
          <w:tcPr>
            <w:tcW w:w="1627" w:type="dxa"/>
            <w:tcBorders>
              <w:top w:val="nil"/>
              <w:left w:val="nil"/>
              <w:bottom w:val="single" w:sz="12" w:space="0" w:color="auto"/>
              <w:right w:val="nil"/>
            </w:tcBorders>
          </w:tcPr>
          <w:p w:rsidR="00000000" w:rsidRDefault="00000000">
            <w:pPr>
              <w:spacing w:after="120" w:line="240" w:lineRule="auto"/>
              <w:jc w:val="right"/>
              <w:rPr>
                <w:sz w:val="17"/>
              </w:rPr>
            </w:pPr>
            <w:r>
              <w:rPr>
                <w:sz w:val="17"/>
              </w:rPr>
              <w:t>4</w:t>
            </w:r>
          </w:p>
        </w:tc>
      </w:tr>
    </w:tbl>
    <w:p w:rsidR="00000000" w:rsidRDefault="00000000">
      <w:pPr>
        <w:pStyle w:val="SingleTxt"/>
        <w:spacing w:after="0" w:line="120" w:lineRule="exact"/>
        <w:ind w:left="1264" w:right="1264"/>
        <w:jc w:val="lef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120" w:after="0"/>
        <w:ind w:left="2534" w:hanging="1267"/>
        <w:rPr>
          <w:b/>
        </w:rPr>
      </w:pPr>
      <w:r>
        <w:rPr>
          <w:i/>
        </w:rPr>
        <w:t>Источник:</w:t>
      </w:r>
      <w:r>
        <w:rPr>
          <w:i/>
        </w:rPr>
        <w:tab/>
      </w:r>
      <w:r>
        <w:t>Советник начальника штаба военно-воздушных сил по пробл</w:t>
      </w:r>
      <w:r>
        <w:t>е</w:t>
      </w:r>
      <w:r>
        <w:t>мам же</w:t>
      </w:r>
      <w:r>
        <w:t>н</w:t>
      </w:r>
      <w:r>
        <w:t>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2" w:right="1267" w:firstLine="172"/>
      </w:pPr>
      <w:r>
        <w:t>Распределение мужчин и женщин на должностях в армии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208.</w:t>
      </w:r>
      <w:r>
        <w:tab/>
        <w:t>В течение последнего десятилетия все больше должностей стало откр</w:t>
      </w:r>
      <w:r>
        <w:t>ы</w:t>
      </w:r>
      <w:r>
        <w:t>ваться для женщин в военно-воздушных силах, в результате чего все больше женщин-солдат стали занимать "квалифицированные" должности, а все мен</w:t>
      </w:r>
      <w:r>
        <w:t>ь</w:t>
      </w:r>
      <w:r>
        <w:t xml:space="preserve">шее их число - канцелярские должности.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209.</w:t>
      </w:r>
      <w:r>
        <w:tab/>
        <w:t>По состоянию на 2004 год, женщины могут занимать 81 процент всех должностей в армии по сравнению с 56 процентами два десятилетия назад. Женщины занимают 62 процента должностей (по сравнению с 40 процентами в 1990 году), причем одновременно принимаются меры для увеличения этой процентной доли. Важно подчеркнуть, что этот процесс требует изучения всех физических аспектов дополнительных должностей, включая адаптацию соо</w:t>
      </w:r>
      <w:r>
        <w:t>т</w:t>
      </w:r>
      <w:r>
        <w:t>ветствующего оборудования, подготовку персонала и дополнительные мер</w:t>
      </w:r>
      <w:r>
        <w:t>о</w:t>
      </w:r>
      <w:r>
        <w:t xml:space="preserve">приятия.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2" w:right="1267" w:firstLine="172"/>
      </w:pPr>
      <w:r>
        <w:t>Женщины-ученые и инженеры на службе в армии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210.</w:t>
      </w:r>
      <w:r>
        <w:tab/>
        <w:t>Как подробно поясняется в нашем предыдущем докладе, израильская  а</w:t>
      </w:r>
      <w:r>
        <w:t>р</w:t>
      </w:r>
      <w:r>
        <w:t>мия разработала ряд пр</w:t>
      </w:r>
      <w:r>
        <w:t>о</w:t>
      </w:r>
      <w:r>
        <w:t>грамм, нацеленных на увеличение числа женщин-ученых и инженеров в своих рядах и оказание им поддержки в продвижении по службе. Эти программы включают программу "ракия", ориентированную на учащихся 12-х классов, заинтересованных в получении диплома инженера-практика за счет средств израильской армии - число участников возросло ровно в три раза с 80 в 2001 году до 240 в 2003 году; "цабар" - одногодичный подг</w:t>
      </w:r>
      <w:r>
        <w:t>о</w:t>
      </w:r>
      <w:r>
        <w:t>товительный курс перед поступлением в высшее учебное заведение, нацеле</w:t>
      </w:r>
      <w:r>
        <w:t>н</w:t>
      </w:r>
      <w:r>
        <w:t>ный на оказание помощи молодым женщинам, заинтересованным в обучении инженерному делу и точным наукам в рамках академического резерва; "техн</w:t>
      </w:r>
      <w:r>
        <w:t>о</w:t>
      </w:r>
      <w:r>
        <w:t>логические горизонты" - уникальный курс для учащихся 12-х классов, специ</w:t>
      </w:r>
      <w:r>
        <w:t>а</w:t>
      </w:r>
      <w:r>
        <w:t>лизирующихся на математике и физике, предназначенный для оказания им п</w:t>
      </w:r>
      <w:r>
        <w:t>о</w:t>
      </w:r>
      <w:r>
        <w:t>мощи в продолжении обучения в целях получения диплома инженера-практика.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211.</w:t>
      </w:r>
      <w:r>
        <w:tab/>
        <w:t>Женщины также принимают участие в проекте "атидим", связанном с включением молодежи из периферийных районов в академический резерв (25 процентов женщин в 2003 году); проект "телпиод", нацеленный на привл</w:t>
      </w:r>
      <w:r>
        <w:t>е</w:t>
      </w:r>
      <w:r>
        <w:t>чение солдат к участию в программах научных исследований и разработок и</w:t>
      </w:r>
      <w:r>
        <w:t>з</w:t>
      </w:r>
      <w:r>
        <w:t>раильской армии по линии программы комплексной подготовки (11 процентов же</w:t>
      </w:r>
      <w:r>
        <w:t>н</w:t>
      </w:r>
      <w:r>
        <w:t>щин в 2003 году).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2" w:right="1267" w:firstLine="172"/>
      </w:pPr>
      <w:r>
        <w:t>Сексуальные домогательства в армии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212.</w:t>
      </w:r>
      <w:r>
        <w:tab/>
        <w:t>На следующей диаграмме показано число ежегодно подаваемых жалоб на сексуальные домогательства в армии, которое значительное возросло в 2003 году, прежде всего из-за повышения уровня информированности и во</w:t>
      </w:r>
      <w:r>
        <w:t>з</w:t>
      </w:r>
      <w:r>
        <w:t>никновения ряда громких дел.</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56"/>
        <w:ind w:left="2646" w:right="1267" w:hanging="1379"/>
      </w:pPr>
      <w:r>
        <w:t xml:space="preserve">Диаграмма 4 </w:t>
      </w:r>
    </w:p>
    <w:p w:rsidR="00000000" w:rsidRDefault="00000000">
      <w:pPr>
        <w:pStyle w:val="H56"/>
        <w:ind w:left="2646" w:right="1267" w:hanging="1379"/>
        <w:rPr>
          <w:b/>
        </w:rPr>
      </w:pPr>
      <w:r>
        <w:rPr>
          <w:b/>
        </w:rPr>
        <w:t>Число жалоб на сексуальные домогательства в различные годы</w:t>
      </w:r>
    </w:p>
    <w:p w:rsidR="00000000" w:rsidRDefault="00000000">
      <w:pPr>
        <w:keepNext/>
        <w:spacing w:line="240" w:lineRule="auto"/>
        <w:ind w:left="1267" w:right="1267"/>
        <w:jc w:val="both"/>
        <w:rPr>
          <w:color w:val="000080"/>
          <w:sz w:val="16"/>
        </w:rPr>
      </w:pPr>
      <w:r>
        <w:rPr>
          <w:color w:val="000080"/>
          <w:sz w:val="16"/>
        </w:rPr>
        <w:object w:dxaOrig="6862" w:dyaOrig="3427">
          <v:shape id="_x0000_i1026" type="#_x0000_t75" style="width:342.75pt;height:171pt" o:ole="" fillcolor="window">
            <v:imagedata r:id="rId18" o:title=""/>
          </v:shape>
          <o:OLEObject Type="Embed" ProgID="MSGraph.Chart.8" ShapeID="_x0000_i1026" DrawAspect="Content" ObjectID="_1395241337" r:id="rId19">
            <o:FieldCodes>\s</o:FieldCodes>
          </o:OLEObject>
        </w:object>
      </w:r>
    </w:p>
    <w:p w:rsidR="00000000" w:rsidRDefault="00000000">
      <w:pPr>
        <w:keepNext/>
        <w:spacing w:after="120" w:line="240" w:lineRule="auto"/>
        <w:ind w:left="2430" w:right="1267" w:hanging="1163"/>
        <w:jc w:val="both"/>
      </w:pPr>
      <w:r>
        <w:rPr>
          <w:i/>
        </w:rPr>
        <w:t>Источник:</w:t>
      </w:r>
      <w:r>
        <w:rPr>
          <w:i/>
        </w:rPr>
        <w:tab/>
      </w:r>
      <w:r>
        <w:t>Советник начальника штаба израильской армии по проблемам женщины.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213.</w:t>
      </w:r>
      <w:r>
        <w:tab/>
        <w:t>В израильской армии был принят ряд мер, нацеленных на борьбу с таким явлением, как сексуальные домогательства в армии, включая создание руков</w:t>
      </w:r>
      <w:r>
        <w:t>о</w:t>
      </w:r>
      <w:r>
        <w:t>дящей группы генерального штаба под руководством советника по проблемам женщин для разработки армейской политики в области предотвращения секс</w:t>
      </w:r>
      <w:r>
        <w:t>у</w:t>
      </w:r>
      <w:r>
        <w:t>альных домогательств, принятия надлежащих правоприменительных мер и л</w:t>
      </w:r>
      <w:r>
        <w:t>и</w:t>
      </w:r>
      <w:r>
        <w:t>квидации их после</w:t>
      </w:r>
      <w:r>
        <w:t>д</w:t>
      </w:r>
      <w:r>
        <w:t>ствий.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214.</w:t>
      </w:r>
      <w:r>
        <w:tab/>
        <w:t>В 2002 году советник начальника штаба по проблемам женщин начал осуществление широкомасштабного обследования случаев сексуальных дом</w:t>
      </w:r>
      <w:r>
        <w:t>о</w:t>
      </w:r>
      <w:r>
        <w:t>гательств в армии, а также обширное исследование самого этого явления. По итогам этого обследования руководители израильской армии пришли к выводу, что они мало информированы о случаях сексуальных домогательств и что борьба с этой проблемой требует глубоких нормативных и образовательных изменений на всех уровнях.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215.</w:t>
      </w:r>
      <w:r>
        <w:tab/>
        <w:t>В результате этого обследования израильская армия активизировала и усовершенствовала свою работу по решению проблем сексуальных домог</w:t>
      </w:r>
      <w:r>
        <w:t>а</w:t>
      </w:r>
      <w:r>
        <w:t>тельств, включая нижеперечисленные меры. В июле 2003 года начальника шт</w:t>
      </w:r>
      <w:r>
        <w:t>а</w:t>
      </w:r>
      <w:r>
        <w:t>ба выпустил специальное уведомление для всех военнослужащих израильской армии, в котором особо подчеркивалась важность борьбы со случаями секс</w:t>
      </w:r>
      <w:r>
        <w:t>у</w:t>
      </w:r>
      <w:r>
        <w:t>альных домогательств, причем ответственность за такую борьбу должны были нести командиры; в израильской армии на всех уровнях появился новый пе</w:t>
      </w:r>
      <w:r>
        <w:t>р</w:t>
      </w:r>
      <w:r>
        <w:t>сонал, который должен рассматривать таки жалобы; в израильской армии была развернута обширная пропагандистская кампания вместе с обязательными ежегодными лекциями; были организованы специальные учебные курсы для тех, кто рассматривает жалобы, а также для следователей военной полиции; всем новобранцам и во всех военных частях были розданы брошюры, посв</w:t>
      </w:r>
      <w:r>
        <w:t>я</w:t>
      </w:r>
      <w:r>
        <w:t>щенные сексуальным домогател</w:t>
      </w:r>
      <w:r>
        <w:t>ь</w:t>
      </w:r>
      <w:r>
        <w:t>ствам.</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keepNext/>
        <w:spacing w:line="300" w:lineRule="exact"/>
        <w:ind w:left="778" w:right="1267"/>
      </w:pPr>
      <w:r>
        <w:t>Женщины в полиции</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keepNext/>
        <w:spacing w:line="300" w:lineRule="exact"/>
        <w:ind w:left="1095" w:right="1267" w:firstLine="172"/>
      </w:pPr>
      <w:r>
        <w:t>Правовая основа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216.</w:t>
      </w:r>
      <w:r>
        <w:tab/>
        <w:t>Полиция добивается увеличения числа женщин в полицейских силах с помощью конструктивных мер, таких, например, как введение более гибких условий труда для матерей и осуществление более мягкой политики в отнош</w:t>
      </w:r>
      <w:r>
        <w:t>е</w:t>
      </w:r>
      <w:r>
        <w:t>нии беременных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2" w:right="1267" w:firstLine="172"/>
      </w:pPr>
      <w:r>
        <w:t>Женщины в полиции - местные данные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217.</w:t>
      </w:r>
      <w:r>
        <w:tab/>
        <w:t>В настоящее время женщины составляют 21 процент общих полицейских сил, причем их число незначительно сократилось после представления нашего предыдущего доклада (ранее 23 процента). Женщины-офицеры составляют б</w:t>
      </w:r>
      <w:r>
        <w:t>о</w:t>
      </w:r>
      <w:r>
        <w:t>лее высокую процентную долю по сравнению с рядовыми сотрудниками пол</w:t>
      </w:r>
      <w:r>
        <w:t>и</w:t>
      </w:r>
      <w:r>
        <w:t>ции, а именно 23,4 процента офицеров полиции.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218.</w:t>
      </w:r>
      <w:r>
        <w:tab/>
        <w:t>По состоянию на март 2005 года, в полицейских силах проходили службу 53 арабские женщины - 1 самаритянка, 19 христианок, 12 мусульманок, 14 женщин других вероисповеданий и 7 - неустановленной религиозной прина</w:t>
      </w:r>
      <w:r>
        <w:t>д</w:t>
      </w:r>
      <w:r>
        <w:t xml:space="preserve">лежности.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56"/>
        <w:ind w:left="1267" w:right="1267"/>
      </w:pPr>
      <w:r>
        <w:t>Таблица 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Процентная доля женщин в полиции в 2004 году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keepNext/>
        <w:spacing w:after="0" w:line="240" w:lineRule="auto"/>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80"/>
        <w:gridCol w:w="940"/>
        <w:gridCol w:w="940"/>
        <w:gridCol w:w="940"/>
        <w:gridCol w:w="940"/>
        <w:gridCol w:w="940"/>
        <w:gridCol w:w="941"/>
      </w:tblGrid>
      <w:tr w:rsidR="00000000">
        <w:tblPrEx>
          <w:tblCellMar>
            <w:top w:w="0" w:type="dxa"/>
            <w:left w:w="0" w:type="dxa"/>
            <w:bottom w:w="0" w:type="dxa"/>
            <w:right w:w="0" w:type="dxa"/>
          </w:tblCellMar>
        </w:tblPrEx>
        <w:trPr>
          <w:tblHeader/>
        </w:trPr>
        <w:tc>
          <w:tcPr>
            <w:tcW w:w="1880" w:type="dxa"/>
            <w:tcBorders>
              <w:left w:val="nil"/>
              <w:bottom w:val="nil"/>
              <w:right w:val="nil"/>
            </w:tcBorders>
            <w:vAlign w:val="bottom"/>
          </w:tcPr>
          <w:p w:rsidR="00000000" w:rsidRDefault="00000000">
            <w:pPr>
              <w:keepNext/>
              <w:tabs>
                <w:tab w:val="left" w:pos="288"/>
                <w:tab w:val="left" w:pos="576"/>
                <w:tab w:val="left" w:pos="864"/>
                <w:tab w:val="left" w:pos="1152"/>
              </w:tabs>
              <w:spacing w:before="100" w:after="81" w:line="210" w:lineRule="exact"/>
              <w:ind w:right="43"/>
              <w:rPr>
                <w:i/>
                <w:sz w:val="17"/>
              </w:rPr>
            </w:pPr>
          </w:p>
        </w:tc>
        <w:tc>
          <w:tcPr>
            <w:tcW w:w="1880" w:type="dxa"/>
            <w:gridSpan w:val="2"/>
            <w:tcBorders>
              <w:left w:val="nil"/>
              <w:bottom w:val="single" w:sz="4"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jc w:val="center"/>
              <w:rPr>
                <w:i/>
                <w:sz w:val="14"/>
              </w:rPr>
            </w:pPr>
            <w:r>
              <w:rPr>
                <w:i/>
                <w:sz w:val="14"/>
              </w:rPr>
              <w:t>Мужчины</w:t>
            </w:r>
          </w:p>
        </w:tc>
        <w:tc>
          <w:tcPr>
            <w:tcW w:w="1880" w:type="dxa"/>
            <w:gridSpan w:val="2"/>
            <w:tcBorders>
              <w:left w:val="nil"/>
              <w:bottom w:val="single" w:sz="4"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jc w:val="center"/>
              <w:rPr>
                <w:i/>
                <w:sz w:val="14"/>
              </w:rPr>
            </w:pPr>
            <w:r>
              <w:rPr>
                <w:i/>
                <w:sz w:val="14"/>
              </w:rPr>
              <w:t>Женщины</w:t>
            </w:r>
          </w:p>
        </w:tc>
        <w:tc>
          <w:tcPr>
            <w:tcW w:w="1881" w:type="dxa"/>
            <w:gridSpan w:val="2"/>
            <w:tcBorders>
              <w:left w:val="nil"/>
              <w:bottom w:val="single" w:sz="4"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jc w:val="center"/>
              <w:rPr>
                <w:i/>
                <w:sz w:val="14"/>
              </w:rPr>
            </w:pPr>
            <w:r>
              <w:rPr>
                <w:i/>
                <w:sz w:val="14"/>
              </w:rPr>
              <w:t>Всего</w:t>
            </w:r>
          </w:p>
        </w:tc>
      </w:tr>
      <w:tr w:rsidR="00000000">
        <w:tblPrEx>
          <w:tblCellMar>
            <w:top w:w="0" w:type="dxa"/>
            <w:left w:w="0" w:type="dxa"/>
            <w:bottom w:w="0" w:type="dxa"/>
            <w:right w:w="0" w:type="dxa"/>
          </w:tblCellMar>
        </w:tblPrEx>
        <w:trPr>
          <w:cantSplit/>
          <w:tblHeader/>
        </w:trPr>
        <w:tc>
          <w:tcPr>
            <w:tcW w:w="1880" w:type="dxa"/>
            <w:tcBorders>
              <w:top w:val="nil"/>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rPr>
                <w:i/>
                <w:sz w:val="17"/>
              </w:rPr>
            </w:pPr>
          </w:p>
        </w:tc>
        <w:tc>
          <w:tcPr>
            <w:tcW w:w="940" w:type="dxa"/>
            <w:tcBorders>
              <w:top w:val="single" w:sz="4" w:space="0" w:color="auto"/>
              <w:left w:val="nil"/>
              <w:bottom w:val="single" w:sz="12" w:space="0" w:color="auto"/>
              <w:right w:val="nil"/>
            </w:tcBorders>
            <w:vAlign w:val="center"/>
          </w:tcPr>
          <w:p w:rsidR="00000000" w:rsidRDefault="00000000">
            <w:pPr>
              <w:spacing w:after="120" w:line="240" w:lineRule="auto"/>
              <w:jc w:val="right"/>
              <w:rPr>
                <w:i/>
                <w:snapToGrid w:val="0"/>
                <w:color w:val="000000"/>
                <w:sz w:val="14"/>
                <w:lang w:eastAsia="en-US"/>
              </w:rPr>
            </w:pPr>
            <w:r>
              <w:rPr>
                <w:i/>
                <w:snapToGrid w:val="0"/>
                <w:color w:val="000000"/>
                <w:sz w:val="14"/>
                <w:lang w:eastAsia="en-US"/>
              </w:rPr>
              <w:t>Чи</w:t>
            </w:r>
            <w:r>
              <w:rPr>
                <w:i/>
                <w:snapToGrid w:val="0"/>
                <w:color w:val="000000"/>
                <w:sz w:val="14"/>
                <w:lang w:eastAsia="en-US"/>
              </w:rPr>
              <w:t>с</w:t>
            </w:r>
            <w:r>
              <w:rPr>
                <w:i/>
                <w:snapToGrid w:val="0"/>
                <w:color w:val="000000"/>
                <w:sz w:val="14"/>
                <w:lang w:eastAsia="en-US"/>
              </w:rPr>
              <w:t>ло</w:t>
            </w:r>
          </w:p>
        </w:tc>
        <w:tc>
          <w:tcPr>
            <w:tcW w:w="940" w:type="dxa"/>
            <w:tcBorders>
              <w:top w:val="single" w:sz="4" w:space="0" w:color="auto"/>
              <w:left w:val="nil"/>
              <w:bottom w:val="single" w:sz="12" w:space="0" w:color="auto"/>
              <w:right w:val="nil"/>
            </w:tcBorders>
            <w:vAlign w:val="center"/>
          </w:tcPr>
          <w:p w:rsidR="00000000" w:rsidRDefault="00000000">
            <w:pPr>
              <w:spacing w:after="120" w:line="240" w:lineRule="auto"/>
              <w:ind w:left="72"/>
              <w:jc w:val="right"/>
              <w:rPr>
                <w:i/>
                <w:snapToGrid w:val="0"/>
                <w:color w:val="000000"/>
                <w:sz w:val="14"/>
                <w:lang w:eastAsia="en-US"/>
              </w:rPr>
            </w:pPr>
            <w:r>
              <w:rPr>
                <w:i/>
                <w:snapToGrid w:val="0"/>
                <w:color w:val="000000"/>
                <w:sz w:val="14"/>
                <w:lang w:eastAsia="en-US"/>
              </w:rPr>
              <w:t>Процент женщин</w:t>
            </w:r>
          </w:p>
        </w:tc>
        <w:tc>
          <w:tcPr>
            <w:tcW w:w="940" w:type="dxa"/>
            <w:tcBorders>
              <w:top w:val="single" w:sz="4" w:space="0" w:color="auto"/>
              <w:left w:val="nil"/>
              <w:bottom w:val="single" w:sz="12" w:space="0" w:color="auto"/>
              <w:right w:val="nil"/>
            </w:tcBorders>
            <w:vAlign w:val="center"/>
          </w:tcPr>
          <w:p w:rsidR="00000000" w:rsidRDefault="00000000">
            <w:pPr>
              <w:spacing w:after="120" w:line="240" w:lineRule="auto"/>
              <w:ind w:left="-18"/>
              <w:jc w:val="right"/>
              <w:rPr>
                <w:i/>
                <w:snapToGrid w:val="0"/>
                <w:color w:val="000000"/>
                <w:sz w:val="14"/>
                <w:lang w:eastAsia="en-US"/>
              </w:rPr>
            </w:pPr>
            <w:r>
              <w:rPr>
                <w:i/>
                <w:snapToGrid w:val="0"/>
                <w:color w:val="000000"/>
                <w:sz w:val="14"/>
                <w:lang w:eastAsia="en-US"/>
              </w:rPr>
              <w:t>Чи</w:t>
            </w:r>
            <w:r>
              <w:rPr>
                <w:i/>
                <w:snapToGrid w:val="0"/>
                <w:color w:val="000000"/>
                <w:sz w:val="14"/>
                <w:lang w:eastAsia="en-US"/>
              </w:rPr>
              <w:t>с</w:t>
            </w:r>
            <w:r>
              <w:rPr>
                <w:i/>
                <w:snapToGrid w:val="0"/>
                <w:color w:val="000000"/>
                <w:sz w:val="14"/>
                <w:lang w:eastAsia="en-US"/>
              </w:rPr>
              <w:t>ло</w:t>
            </w:r>
          </w:p>
        </w:tc>
        <w:tc>
          <w:tcPr>
            <w:tcW w:w="940" w:type="dxa"/>
            <w:tcBorders>
              <w:top w:val="single" w:sz="4" w:space="0" w:color="auto"/>
              <w:left w:val="nil"/>
              <w:bottom w:val="single" w:sz="12" w:space="0" w:color="auto"/>
              <w:right w:val="nil"/>
            </w:tcBorders>
            <w:vAlign w:val="center"/>
          </w:tcPr>
          <w:p w:rsidR="00000000" w:rsidRDefault="00000000">
            <w:pPr>
              <w:spacing w:after="120" w:line="240" w:lineRule="auto"/>
              <w:jc w:val="right"/>
              <w:rPr>
                <w:i/>
                <w:snapToGrid w:val="0"/>
                <w:color w:val="000000"/>
                <w:sz w:val="14"/>
                <w:lang w:eastAsia="en-US"/>
              </w:rPr>
            </w:pPr>
            <w:r>
              <w:rPr>
                <w:i/>
                <w:snapToGrid w:val="0"/>
                <w:color w:val="000000"/>
                <w:sz w:val="14"/>
                <w:lang w:eastAsia="en-US"/>
              </w:rPr>
              <w:t>Процент женщин</w:t>
            </w:r>
          </w:p>
        </w:tc>
        <w:tc>
          <w:tcPr>
            <w:tcW w:w="940" w:type="dxa"/>
            <w:tcBorders>
              <w:top w:val="single" w:sz="4" w:space="0" w:color="auto"/>
              <w:left w:val="nil"/>
              <w:bottom w:val="single" w:sz="12" w:space="0" w:color="auto"/>
              <w:right w:val="nil"/>
            </w:tcBorders>
            <w:vAlign w:val="center"/>
          </w:tcPr>
          <w:p w:rsidR="00000000" w:rsidRDefault="00000000">
            <w:pPr>
              <w:spacing w:after="120" w:line="240" w:lineRule="auto"/>
              <w:jc w:val="right"/>
              <w:rPr>
                <w:i/>
                <w:snapToGrid w:val="0"/>
                <w:color w:val="000000"/>
                <w:sz w:val="14"/>
                <w:lang w:eastAsia="en-US"/>
              </w:rPr>
            </w:pPr>
            <w:r>
              <w:rPr>
                <w:i/>
                <w:snapToGrid w:val="0"/>
                <w:color w:val="000000"/>
                <w:sz w:val="14"/>
                <w:lang w:eastAsia="en-US"/>
              </w:rPr>
              <w:t>Число</w:t>
            </w:r>
          </w:p>
        </w:tc>
        <w:tc>
          <w:tcPr>
            <w:tcW w:w="941" w:type="dxa"/>
            <w:tcBorders>
              <w:top w:val="single" w:sz="4" w:space="0" w:color="auto"/>
              <w:left w:val="nil"/>
              <w:bottom w:val="single" w:sz="12" w:space="0" w:color="auto"/>
              <w:right w:val="nil"/>
            </w:tcBorders>
            <w:vAlign w:val="center"/>
          </w:tcPr>
          <w:p w:rsidR="00000000" w:rsidRDefault="00000000">
            <w:pPr>
              <w:spacing w:after="120" w:line="240" w:lineRule="auto"/>
              <w:ind w:left="72"/>
              <w:jc w:val="right"/>
              <w:rPr>
                <w:i/>
                <w:snapToGrid w:val="0"/>
                <w:color w:val="000000"/>
                <w:sz w:val="14"/>
                <w:lang w:eastAsia="en-US"/>
              </w:rPr>
            </w:pPr>
            <w:r>
              <w:rPr>
                <w:i/>
                <w:snapToGrid w:val="0"/>
                <w:color w:val="000000"/>
                <w:sz w:val="14"/>
                <w:lang w:eastAsia="en-US"/>
              </w:rPr>
              <w:t>Процент же</w:t>
            </w:r>
            <w:r>
              <w:rPr>
                <w:i/>
                <w:snapToGrid w:val="0"/>
                <w:color w:val="000000"/>
                <w:sz w:val="14"/>
                <w:lang w:eastAsia="en-US"/>
              </w:rPr>
              <w:t>н</w:t>
            </w:r>
            <w:r>
              <w:rPr>
                <w:i/>
                <w:snapToGrid w:val="0"/>
                <w:color w:val="000000"/>
                <w:sz w:val="14"/>
                <w:lang w:eastAsia="en-US"/>
              </w:rPr>
              <w:t>щин</w:t>
            </w:r>
          </w:p>
        </w:tc>
      </w:tr>
      <w:tr w:rsidR="00000000">
        <w:tblPrEx>
          <w:tblCellMar>
            <w:top w:w="0" w:type="dxa"/>
            <w:left w:w="0" w:type="dxa"/>
            <w:bottom w:w="0" w:type="dxa"/>
            <w:right w:w="0" w:type="dxa"/>
          </w:tblCellMar>
        </w:tblPrEx>
        <w:trPr>
          <w:trHeight w:hRule="exact" w:val="115"/>
          <w:tblHeader/>
        </w:trPr>
        <w:tc>
          <w:tcPr>
            <w:tcW w:w="188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1880" w:type="dxa"/>
            <w:gridSpan w:val="2"/>
            <w:tcBorders>
              <w:top w:val="single" w:sz="12" w:space="0" w:color="auto"/>
              <w:left w:val="nil"/>
              <w:bottom w:val="nil"/>
              <w:right w:val="nil"/>
            </w:tcBorders>
            <w:vAlign w:val="center"/>
          </w:tcPr>
          <w:p w:rsidR="00000000" w:rsidRDefault="00000000">
            <w:pPr>
              <w:spacing w:after="120" w:line="240" w:lineRule="auto"/>
              <w:jc w:val="center"/>
              <w:rPr>
                <w:snapToGrid w:val="0"/>
                <w:color w:val="000000"/>
                <w:sz w:val="17"/>
                <w:lang w:eastAsia="en-US"/>
              </w:rPr>
            </w:pPr>
            <w:r>
              <w:rPr>
                <w:snapToGrid w:val="0"/>
                <w:color w:val="000000"/>
                <w:sz w:val="17"/>
                <w:lang w:eastAsia="en-US"/>
              </w:rPr>
              <w:t>с</w:t>
            </w:r>
            <w:r>
              <w:rPr>
                <w:snapToGrid w:val="0"/>
                <w:color w:val="000000"/>
                <w:sz w:val="17"/>
                <w:lang w:eastAsia="en-US"/>
              </w:rPr>
              <w:t>л</w:t>
            </w:r>
          </w:p>
        </w:tc>
        <w:tc>
          <w:tcPr>
            <w:tcW w:w="1880" w:type="dxa"/>
            <w:gridSpan w:val="2"/>
            <w:tcBorders>
              <w:top w:val="single" w:sz="12" w:space="0" w:color="auto"/>
              <w:left w:val="nil"/>
              <w:bottom w:val="nil"/>
              <w:right w:val="nil"/>
            </w:tcBorders>
            <w:vAlign w:val="center"/>
          </w:tcPr>
          <w:p w:rsidR="00000000" w:rsidRDefault="00000000">
            <w:pPr>
              <w:spacing w:after="120" w:line="240" w:lineRule="auto"/>
              <w:ind w:left="72"/>
              <w:jc w:val="center"/>
              <w:rPr>
                <w:snapToGrid w:val="0"/>
                <w:color w:val="000000"/>
                <w:sz w:val="17"/>
                <w:lang w:eastAsia="en-US"/>
              </w:rPr>
            </w:pPr>
            <w:r>
              <w:rPr>
                <w:snapToGrid w:val="0"/>
                <w:color w:val="000000"/>
                <w:sz w:val="17"/>
                <w:lang w:eastAsia="en-US"/>
              </w:rPr>
              <w:t>цент женщин</w:t>
            </w:r>
          </w:p>
        </w:tc>
        <w:tc>
          <w:tcPr>
            <w:tcW w:w="1881" w:type="dxa"/>
            <w:gridSpan w:val="2"/>
            <w:tcBorders>
              <w:top w:val="single" w:sz="12" w:space="0" w:color="auto"/>
              <w:left w:val="nil"/>
              <w:bottom w:val="nil"/>
              <w:right w:val="nil"/>
            </w:tcBorders>
            <w:vAlign w:val="center"/>
          </w:tcPr>
          <w:p w:rsidR="00000000" w:rsidRDefault="00000000">
            <w:pPr>
              <w:spacing w:after="120" w:line="240" w:lineRule="auto"/>
              <w:ind w:left="-18"/>
              <w:jc w:val="center"/>
              <w:rPr>
                <w:snapToGrid w:val="0"/>
                <w:color w:val="000000"/>
                <w:sz w:val="17"/>
                <w:lang w:eastAsia="en-US"/>
              </w:rPr>
            </w:pPr>
            <w:r>
              <w:rPr>
                <w:snapToGrid w:val="0"/>
                <w:color w:val="000000"/>
                <w:sz w:val="17"/>
                <w:lang w:eastAsia="en-US"/>
              </w:rPr>
              <w:t>с</w:t>
            </w:r>
            <w:r>
              <w:rPr>
                <w:snapToGrid w:val="0"/>
                <w:color w:val="000000"/>
                <w:sz w:val="17"/>
                <w:lang w:eastAsia="en-US"/>
              </w:rPr>
              <w:t>ло</w:t>
            </w:r>
          </w:p>
        </w:tc>
      </w:tr>
      <w:tr w:rsidR="00000000">
        <w:tblPrEx>
          <w:tblCellMar>
            <w:top w:w="0" w:type="dxa"/>
            <w:left w:w="0" w:type="dxa"/>
            <w:bottom w:w="0" w:type="dxa"/>
            <w:right w:w="0" w:type="dxa"/>
          </w:tblCellMar>
        </w:tblPrEx>
        <w:trPr>
          <w:cantSplit/>
        </w:trPr>
        <w:tc>
          <w:tcPr>
            <w:tcW w:w="1880" w:type="dxa"/>
            <w:tcBorders>
              <w:top w:val="nil"/>
              <w:left w:val="nil"/>
              <w:bottom w:val="nil"/>
              <w:right w:val="nil"/>
            </w:tcBorders>
            <w:vAlign w:val="center"/>
          </w:tcPr>
          <w:p w:rsidR="00000000" w:rsidRDefault="00000000">
            <w:pPr>
              <w:spacing w:after="120" w:line="240" w:lineRule="auto"/>
              <w:jc w:val="both"/>
              <w:rPr>
                <w:snapToGrid w:val="0"/>
                <w:color w:val="000000"/>
                <w:sz w:val="17"/>
                <w:lang w:eastAsia="en-US"/>
              </w:rPr>
            </w:pPr>
            <w:r>
              <w:rPr>
                <w:snapToGrid w:val="0"/>
                <w:color w:val="000000"/>
                <w:sz w:val="17"/>
                <w:lang w:eastAsia="en-US"/>
              </w:rPr>
              <w:t>Неофиц</w:t>
            </w:r>
            <w:r>
              <w:rPr>
                <w:snapToGrid w:val="0"/>
                <w:color w:val="000000"/>
                <w:sz w:val="17"/>
                <w:lang w:eastAsia="en-US"/>
              </w:rPr>
              <w:t>е</w:t>
            </w:r>
            <w:r>
              <w:rPr>
                <w:snapToGrid w:val="0"/>
                <w:color w:val="000000"/>
                <w:sz w:val="17"/>
                <w:lang w:eastAsia="en-US"/>
              </w:rPr>
              <w:t>ры</w:t>
            </w:r>
          </w:p>
        </w:tc>
        <w:tc>
          <w:tcPr>
            <w:tcW w:w="940" w:type="dxa"/>
            <w:tcBorders>
              <w:top w:val="nil"/>
              <w:left w:val="nil"/>
              <w:bottom w:val="nil"/>
              <w:right w:val="nil"/>
            </w:tcBorders>
            <w:vAlign w:val="center"/>
          </w:tcPr>
          <w:p w:rsidR="00000000" w:rsidRDefault="00000000">
            <w:pPr>
              <w:spacing w:after="120" w:line="240" w:lineRule="auto"/>
              <w:ind w:left="72"/>
              <w:jc w:val="right"/>
              <w:rPr>
                <w:snapToGrid w:val="0"/>
                <w:color w:val="000000"/>
                <w:sz w:val="17"/>
                <w:lang w:eastAsia="en-US"/>
              </w:rPr>
            </w:pPr>
            <w:r>
              <w:rPr>
                <w:snapToGrid w:val="0"/>
                <w:color w:val="000000"/>
                <w:sz w:val="17"/>
                <w:lang w:eastAsia="en-US"/>
              </w:rPr>
              <w:t>3 362</w:t>
            </w:r>
          </w:p>
        </w:tc>
        <w:tc>
          <w:tcPr>
            <w:tcW w:w="940" w:type="dxa"/>
            <w:tcBorders>
              <w:top w:val="nil"/>
              <w:left w:val="nil"/>
              <w:bottom w:val="nil"/>
              <w:right w:val="nil"/>
            </w:tcBorders>
            <w:vAlign w:val="center"/>
          </w:tcPr>
          <w:p w:rsidR="00000000" w:rsidRDefault="00000000">
            <w:pPr>
              <w:spacing w:after="120" w:line="240" w:lineRule="auto"/>
              <w:ind w:left="64"/>
              <w:jc w:val="right"/>
              <w:rPr>
                <w:snapToGrid w:val="0"/>
                <w:color w:val="000000"/>
                <w:sz w:val="17"/>
                <w:lang w:eastAsia="en-US"/>
              </w:rPr>
            </w:pPr>
            <w:r>
              <w:rPr>
                <w:snapToGrid w:val="0"/>
                <w:color w:val="000000"/>
                <w:sz w:val="17"/>
                <w:lang w:eastAsia="en-US"/>
              </w:rPr>
              <w:t>74,88</w:t>
            </w:r>
          </w:p>
        </w:tc>
        <w:tc>
          <w:tcPr>
            <w:tcW w:w="940" w:type="dxa"/>
            <w:tcBorders>
              <w:top w:val="nil"/>
              <w:left w:val="nil"/>
              <w:bottom w:val="nil"/>
              <w:right w:val="nil"/>
            </w:tcBorders>
            <w:vAlign w:val="center"/>
          </w:tcPr>
          <w:p w:rsidR="00000000" w:rsidRDefault="00000000">
            <w:pPr>
              <w:spacing w:after="120" w:line="240" w:lineRule="auto"/>
              <w:ind w:left="18"/>
              <w:jc w:val="right"/>
              <w:rPr>
                <w:snapToGrid w:val="0"/>
                <w:color w:val="000000"/>
                <w:sz w:val="17"/>
                <w:lang w:eastAsia="en-US"/>
              </w:rPr>
            </w:pPr>
            <w:r>
              <w:rPr>
                <w:snapToGrid w:val="0"/>
                <w:color w:val="000000"/>
                <w:sz w:val="17"/>
                <w:lang w:eastAsia="en-US"/>
              </w:rPr>
              <w:t>13 361</w:t>
            </w:r>
          </w:p>
        </w:tc>
        <w:tc>
          <w:tcPr>
            <w:tcW w:w="940" w:type="dxa"/>
            <w:tcBorders>
              <w:top w:val="nil"/>
              <w:left w:val="nil"/>
              <w:bottom w:val="nil"/>
              <w:right w:val="nil"/>
            </w:tcBorders>
            <w:vAlign w:val="center"/>
          </w:tcPr>
          <w:p w:rsidR="00000000" w:rsidRDefault="00000000">
            <w:pPr>
              <w:spacing w:after="120" w:line="240" w:lineRule="auto"/>
              <w:jc w:val="right"/>
              <w:rPr>
                <w:snapToGrid w:val="0"/>
                <w:color w:val="000000"/>
                <w:sz w:val="17"/>
                <w:lang w:eastAsia="en-US"/>
              </w:rPr>
            </w:pPr>
            <w:r>
              <w:rPr>
                <w:snapToGrid w:val="0"/>
                <w:color w:val="000000"/>
                <w:sz w:val="17"/>
                <w:lang w:eastAsia="en-US"/>
              </w:rPr>
              <w:t>78,39</w:t>
            </w:r>
          </w:p>
        </w:tc>
        <w:tc>
          <w:tcPr>
            <w:tcW w:w="940" w:type="dxa"/>
            <w:tcBorders>
              <w:top w:val="nil"/>
              <w:left w:val="nil"/>
              <w:bottom w:val="nil"/>
              <w:right w:val="nil"/>
            </w:tcBorders>
            <w:vAlign w:val="center"/>
          </w:tcPr>
          <w:p w:rsidR="00000000" w:rsidRDefault="00000000">
            <w:pPr>
              <w:spacing w:after="120" w:line="240" w:lineRule="auto"/>
              <w:ind w:left="48"/>
              <w:jc w:val="right"/>
              <w:rPr>
                <w:snapToGrid w:val="0"/>
                <w:color w:val="000000"/>
                <w:sz w:val="17"/>
                <w:lang w:eastAsia="en-US"/>
              </w:rPr>
            </w:pPr>
            <w:r>
              <w:rPr>
                <w:snapToGrid w:val="0"/>
                <w:color w:val="000000"/>
                <w:sz w:val="17"/>
                <w:lang w:eastAsia="en-US"/>
              </w:rPr>
              <w:t>16 723</w:t>
            </w:r>
          </w:p>
        </w:tc>
        <w:tc>
          <w:tcPr>
            <w:tcW w:w="941" w:type="dxa"/>
            <w:tcBorders>
              <w:top w:val="nil"/>
              <w:left w:val="nil"/>
              <w:bottom w:val="nil"/>
              <w:right w:val="nil"/>
            </w:tcBorders>
            <w:vAlign w:val="center"/>
          </w:tcPr>
          <w:p w:rsidR="00000000" w:rsidRDefault="00000000">
            <w:pPr>
              <w:spacing w:after="120" w:line="240" w:lineRule="auto"/>
              <w:ind w:left="72"/>
              <w:jc w:val="right"/>
              <w:rPr>
                <w:snapToGrid w:val="0"/>
                <w:color w:val="000000"/>
                <w:sz w:val="17"/>
                <w:lang w:eastAsia="en-US"/>
              </w:rPr>
            </w:pPr>
            <w:r>
              <w:rPr>
                <w:snapToGrid w:val="0"/>
                <w:color w:val="000000"/>
                <w:sz w:val="17"/>
                <w:lang w:eastAsia="en-US"/>
              </w:rPr>
              <w:t>77,66</w:t>
            </w:r>
          </w:p>
        </w:tc>
      </w:tr>
      <w:tr w:rsidR="00000000">
        <w:tblPrEx>
          <w:tblCellMar>
            <w:top w:w="0" w:type="dxa"/>
            <w:left w:w="0" w:type="dxa"/>
            <w:bottom w:w="0" w:type="dxa"/>
            <w:right w:w="0" w:type="dxa"/>
          </w:tblCellMar>
        </w:tblPrEx>
        <w:trPr>
          <w:cantSplit/>
        </w:trPr>
        <w:tc>
          <w:tcPr>
            <w:tcW w:w="1880" w:type="dxa"/>
            <w:tcBorders>
              <w:top w:val="nil"/>
              <w:left w:val="nil"/>
              <w:bottom w:val="nil"/>
              <w:right w:val="nil"/>
            </w:tcBorders>
            <w:vAlign w:val="center"/>
          </w:tcPr>
          <w:p w:rsidR="00000000" w:rsidRDefault="00000000">
            <w:pPr>
              <w:spacing w:after="120" w:line="240" w:lineRule="auto"/>
              <w:jc w:val="both"/>
              <w:rPr>
                <w:snapToGrid w:val="0"/>
                <w:color w:val="000000"/>
                <w:sz w:val="17"/>
                <w:lang w:eastAsia="en-US"/>
              </w:rPr>
            </w:pPr>
            <w:r>
              <w:rPr>
                <w:snapToGrid w:val="0"/>
                <w:color w:val="000000"/>
                <w:sz w:val="17"/>
                <w:lang w:eastAsia="en-US"/>
              </w:rPr>
              <w:t>Офиц</w:t>
            </w:r>
            <w:r>
              <w:rPr>
                <w:snapToGrid w:val="0"/>
                <w:color w:val="000000"/>
                <w:sz w:val="17"/>
                <w:lang w:eastAsia="en-US"/>
              </w:rPr>
              <w:t>е</w:t>
            </w:r>
            <w:r>
              <w:rPr>
                <w:snapToGrid w:val="0"/>
                <w:color w:val="000000"/>
                <w:sz w:val="17"/>
                <w:lang w:eastAsia="en-US"/>
              </w:rPr>
              <w:t>ры</w:t>
            </w:r>
          </w:p>
        </w:tc>
        <w:tc>
          <w:tcPr>
            <w:tcW w:w="940" w:type="dxa"/>
            <w:tcBorders>
              <w:top w:val="nil"/>
              <w:left w:val="nil"/>
              <w:bottom w:val="nil"/>
              <w:right w:val="nil"/>
            </w:tcBorders>
            <w:vAlign w:val="center"/>
          </w:tcPr>
          <w:p w:rsidR="00000000" w:rsidRDefault="00000000">
            <w:pPr>
              <w:spacing w:after="120" w:line="240" w:lineRule="auto"/>
              <w:ind w:left="72"/>
              <w:jc w:val="right"/>
              <w:rPr>
                <w:snapToGrid w:val="0"/>
                <w:color w:val="000000"/>
                <w:sz w:val="17"/>
                <w:lang w:eastAsia="en-US"/>
              </w:rPr>
            </w:pPr>
            <w:r>
              <w:rPr>
                <w:snapToGrid w:val="0"/>
                <w:color w:val="000000"/>
                <w:sz w:val="17"/>
                <w:lang w:eastAsia="en-US"/>
              </w:rPr>
              <w:t>1 128</w:t>
            </w:r>
          </w:p>
        </w:tc>
        <w:tc>
          <w:tcPr>
            <w:tcW w:w="940" w:type="dxa"/>
            <w:tcBorders>
              <w:top w:val="nil"/>
              <w:left w:val="nil"/>
              <w:bottom w:val="nil"/>
              <w:right w:val="nil"/>
            </w:tcBorders>
            <w:vAlign w:val="center"/>
          </w:tcPr>
          <w:p w:rsidR="00000000" w:rsidRDefault="00000000">
            <w:pPr>
              <w:spacing w:after="120" w:line="240" w:lineRule="auto"/>
              <w:ind w:left="64"/>
              <w:jc w:val="right"/>
              <w:rPr>
                <w:snapToGrid w:val="0"/>
                <w:color w:val="000000"/>
                <w:sz w:val="17"/>
                <w:lang w:eastAsia="en-US"/>
              </w:rPr>
            </w:pPr>
            <w:r>
              <w:rPr>
                <w:snapToGrid w:val="0"/>
                <w:color w:val="000000"/>
                <w:sz w:val="17"/>
                <w:lang w:eastAsia="en-US"/>
              </w:rPr>
              <w:t>25,12</w:t>
            </w:r>
          </w:p>
        </w:tc>
        <w:tc>
          <w:tcPr>
            <w:tcW w:w="940" w:type="dxa"/>
            <w:tcBorders>
              <w:top w:val="nil"/>
              <w:left w:val="nil"/>
              <w:bottom w:val="nil"/>
              <w:right w:val="nil"/>
            </w:tcBorders>
            <w:vAlign w:val="center"/>
          </w:tcPr>
          <w:p w:rsidR="00000000" w:rsidRDefault="00000000">
            <w:pPr>
              <w:spacing w:after="120" w:line="240" w:lineRule="auto"/>
              <w:ind w:left="18"/>
              <w:jc w:val="right"/>
              <w:rPr>
                <w:snapToGrid w:val="0"/>
                <w:color w:val="000000"/>
                <w:sz w:val="17"/>
                <w:lang w:eastAsia="en-US"/>
              </w:rPr>
            </w:pPr>
            <w:r>
              <w:rPr>
                <w:snapToGrid w:val="0"/>
                <w:color w:val="000000"/>
                <w:sz w:val="17"/>
                <w:lang w:eastAsia="en-US"/>
              </w:rPr>
              <w:t>3 684</w:t>
            </w:r>
          </w:p>
        </w:tc>
        <w:tc>
          <w:tcPr>
            <w:tcW w:w="940" w:type="dxa"/>
            <w:tcBorders>
              <w:top w:val="nil"/>
              <w:left w:val="nil"/>
              <w:bottom w:val="nil"/>
              <w:right w:val="nil"/>
            </w:tcBorders>
            <w:vAlign w:val="center"/>
          </w:tcPr>
          <w:p w:rsidR="00000000" w:rsidRDefault="00000000">
            <w:pPr>
              <w:spacing w:after="120" w:line="240" w:lineRule="auto"/>
              <w:jc w:val="right"/>
              <w:rPr>
                <w:snapToGrid w:val="0"/>
                <w:color w:val="000000"/>
                <w:sz w:val="17"/>
                <w:lang w:eastAsia="en-US"/>
              </w:rPr>
            </w:pPr>
            <w:r>
              <w:rPr>
                <w:snapToGrid w:val="0"/>
                <w:color w:val="000000"/>
                <w:sz w:val="17"/>
                <w:lang w:eastAsia="en-US"/>
              </w:rPr>
              <w:t>21,16</w:t>
            </w:r>
          </w:p>
        </w:tc>
        <w:tc>
          <w:tcPr>
            <w:tcW w:w="940" w:type="dxa"/>
            <w:tcBorders>
              <w:top w:val="nil"/>
              <w:left w:val="nil"/>
              <w:bottom w:val="nil"/>
              <w:right w:val="nil"/>
            </w:tcBorders>
            <w:vAlign w:val="center"/>
          </w:tcPr>
          <w:p w:rsidR="00000000" w:rsidRDefault="00000000">
            <w:pPr>
              <w:spacing w:after="120" w:line="240" w:lineRule="auto"/>
              <w:ind w:left="48"/>
              <w:jc w:val="right"/>
              <w:rPr>
                <w:snapToGrid w:val="0"/>
                <w:color w:val="000000"/>
                <w:sz w:val="17"/>
                <w:lang w:eastAsia="en-US"/>
              </w:rPr>
            </w:pPr>
            <w:r>
              <w:rPr>
                <w:snapToGrid w:val="0"/>
                <w:color w:val="000000"/>
                <w:sz w:val="17"/>
                <w:lang w:eastAsia="en-US"/>
              </w:rPr>
              <w:t>4 812</w:t>
            </w:r>
          </w:p>
        </w:tc>
        <w:tc>
          <w:tcPr>
            <w:tcW w:w="941" w:type="dxa"/>
            <w:tcBorders>
              <w:top w:val="nil"/>
              <w:left w:val="nil"/>
              <w:bottom w:val="nil"/>
              <w:right w:val="nil"/>
            </w:tcBorders>
            <w:vAlign w:val="center"/>
          </w:tcPr>
          <w:p w:rsidR="00000000" w:rsidRDefault="00000000">
            <w:pPr>
              <w:spacing w:after="120" w:line="240" w:lineRule="auto"/>
              <w:ind w:left="72"/>
              <w:jc w:val="right"/>
              <w:rPr>
                <w:snapToGrid w:val="0"/>
                <w:color w:val="000000"/>
                <w:sz w:val="17"/>
                <w:lang w:eastAsia="en-US"/>
              </w:rPr>
            </w:pPr>
            <w:r>
              <w:rPr>
                <w:snapToGrid w:val="0"/>
                <w:color w:val="000000"/>
                <w:sz w:val="17"/>
                <w:lang w:eastAsia="en-US"/>
              </w:rPr>
              <w:t>22,34</w:t>
            </w:r>
          </w:p>
        </w:tc>
      </w:tr>
      <w:tr w:rsidR="00000000">
        <w:tblPrEx>
          <w:tblCellMar>
            <w:top w:w="0" w:type="dxa"/>
            <w:left w:w="0" w:type="dxa"/>
            <w:bottom w:w="0" w:type="dxa"/>
            <w:right w:w="0" w:type="dxa"/>
          </w:tblCellMar>
        </w:tblPrEx>
        <w:trPr>
          <w:cantSplit/>
        </w:trPr>
        <w:tc>
          <w:tcPr>
            <w:tcW w:w="1880" w:type="dxa"/>
            <w:tcBorders>
              <w:top w:val="nil"/>
              <w:left w:val="nil"/>
              <w:bottom w:val="nil"/>
              <w:right w:val="nil"/>
            </w:tcBorders>
            <w:vAlign w:val="center"/>
          </w:tcPr>
          <w:p w:rsidR="00000000" w:rsidRDefault="00000000">
            <w:pPr>
              <w:spacing w:after="120" w:line="240" w:lineRule="auto"/>
              <w:jc w:val="both"/>
              <w:rPr>
                <w:snapToGrid w:val="0"/>
                <w:color w:val="000000"/>
                <w:sz w:val="17"/>
                <w:lang w:eastAsia="en-US"/>
              </w:rPr>
            </w:pPr>
            <w:r>
              <w:rPr>
                <w:snapToGrid w:val="0"/>
                <w:color w:val="000000"/>
                <w:sz w:val="17"/>
                <w:lang w:eastAsia="en-US"/>
              </w:rPr>
              <w:t>Всего</w:t>
            </w:r>
          </w:p>
        </w:tc>
        <w:tc>
          <w:tcPr>
            <w:tcW w:w="940" w:type="dxa"/>
            <w:tcBorders>
              <w:top w:val="nil"/>
              <w:left w:val="nil"/>
              <w:bottom w:val="nil"/>
              <w:right w:val="nil"/>
            </w:tcBorders>
            <w:vAlign w:val="center"/>
          </w:tcPr>
          <w:p w:rsidR="00000000" w:rsidRDefault="00000000">
            <w:pPr>
              <w:spacing w:after="120" w:line="240" w:lineRule="auto"/>
              <w:ind w:left="72"/>
              <w:jc w:val="right"/>
              <w:rPr>
                <w:snapToGrid w:val="0"/>
                <w:color w:val="000000"/>
                <w:sz w:val="17"/>
                <w:lang w:eastAsia="en-US"/>
              </w:rPr>
            </w:pPr>
            <w:r>
              <w:rPr>
                <w:snapToGrid w:val="0"/>
                <w:color w:val="000000"/>
                <w:sz w:val="17"/>
                <w:lang w:eastAsia="en-US"/>
              </w:rPr>
              <w:t>4 490</w:t>
            </w:r>
          </w:p>
        </w:tc>
        <w:tc>
          <w:tcPr>
            <w:tcW w:w="940" w:type="dxa"/>
            <w:tcBorders>
              <w:top w:val="nil"/>
              <w:left w:val="nil"/>
              <w:bottom w:val="nil"/>
              <w:right w:val="nil"/>
            </w:tcBorders>
            <w:vAlign w:val="center"/>
          </w:tcPr>
          <w:p w:rsidR="00000000" w:rsidRDefault="00000000">
            <w:pPr>
              <w:spacing w:after="120" w:line="240" w:lineRule="auto"/>
              <w:ind w:left="64"/>
              <w:jc w:val="right"/>
              <w:rPr>
                <w:snapToGrid w:val="0"/>
                <w:color w:val="000000"/>
                <w:sz w:val="17"/>
                <w:lang w:eastAsia="en-US"/>
              </w:rPr>
            </w:pPr>
            <w:r>
              <w:rPr>
                <w:snapToGrid w:val="0"/>
                <w:color w:val="000000"/>
                <w:sz w:val="17"/>
                <w:lang w:eastAsia="en-US"/>
              </w:rPr>
              <w:t>100</w:t>
            </w:r>
          </w:p>
        </w:tc>
        <w:tc>
          <w:tcPr>
            <w:tcW w:w="940" w:type="dxa"/>
            <w:tcBorders>
              <w:top w:val="nil"/>
              <w:left w:val="nil"/>
              <w:bottom w:val="nil"/>
              <w:right w:val="nil"/>
            </w:tcBorders>
            <w:vAlign w:val="center"/>
          </w:tcPr>
          <w:p w:rsidR="00000000" w:rsidRDefault="00000000">
            <w:pPr>
              <w:spacing w:after="120" w:line="240" w:lineRule="auto"/>
              <w:ind w:left="18"/>
              <w:jc w:val="right"/>
              <w:rPr>
                <w:snapToGrid w:val="0"/>
                <w:color w:val="000000"/>
                <w:sz w:val="17"/>
                <w:lang w:eastAsia="en-US"/>
              </w:rPr>
            </w:pPr>
            <w:r>
              <w:rPr>
                <w:snapToGrid w:val="0"/>
                <w:color w:val="000000"/>
                <w:sz w:val="17"/>
                <w:lang w:eastAsia="en-US"/>
              </w:rPr>
              <w:t>17 045</w:t>
            </w:r>
          </w:p>
        </w:tc>
        <w:tc>
          <w:tcPr>
            <w:tcW w:w="940" w:type="dxa"/>
            <w:tcBorders>
              <w:top w:val="nil"/>
              <w:left w:val="nil"/>
              <w:bottom w:val="nil"/>
              <w:right w:val="nil"/>
            </w:tcBorders>
            <w:vAlign w:val="center"/>
          </w:tcPr>
          <w:p w:rsidR="00000000" w:rsidRDefault="00000000">
            <w:pPr>
              <w:spacing w:after="120" w:line="240" w:lineRule="auto"/>
              <w:jc w:val="right"/>
              <w:rPr>
                <w:snapToGrid w:val="0"/>
                <w:color w:val="000000"/>
                <w:sz w:val="17"/>
                <w:lang w:eastAsia="en-US"/>
              </w:rPr>
            </w:pPr>
            <w:r>
              <w:rPr>
                <w:snapToGrid w:val="0"/>
                <w:color w:val="000000"/>
                <w:sz w:val="17"/>
                <w:lang w:eastAsia="en-US"/>
              </w:rPr>
              <w:t>100</w:t>
            </w:r>
          </w:p>
        </w:tc>
        <w:tc>
          <w:tcPr>
            <w:tcW w:w="940" w:type="dxa"/>
            <w:tcBorders>
              <w:top w:val="nil"/>
              <w:left w:val="nil"/>
              <w:bottom w:val="nil"/>
              <w:right w:val="nil"/>
            </w:tcBorders>
            <w:vAlign w:val="center"/>
          </w:tcPr>
          <w:p w:rsidR="00000000" w:rsidRDefault="00000000">
            <w:pPr>
              <w:spacing w:after="120" w:line="240" w:lineRule="auto"/>
              <w:ind w:left="48"/>
              <w:jc w:val="right"/>
              <w:rPr>
                <w:snapToGrid w:val="0"/>
                <w:color w:val="000000"/>
                <w:sz w:val="17"/>
                <w:lang w:eastAsia="en-US"/>
              </w:rPr>
            </w:pPr>
            <w:r>
              <w:rPr>
                <w:snapToGrid w:val="0"/>
                <w:color w:val="000000"/>
                <w:sz w:val="17"/>
                <w:lang w:eastAsia="en-US"/>
              </w:rPr>
              <w:t>21 535</w:t>
            </w:r>
          </w:p>
        </w:tc>
        <w:tc>
          <w:tcPr>
            <w:tcW w:w="941" w:type="dxa"/>
            <w:tcBorders>
              <w:top w:val="nil"/>
              <w:left w:val="nil"/>
              <w:bottom w:val="nil"/>
              <w:right w:val="nil"/>
            </w:tcBorders>
            <w:vAlign w:val="center"/>
          </w:tcPr>
          <w:p w:rsidR="00000000" w:rsidRDefault="00000000">
            <w:pPr>
              <w:spacing w:after="120" w:line="240" w:lineRule="auto"/>
              <w:ind w:left="72"/>
              <w:jc w:val="right"/>
              <w:rPr>
                <w:snapToGrid w:val="0"/>
                <w:color w:val="000000"/>
                <w:sz w:val="17"/>
                <w:lang w:eastAsia="en-US"/>
              </w:rPr>
            </w:pPr>
            <w:r>
              <w:rPr>
                <w:snapToGrid w:val="0"/>
                <w:color w:val="000000"/>
                <w:sz w:val="17"/>
                <w:lang w:eastAsia="en-US"/>
              </w:rPr>
              <w:t>100</w:t>
            </w:r>
          </w:p>
        </w:tc>
      </w:tr>
    </w:tbl>
    <w:p w:rsidR="00000000" w:rsidRDefault="00000000">
      <w:pPr>
        <w:pStyle w:val="SingleTxt"/>
        <w:spacing w:after="0" w:line="120" w:lineRule="exact"/>
        <w:ind w:left="1264" w:right="1264"/>
        <w:jc w:val="left"/>
        <w:rPr>
          <w:sz w:val="10"/>
        </w:rPr>
      </w:pPr>
    </w:p>
    <w:p w:rsidR="00000000" w:rsidRDefault="00000000">
      <w:pPr>
        <w:spacing w:line="360" w:lineRule="auto"/>
        <w:ind w:left="1267" w:right="1267"/>
        <w:jc w:val="both"/>
        <w:rPr>
          <w:snapToGrid w:val="0"/>
          <w:color w:val="000000"/>
          <w:lang w:eastAsia="en-US"/>
        </w:rPr>
      </w:pPr>
      <w:r>
        <w:rPr>
          <w:i/>
          <w:snapToGrid w:val="0"/>
          <w:color w:val="000000"/>
          <w:lang w:eastAsia="en-US"/>
        </w:rPr>
        <w:t>Источник</w:t>
      </w:r>
      <w:r>
        <w:rPr>
          <w:snapToGrid w:val="0"/>
          <w:color w:val="000000"/>
          <w:lang w:eastAsia="en-US"/>
        </w:rPr>
        <w:t>: израильская полиция, 2004 год.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219.</w:t>
      </w:r>
      <w:r>
        <w:tab/>
        <w:t>Женщины до определенной степени недостаточно представлены среди высокопоставленных сотрудников полиции, составляя 17,6 процента более старших сотрудников и 21 процент сотрудников полиции в целом.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5" w:right="1267" w:firstLine="172"/>
      </w:pPr>
      <w:r>
        <w:t>Сексуальные домогательства в полиции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220.</w:t>
      </w:r>
      <w:r>
        <w:tab/>
        <w:t>Полиция приняла ряд мер для борьбы с сексуальными домогательствами. Директивы по вопросам сексуальных домогательств были подготовлены и ра</w:t>
      </w:r>
      <w:r>
        <w:t>с</w:t>
      </w:r>
      <w:r>
        <w:t>пространены среди сотрудников полиции, был назначен специальный сотру</w:t>
      </w:r>
      <w:r>
        <w:t>д</w:t>
      </w:r>
      <w:r>
        <w:t>ник по надзору за сексуальными домогательствами и были опубликованы до</w:t>
      </w:r>
      <w:r>
        <w:t>к</w:t>
      </w:r>
      <w:r>
        <w:t>лады о сексуальных домогательствах в полиции и о случаях жестокого обр</w:t>
      </w:r>
      <w:r>
        <w:t>а</w:t>
      </w:r>
      <w:r>
        <w:t>щения вследствие домогательств. Была подготовлена еще одна информацио</w:t>
      </w:r>
      <w:r>
        <w:t>н</w:t>
      </w:r>
      <w:r>
        <w:t>ная брошюра, которая будет выдана каждому сотруднику полиции, а также н</w:t>
      </w:r>
      <w:r>
        <w:t>о</w:t>
      </w:r>
      <w:r>
        <w:t>вобра</w:t>
      </w:r>
      <w:r>
        <w:t>н</w:t>
      </w:r>
      <w:r>
        <w:t>цам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221.</w:t>
      </w:r>
      <w:r>
        <w:tab/>
        <w:t>За 18 месяцев в период с января 2003 по июнь 2004 года Департамент расследований в отношении сотрудников полиции министерства юстиции ра</w:t>
      </w:r>
      <w:r>
        <w:t>с</w:t>
      </w:r>
      <w:r>
        <w:t>смотрел 38 дел, связанных с сексуальными домогательствам, и предъявил о</w:t>
      </w:r>
      <w:r>
        <w:t>б</w:t>
      </w:r>
      <w:r>
        <w:t>винение в совершении уголовных преступлений. За тот же самый период 22 дела, касающиеся сексуальных домогательств, были направлены Департ</w:t>
      </w:r>
      <w:r>
        <w:t>а</w:t>
      </w:r>
      <w:r>
        <w:t>ментом полицейских расследований в полицейский департамент по дисципл</w:t>
      </w:r>
      <w:r>
        <w:t>и</w:t>
      </w:r>
      <w:r>
        <w:t>нарным проблемам после завершения уголовного судопроизво</w:t>
      </w:r>
      <w:r>
        <w:t>д</w:t>
      </w:r>
      <w:r>
        <w:t>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Женские организации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222.</w:t>
      </w:r>
      <w:r>
        <w:tab/>
        <w:t>Женские организации по-прежнему играют активную и важную роль в обеспечении равенства мужчин и женщин в Израиле. Эти организации неи</w:t>
      </w:r>
      <w:r>
        <w:t>з</w:t>
      </w:r>
      <w:r>
        <w:t>менно носят динамичный характер и представляют интересы женщины во всех секторах, обеспечивая возможности для формирования активного гражданск</w:t>
      </w:r>
      <w:r>
        <w:t>о</w:t>
      </w:r>
      <w:r>
        <w:t>го о</w:t>
      </w:r>
      <w:r>
        <w:t>б</w:t>
      </w:r>
      <w:r>
        <w:t>щества.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223.</w:t>
      </w:r>
      <w:r>
        <w:tab/>
        <w:t>Женские организации активно влияют на многие сферы жизни в Израиле, в том числе на основные сферы их функционирования: поощрение принятия законодательства, как это подробно поясняется в разделе настоящего доклада, посвященном статье 5, выше, касающемся центров по оказанию помощи в сл</w:t>
      </w:r>
      <w:r>
        <w:t>у</w:t>
      </w:r>
      <w:r>
        <w:t>чаях с сексуальными домогательствами; оказание помощи женщинам в пре</w:t>
      </w:r>
      <w:r>
        <w:t>д</w:t>
      </w:r>
      <w:r>
        <w:t>ставлении их правовых интересов и консультировании; развертывание инфо</w:t>
      </w:r>
      <w:r>
        <w:t>р</w:t>
      </w:r>
      <w:r>
        <w:t>мационных кампаний, посвященных правам женщин; организация конфере</w:t>
      </w:r>
      <w:r>
        <w:t>н</w:t>
      </w:r>
      <w:r>
        <w:t>ций и семинаров; руководство деятельностью центров и "горячих линий" по оказанию помощи в случае сексуальных нападений, и т.д.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Ch"/>
        <w:ind w:left="792" w:right="1210"/>
      </w:pPr>
      <w:r>
        <w:t>Статья 8. Международное представительство и участие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Представительство женщин на дипломатической службе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224.</w:t>
      </w:r>
      <w:r>
        <w:tab/>
        <w:t>Дипломатическая служба Израиля обычно работает в условиях увелич</w:t>
      </w:r>
      <w:r>
        <w:t>е</w:t>
      </w:r>
      <w:r>
        <w:t>ния числа женщин в своих рядах.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225.</w:t>
      </w:r>
      <w:r>
        <w:tab/>
        <w:t>Процентная доля женщин, сдающих экзамены для прохождения курса к</w:t>
      </w:r>
      <w:r>
        <w:t>а</w:t>
      </w:r>
      <w:r>
        <w:t>детской подготовки (30-45 процентов), аналогична процентной доли женщин, принимаемых для прохождения данного курса (30-48 процентов). Следует о</w:t>
      </w:r>
      <w:r>
        <w:t>т</w:t>
      </w:r>
      <w:r>
        <w:t>метить, что большинство кадетов, посещающих курс, как правило, его успе</w:t>
      </w:r>
      <w:r>
        <w:t>ш</w:t>
      </w:r>
      <w:r>
        <w:t>но зака</w:t>
      </w:r>
      <w:r>
        <w:t>н</w:t>
      </w:r>
      <w:r>
        <w:t xml:space="preserve">чивают.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226.</w:t>
      </w:r>
      <w:r>
        <w:tab/>
        <w:t>В министерстве иностранных дел и в дипломатических представительс</w:t>
      </w:r>
      <w:r>
        <w:t>т</w:t>
      </w:r>
      <w:r>
        <w:t>вах работают административные сотрудники, неадминистративные сотрудники и дипломатический корпус. Доля женщин среди административного и неадм</w:t>
      </w:r>
      <w:r>
        <w:t>и</w:t>
      </w:r>
      <w:r>
        <w:t>нистративного персонала превышает долю мужчин (50,5 процента и 63 пр</w:t>
      </w:r>
      <w:r>
        <w:t>о</w:t>
      </w:r>
      <w:r>
        <w:t>цента по сравнению с 49,5 процента и 37 процентами в 2003 году).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227.</w:t>
      </w:r>
      <w:r>
        <w:tab/>
        <w:t>В следующей таблице приводятся подробные данные о процентной доле женщин на дипломатической службе в системе министерства иностранных дел в разбивке по рангам: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56"/>
        <w:ind w:left="2376" w:right="1267" w:hanging="1109"/>
      </w:pPr>
      <w:r>
        <w:t>Таблица 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Представительство женщин во внешнеполитическом ведомстве - дипломатическая служба, 2002-2003 годы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keepNext/>
        <w:spacing w:after="0" w:line="240" w:lineRule="auto"/>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82"/>
        <w:gridCol w:w="1350"/>
        <w:gridCol w:w="1350"/>
        <w:gridCol w:w="1350"/>
        <w:gridCol w:w="1440"/>
      </w:tblGrid>
      <w:tr w:rsidR="00000000">
        <w:tblPrEx>
          <w:tblCellMar>
            <w:top w:w="0" w:type="dxa"/>
            <w:left w:w="0" w:type="dxa"/>
            <w:bottom w:w="0" w:type="dxa"/>
            <w:right w:w="0" w:type="dxa"/>
          </w:tblCellMar>
        </w:tblPrEx>
        <w:trPr>
          <w:tblHeader/>
        </w:trPr>
        <w:tc>
          <w:tcPr>
            <w:tcW w:w="1782" w:type="dxa"/>
            <w:tcBorders>
              <w:left w:val="nil"/>
              <w:bottom w:val="nil"/>
              <w:right w:val="nil"/>
            </w:tcBorders>
            <w:vAlign w:val="bottom"/>
          </w:tcPr>
          <w:p w:rsidR="00000000" w:rsidRDefault="00000000">
            <w:pPr>
              <w:keepNext/>
              <w:tabs>
                <w:tab w:val="left" w:pos="288"/>
                <w:tab w:val="left" w:pos="576"/>
                <w:tab w:val="left" w:pos="864"/>
                <w:tab w:val="left" w:pos="1152"/>
              </w:tabs>
              <w:spacing w:before="100" w:after="81" w:line="210" w:lineRule="exact"/>
              <w:ind w:right="43"/>
              <w:rPr>
                <w:i/>
                <w:sz w:val="17"/>
              </w:rPr>
            </w:pPr>
          </w:p>
        </w:tc>
        <w:tc>
          <w:tcPr>
            <w:tcW w:w="2700" w:type="dxa"/>
            <w:gridSpan w:val="2"/>
            <w:tcBorders>
              <w:left w:val="nil"/>
              <w:bottom w:val="single" w:sz="4"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jc w:val="center"/>
              <w:rPr>
                <w:i/>
                <w:sz w:val="14"/>
              </w:rPr>
            </w:pPr>
            <w:r>
              <w:rPr>
                <w:i/>
                <w:sz w:val="14"/>
              </w:rPr>
              <w:t>2002 год</w:t>
            </w:r>
          </w:p>
        </w:tc>
        <w:tc>
          <w:tcPr>
            <w:tcW w:w="2790" w:type="dxa"/>
            <w:gridSpan w:val="2"/>
            <w:tcBorders>
              <w:left w:val="nil"/>
              <w:bottom w:val="single" w:sz="4"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jc w:val="center"/>
              <w:rPr>
                <w:i/>
                <w:sz w:val="14"/>
              </w:rPr>
            </w:pPr>
            <w:r>
              <w:rPr>
                <w:i/>
                <w:sz w:val="14"/>
              </w:rPr>
              <w:t>2003 год</w:t>
            </w:r>
          </w:p>
        </w:tc>
      </w:tr>
      <w:tr w:rsidR="00000000">
        <w:tblPrEx>
          <w:tblCellMar>
            <w:top w:w="0" w:type="dxa"/>
            <w:left w:w="0" w:type="dxa"/>
            <w:bottom w:w="0" w:type="dxa"/>
            <w:right w:w="0" w:type="dxa"/>
          </w:tblCellMar>
        </w:tblPrEx>
        <w:trPr>
          <w:cantSplit/>
          <w:tblHeader/>
        </w:trPr>
        <w:tc>
          <w:tcPr>
            <w:tcW w:w="1782" w:type="dxa"/>
            <w:tcBorders>
              <w:top w:val="nil"/>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rPr>
                <w:i/>
                <w:sz w:val="17"/>
              </w:rPr>
            </w:pPr>
          </w:p>
        </w:tc>
        <w:tc>
          <w:tcPr>
            <w:tcW w:w="1350" w:type="dxa"/>
            <w:tcBorders>
              <w:top w:val="single" w:sz="4" w:space="0" w:color="auto"/>
              <w:left w:val="nil"/>
              <w:bottom w:val="single" w:sz="12" w:space="0" w:color="auto"/>
              <w:right w:val="nil"/>
            </w:tcBorders>
            <w:vAlign w:val="center"/>
          </w:tcPr>
          <w:p w:rsidR="00000000" w:rsidRDefault="00000000">
            <w:pPr>
              <w:spacing w:after="120" w:line="240" w:lineRule="auto"/>
              <w:jc w:val="right"/>
              <w:rPr>
                <w:i/>
                <w:snapToGrid w:val="0"/>
                <w:color w:val="000000"/>
                <w:sz w:val="14"/>
                <w:lang w:eastAsia="en-US"/>
              </w:rPr>
            </w:pPr>
            <w:r>
              <w:rPr>
                <w:i/>
                <w:snapToGrid w:val="0"/>
                <w:color w:val="000000"/>
                <w:sz w:val="14"/>
                <w:lang w:eastAsia="en-US"/>
              </w:rPr>
              <w:t>Женщ</w:t>
            </w:r>
            <w:r>
              <w:rPr>
                <w:i/>
                <w:snapToGrid w:val="0"/>
                <w:color w:val="000000"/>
                <w:sz w:val="14"/>
                <w:lang w:eastAsia="en-US"/>
              </w:rPr>
              <w:t>и</w:t>
            </w:r>
            <w:r>
              <w:rPr>
                <w:i/>
                <w:snapToGrid w:val="0"/>
                <w:color w:val="000000"/>
                <w:sz w:val="14"/>
                <w:lang w:eastAsia="en-US"/>
              </w:rPr>
              <w:t>ны</w:t>
            </w:r>
          </w:p>
        </w:tc>
        <w:tc>
          <w:tcPr>
            <w:tcW w:w="1350" w:type="dxa"/>
            <w:tcBorders>
              <w:top w:val="single" w:sz="4" w:space="0" w:color="auto"/>
              <w:left w:val="nil"/>
              <w:bottom w:val="single" w:sz="12" w:space="0" w:color="auto"/>
              <w:right w:val="nil"/>
            </w:tcBorders>
            <w:vAlign w:val="center"/>
          </w:tcPr>
          <w:p w:rsidR="00000000" w:rsidRDefault="00000000">
            <w:pPr>
              <w:spacing w:after="120" w:line="240" w:lineRule="auto"/>
              <w:ind w:left="72"/>
              <w:jc w:val="right"/>
              <w:rPr>
                <w:i/>
                <w:snapToGrid w:val="0"/>
                <w:color w:val="000000"/>
                <w:sz w:val="14"/>
                <w:lang w:eastAsia="en-US"/>
              </w:rPr>
            </w:pPr>
            <w:r>
              <w:rPr>
                <w:i/>
                <w:snapToGrid w:val="0"/>
                <w:color w:val="000000"/>
                <w:sz w:val="14"/>
                <w:lang w:eastAsia="en-US"/>
              </w:rPr>
              <w:t>Му</w:t>
            </w:r>
            <w:r>
              <w:rPr>
                <w:i/>
                <w:snapToGrid w:val="0"/>
                <w:color w:val="000000"/>
                <w:sz w:val="14"/>
                <w:lang w:eastAsia="en-US"/>
              </w:rPr>
              <w:t>ж</w:t>
            </w:r>
            <w:r>
              <w:rPr>
                <w:i/>
                <w:snapToGrid w:val="0"/>
                <w:color w:val="000000"/>
                <w:sz w:val="14"/>
                <w:lang w:eastAsia="en-US"/>
              </w:rPr>
              <w:t>чины</w:t>
            </w:r>
          </w:p>
        </w:tc>
        <w:tc>
          <w:tcPr>
            <w:tcW w:w="1350" w:type="dxa"/>
            <w:tcBorders>
              <w:top w:val="single" w:sz="4" w:space="0" w:color="auto"/>
              <w:left w:val="nil"/>
              <w:bottom w:val="single" w:sz="12" w:space="0" w:color="auto"/>
              <w:right w:val="nil"/>
            </w:tcBorders>
            <w:vAlign w:val="center"/>
          </w:tcPr>
          <w:p w:rsidR="00000000" w:rsidRDefault="00000000">
            <w:pPr>
              <w:spacing w:after="120" w:line="240" w:lineRule="auto"/>
              <w:ind w:left="-18"/>
              <w:jc w:val="right"/>
              <w:rPr>
                <w:i/>
                <w:snapToGrid w:val="0"/>
                <w:color w:val="000000"/>
                <w:sz w:val="14"/>
                <w:lang w:eastAsia="en-US"/>
              </w:rPr>
            </w:pPr>
            <w:r>
              <w:rPr>
                <w:i/>
                <w:snapToGrid w:val="0"/>
                <w:color w:val="000000"/>
                <w:sz w:val="14"/>
                <w:lang w:eastAsia="en-US"/>
              </w:rPr>
              <w:t>Женщины</w:t>
            </w:r>
          </w:p>
        </w:tc>
        <w:tc>
          <w:tcPr>
            <w:tcW w:w="1440" w:type="dxa"/>
            <w:tcBorders>
              <w:top w:val="single" w:sz="4" w:space="0" w:color="auto"/>
              <w:left w:val="nil"/>
              <w:bottom w:val="single" w:sz="12" w:space="0" w:color="auto"/>
              <w:right w:val="nil"/>
            </w:tcBorders>
            <w:vAlign w:val="center"/>
          </w:tcPr>
          <w:p w:rsidR="00000000" w:rsidRDefault="00000000">
            <w:pPr>
              <w:spacing w:after="120" w:line="240" w:lineRule="auto"/>
              <w:jc w:val="right"/>
              <w:rPr>
                <w:i/>
                <w:snapToGrid w:val="0"/>
                <w:color w:val="000000"/>
                <w:sz w:val="14"/>
                <w:lang w:eastAsia="en-US"/>
              </w:rPr>
            </w:pPr>
            <w:r>
              <w:rPr>
                <w:i/>
                <w:snapToGrid w:val="0"/>
                <w:color w:val="000000"/>
                <w:sz w:val="14"/>
                <w:lang w:eastAsia="en-US"/>
              </w:rPr>
              <w:t>Мужчины</w:t>
            </w:r>
          </w:p>
        </w:tc>
      </w:tr>
      <w:tr w:rsidR="00000000">
        <w:tblPrEx>
          <w:tblCellMar>
            <w:top w:w="0" w:type="dxa"/>
            <w:left w:w="0" w:type="dxa"/>
            <w:bottom w:w="0" w:type="dxa"/>
            <w:right w:w="0" w:type="dxa"/>
          </w:tblCellMar>
        </w:tblPrEx>
        <w:trPr>
          <w:trHeight w:hRule="exact" w:val="115"/>
          <w:tblHeader/>
        </w:trPr>
        <w:tc>
          <w:tcPr>
            <w:tcW w:w="1782"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2700" w:type="dxa"/>
            <w:gridSpan w:val="2"/>
            <w:tcBorders>
              <w:top w:val="single" w:sz="12" w:space="0" w:color="auto"/>
              <w:left w:val="nil"/>
              <w:bottom w:val="nil"/>
              <w:right w:val="nil"/>
            </w:tcBorders>
            <w:vAlign w:val="center"/>
          </w:tcPr>
          <w:p w:rsidR="00000000" w:rsidRDefault="00000000">
            <w:pPr>
              <w:spacing w:after="120" w:line="240" w:lineRule="auto"/>
              <w:jc w:val="center"/>
              <w:rPr>
                <w:snapToGrid w:val="0"/>
                <w:color w:val="000000"/>
                <w:sz w:val="17"/>
                <w:lang w:eastAsia="en-US"/>
              </w:rPr>
            </w:pPr>
            <w:r>
              <w:rPr>
                <w:snapToGrid w:val="0"/>
                <w:color w:val="000000"/>
                <w:sz w:val="17"/>
                <w:lang w:eastAsia="en-US"/>
              </w:rPr>
              <w:t>с</w:t>
            </w:r>
            <w:r>
              <w:rPr>
                <w:snapToGrid w:val="0"/>
                <w:color w:val="000000"/>
                <w:sz w:val="17"/>
                <w:lang w:eastAsia="en-US"/>
              </w:rPr>
              <w:t>л</w:t>
            </w:r>
          </w:p>
        </w:tc>
        <w:tc>
          <w:tcPr>
            <w:tcW w:w="2790" w:type="dxa"/>
            <w:gridSpan w:val="2"/>
            <w:tcBorders>
              <w:top w:val="single" w:sz="12" w:space="0" w:color="auto"/>
              <w:left w:val="nil"/>
              <w:bottom w:val="nil"/>
              <w:right w:val="nil"/>
            </w:tcBorders>
            <w:vAlign w:val="center"/>
          </w:tcPr>
          <w:p w:rsidR="00000000" w:rsidRDefault="00000000">
            <w:pPr>
              <w:spacing w:after="120" w:line="240" w:lineRule="auto"/>
              <w:ind w:left="72"/>
              <w:jc w:val="center"/>
              <w:rPr>
                <w:snapToGrid w:val="0"/>
                <w:color w:val="000000"/>
                <w:sz w:val="17"/>
                <w:lang w:eastAsia="en-US"/>
              </w:rPr>
            </w:pPr>
            <w:r>
              <w:rPr>
                <w:snapToGrid w:val="0"/>
                <w:color w:val="000000"/>
                <w:sz w:val="17"/>
                <w:lang w:eastAsia="en-US"/>
              </w:rPr>
              <w:t>цент женщин</w:t>
            </w:r>
          </w:p>
        </w:tc>
      </w:tr>
      <w:tr w:rsidR="00000000">
        <w:tblPrEx>
          <w:tblCellMar>
            <w:top w:w="0" w:type="dxa"/>
            <w:left w:w="0" w:type="dxa"/>
            <w:bottom w:w="0" w:type="dxa"/>
            <w:right w:w="0" w:type="dxa"/>
          </w:tblCellMar>
        </w:tblPrEx>
        <w:trPr>
          <w:cantSplit/>
        </w:trPr>
        <w:tc>
          <w:tcPr>
            <w:tcW w:w="1782" w:type="dxa"/>
            <w:tcBorders>
              <w:top w:val="nil"/>
              <w:left w:val="nil"/>
              <w:bottom w:val="nil"/>
              <w:right w:val="nil"/>
            </w:tcBorders>
            <w:vAlign w:val="center"/>
          </w:tcPr>
          <w:p w:rsidR="00000000" w:rsidRDefault="00000000">
            <w:pPr>
              <w:spacing w:after="120" w:line="240" w:lineRule="auto"/>
              <w:jc w:val="both"/>
              <w:rPr>
                <w:snapToGrid w:val="0"/>
                <w:color w:val="000000"/>
                <w:sz w:val="17"/>
                <w:lang w:eastAsia="en-US"/>
              </w:rPr>
            </w:pPr>
            <w:r>
              <w:rPr>
                <w:snapToGrid w:val="0"/>
                <w:color w:val="000000"/>
                <w:sz w:val="17"/>
                <w:lang w:eastAsia="en-US"/>
              </w:rPr>
              <w:t>Посол</w:t>
            </w:r>
          </w:p>
        </w:tc>
        <w:tc>
          <w:tcPr>
            <w:tcW w:w="1350" w:type="dxa"/>
            <w:tcBorders>
              <w:top w:val="nil"/>
              <w:left w:val="nil"/>
              <w:bottom w:val="nil"/>
              <w:right w:val="nil"/>
            </w:tcBorders>
            <w:vAlign w:val="center"/>
          </w:tcPr>
          <w:p w:rsidR="00000000" w:rsidRDefault="00000000">
            <w:pPr>
              <w:spacing w:after="120" w:line="240" w:lineRule="auto"/>
              <w:ind w:left="72"/>
              <w:jc w:val="right"/>
              <w:rPr>
                <w:snapToGrid w:val="0"/>
                <w:color w:val="000000"/>
                <w:sz w:val="17"/>
                <w:lang w:eastAsia="en-US"/>
              </w:rPr>
            </w:pPr>
            <w:r>
              <w:rPr>
                <w:snapToGrid w:val="0"/>
                <w:color w:val="000000"/>
                <w:sz w:val="17"/>
                <w:lang w:eastAsia="en-US"/>
              </w:rPr>
              <w:t>0 (0%)</w:t>
            </w:r>
          </w:p>
        </w:tc>
        <w:tc>
          <w:tcPr>
            <w:tcW w:w="1350" w:type="dxa"/>
            <w:tcBorders>
              <w:top w:val="nil"/>
              <w:left w:val="nil"/>
              <w:bottom w:val="nil"/>
              <w:right w:val="nil"/>
            </w:tcBorders>
            <w:vAlign w:val="center"/>
          </w:tcPr>
          <w:p w:rsidR="00000000" w:rsidRDefault="00000000">
            <w:pPr>
              <w:spacing w:after="120" w:line="240" w:lineRule="auto"/>
              <w:ind w:left="64"/>
              <w:jc w:val="right"/>
              <w:rPr>
                <w:snapToGrid w:val="0"/>
                <w:color w:val="000000"/>
                <w:sz w:val="17"/>
                <w:lang w:eastAsia="en-US"/>
              </w:rPr>
            </w:pPr>
            <w:r>
              <w:rPr>
                <w:snapToGrid w:val="0"/>
                <w:color w:val="000000"/>
                <w:sz w:val="17"/>
                <w:lang w:eastAsia="en-US"/>
              </w:rPr>
              <w:t>27 (100%)</w:t>
            </w:r>
          </w:p>
        </w:tc>
        <w:tc>
          <w:tcPr>
            <w:tcW w:w="1350" w:type="dxa"/>
            <w:tcBorders>
              <w:top w:val="nil"/>
              <w:left w:val="nil"/>
              <w:bottom w:val="nil"/>
              <w:right w:val="nil"/>
            </w:tcBorders>
            <w:vAlign w:val="center"/>
          </w:tcPr>
          <w:p w:rsidR="00000000" w:rsidRDefault="00000000">
            <w:pPr>
              <w:spacing w:after="120" w:line="240" w:lineRule="auto"/>
              <w:ind w:left="18"/>
              <w:jc w:val="right"/>
              <w:rPr>
                <w:snapToGrid w:val="0"/>
                <w:color w:val="000000"/>
                <w:sz w:val="17"/>
                <w:lang w:eastAsia="en-US"/>
              </w:rPr>
            </w:pPr>
            <w:r>
              <w:rPr>
                <w:snapToGrid w:val="0"/>
                <w:color w:val="000000"/>
                <w:sz w:val="17"/>
                <w:lang w:eastAsia="en-US"/>
              </w:rPr>
              <w:t>1 (0,5%)</w:t>
            </w:r>
          </w:p>
        </w:tc>
        <w:tc>
          <w:tcPr>
            <w:tcW w:w="1440" w:type="dxa"/>
            <w:tcBorders>
              <w:top w:val="nil"/>
              <w:left w:val="nil"/>
              <w:bottom w:val="nil"/>
              <w:right w:val="nil"/>
            </w:tcBorders>
            <w:vAlign w:val="center"/>
          </w:tcPr>
          <w:p w:rsidR="00000000" w:rsidRDefault="00000000">
            <w:pPr>
              <w:spacing w:after="120" w:line="240" w:lineRule="auto"/>
              <w:jc w:val="right"/>
              <w:rPr>
                <w:snapToGrid w:val="0"/>
                <w:color w:val="000000"/>
                <w:sz w:val="17"/>
                <w:lang w:eastAsia="en-US"/>
              </w:rPr>
            </w:pPr>
            <w:r>
              <w:rPr>
                <w:snapToGrid w:val="0"/>
                <w:color w:val="000000"/>
                <w:sz w:val="17"/>
                <w:lang w:eastAsia="en-US"/>
              </w:rPr>
              <w:t>21 (95,5%)</w:t>
            </w:r>
          </w:p>
        </w:tc>
      </w:tr>
      <w:tr w:rsidR="00000000">
        <w:tblPrEx>
          <w:tblCellMar>
            <w:top w:w="0" w:type="dxa"/>
            <w:left w:w="0" w:type="dxa"/>
            <w:bottom w:w="0" w:type="dxa"/>
            <w:right w:w="0" w:type="dxa"/>
          </w:tblCellMar>
        </w:tblPrEx>
        <w:trPr>
          <w:cantSplit/>
        </w:trPr>
        <w:tc>
          <w:tcPr>
            <w:tcW w:w="1782" w:type="dxa"/>
            <w:tcBorders>
              <w:top w:val="nil"/>
              <w:left w:val="nil"/>
              <w:bottom w:val="nil"/>
              <w:right w:val="nil"/>
            </w:tcBorders>
            <w:vAlign w:val="center"/>
          </w:tcPr>
          <w:p w:rsidR="00000000" w:rsidRDefault="00000000">
            <w:pPr>
              <w:spacing w:after="120" w:line="240" w:lineRule="auto"/>
              <w:jc w:val="both"/>
              <w:rPr>
                <w:snapToGrid w:val="0"/>
                <w:color w:val="000000"/>
                <w:sz w:val="17"/>
                <w:lang w:eastAsia="en-US"/>
              </w:rPr>
            </w:pPr>
            <w:r>
              <w:rPr>
                <w:snapToGrid w:val="0"/>
                <w:color w:val="000000"/>
                <w:sz w:val="17"/>
                <w:lang w:eastAsia="en-US"/>
              </w:rPr>
              <w:t>Делегат</w:t>
            </w:r>
          </w:p>
        </w:tc>
        <w:tc>
          <w:tcPr>
            <w:tcW w:w="1350" w:type="dxa"/>
            <w:tcBorders>
              <w:top w:val="nil"/>
              <w:left w:val="nil"/>
              <w:bottom w:val="nil"/>
              <w:right w:val="nil"/>
            </w:tcBorders>
            <w:vAlign w:val="center"/>
          </w:tcPr>
          <w:p w:rsidR="00000000" w:rsidRDefault="00000000">
            <w:pPr>
              <w:spacing w:after="120" w:line="240" w:lineRule="auto"/>
              <w:ind w:left="72"/>
              <w:jc w:val="right"/>
              <w:rPr>
                <w:snapToGrid w:val="0"/>
                <w:color w:val="000000"/>
                <w:sz w:val="17"/>
                <w:lang w:eastAsia="en-US"/>
              </w:rPr>
            </w:pPr>
            <w:r>
              <w:rPr>
                <w:snapToGrid w:val="0"/>
                <w:color w:val="000000"/>
                <w:sz w:val="17"/>
                <w:lang w:eastAsia="en-US"/>
              </w:rPr>
              <w:t>13 (14%)</w:t>
            </w:r>
          </w:p>
        </w:tc>
        <w:tc>
          <w:tcPr>
            <w:tcW w:w="1350" w:type="dxa"/>
            <w:tcBorders>
              <w:top w:val="nil"/>
              <w:left w:val="nil"/>
              <w:bottom w:val="nil"/>
              <w:right w:val="nil"/>
            </w:tcBorders>
            <w:vAlign w:val="center"/>
          </w:tcPr>
          <w:p w:rsidR="00000000" w:rsidRDefault="00000000">
            <w:pPr>
              <w:spacing w:after="120" w:line="240" w:lineRule="auto"/>
              <w:ind w:left="64"/>
              <w:jc w:val="right"/>
              <w:rPr>
                <w:snapToGrid w:val="0"/>
                <w:color w:val="000000"/>
                <w:sz w:val="17"/>
                <w:lang w:eastAsia="en-US"/>
              </w:rPr>
            </w:pPr>
            <w:r>
              <w:rPr>
                <w:snapToGrid w:val="0"/>
                <w:color w:val="000000"/>
                <w:sz w:val="17"/>
                <w:lang w:eastAsia="en-US"/>
              </w:rPr>
              <w:t>81 (86%)</w:t>
            </w:r>
          </w:p>
        </w:tc>
        <w:tc>
          <w:tcPr>
            <w:tcW w:w="1350" w:type="dxa"/>
            <w:tcBorders>
              <w:top w:val="nil"/>
              <w:left w:val="nil"/>
              <w:bottom w:val="nil"/>
              <w:right w:val="nil"/>
            </w:tcBorders>
            <w:vAlign w:val="center"/>
          </w:tcPr>
          <w:p w:rsidR="00000000" w:rsidRDefault="00000000">
            <w:pPr>
              <w:spacing w:after="120" w:line="240" w:lineRule="auto"/>
              <w:ind w:left="18"/>
              <w:jc w:val="right"/>
              <w:rPr>
                <w:snapToGrid w:val="0"/>
                <w:color w:val="000000"/>
                <w:sz w:val="17"/>
                <w:lang w:eastAsia="en-US"/>
              </w:rPr>
            </w:pPr>
            <w:r>
              <w:rPr>
                <w:snapToGrid w:val="0"/>
                <w:color w:val="000000"/>
                <w:sz w:val="17"/>
                <w:lang w:eastAsia="en-US"/>
              </w:rPr>
              <w:t>13 (15%)</w:t>
            </w:r>
          </w:p>
        </w:tc>
        <w:tc>
          <w:tcPr>
            <w:tcW w:w="1440" w:type="dxa"/>
            <w:tcBorders>
              <w:top w:val="nil"/>
              <w:left w:val="nil"/>
              <w:bottom w:val="nil"/>
              <w:right w:val="nil"/>
            </w:tcBorders>
            <w:vAlign w:val="center"/>
          </w:tcPr>
          <w:p w:rsidR="00000000" w:rsidRDefault="00000000">
            <w:pPr>
              <w:spacing w:after="120" w:line="240" w:lineRule="auto"/>
              <w:jc w:val="right"/>
              <w:rPr>
                <w:snapToGrid w:val="0"/>
                <w:color w:val="000000"/>
                <w:sz w:val="17"/>
                <w:lang w:eastAsia="en-US"/>
              </w:rPr>
            </w:pPr>
            <w:r>
              <w:rPr>
                <w:snapToGrid w:val="0"/>
                <w:color w:val="000000"/>
                <w:sz w:val="17"/>
                <w:lang w:eastAsia="en-US"/>
              </w:rPr>
              <w:t>74  (85%)</w:t>
            </w:r>
          </w:p>
        </w:tc>
      </w:tr>
      <w:tr w:rsidR="00000000">
        <w:tblPrEx>
          <w:tblCellMar>
            <w:top w:w="0" w:type="dxa"/>
            <w:left w:w="0" w:type="dxa"/>
            <w:bottom w:w="0" w:type="dxa"/>
            <w:right w:w="0" w:type="dxa"/>
          </w:tblCellMar>
        </w:tblPrEx>
        <w:trPr>
          <w:cantSplit/>
        </w:trPr>
        <w:tc>
          <w:tcPr>
            <w:tcW w:w="1782" w:type="dxa"/>
            <w:tcBorders>
              <w:top w:val="nil"/>
              <w:left w:val="nil"/>
              <w:bottom w:val="nil"/>
              <w:right w:val="nil"/>
            </w:tcBorders>
            <w:vAlign w:val="center"/>
          </w:tcPr>
          <w:p w:rsidR="00000000" w:rsidRDefault="00000000">
            <w:pPr>
              <w:spacing w:after="120" w:line="240" w:lineRule="auto"/>
              <w:jc w:val="both"/>
              <w:rPr>
                <w:snapToGrid w:val="0"/>
                <w:color w:val="000000"/>
                <w:sz w:val="17"/>
                <w:lang w:eastAsia="en-US"/>
              </w:rPr>
            </w:pPr>
            <w:r>
              <w:rPr>
                <w:snapToGrid w:val="0"/>
                <w:color w:val="000000"/>
                <w:sz w:val="17"/>
                <w:lang w:eastAsia="en-US"/>
              </w:rPr>
              <w:t>Делегат - советник</w:t>
            </w:r>
          </w:p>
        </w:tc>
        <w:tc>
          <w:tcPr>
            <w:tcW w:w="1350" w:type="dxa"/>
            <w:tcBorders>
              <w:top w:val="nil"/>
              <w:left w:val="nil"/>
              <w:bottom w:val="nil"/>
              <w:right w:val="nil"/>
            </w:tcBorders>
            <w:vAlign w:val="center"/>
          </w:tcPr>
          <w:p w:rsidR="00000000" w:rsidRDefault="00000000">
            <w:pPr>
              <w:spacing w:after="120" w:line="240" w:lineRule="auto"/>
              <w:ind w:left="72"/>
              <w:jc w:val="right"/>
              <w:rPr>
                <w:snapToGrid w:val="0"/>
                <w:color w:val="000000"/>
                <w:sz w:val="17"/>
                <w:lang w:eastAsia="en-US"/>
              </w:rPr>
            </w:pPr>
            <w:r>
              <w:rPr>
                <w:snapToGrid w:val="0"/>
                <w:color w:val="000000"/>
                <w:sz w:val="17"/>
                <w:lang w:eastAsia="en-US"/>
              </w:rPr>
              <w:t>23 (22%)</w:t>
            </w:r>
          </w:p>
        </w:tc>
        <w:tc>
          <w:tcPr>
            <w:tcW w:w="1350" w:type="dxa"/>
            <w:tcBorders>
              <w:top w:val="nil"/>
              <w:left w:val="nil"/>
              <w:bottom w:val="nil"/>
              <w:right w:val="nil"/>
            </w:tcBorders>
            <w:vAlign w:val="center"/>
          </w:tcPr>
          <w:p w:rsidR="00000000" w:rsidRDefault="00000000">
            <w:pPr>
              <w:spacing w:after="120" w:line="240" w:lineRule="auto"/>
              <w:ind w:left="64"/>
              <w:jc w:val="right"/>
              <w:rPr>
                <w:snapToGrid w:val="0"/>
                <w:color w:val="000000"/>
                <w:sz w:val="17"/>
                <w:lang w:eastAsia="en-US"/>
              </w:rPr>
            </w:pPr>
            <w:r>
              <w:rPr>
                <w:snapToGrid w:val="0"/>
                <w:color w:val="000000"/>
                <w:sz w:val="17"/>
                <w:lang w:eastAsia="en-US"/>
              </w:rPr>
              <w:t>80 (78%)</w:t>
            </w:r>
          </w:p>
        </w:tc>
        <w:tc>
          <w:tcPr>
            <w:tcW w:w="1350" w:type="dxa"/>
            <w:tcBorders>
              <w:top w:val="nil"/>
              <w:left w:val="nil"/>
              <w:bottom w:val="nil"/>
              <w:right w:val="nil"/>
            </w:tcBorders>
            <w:vAlign w:val="center"/>
          </w:tcPr>
          <w:p w:rsidR="00000000" w:rsidRDefault="00000000">
            <w:pPr>
              <w:spacing w:after="120" w:line="240" w:lineRule="auto"/>
              <w:ind w:left="18"/>
              <w:jc w:val="right"/>
              <w:rPr>
                <w:snapToGrid w:val="0"/>
                <w:color w:val="000000"/>
                <w:sz w:val="17"/>
                <w:lang w:eastAsia="en-US"/>
              </w:rPr>
            </w:pPr>
            <w:r>
              <w:rPr>
                <w:snapToGrid w:val="0"/>
                <w:color w:val="000000"/>
                <w:sz w:val="17"/>
                <w:lang w:eastAsia="en-US"/>
              </w:rPr>
              <w:t>22 (21%)</w:t>
            </w:r>
          </w:p>
        </w:tc>
        <w:tc>
          <w:tcPr>
            <w:tcW w:w="1440" w:type="dxa"/>
            <w:tcBorders>
              <w:top w:val="nil"/>
              <w:left w:val="nil"/>
              <w:bottom w:val="nil"/>
              <w:right w:val="nil"/>
            </w:tcBorders>
            <w:vAlign w:val="center"/>
          </w:tcPr>
          <w:p w:rsidR="00000000" w:rsidRDefault="00000000">
            <w:pPr>
              <w:spacing w:after="120" w:line="240" w:lineRule="auto"/>
              <w:jc w:val="right"/>
              <w:rPr>
                <w:snapToGrid w:val="0"/>
                <w:color w:val="000000"/>
                <w:sz w:val="17"/>
                <w:lang w:eastAsia="en-US"/>
              </w:rPr>
            </w:pPr>
            <w:r>
              <w:rPr>
                <w:snapToGrid w:val="0"/>
                <w:color w:val="000000"/>
                <w:sz w:val="17"/>
                <w:lang w:eastAsia="en-US"/>
              </w:rPr>
              <w:t>83 (79%)</w:t>
            </w:r>
          </w:p>
        </w:tc>
      </w:tr>
      <w:tr w:rsidR="00000000">
        <w:tblPrEx>
          <w:tblCellMar>
            <w:top w:w="0" w:type="dxa"/>
            <w:left w:w="0" w:type="dxa"/>
            <w:bottom w:w="0" w:type="dxa"/>
            <w:right w:w="0" w:type="dxa"/>
          </w:tblCellMar>
        </w:tblPrEx>
        <w:trPr>
          <w:cantSplit/>
        </w:trPr>
        <w:tc>
          <w:tcPr>
            <w:tcW w:w="1782" w:type="dxa"/>
            <w:tcBorders>
              <w:top w:val="nil"/>
              <w:left w:val="nil"/>
              <w:bottom w:val="nil"/>
              <w:right w:val="nil"/>
            </w:tcBorders>
            <w:vAlign w:val="center"/>
          </w:tcPr>
          <w:p w:rsidR="00000000" w:rsidRDefault="00000000">
            <w:pPr>
              <w:spacing w:after="120" w:line="240" w:lineRule="auto"/>
              <w:jc w:val="both"/>
              <w:rPr>
                <w:snapToGrid w:val="0"/>
                <w:color w:val="000000"/>
                <w:sz w:val="17"/>
                <w:lang w:eastAsia="en-US"/>
              </w:rPr>
            </w:pPr>
            <w:r>
              <w:rPr>
                <w:snapToGrid w:val="0"/>
                <w:color w:val="000000"/>
                <w:sz w:val="17"/>
                <w:lang w:eastAsia="en-US"/>
              </w:rPr>
              <w:t>Советник</w:t>
            </w:r>
          </w:p>
        </w:tc>
        <w:tc>
          <w:tcPr>
            <w:tcW w:w="1350" w:type="dxa"/>
            <w:tcBorders>
              <w:top w:val="nil"/>
              <w:left w:val="nil"/>
              <w:bottom w:val="nil"/>
              <w:right w:val="nil"/>
            </w:tcBorders>
            <w:vAlign w:val="center"/>
          </w:tcPr>
          <w:p w:rsidR="00000000" w:rsidRDefault="00000000">
            <w:pPr>
              <w:spacing w:after="120" w:line="240" w:lineRule="auto"/>
              <w:ind w:left="72"/>
              <w:jc w:val="right"/>
              <w:rPr>
                <w:snapToGrid w:val="0"/>
                <w:color w:val="000000"/>
                <w:sz w:val="17"/>
                <w:lang w:eastAsia="en-US"/>
              </w:rPr>
            </w:pPr>
            <w:r>
              <w:rPr>
                <w:snapToGrid w:val="0"/>
                <w:color w:val="000000"/>
                <w:sz w:val="17"/>
                <w:lang w:eastAsia="en-US"/>
              </w:rPr>
              <w:t>14 (15%)</w:t>
            </w:r>
          </w:p>
        </w:tc>
        <w:tc>
          <w:tcPr>
            <w:tcW w:w="1350" w:type="dxa"/>
            <w:tcBorders>
              <w:top w:val="nil"/>
              <w:left w:val="nil"/>
              <w:bottom w:val="nil"/>
              <w:right w:val="nil"/>
            </w:tcBorders>
            <w:vAlign w:val="center"/>
          </w:tcPr>
          <w:p w:rsidR="00000000" w:rsidRDefault="00000000">
            <w:pPr>
              <w:spacing w:after="120" w:line="240" w:lineRule="auto"/>
              <w:ind w:left="64"/>
              <w:jc w:val="right"/>
              <w:rPr>
                <w:snapToGrid w:val="0"/>
                <w:color w:val="000000"/>
                <w:sz w:val="17"/>
                <w:lang w:eastAsia="en-US"/>
              </w:rPr>
            </w:pPr>
            <w:r>
              <w:rPr>
                <w:snapToGrid w:val="0"/>
                <w:color w:val="000000"/>
                <w:sz w:val="17"/>
                <w:lang w:eastAsia="en-US"/>
              </w:rPr>
              <w:t>79 (85%)</w:t>
            </w:r>
          </w:p>
        </w:tc>
        <w:tc>
          <w:tcPr>
            <w:tcW w:w="1350" w:type="dxa"/>
            <w:tcBorders>
              <w:top w:val="nil"/>
              <w:left w:val="nil"/>
              <w:bottom w:val="nil"/>
              <w:right w:val="nil"/>
            </w:tcBorders>
            <w:vAlign w:val="center"/>
          </w:tcPr>
          <w:p w:rsidR="00000000" w:rsidRDefault="00000000">
            <w:pPr>
              <w:spacing w:after="120" w:line="240" w:lineRule="auto"/>
              <w:ind w:left="18"/>
              <w:jc w:val="right"/>
              <w:rPr>
                <w:snapToGrid w:val="0"/>
                <w:color w:val="000000"/>
                <w:sz w:val="17"/>
                <w:lang w:eastAsia="en-US"/>
              </w:rPr>
            </w:pPr>
            <w:r>
              <w:rPr>
                <w:snapToGrid w:val="0"/>
                <w:color w:val="000000"/>
                <w:sz w:val="17"/>
                <w:lang w:eastAsia="en-US"/>
              </w:rPr>
              <w:t>20 (20,5%)</w:t>
            </w:r>
          </w:p>
        </w:tc>
        <w:tc>
          <w:tcPr>
            <w:tcW w:w="1440" w:type="dxa"/>
            <w:tcBorders>
              <w:top w:val="nil"/>
              <w:left w:val="nil"/>
              <w:bottom w:val="nil"/>
              <w:right w:val="nil"/>
            </w:tcBorders>
            <w:vAlign w:val="center"/>
          </w:tcPr>
          <w:p w:rsidR="00000000" w:rsidRDefault="00000000">
            <w:pPr>
              <w:spacing w:after="120" w:line="240" w:lineRule="auto"/>
              <w:jc w:val="right"/>
              <w:rPr>
                <w:snapToGrid w:val="0"/>
                <w:color w:val="000000"/>
                <w:sz w:val="17"/>
                <w:lang w:eastAsia="en-US"/>
              </w:rPr>
            </w:pPr>
            <w:r>
              <w:rPr>
                <w:snapToGrid w:val="0"/>
                <w:color w:val="000000"/>
                <w:sz w:val="17"/>
                <w:lang w:eastAsia="en-US"/>
              </w:rPr>
              <w:t>78 (79,5%)</w:t>
            </w:r>
          </w:p>
        </w:tc>
      </w:tr>
      <w:tr w:rsidR="00000000">
        <w:tblPrEx>
          <w:tblCellMar>
            <w:top w:w="0" w:type="dxa"/>
            <w:left w:w="0" w:type="dxa"/>
            <w:bottom w:w="0" w:type="dxa"/>
            <w:right w:w="0" w:type="dxa"/>
          </w:tblCellMar>
        </w:tblPrEx>
        <w:trPr>
          <w:cantSplit/>
        </w:trPr>
        <w:tc>
          <w:tcPr>
            <w:tcW w:w="1782" w:type="dxa"/>
            <w:tcBorders>
              <w:top w:val="nil"/>
              <w:left w:val="nil"/>
              <w:bottom w:val="nil"/>
              <w:right w:val="nil"/>
            </w:tcBorders>
            <w:vAlign w:val="center"/>
          </w:tcPr>
          <w:p w:rsidR="00000000" w:rsidRDefault="00000000">
            <w:pPr>
              <w:spacing w:after="120" w:line="240" w:lineRule="auto"/>
              <w:jc w:val="both"/>
              <w:rPr>
                <w:snapToGrid w:val="0"/>
                <w:color w:val="000000"/>
                <w:sz w:val="17"/>
                <w:lang w:eastAsia="en-US"/>
              </w:rPr>
            </w:pPr>
            <w:r>
              <w:rPr>
                <w:snapToGrid w:val="0"/>
                <w:color w:val="000000"/>
                <w:sz w:val="17"/>
                <w:lang w:eastAsia="en-US"/>
              </w:rPr>
              <w:t>Первый секретарь</w:t>
            </w:r>
          </w:p>
        </w:tc>
        <w:tc>
          <w:tcPr>
            <w:tcW w:w="1350" w:type="dxa"/>
            <w:tcBorders>
              <w:top w:val="nil"/>
              <w:left w:val="nil"/>
              <w:bottom w:val="nil"/>
              <w:right w:val="nil"/>
            </w:tcBorders>
            <w:vAlign w:val="center"/>
          </w:tcPr>
          <w:p w:rsidR="00000000" w:rsidRDefault="00000000">
            <w:pPr>
              <w:spacing w:after="120" w:line="240" w:lineRule="auto"/>
              <w:ind w:left="72"/>
              <w:jc w:val="right"/>
              <w:rPr>
                <w:snapToGrid w:val="0"/>
                <w:color w:val="000000"/>
                <w:sz w:val="17"/>
                <w:lang w:eastAsia="en-US"/>
              </w:rPr>
            </w:pPr>
            <w:r>
              <w:rPr>
                <w:snapToGrid w:val="0"/>
                <w:color w:val="000000"/>
                <w:sz w:val="17"/>
                <w:lang w:eastAsia="en-US"/>
              </w:rPr>
              <w:t>26 (33%)</w:t>
            </w:r>
          </w:p>
        </w:tc>
        <w:tc>
          <w:tcPr>
            <w:tcW w:w="1350" w:type="dxa"/>
            <w:tcBorders>
              <w:top w:val="nil"/>
              <w:left w:val="nil"/>
              <w:bottom w:val="nil"/>
              <w:right w:val="nil"/>
            </w:tcBorders>
            <w:vAlign w:val="center"/>
          </w:tcPr>
          <w:p w:rsidR="00000000" w:rsidRDefault="00000000">
            <w:pPr>
              <w:spacing w:after="120" w:line="240" w:lineRule="auto"/>
              <w:ind w:left="64"/>
              <w:jc w:val="right"/>
              <w:rPr>
                <w:snapToGrid w:val="0"/>
                <w:color w:val="000000"/>
                <w:sz w:val="17"/>
                <w:lang w:eastAsia="en-US"/>
              </w:rPr>
            </w:pPr>
            <w:r>
              <w:rPr>
                <w:snapToGrid w:val="0"/>
                <w:color w:val="000000"/>
                <w:sz w:val="17"/>
                <w:lang w:eastAsia="en-US"/>
              </w:rPr>
              <w:t>54 (67%)</w:t>
            </w:r>
          </w:p>
        </w:tc>
        <w:tc>
          <w:tcPr>
            <w:tcW w:w="1350" w:type="dxa"/>
            <w:tcBorders>
              <w:top w:val="nil"/>
              <w:left w:val="nil"/>
              <w:bottom w:val="nil"/>
              <w:right w:val="nil"/>
            </w:tcBorders>
            <w:vAlign w:val="center"/>
          </w:tcPr>
          <w:p w:rsidR="00000000" w:rsidRDefault="00000000">
            <w:pPr>
              <w:spacing w:after="120" w:line="240" w:lineRule="auto"/>
              <w:ind w:left="18"/>
              <w:jc w:val="right"/>
              <w:rPr>
                <w:snapToGrid w:val="0"/>
                <w:color w:val="000000"/>
                <w:sz w:val="17"/>
                <w:lang w:eastAsia="en-US"/>
              </w:rPr>
            </w:pPr>
            <w:r>
              <w:rPr>
                <w:snapToGrid w:val="0"/>
                <w:color w:val="000000"/>
                <w:sz w:val="17"/>
                <w:lang w:eastAsia="en-US"/>
              </w:rPr>
              <w:t>16 (30%)</w:t>
            </w:r>
          </w:p>
        </w:tc>
        <w:tc>
          <w:tcPr>
            <w:tcW w:w="1440" w:type="dxa"/>
            <w:tcBorders>
              <w:top w:val="nil"/>
              <w:left w:val="nil"/>
              <w:bottom w:val="nil"/>
              <w:right w:val="nil"/>
            </w:tcBorders>
            <w:vAlign w:val="center"/>
          </w:tcPr>
          <w:p w:rsidR="00000000" w:rsidRDefault="00000000">
            <w:pPr>
              <w:spacing w:after="120" w:line="240" w:lineRule="auto"/>
              <w:jc w:val="right"/>
              <w:rPr>
                <w:snapToGrid w:val="0"/>
                <w:color w:val="000000"/>
                <w:sz w:val="17"/>
                <w:lang w:eastAsia="en-US"/>
              </w:rPr>
            </w:pPr>
            <w:r>
              <w:rPr>
                <w:snapToGrid w:val="0"/>
                <w:color w:val="000000"/>
                <w:sz w:val="17"/>
                <w:lang w:eastAsia="en-US"/>
              </w:rPr>
              <w:t>31 (70%)</w:t>
            </w:r>
          </w:p>
        </w:tc>
      </w:tr>
      <w:tr w:rsidR="00000000">
        <w:tblPrEx>
          <w:tblCellMar>
            <w:top w:w="0" w:type="dxa"/>
            <w:left w:w="0" w:type="dxa"/>
            <w:bottom w:w="0" w:type="dxa"/>
            <w:right w:w="0" w:type="dxa"/>
          </w:tblCellMar>
        </w:tblPrEx>
        <w:trPr>
          <w:cantSplit/>
        </w:trPr>
        <w:tc>
          <w:tcPr>
            <w:tcW w:w="1782" w:type="dxa"/>
            <w:tcBorders>
              <w:top w:val="nil"/>
              <w:left w:val="nil"/>
              <w:bottom w:val="single" w:sz="12" w:space="0" w:color="auto"/>
              <w:right w:val="nil"/>
            </w:tcBorders>
            <w:vAlign w:val="center"/>
          </w:tcPr>
          <w:p w:rsidR="00000000" w:rsidRDefault="00000000">
            <w:pPr>
              <w:spacing w:after="120" w:line="240" w:lineRule="auto"/>
              <w:jc w:val="both"/>
              <w:rPr>
                <w:snapToGrid w:val="0"/>
                <w:color w:val="000000"/>
                <w:sz w:val="17"/>
                <w:lang w:eastAsia="en-US"/>
              </w:rPr>
            </w:pPr>
            <w:r>
              <w:rPr>
                <w:snapToGrid w:val="0"/>
                <w:color w:val="000000"/>
                <w:sz w:val="17"/>
                <w:lang w:eastAsia="en-US"/>
              </w:rPr>
              <w:t>Второй секретарь</w:t>
            </w:r>
          </w:p>
        </w:tc>
        <w:tc>
          <w:tcPr>
            <w:tcW w:w="1350" w:type="dxa"/>
            <w:tcBorders>
              <w:top w:val="nil"/>
              <w:left w:val="nil"/>
              <w:bottom w:val="single" w:sz="12" w:space="0" w:color="auto"/>
              <w:right w:val="nil"/>
            </w:tcBorders>
            <w:vAlign w:val="center"/>
          </w:tcPr>
          <w:p w:rsidR="00000000" w:rsidRDefault="00000000">
            <w:pPr>
              <w:spacing w:after="120" w:line="240" w:lineRule="auto"/>
              <w:ind w:left="72"/>
              <w:jc w:val="right"/>
              <w:rPr>
                <w:snapToGrid w:val="0"/>
                <w:color w:val="000000"/>
                <w:sz w:val="17"/>
                <w:lang w:eastAsia="en-US"/>
              </w:rPr>
            </w:pPr>
            <w:r>
              <w:rPr>
                <w:snapToGrid w:val="0"/>
                <w:color w:val="000000"/>
                <w:sz w:val="17"/>
                <w:lang w:eastAsia="en-US"/>
              </w:rPr>
              <w:t>7 (70%)</w:t>
            </w:r>
          </w:p>
        </w:tc>
        <w:tc>
          <w:tcPr>
            <w:tcW w:w="1350" w:type="dxa"/>
            <w:tcBorders>
              <w:top w:val="nil"/>
              <w:left w:val="nil"/>
              <w:bottom w:val="single" w:sz="12" w:space="0" w:color="auto"/>
              <w:right w:val="nil"/>
            </w:tcBorders>
            <w:vAlign w:val="center"/>
          </w:tcPr>
          <w:p w:rsidR="00000000" w:rsidRDefault="00000000">
            <w:pPr>
              <w:spacing w:after="120" w:line="240" w:lineRule="auto"/>
              <w:ind w:left="64"/>
              <w:jc w:val="right"/>
              <w:rPr>
                <w:snapToGrid w:val="0"/>
                <w:color w:val="000000"/>
                <w:sz w:val="17"/>
                <w:lang w:eastAsia="en-US"/>
              </w:rPr>
            </w:pPr>
            <w:r>
              <w:rPr>
                <w:snapToGrid w:val="0"/>
                <w:color w:val="000000"/>
                <w:sz w:val="17"/>
                <w:lang w:eastAsia="en-US"/>
              </w:rPr>
              <w:t>3 (30%)</w:t>
            </w:r>
          </w:p>
        </w:tc>
        <w:tc>
          <w:tcPr>
            <w:tcW w:w="1350" w:type="dxa"/>
            <w:tcBorders>
              <w:top w:val="nil"/>
              <w:left w:val="nil"/>
              <w:bottom w:val="single" w:sz="12" w:space="0" w:color="auto"/>
              <w:right w:val="nil"/>
            </w:tcBorders>
            <w:vAlign w:val="center"/>
          </w:tcPr>
          <w:p w:rsidR="00000000" w:rsidRDefault="00000000">
            <w:pPr>
              <w:spacing w:after="120" w:line="240" w:lineRule="auto"/>
              <w:ind w:left="18"/>
              <w:jc w:val="right"/>
              <w:rPr>
                <w:snapToGrid w:val="0"/>
                <w:color w:val="000000"/>
                <w:sz w:val="17"/>
                <w:lang w:eastAsia="en-US"/>
              </w:rPr>
            </w:pPr>
            <w:r>
              <w:rPr>
                <w:snapToGrid w:val="0"/>
                <w:color w:val="000000"/>
                <w:sz w:val="17"/>
                <w:lang w:eastAsia="en-US"/>
              </w:rPr>
              <w:t>13 (48%)</w:t>
            </w:r>
          </w:p>
        </w:tc>
        <w:tc>
          <w:tcPr>
            <w:tcW w:w="1440" w:type="dxa"/>
            <w:tcBorders>
              <w:top w:val="nil"/>
              <w:left w:val="nil"/>
              <w:bottom w:val="single" w:sz="12" w:space="0" w:color="auto"/>
              <w:right w:val="nil"/>
            </w:tcBorders>
            <w:vAlign w:val="center"/>
          </w:tcPr>
          <w:p w:rsidR="00000000" w:rsidRDefault="00000000">
            <w:pPr>
              <w:spacing w:after="120" w:line="240" w:lineRule="auto"/>
              <w:jc w:val="right"/>
              <w:rPr>
                <w:snapToGrid w:val="0"/>
                <w:color w:val="000000"/>
                <w:sz w:val="17"/>
                <w:lang w:eastAsia="en-US"/>
              </w:rPr>
            </w:pPr>
            <w:r>
              <w:rPr>
                <w:snapToGrid w:val="0"/>
                <w:color w:val="000000"/>
                <w:sz w:val="17"/>
                <w:lang w:eastAsia="en-US"/>
              </w:rPr>
              <w:t>14 (52%)</w:t>
            </w:r>
          </w:p>
        </w:tc>
      </w:tr>
    </w:tbl>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Caption"/>
        <w:spacing w:line="240" w:lineRule="auto"/>
        <w:ind w:left="1267" w:right="1267"/>
        <w:rPr>
          <w:rFonts w:ascii="Times New Roman" w:hAnsi="Times New Roman"/>
          <w:i w:val="0"/>
          <w:sz w:val="20"/>
          <w:lang w:val="ru-RU"/>
        </w:rPr>
      </w:pPr>
      <w:r>
        <w:rPr>
          <w:rFonts w:ascii="Times New Roman" w:hAnsi="Times New Roman"/>
          <w:sz w:val="20"/>
          <w:lang w:val="ru-RU"/>
        </w:rPr>
        <w:t xml:space="preserve">Источник: </w:t>
      </w:r>
      <w:r>
        <w:rPr>
          <w:rFonts w:ascii="Times New Roman" w:hAnsi="Times New Roman"/>
          <w:i w:val="0"/>
          <w:sz w:val="20"/>
          <w:lang w:val="ru-RU"/>
        </w:rPr>
        <w:t>министерство иностранных дел, 2004 год.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120"/>
      </w:pPr>
      <w:r>
        <w:t>228.</w:t>
      </w:r>
      <w:r>
        <w:tab/>
        <w:t>Среди сотрудников дипломатической службы, получивших продвижение по службе после нашего предыдущего доклада (2002-2003 годы), 38 процентов (69) были женщинами.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229.</w:t>
      </w:r>
      <w:r>
        <w:tab/>
        <w:t>Следует отметить, что сеть израильских женщин обратилась в Верховный суд с просьбой пересмотреть шесть последних назначений на должности в м</w:t>
      </w:r>
      <w:r>
        <w:t>и</w:t>
      </w:r>
      <w:r>
        <w:t>нистерстве иностранных дел (</w:t>
      </w:r>
      <w:r>
        <w:rPr>
          <w:i/>
          <w:lang w:val="en-US"/>
        </w:rPr>
        <w:t>H</w:t>
      </w:r>
      <w:r>
        <w:rPr>
          <w:i/>
        </w:rPr>
        <w:t>.</w:t>
      </w:r>
      <w:r>
        <w:rPr>
          <w:i/>
          <w:lang w:val="en-US"/>
        </w:rPr>
        <w:t>C</w:t>
      </w:r>
      <w:r>
        <w:rPr>
          <w:i/>
        </w:rPr>
        <w:t>.</w:t>
      </w:r>
      <w:r>
        <w:rPr>
          <w:i/>
          <w:lang w:val="en-US"/>
        </w:rPr>
        <w:t>J</w:t>
      </w:r>
      <w:r>
        <w:rPr>
          <w:i/>
        </w:rPr>
        <w:t>. 5523/04 Сеть израильских женщин пр</w:t>
      </w:r>
      <w:r>
        <w:rPr>
          <w:i/>
        </w:rPr>
        <w:t>о</w:t>
      </w:r>
      <w:r>
        <w:rPr>
          <w:i/>
        </w:rPr>
        <w:t>тив государства Израиль и министра иностранных дел и других (29.04.04)).</w:t>
      </w:r>
      <w:r>
        <w:t xml:space="preserve"> Сеть утверждала, что при назначении кандидатов осуществлялась дискрим</w:t>
      </w:r>
      <w:r>
        <w:t>и</w:t>
      </w:r>
      <w:r>
        <w:t xml:space="preserve">нации в отношении женщин-кандидатов и что министерство не смогло выбрать женщин-кандидатов несмотря на их равные, а иногда и лучшие качества. Сеть утверждала, что выдвинутые кандидатуры не соответствовали </w:t>
      </w:r>
      <w:r>
        <w:rPr>
          <w:i/>
        </w:rPr>
        <w:t>Закону о раве</w:t>
      </w:r>
      <w:r>
        <w:rPr>
          <w:i/>
        </w:rPr>
        <w:t>н</w:t>
      </w:r>
      <w:r>
        <w:rPr>
          <w:i/>
        </w:rPr>
        <w:t xml:space="preserve">стве прав женщин </w:t>
      </w:r>
      <w:r>
        <w:t xml:space="preserve"> и </w:t>
      </w:r>
      <w:r>
        <w:rPr>
          <w:i/>
        </w:rPr>
        <w:t>Закону о гражданской службе</w:t>
      </w:r>
      <w:r>
        <w:t>. Обращение было отозвано назад истцом после того, как представители министерства дали письменное з</w:t>
      </w:r>
      <w:r>
        <w:t>а</w:t>
      </w:r>
      <w:r>
        <w:t>явление под присягой, взяв на себя обязательство составить протокол засед</w:t>
      </w:r>
      <w:r>
        <w:t>а</w:t>
      </w:r>
      <w:r>
        <w:t>ния Комитета по назначениям и поручить членам данного комитета выступить в соответствии с правилами пресечения дискриминации и внутренней проц</w:t>
      </w:r>
      <w:r>
        <w:t>е</w:t>
      </w:r>
      <w:r>
        <w:t>дуры, которые и были соблюдены в мин</w:t>
      </w:r>
      <w:r>
        <w:t>и</w:t>
      </w:r>
      <w:r>
        <w:t>стерстве.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Женщины-представители и женщины - независимые эксперты в международных организациях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230.</w:t>
      </w:r>
      <w:r>
        <w:tab/>
        <w:t>Израиль включает женщин в большинство своих делегаций на многост</w:t>
      </w:r>
      <w:r>
        <w:t>о</w:t>
      </w:r>
      <w:r>
        <w:t>ронних форумах, а также 5-6 - делегатов в состав Комиссии по положению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231.</w:t>
      </w:r>
      <w:r>
        <w:tab/>
        <w:t>В настоящее время делегация Израиле при Центральных учреждениях Организации Объединенных Наций в Нью-Йорке состоит из четырех мужчин и одной женщины, а одна женщина вошла в состав делегации Израиля в Женеве в августе 2004 года, которая теперь состоит из двух женщин и четырех мужчин. Генеральный директор института стандартов Израиля г-жа Живопатир испо</w:t>
      </w:r>
      <w:r>
        <w:t>л</w:t>
      </w:r>
      <w:r>
        <w:t>няет обязанности вице-президента Международной организации стандартиз</w:t>
      </w:r>
      <w:r>
        <w:t>а</w:t>
      </w:r>
      <w:r>
        <w:t>ции, расположенной в Женеве, по состоянию на сентябрь 2003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232.</w:t>
      </w:r>
      <w:r>
        <w:tab/>
        <w:t>В качестве других примеров можно упомянуть о том, что председатель Консультативного комитета Органа по улучшению положения женщин д-р Рута Халперин служит в группе ЕЭК ООН в Женеве в целях выполнения платформы "Пекин 10+"; г-жа Валери Бречеа возглавляла делегацию Израиля на ежегодной конференции ЮНЕП в марте 2004 года; генеральный директор министерства окружающей среды и адвокат кнессета д-р Михаль Харан представляла Изр</w:t>
      </w:r>
      <w:r>
        <w:t>а</w:t>
      </w:r>
      <w:r>
        <w:t>иль на конференции КУР в апреле 2004 года; д-р Элана Циллер представляла министерство здравоохранения в составе целевой группы по устойчивому ра</w:t>
      </w:r>
      <w:r>
        <w:t>з</w:t>
      </w:r>
      <w:r>
        <w:t>витию в рамках Европейского экономического совета (ЕЭС) в декабре 2004 г</w:t>
      </w:r>
      <w:r>
        <w:t>о</w:t>
      </w:r>
      <w:r>
        <w:t>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233.</w:t>
      </w:r>
      <w:r>
        <w:tab/>
        <w:t>Орган по улучшению положения женщин ежегодно направляет делегацию на Конференцию ООН по проблемам женщин. В последний раз делегация включала 13 женщин и двух мужчин, причем данный Орган профинансировал н</w:t>
      </w:r>
      <w:r>
        <w:t>а</w:t>
      </w:r>
      <w:r>
        <w:t>правление делегатов такой НПО, как сеть израильских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234.</w:t>
      </w:r>
      <w:r>
        <w:tab/>
        <w:t>Министерство иностранных дел поощряет женские израильские НПО и оказывает им помощь в обращении за предоставлением определенного статуса в рамках Организации Объединенных Наций и в сборе средства как в Израиле, так и в зарубежных странах.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Ch"/>
        <w:ind w:left="792" w:right="1267"/>
      </w:pPr>
      <w:r>
        <w:t>Статья 9. Гражданство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235.</w:t>
      </w:r>
      <w:r>
        <w:tab/>
        <w:t>Израильские законы, касающиеся гражданства и проживания, не проводят различия между мужчинами и женщинами. И мужчины, и женщины имеют равные права в отношении приобретения, изменения или сохранения своего гражданства или местожительства. Ни изменения своего гражданства одним из супругов, ни брак с человеком, не являющимся гражданином Израиля, не ок</w:t>
      </w:r>
      <w:r>
        <w:t>а</w:t>
      </w:r>
      <w:r>
        <w:t>зывают никакого влияния на гражданство другого супруга. Гражданство люб</w:t>
      </w:r>
      <w:r>
        <w:t>о</w:t>
      </w:r>
      <w:r>
        <w:t>го из родителей имеет равное значение с точки зрения приобретения детьми гражданства в момент рождения.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r>
        <w:rPr>
          <w:sz w:val="10"/>
        </w:rPr>
        <w:br w:type="page"/>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Ch"/>
        <w:ind w:left="778" w:right="1267"/>
      </w:pPr>
      <w:r>
        <w:t>Статья 10. Образование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Изменения в законодательной базе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236.</w:t>
      </w:r>
      <w:r>
        <w:tab/>
        <w:t xml:space="preserve">.Крупнейшим правовым изменением в этой области стало принятие </w:t>
      </w:r>
      <w:r>
        <w:rPr>
          <w:i/>
        </w:rPr>
        <w:t>Зак</w:t>
      </w:r>
      <w:r>
        <w:rPr>
          <w:i/>
        </w:rPr>
        <w:t>о</w:t>
      </w:r>
      <w:r>
        <w:rPr>
          <w:i/>
        </w:rPr>
        <w:t>на о сексуальных домогательствах</w:t>
      </w:r>
      <w:r>
        <w:t xml:space="preserve"> (поправка № 2 от 2004 года). Данная п</w:t>
      </w:r>
      <w:r>
        <w:t>о</w:t>
      </w:r>
      <w:r>
        <w:t>правка предусматривает применение закона к учащимся 13-х и 14-х классов, не являющихся несовершеннолетними, в тех случаях, когда преподаватель пол</w:t>
      </w:r>
      <w:r>
        <w:t>ь</w:t>
      </w:r>
      <w:r>
        <w:t>зуется своим главенствующим положением. Закон также применяется к уч</w:t>
      </w:r>
      <w:r>
        <w:t>а</w:t>
      </w:r>
      <w:r>
        <w:t>щимся и студентам заведений общего или профессионально-технического о</w:t>
      </w:r>
      <w:r>
        <w:t>б</w:t>
      </w:r>
      <w:r>
        <w:t xml:space="preserve">разования для взрослых в тех случаях, когда преподаватель злоупотребляет своим главенствующим положением.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keepNext/>
        <w:spacing w:line="300" w:lineRule="exact"/>
        <w:ind w:left="778" w:right="1267"/>
      </w:pPr>
      <w:r>
        <w:t>Средние школы в Израиле</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keepNext/>
        <w:spacing w:line="300" w:lineRule="exact"/>
        <w:ind w:left="778" w:right="1267"/>
      </w:pPr>
      <w:r>
        <w:t>Общее и техническое образование/профессиональная специализация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237.</w:t>
      </w:r>
      <w:r>
        <w:tab/>
        <w:t>Израильская система среднего образования включает как технич</w:t>
      </w:r>
      <w:r>
        <w:t>е</w:t>
      </w:r>
      <w:r>
        <w:t>ские/профессиональные средние школы, так и общеобразовательные школы. Большинство девочек обучается в общеобразовательных школах. В 2002 году 68,5 процента девочек в возрасте 15 лет и старше обучались в рамках общего направления, тогда как лишь 56 процентов мальчиков в возрасте 15 лет и ста</w:t>
      </w:r>
      <w:r>
        <w:t>р</w:t>
      </w:r>
      <w:r>
        <w:t>ше обучались по данному направлению. В 2003-2004 годах большинство е</w:t>
      </w:r>
      <w:r>
        <w:t>в</w:t>
      </w:r>
      <w:r>
        <w:t>рейских и арабских детей обучались в общеобразовательных средних школах.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Зачисление в высшие учебные заведения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238.</w:t>
      </w:r>
      <w:r>
        <w:tab/>
        <w:t>В 2002 году 84,3 процента девочек, обучавшихся в 12-х классах (в сист</w:t>
      </w:r>
      <w:r>
        <w:t>е</w:t>
      </w:r>
      <w:r>
        <w:t>ме еврейского образования), сдавали вступительные экзамены по сравнению лишь с 75,1 процента мальчиков того же возраста. Доля успешно сдавших вступительные экзамены девушек также была несколько выше и составляла 63 пр</w:t>
      </w:r>
      <w:r>
        <w:t>о</w:t>
      </w:r>
      <w:r>
        <w:t xml:space="preserve">цента по сравнению с 49,5 процента мальчиков того же возраста.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ight="1264"/>
      </w:pPr>
      <w:r>
        <w:t>239.</w:t>
      </w:r>
      <w:r>
        <w:tab/>
        <w:t>В арабской системе образования 91,7 процента девочек, обучающихся в 12-м классе, сдавали вступительные экзамены по сравнению с 84 процентами мальчиков. Доля девочек, успешно сдавших эти экзамены, также была выше в этом секторе, чем доля мальчиков (56,3 процента и 44,7 процента, соответс</w:t>
      </w:r>
      <w:r>
        <w:t>т</w:t>
      </w:r>
      <w:r>
        <w:t>венно).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r>
        <w:rPr>
          <w:sz w:val="10"/>
        </w:rPr>
        <w:br w:type="page"/>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56"/>
        <w:ind w:left="2376" w:right="1267" w:hanging="1109"/>
      </w:pPr>
      <w:r>
        <w:t>Таблица 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Число абитуриентов и лиц, имеющих право на получение аттестата, 2002 год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12"/>
        <w:gridCol w:w="1260"/>
        <w:gridCol w:w="1350"/>
        <w:gridCol w:w="1080"/>
        <w:gridCol w:w="1170"/>
      </w:tblGrid>
      <w:tr w:rsidR="00000000">
        <w:tblPrEx>
          <w:tblCellMar>
            <w:top w:w="0" w:type="dxa"/>
            <w:left w:w="0" w:type="dxa"/>
            <w:bottom w:w="0" w:type="dxa"/>
            <w:right w:w="0" w:type="dxa"/>
          </w:tblCellMar>
        </w:tblPrEx>
        <w:trPr>
          <w:tblHeader/>
        </w:trPr>
        <w:tc>
          <w:tcPr>
            <w:tcW w:w="2412" w:type="dxa"/>
            <w:tcBorders>
              <w:left w:val="nil"/>
              <w:bottom w:val="nil"/>
              <w:right w:val="nil"/>
            </w:tcBorders>
            <w:vAlign w:val="bottom"/>
          </w:tcPr>
          <w:p w:rsidR="00000000" w:rsidRDefault="00000000">
            <w:pPr>
              <w:keepNext/>
              <w:tabs>
                <w:tab w:val="left" w:pos="288"/>
                <w:tab w:val="left" w:pos="576"/>
                <w:tab w:val="left" w:pos="864"/>
                <w:tab w:val="left" w:pos="1152"/>
              </w:tabs>
              <w:spacing w:before="100" w:after="81" w:line="210" w:lineRule="exact"/>
              <w:ind w:right="43"/>
              <w:rPr>
                <w:i/>
                <w:sz w:val="17"/>
              </w:rPr>
            </w:pPr>
          </w:p>
        </w:tc>
        <w:tc>
          <w:tcPr>
            <w:tcW w:w="2610" w:type="dxa"/>
            <w:gridSpan w:val="2"/>
            <w:tcBorders>
              <w:left w:val="nil"/>
              <w:bottom w:val="single" w:sz="4" w:space="0" w:color="auto"/>
              <w:right w:val="nil"/>
            </w:tcBorders>
            <w:vAlign w:val="bottom"/>
          </w:tcPr>
          <w:p w:rsidR="00000000" w:rsidRDefault="00000000">
            <w:pPr>
              <w:spacing w:after="120" w:line="240" w:lineRule="auto"/>
              <w:ind w:left="23"/>
              <w:jc w:val="center"/>
              <w:rPr>
                <w:i/>
                <w:sz w:val="14"/>
              </w:rPr>
            </w:pPr>
            <w:r>
              <w:rPr>
                <w:i/>
                <w:sz w:val="14"/>
              </w:rPr>
              <w:t>Абитуриенты</w:t>
            </w:r>
          </w:p>
        </w:tc>
        <w:tc>
          <w:tcPr>
            <w:tcW w:w="2250" w:type="dxa"/>
            <w:gridSpan w:val="2"/>
            <w:tcBorders>
              <w:left w:val="nil"/>
              <w:bottom w:val="single" w:sz="4" w:space="0" w:color="auto"/>
              <w:right w:val="nil"/>
            </w:tcBorders>
            <w:vAlign w:val="bottom"/>
          </w:tcPr>
          <w:p w:rsidR="00000000" w:rsidRDefault="00000000">
            <w:pPr>
              <w:suppressAutoHyphens/>
              <w:spacing w:after="120" w:line="240" w:lineRule="auto"/>
              <w:ind w:left="259"/>
              <w:jc w:val="center"/>
              <w:rPr>
                <w:i/>
                <w:sz w:val="14"/>
              </w:rPr>
            </w:pPr>
            <w:r>
              <w:rPr>
                <w:i/>
                <w:sz w:val="14"/>
              </w:rPr>
              <w:t>Имеющие право на получение аттест</w:t>
            </w:r>
            <w:r>
              <w:rPr>
                <w:i/>
                <w:sz w:val="14"/>
              </w:rPr>
              <w:t>а</w:t>
            </w:r>
            <w:r>
              <w:rPr>
                <w:i/>
                <w:sz w:val="14"/>
              </w:rPr>
              <w:t>та</w:t>
            </w:r>
          </w:p>
        </w:tc>
      </w:tr>
      <w:tr w:rsidR="00000000">
        <w:tblPrEx>
          <w:tblCellMar>
            <w:top w:w="0" w:type="dxa"/>
            <w:left w:w="0" w:type="dxa"/>
            <w:bottom w:w="0" w:type="dxa"/>
            <w:right w:w="0" w:type="dxa"/>
          </w:tblCellMar>
        </w:tblPrEx>
        <w:trPr>
          <w:tblHeader/>
        </w:trPr>
        <w:tc>
          <w:tcPr>
            <w:tcW w:w="2412" w:type="dxa"/>
            <w:tcBorders>
              <w:top w:val="nil"/>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rPr>
                <w:i/>
                <w:sz w:val="17"/>
              </w:rPr>
            </w:pPr>
          </w:p>
        </w:tc>
        <w:tc>
          <w:tcPr>
            <w:tcW w:w="1260" w:type="dxa"/>
            <w:tcBorders>
              <w:top w:val="single" w:sz="4" w:space="0" w:color="auto"/>
              <w:left w:val="nil"/>
              <w:bottom w:val="single" w:sz="12" w:space="0" w:color="auto"/>
              <w:right w:val="nil"/>
            </w:tcBorders>
            <w:vAlign w:val="bottom"/>
          </w:tcPr>
          <w:p w:rsidR="00000000" w:rsidRDefault="00000000">
            <w:pPr>
              <w:spacing w:after="120" w:line="240" w:lineRule="auto"/>
              <w:ind w:left="27"/>
              <w:jc w:val="right"/>
              <w:rPr>
                <w:i/>
                <w:sz w:val="14"/>
              </w:rPr>
            </w:pPr>
            <w:r>
              <w:rPr>
                <w:i/>
                <w:sz w:val="14"/>
              </w:rPr>
              <w:t>Всего</w:t>
            </w:r>
          </w:p>
        </w:tc>
        <w:tc>
          <w:tcPr>
            <w:tcW w:w="1350" w:type="dxa"/>
            <w:tcBorders>
              <w:top w:val="single" w:sz="4" w:space="0" w:color="auto"/>
              <w:left w:val="nil"/>
              <w:bottom w:val="single" w:sz="12" w:space="0" w:color="auto"/>
              <w:right w:val="nil"/>
            </w:tcBorders>
            <w:vAlign w:val="bottom"/>
          </w:tcPr>
          <w:p w:rsidR="00000000" w:rsidRDefault="00000000">
            <w:pPr>
              <w:spacing w:after="120" w:line="240" w:lineRule="auto"/>
              <w:ind w:left="28"/>
              <w:jc w:val="right"/>
              <w:rPr>
                <w:i/>
                <w:sz w:val="14"/>
              </w:rPr>
            </w:pPr>
            <w:r>
              <w:rPr>
                <w:i/>
                <w:sz w:val="14"/>
              </w:rPr>
              <w:t>Доля учащихся 12-х кла</w:t>
            </w:r>
            <w:r>
              <w:rPr>
                <w:i/>
                <w:sz w:val="14"/>
              </w:rPr>
              <w:t>с</w:t>
            </w:r>
            <w:r>
              <w:rPr>
                <w:i/>
                <w:sz w:val="14"/>
              </w:rPr>
              <w:t>сов в %</w:t>
            </w:r>
          </w:p>
        </w:tc>
        <w:tc>
          <w:tcPr>
            <w:tcW w:w="1080" w:type="dxa"/>
            <w:tcBorders>
              <w:top w:val="single" w:sz="4" w:space="0" w:color="auto"/>
              <w:left w:val="nil"/>
              <w:bottom w:val="single" w:sz="12" w:space="0" w:color="auto"/>
              <w:right w:val="nil"/>
            </w:tcBorders>
            <w:vAlign w:val="bottom"/>
          </w:tcPr>
          <w:p w:rsidR="00000000" w:rsidRDefault="00000000">
            <w:pPr>
              <w:spacing w:after="120" w:line="240" w:lineRule="auto"/>
              <w:ind w:left="24"/>
              <w:jc w:val="right"/>
              <w:rPr>
                <w:i/>
                <w:sz w:val="14"/>
              </w:rPr>
            </w:pPr>
            <w:r>
              <w:rPr>
                <w:i/>
                <w:sz w:val="14"/>
              </w:rPr>
              <w:t>Всего</w:t>
            </w:r>
          </w:p>
        </w:tc>
        <w:tc>
          <w:tcPr>
            <w:tcW w:w="1170" w:type="dxa"/>
            <w:tcBorders>
              <w:top w:val="single" w:sz="4" w:space="0" w:color="auto"/>
              <w:left w:val="nil"/>
              <w:bottom w:val="single" w:sz="12" w:space="0" w:color="auto"/>
              <w:right w:val="nil"/>
            </w:tcBorders>
            <w:vAlign w:val="bottom"/>
          </w:tcPr>
          <w:p w:rsidR="00000000" w:rsidRDefault="00000000">
            <w:pPr>
              <w:spacing w:after="120" w:line="240" w:lineRule="auto"/>
              <w:ind w:left="63"/>
              <w:jc w:val="right"/>
              <w:rPr>
                <w:i/>
                <w:sz w:val="14"/>
              </w:rPr>
            </w:pPr>
            <w:r>
              <w:rPr>
                <w:i/>
                <w:sz w:val="14"/>
              </w:rPr>
              <w:t>Доля учащихся 12-х классов в %</w:t>
            </w:r>
          </w:p>
        </w:tc>
      </w:tr>
      <w:tr w:rsidR="00000000">
        <w:tblPrEx>
          <w:tblCellMar>
            <w:top w:w="0" w:type="dxa"/>
            <w:left w:w="0" w:type="dxa"/>
            <w:bottom w:w="0" w:type="dxa"/>
            <w:right w:w="0" w:type="dxa"/>
          </w:tblCellMar>
        </w:tblPrEx>
        <w:trPr>
          <w:trHeight w:hRule="exact" w:val="115"/>
          <w:tblHeader/>
        </w:trPr>
        <w:tc>
          <w:tcPr>
            <w:tcW w:w="2412"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2610" w:type="dxa"/>
            <w:gridSpan w:val="2"/>
            <w:tcBorders>
              <w:top w:val="single" w:sz="12" w:space="0" w:color="auto"/>
              <w:left w:val="nil"/>
              <w:bottom w:val="nil"/>
              <w:right w:val="nil"/>
            </w:tcBorders>
            <w:vAlign w:val="center"/>
          </w:tcPr>
          <w:p w:rsidR="00000000" w:rsidRDefault="00000000">
            <w:pPr>
              <w:spacing w:after="120" w:line="240" w:lineRule="auto"/>
              <w:jc w:val="center"/>
              <w:rPr>
                <w:snapToGrid w:val="0"/>
                <w:color w:val="000000"/>
                <w:sz w:val="17"/>
                <w:lang w:eastAsia="en-US"/>
              </w:rPr>
            </w:pPr>
            <w:r>
              <w:rPr>
                <w:snapToGrid w:val="0"/>
                <w:color w:val="000000"/>
                <w:sz w:val="17"/>
                <w:lang w:eastAsia="en-US"/>
              </w:rPr>
              <w:t>с</w:t>
            </w:r>
            <w:r>
              <w:rPr>
                <w:snapToGrid w:val="0"/>
                <w:color w:val="000000"/>
                <w:sz w:val="17"/>
                <w:lang w:eastAsia="en-US"/>
              </w:rPr>
              <w:t>л</w:t>
            </w:r>
          </w:p>
        </w:tc>
        <w:tc>
          <w:tcPr>
            <w:tcW w:w="2250" w:type="dxa"/>
            <w:gridSpan w:val="2"/>
            <w:tcBorders>
              <w:top w:val="single" w:sz="12" w:space="0" w:color="auto"/>
              <w:left w:val="nil"/>
              <w:bottom w:val="nil"/>
              <w:right w:val="nil"/>
            </w:tcBorders>
            <w:vAlign w:val="center"/>
          </w:tcPr>
          <w:p w:rsidR="00000000" w:rsidRDefault="00000000">
            <w:pPr>
              <w:spacing w:after="120" w:line="240" w:lineRule="auto"/>
              <w:ind w:left="72"/>
              <w:jc w:val="center"/>
              <w:rPr>
                <w:snapToGrid w:val="0"/>
                <w:color w:val="000000"/>
                <w:sz w:val="17"/>
                <w:lang w:eastAsia="en-US"/>
              </w:rPr>
            </w:pPr>
            <w:r>
              <w:rPr>
                <w:snapToGrid w:val="0"/>
                <w:color w:val="000000"/>
                <w:sz w:val="17"/>
                <w:lang w:eastAsia="en-US"/>
              </w:rPr>
              <w:t>цент женщин</w:t>
            </w:r>
          </w:p>
        </w:tc>
      </w:tr>
      <w:tr w:rsidR="00000000">
        <w:tblPrEx>
          <w:tblCellMar>
            <w:top w:w="0" w:type="dxa"/>
            <w:left w:w="0" w:type="dxa"/>
            <w:bottom w:w="0" w:type="dxa"/>
            <w:right w:w="0" w:type="dxa"/>
          </w:tblCellMar>
        </w:tblPrEx>
        <w:trPr>
          <w:cantSplit/>
        </w:trPr>
        <w:tc>
          <w:tcPr>
            <w:tcW w:w="2412" w:type="dxa"/>
            <w:tcBorders>
              <w:top w:val="nil"/>
              <w:left w:val="nil"/>
              <w:bottom w:val="nil"/>
              <w:right w:val="nil"/>
            </w:tcBorders>
          </w:tcPr>
          <w:p w:rsidR="00000000" w:rsidRDefault="00000000">
            <w:pPr>
              <w:suppressAutoHyphens/>
              <w:spacing w:line="240" w:lineRule="auto"/>
              <w:ind w:left="72" w:right="-115"/>
              <w:rPr>
                <w:b/>
                <w:sz w:val="17"/>
              </w:rPr>
            </w:pPr>
            <w:r>
              <w:rPr>
                <w:b/>
                <w:sz w:val="17"/>
              </w:rPr>
              <w:t xml:space="preserve">Еврейская система образования </w:t>
            </w:r>
          </w:p>
        </w:tc>
        <w:tc>
          <w:tcPr>
            <w:tcW w:w="1260" w:type="dxa"/>
            <w:tcBorders>
              <w:top w:val="nil"/>
              <w:left w:val="nil"/>
              <w:bottom w:val="nil"/>
              <w:right w:val="nil"/>
            </w:tcBorders>
          </w:tcPr>
          <w:p w:rsidR="00000000" w:rsidRDefault="00000000">
            <w:pPr>
              <w:spacing w:line="240" w:lineRule="auto"/>
              <w:ind w:left="203"/>
              <w:jc w:val="both"/>
              <w:rPr>
                <w:sz w:val="17"/>
              </w:rPr>
            </w:pPr>
          </w:p>
        </w:tc>
        <w:tc>
          <w:tcPr>
            <w:tcW w:w="1350" w:type="dxa"/>
            <w:tcBorders>
              <w:top w:val="nil"/>
              <w:left w:val="nil"/>
              <w:bottom w:val="nil"/>
              <w:right w:val="nil"/>
            </w:tcBorders>
          </w:tcPr>
          <w:p w:rsidR="00000000" w:rsidRDefault="00000000">
            <w:pPr>
              <w:spacing w:line="240" w:lineRule="auto"/>
              <w:ind w:left="268"/>
              <w:jc w:val="both"/>
              <w:rPr>
                <w:sz w:val="17"/>
              </w:rPr>
            </w:pPr>
          </w:p>
        </w:tc>
        <w:tc>
          <w:tcPr>
            <w:tcW w:w="1080" w:type="dxa"/>
            <w:tcBorders>
              <w:top w:val="nil"/>
              <w:left w:val="nil"/>
              <w:bottom w:val="nil"/>
              <w:right w:val="nil"/>
            </w:tcBorders>
          </w:tcPr>
          <w:p w:rsidR="00000000" w:rsidRDefault="00000000">
            <w:pPr>
              <w:spacing w:line="240" w:lineRule="auto"/>
              <w:ind w:left="255"/>
              <w:jc w:val="both"/>
              <w:rPr>
                <w:sz w:val="17"/>
              </w:rPr>
            </w:pPr>
          </w:p>
        </w:tc>
        <w:tc>
          <w:tcPr>
            <w:tcW w:w="1170" w:type="dxa"/>
            <w:tcBorders>
              <w:top w:val="nil"/>
              <w:left w:val="nil"/>
              <w:bottom w:val="nil"/>
              <w:right w:val="nil"/>
            </w:tcBorders>
          </w:tcPr>
          <w:p w:rsidR="00000000" w:rsidRDefault="00000000">
            <w:pPr>
              <w:spacing w:line="240" w:lineRule="auto"/>
              <w:ind w:left="306"/>
              <w:jc w:val="both"/>
              <w:rPr>
                <w:sz w:val="17"/>
              </w:rPr>
            </w:pPr>
          </w:p>
        </w:tc>
      </w:tr>
      <w:tr w:rsidR="00000000">
        <w:tblPrEx>
          <w:tblCellMar>
            <w:top w:w="0" w:type="dxa"/>
            <w:left w:w="0" w:type="dxa"/>
            <w:bottom w:w="0" w:type="dxa"/>
            <w:right w:w="0" w:type="dxa"/>
          </w:tblCellMar>
        </w:tblPrEx>
        <w:trPr>
          <w:cantSplit/>
        </w:trPr>
        <w:tc>
          <w:tcPr>
            <w:tcW w:w="2412" w:type="dxa"/>
            <w:tcBorders>
              <w:top w:val="nil"/>
              <w:left w:val="nil"/>
              <w:bottom w:val="nil"/>
              <w:right w:val="nil"/>
            </w:tcBorders>
          </w:tcPr>
          <w:p w:rsidR="00000000" w:rsidRDefault="00000000">
            <w:pPr>
              <w:spacing w:line="240" w:lineRule="auto"/>
              <w:ind w:left="72" w:right="-108"/>
              <w:rPr>
                <w:sz w:val="17"/>
              </w:rPr>
            </w:pPr>
            <w:r>
              <w:rPr>
                <w:sz w:val="17"/>
              </w:rPr>
              <w:t>Мальч</w:t>
            </w:r>
            <w:r>
              <w:rPr>
                <w:sz w:val="17"/>
              </w:rPr>
              <w:t>и</w:t>
            </w:r>
            <w:r>
              <w:rPr>
                <w:sz w:val="17"/>
              </w:rPr>
              <w:t>ки</w:t>
            </w:r>
          </w:p>
        </w:tc>
        <w:tc>
          <w:tcPr>
            <w:tcW w:w="1260" w:type="dxa"/>
            <w:tcBorders>
              <w:top w:val="nil"/>
              <w:left w:val="nil"/>
              <w:bottom w:val="nil"/>
              <w:right w:val="nil"/>
            </w:tcBorders>
          </w:tcPr>
          <w:p w:rsidR="00000000" w:rsidRDefault="00000000">
            <w:pPr>
              <w:spacing w:line="240" w:lineRule="auto"/>
              <w:ind w:left="203"/>
              <w:jc w:val="right"/>
              <w:rPr>
                <w:sz w:val="17"/>
              </w:rPr>
            </w:pPr>
            <w:r>
              <w:rPr>
                <w:sz w:val="17"/>
              </w:rPr>
              <w:t>30 869</w:t>
            </w:r>
          </w:p>
        </w:tc>
        <w:tc>
          <w:tcPr>
            <w:tcW w:w="1350" w:type="dxa"/>
            <w:tcBorders>
              <w:top w:val="nil"/>
              <w:left w:val="nil"/>
              <w:bottom w:val="nil"/>
              <w:right w:val="nil"/>
            </w:tcBorders>
          </w:tcPr>
          <w:p w:rsidR="00000000" w:rsidRDefault="00000000">
            <w:pPr>
              <w:spacing w:line="240" w:lineRule="auto"/>
              <w:ind w:left="268"/>
              <w:jc w:val="right"/>
              <w:rPr>
                <w:sz w:val="17"/>
              </w:rPr>
            </w:pPr>
            <w:r>
              <w:rPr>
                <w:sz w:val="17"/>
              </w:rPr>
              <w:t>75,1</w:t>
            </w:r>
          </w:p>
        </w:tc>
        <w:tc>
          <w:tcPr>
            <w:tcW w:w="1080" w:type="dxa"/>
            <w:tcBorders>
              <w:top w:val="nil"/>
              <w:left w:val="nil"/>
              <w:bottom w:val="nil"/>
              <w:right w:val="nil"/>
            </w:tcBorders>
          </w:tcPr>
          <w:p w:rsidR="00000000" w:rsidRDefault="00000000">
            <w:pPr>
              <w:spacing w:line="240" w:lineRule="auto"/>
              <w:ind w:left="255"/>
              <w:jc w:val="right"/>
              <w:rPr>
                <w:sz w:val="17"/>
              </w:rPr>
            </w:pPr>
            <w:r>
              <w:rPr>
                <w:sz w:val="17"/>
              </w:rPr>
              <w:t>20 326</w:t>
            </w:r>
          </w:p>
        </w:tc>
        <w:tc>
          <w:tcPr>
            <w:tcW w:w="1170" w:type="dxa"/>
            <w:tcBorders>
              <w:top w:val="nil"/>
              <w:left w:val="nil"/>
              <w:bottom w:val="nil"/>
              <w:right w:val="nil"/>
            </w:tcBorders>
          </w:tcPr>
          <w:p w:rsidR="00000000" w:rsidRDefault="00000000">
            <w:pPr>
              <w:spacing w:line="240" w:lineRule="auto"/>
              <w:ind w:left="306"/>
              <w:jc w:val="right"/>
              <w:rPr>
                <w:sz w:val="17"/>
              </w:rPr>
            </w:pPr>
            <w:r>
              <w:rPr>
                <w:sz w:val="17"/>
              </w:rPr>
              <w:t>49,5</w:t>
            </w:r>
          </w:p>
        </w:tc>
      </w:tr>
      <w:tr w:rsidR="00000000">
        <w:tblPrEx>
          <w:tblCellMar>
            <w:top w:w="0" w:type="dxa"/>
            <w:left w:w="0" w:type="dxa"/>
            <w:bottom w:w="0" w:type="dxa"/>
            <w:right w:w="0" w:type="dxa"/>
          </w:tblCellMar>
        </w:tblPrEx>
        <w:trPr>
          <w:cantSplit/>
        </w:trPr>
        <w:tc>
          <w:tcPr>
            <w:tcW w:w="2412" w:type="dxa"/>
            <w:tcBorders>
              <w:top w:val="nil"/>
              <w:left w:val="nil"/>
              <w:bottom w:val="nil"/>
              <w:right w:val="nil"/>
            </w:tcBorders>
          </w:tcPr>
          <w:p w:rsidR="00000000" w:rsidRDefault="00000000">
            <w:pPr>
              <w:spacing w:line="240" w:lineRule="auto"/>
              <w:ind w:left="72" w:right="-108"/>
              <w:rPr>
                <w:sz w:val="17"/>
              </w:rPr>
            </w:pPr>
            <w:r>
              <w:rPr>
                <w:sz w:val="17"/>
              </w:rPr>
              <w:t>Девочки</w:t>
            </w:r>
          </w:p>
        </w:tc>
        <w:tc>
          <w:tcPr>
            <w:tcW w:w="1260" w:type="dxa"/>
            <w:tcBorders>
              <w:top w:val="nil"/>
              <w:left w:val="nil"/>
              <w:bottom w:val="nil"/>
              <w:right w:val="nil"/>
            </w:tcBorders>
          </w:tcPr>
          <w:p w:rsidR="00000000" w:rsidRDefault="00000000">
            <w:pPr>
              <w:spacing w:line="240" w:lineRule="auto"/>
              <w:ind w:left="203"/>
              <w:jc w:val="right"/>
              <w:rPr>
                <w:sz w:val="17"/>
              </w:rPr>
            </w:pPr>
            <w:r>
              <w:rPr>
                <w:sz w:val="17"/>
              </w:rPr>
              <w:t>35 176</w:t>
            </w:r>
          </w:p>
        </w:tc>
        <w:tc>
          <w:tcPr>
            <w:tcW w:w="1350" w:type="dxa"/>
            <w:tcBorders>
              <w:top w:val="nil"/>
              <w:left w:val="nil"/>
              <w:bottom w:val="nil"/>
              <w:right w:val="nil"/>
            </w:tcBorders>
          </w:tcPr>
          <w:p w:rsidR="00000000" w:rsidRDefault="00000000">
            <w:pPr>
              <w:spacing w:line="240" w:lineRule="auto"/>
              <w:ind w:left="268"/>
              <w:jc w:val="right"/>
              <w:rPr>
                <w:sz w:val="17"/>
              </w:rPr>
            </w:pPr>
            <w:r>
              <w:rPr>
                <w:sz w:val="17"/>
              </w:rPr>
              <w:t>84,3</w:t>
            </w:r>
          </w:p>
        </w:tc>
        <w:tc>
          <w:tcPr>
            <w:tcW w:w="1080" w:type="dxa"/>
            <w:tcBorders>
              <w:top w:val="nil"/>
              <w:left w:val="nil"/>
              <w:bottom w:val="nil"/>
              <w:right w:val="nil"/>
            </w:tcBorders>
          </w:tcPr>
          <w:p w:rsidR="00000000" w:rsidRDefault="00000000">
            <w:pPr>
              <w:spacing w:line="240" w:lineRule="auto"/>
              <w:ind w:left="255"/>
              <w:jc w:val="right"/>
              <w:rPr>
                <w:sz w:val="17"/>
              </w:rPr>
            </w:pPr>
            <w:r>
              <w:rPr>
                <w:sz w:val="17"/>
              </w:rPr>
              <w:t>26 305</w:t>
            </w:r>
          </w:p>
        </w:tc>
        <w:tc>
          <w:tcPr>
            <w:tcW w:w="1170" w:type="dxa"/>
            <w:tcBorders>
              <w:top w:val="nil"/>
              <w:left w:val="nil"/>
              <w:bottom w:val="nil"/>
              <w:right w:val="nil"/>
            </w:tcBorders>
          </w:tcPr>
          <w:p w:rsidR="00000000" w:rsidRDefault="00000000">
            <w:pPr>
              <w:spacing w:line="240" w:lineRule="auto"/>
              <w:ind w:left="306"/>
              <w:jc w:val="right"/>
              <w:rPr>
                <w:sz w:val="17"/>
              </w:rPr>
            </w:pPr>
            <w:r>
              <w:rPr>
                <w:sz w:val="17"/>
              </w:rPr>
              <w:t>63</w:t>
            </w:r>
          </w:p>
        </w:tc>
      </w:tr>
      <w:tr w:rsidR="00000000">
        <w:tblPrEx>
          <w:tblCellMar>
            <w:top w:w="0" w:type="dxa"/>
            <w:left w:w="0" w:type="dxa"/>
            <w:bottom w:w="0" w:type="dxa"/>
            <w:right w:w="0" w:type="dxa"/>
          </w:tblCellMar>
        </w:tblPrEx>
        <w:trPr>
          <w:cantSplit/>
        </w:trPr>
        <w:tc>
          <w:tcPr>
            <w:tcW w:w="2412" w:type="dxa"/>
            <w:tcBorders>
              <w:top w:val="nil"/>
              <w:left w:val="nil"/>
              <w:bottom w:val="nil"/>
              <w:right w:val="nil"/>
            </w:tcBorders>
          </w:tcPr>
          <w:p w:rsidR="00000000" w:rsidRDefault="00000000">
            <w:pPr>
              <w:suppressAutoHyphens/>
              <w:spacing w:line="240" w:lineRule="auto"/>
              <w:ind w:left="72" w:right="-115"/>
              <w:rPr>
                <w:b/>
                <w:sz w:val="17"/>
              </w:rPr>
            </w:pPr>
            <w:r>
              <w:rPr>
                <w:b/>
                <w:sz w:val="17"/>
              </w:rPr>
              <w:t>Арабская система образования</w:t>
            </w:r>
          </w:p>
        </w:tc>
        <w:tc>
          <w:tcPr>
            <w:tcW w:w="1260" w:type="dxa"/>
            <w:tcBorders>
              <w:top w:val="nil"/>
              <w:left w:val="nil"/>
              <w:bottom w:val="nil"/>
              <w:right w:val="nil"/>
            </w:tcBorders>
          </w:tcPr>
          <w:p w:rsidR="00000000" w:rsidRDefault="00000000">
            <w:pPr>
              <w:spacing w:line="240" w:lineRule="auto"/>
              <w:ind w:left="203"/>
              <w:jc w:val="center"/>
              <w:rPr>
                <w:sz w:val="17"/>
              </w:rPr>
            </w:pPr>
          </w:p>
        </w:tc>
        <w:tc>
          <w:tcPr>
            <w:tcW w:w="1350" w:type="dxa"/>
            <w:tcBorders>
              <w:top w:val="nil"/>
              <w:left w:val="nil"/>
              <w:bottom w:val="nil"/>
              <w:right w:val="nil"/>
            </w:tcBorders>
          </w:tcPr>
          <w:p w:rsidR="00000000" w:rsidRDefault="00000000">
            <w:pPr>
              <w:spacing w:line="240" w:lineRule="auto"/>
              <w:ind w:left="268"/>
              <w:jc w:val="center"/>
              <w:rPr>
                <w:sz w:val="17"/>
              </w:rPr>
            </w:pPr>
          </w:p>
        </w:tc>
        <w:tc>
          <w:tcPr>
            <w:tcW w:w="1080" w:type="dxa"/>
            <w:tcBorders>
              <w:top w:val="nil"/>
              <w:left w:val="nil"/>
              <w:bottom w:val="nil"/>
              <w:right w:val="nil"/>
            </w:tcBorders>
          </w:tcPr>
          <w:p w:rsidR="00000000" w:rsidRDefault="00000000">
            <w:pPr>
              <w:spacing w:line="240" w:lineRule="auto"/>
              <w:ind w:left="255"/>
              <w:jc w:val="center"/>
              <w:rPr>
                <w:sz w:val="17"/>
              </w:rPr>
            </w:pPr>
          </w:p>
        </w:tc>
        <w:tc>
          <w:tcPr>
            <w:tcW w:w="1170" w:type="dxa"/>
            <w:tcBorders>
              <w:top w:val="nil"/>
              <w:left w:val="nil"/>
              <w:bottom w:val="nil"/>
              <w:right w:val="nil"/>
            </w:tcBorders>
          </w:tcPr>
          <w:p w:rsidR="00000000" w:rsidRDefault="00000000">
            <w:pPr>
              <w:spacing w:line="240" w:lineRule="auto"/>
              <w:ind w:left="306"/>
              <w:jc w:val="center"/>
              <w:rPr>
                <w:sz w:val="17"/>
              </w:rPr>
            </w:pPr>
          </w:p>
        </w:tc>
      </w:tr>
      <w:tr w:rsidR="00000000">
        <w:tblPrEx>
          <w:tblCellMar>
            <w:top w:w="0" w:type="dxa"/>
            <w:left w:w="0" w:type="dxa"/>
            <w:bottom w:w="0" w:type="dxa"/>
            <w:right w:w="0" w:type="dxa"/>
          </w:tblCellMar>
        </w:tblPrEx>
        <w:trPr>
          <w:cantSplit/>
        </w:trPr>
        <w:tc>
          <w:tcPr>
            <w:tcW w:w="2412" w:type="dxa"/>
            <w:tcBorders>
              <w:top w:val="nil"/>
              <w:left w:val="nil"/>
              <w:bottom w:val="nil"/>
              <w:right w:val="nil"/>
            </w:tcBorders>
          </w:tcPr>
          <w:p w:rsidR="00000000" w:rsidRDefault="00000000">
            <w:pPr>
              <w:spacing w:line="240" w:lineRule="auto"/>
              <w:ind w:left="72" w:right="-108"/>
              <w:rPr>
                <w:sz w:val="17"/>
              </w:rPr>
            </w:pPr>
            <w:r>
              <w:rPr>
                <w:sz w:val="17"/>
              </w:rPr>
              <w:t>Мальч</w:t>
            </w:r>
            <w:r>
              <w:rPr>
                <w:sz w:val="17"/>
              </w:rPr>
              <w:t>и</w:t>
            </w:r>
            <w:r>
              <w:rPr>
                <w:sz w:val="17"/>
              </w:rPr>
              <w:t>ки</w:t>
            </w:r>
          </w:p>
        </w:tc>
        <w:tc>
          <w:tcPr>
            <w:tcW w:w="1260" w:type="dxa"/>
            <w:tcBorders>
              <w:top w:val="nil"/>
              <w:left w:val="nil"/>
              <w:bottom w:val="nil"/>
              <w:right w:val="nil"/>
            </w:tcBorders>
          </w:tcPr>
          <w:p w:rsidR="00000000" w:rsidRDefault="00000000">
            <w:pPr>
              <w:spacing w:line="240" w:lineRule="auto"/>
              <w:ind w:left="203"/>
              <w:jc w:val="right"/>
              <w:rPr>
                <w:sz w:val="17"/>
              </w:rPr>
            </w:pPr>
            <w:r>
              <w:rPr>
                <w:sz w:val="17"/>
              </w:rPr>
              <w:t>5 373</w:t>
            </w:r>
          </w:p>
        </w:tc>
        <w:tc>
          <w:tcPr>
            <w:tcW w:w="1350" w:type="dxa"/>
            <w:tcBorders>
              <w:top w:val="nil"/>
              <w:left w:val="nil"/>
              <w:bottom w:val="nil"/>
              <w:right w:val="nil"/>
            </w:tcBorders>
          </w:tcPr>
          <w:p w:rsidR="00000000" w:rsidRDefault="00000000">
            <w:pPr>
              <w:spacing w:line="240" w:lineRule="auto"/>
              <w:ind w:left="268"/>
              <w:jc w:val="right"/>
              <w:rPr>
                <w:sz w:val="17"/>
              </w:rPr>
            </w:pPr>
            <w:r>
              <w:rPr>
                <w:sz w:val="17"/>
              </w:rPr>
              <w:t>84</w:t>
            </w:r>
          </w:p>
        </w:tc>
        <w:tc>
          <w:tcPr>
            <w:tcW w:w="1080" w:type="dxa"/>
            <w:tcBorders>
              <w:top w:val="nil"/>
              <w:left w:val="nil"/>
              <w:bottom w:val="nil"/>
              <w:right w:val="nil"/>
            </w:tcBorders>
          </w:tcPr>
          <w:p w:rsidR="00000000" w:rsidRDefault="00000000">
            <w:pPr>
              <w:spacing w:line="240" w:lineRule="auto"/>
              <w:ind w:left="255"/>
              <w:jc w:val="right"/>
              <w:rPr>
                <w:sz w:val="17"/>
              </w:rPr>
            </w:pPr>
            <w:r>
              <w:rPr>
                <w:sz w:val="17"/>
              </w:rPr>
              <w:t>2 858</w:t>
            </w:r>
          </w:p>
        </w:tc>
        <w:tc>
          <w:tcPr>
            <w:tcW w:w="1170" w:type="dxa"/>
            <w:tcBorders>
              <w:top w:val="nil"/>
              <w:left w:val="nil"/>
              <w:bottom w:val="nil"/>
              <w:right w:val="nil"/>
            </w:tcBorders>
          </w:tcPr>
          <w:p w:rsidR="00000000" w:rsidRDefault="00000000">
            <w:pPr>
              <w:spacing w:line="240" w:lineRule="auto"/>
              <w:ind w:left="306"/>
              <w:jc w:val="right"/>
              <w:rPr>
                <w:sz w:val="17"/>
              </w:rPr>
            </w:pPr>
            <w:r>
              <w:rPr>
                <w:sz w:val="17"/>
              </w:rPr>
              <w:t>44,7</w:t>
            </w:r>
          </w:p>
        </w:tc>
      </w:tr>
      <w:tr w:rsidR="00000000">
        <w:tblPrEx>
          <w:tblCellMar>
            <w:top w:w="0" w:type="dxa"/>
            <w:left w:w="0" w:type="dxa"/>
            <w:bottom w:w="0" w:type="dxa"/>
            <w:right w:w="0" w:type="dxa"/>
          </w:tblCellMar>
        </w:tblPrEx>
        <w:trPr>
          <w:cantSplit/>
        </w:trPr>
        <w:tc>
          <w:tcPr>
            <w:tcW w:w="2412" w:type="dxa"/>
            <w:tcBorders>
              <w:top w:val="nil"/>
              <w:left w:val="nil"/>
              <w:bottom w:val="single" w:sz="12" w:space="0" w:color="auto"/>
              <w:right w:val="nil"/>
            </w:tcBorders>
          </w:tcPr>
          <w:p w:rsidR="00000000" w:rsidRDefault="00000000">
            <w:pPr>
              <w:spacing w:line="240" w:lineRule="auto"/>
              <w:ind w:left="72" w:right="-108"/>
              <w:rPr>
                <w:sz w:val="17"/>
              </w:rPr>
            </w:pPr>
            <w:r>
              <w:rPr>
                <w:sz w:val="17"/>
              </w:rPr>
              <w:t>Девочки</w:t>
            </w:r>
          </w:p>
        </w:tc>
        <w:tc>
          <w:tcPr>
            <w:tcW w:w="1260" w:type="dxa"/>
            <w:tcBorders>
              <w:top w:val="nil"/>
              <w:left w:val="nil"/>
              <w:bottom w:val="single" w:sz="12" w:space="0" w:color="auto"/>
              <w:right w:val="nil"/>
            </w:tcBorders>
          </w:tcPr>
          <w:p w:rsidR="00000000" w:rsidRDefault="00000000">
            <w:pPr>
              <w:spacing w:line="240" w:lineRule="auto"/>
              <w:ind w:left="203"/>
              <w:jc w:val="right"/>
              <w:rPr>
                <w:sz w:val="17"/>
              </w:rPr>
            </w:pPr>
            <w:r>
              <w:rPr>
                <w:sz w:val="17"/>
              </w:rPr>
              <w:t>7 270</w:t>
            </w:r>
          </w:p>
        </w:tc>
        <w:tc>
          <w:tcPr>
            <w:tcW w:w="1350" w:type="dxa"/>
            <w:tcBorders>
              <w:top w:val="nil"/>
              <w:left w:val="nil"/>
              <w:bottom w:val="single" w:sz="12" w:space="0" w:color="auto"/>
              <w:right w:val="nil"/>
            </w:tcBorders>
          </w:tcPr>
          <w:p w:rsidR="00000000" w:rsidRDefault="00000000">
            <w:pPr>
              <w:spacing w:line="240" w:lineRule="auto"/>
              <w:ind w:left="268"/>
              <w:jc w:val="right"/>
              <w:rPr>
                <w:sz w:val="17"/>
              </w:rPr>
            </w:pPr>
            <w:r>
              <w:rPr>
                <w:sz w:val="17"/>
              </w:rPr>
              <w:t>91,7</w:t>
            </w:r>
          </w:p>
        </w:tc>
        <w:tc>
          <w:tcPr>
            <w:tcW w:w="1080" w:type="dxa"/>
            <w:tcBorders>
              <w:top w:val="nil"/>
              <w:left w:val="nil"/>
              <w:bottom w:val="single" w:sz="12" w:space="0" w:color="auto"/>
              <w:right w:val="nil"/>
            </w:tcBorders>
          </w:tcPr>
          <w:p w:rsidR="00000000" w:rsidRDefault="00000000">
            <w:pPr>
              <w:spacing w:line="240" w:lineRule="auto"/>
              <w:ind w:left="255"/>
              <w:jc w:val="right"/>
              <w:rPr>
                <w:sz w:val="17"/>
              </w:rPr>
            </w:pPr>
            <w:r>
              <w:rPr>
                <w:sz w:val="17"/>
              </w:rPr>
              <w:t>4 464</w:t>
            </w:r>
          </w:p>
        </w:tc>
        <w:tc>
          <w:tcPr>
            <w:tcW w:w="1170" w:type="dxa"/>
            <w:tcBorders>
              <w:top w:val="nil"/>
              <w:left w:val="nil"/>
              <w:bottom w:val="single" w:sz="12" w:space="0" w:color="auto"/>
              <w:right w:val="nil"/>
            </w:tcBorders>
          </w:tcPr>
          <w:p w:rsidR="00000000" w:rsidRDefault="00000000">
            <w:pPr>
              <w:spacing w:line="240" w:lineRule="auto"/>
              <w:ind w:left="306"/>
              <w:jc w:val="right"/>
              <w:rPr>
                <w:sz w:val="17"/>
              </w:rPr>
            </w:pPr>
            <w:r>
              <w:rPr>
                <w:sz w:val="17"/>
              </w:rPr>
              <w:t>56,3</w:t>
            </w:r>
          </w:p>
        </w:tc>
      </w:tr>
    </w:tbl>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Caption"/>
        <w:spacing w:line="240" w:lineRule="auto"/>
        <w:ind w:left="1267" w:right="1267"/>
        <w:rPr>
          <w:rFonts w:ascii="Times New Roman" w:hAnsi="Times New Roman"/>
          <w:i w:val="0"/>
          <w:sz w:val="20"/>
          <w:lang w:val="ru-RU"/>
        </w:rPr>
      </w:pPr>
      <w:r>
        <w:rPr>
          <w:rFonts w:ascii="Times New Roman" w:hAnsi="Times New Roman"/>
          <w:sz w:val="20"/>
          <w:lang w:val="ru-RU"/>
        </w:rPr>
        <w:t xml:space="preserve">Источник: </w:t>
      </w:r>
      <w:r>
        <w:rPr>
          <w:rFonts w:ascii="Times New Roman" w:hAnsi="Times New Roman"/>
          <w:i w:val="0"/>
          <w:sz w:val="20"/>
          <w:lang w:val="ru-RU"/>
        </w:rPr>
        <w:t>Центральное статистическое бюро, 2004 год.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120"/>
      </w:pPr>
      <w:r>
        <w:t>240.</w:t>
      </w:r>
      <w:r>
        <w:tab/>
        <w:t>Процентная доля девочек, сдающих вступительные экзамены по естес</w:t>
      </w:r>
      <w:r>
        <w:t>т</w:t>
      </w:r>
      <w:r>
        <w:t>веннонаучным дисциплинам, составляет 45 процентов: по электронике - 12 процентов, биологии - 66 процентов, химии - 62 процента, компьютерному делу - 43 процента и физике - 30 процентов. Процентная доля тех, кто успешно сдает эти экзамены, столь же высока, хотя девочки успешно сдают эти экзам</w:t>
      </w:r>
      <w:r>
        <w:t>е</w:t>
      </w:r>
      <w:r>
        <w:t>ны чаще, чем мальчики (57 пр</w:t>
      </w:r>
      <w:r>
        <w:t>о</w:t>
      </w:r>
      <w:r>
        <w:t>центов к 33 процентам).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Уровень образования, посещаемости и отсева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120"/>
      </w:pPr>
      <w:r>
        <w:t>241.</w:t>
      </w:r>
      <w:r>
        <w:tab/>
        <w:t>Как указывается в нашем предыдущем докладе, уровень образования ра</w:t>
      </w:r>
      <w:r>
        <w:t>с</w:t>
      </w:r>
      <w:r>
        <w:t xml:space="preserve">тет умеренными темпами во всех группах населения Израиля. В 1961 году 69 процентов женщин из группы меньшинств никогда не посещали школу, по сравнению с 30 процентами мужчин из группы меньшинств. В 2003 году эти показатели составляли 9,9 процента и 2,4 процента, соответственно.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120"/>
      </w:pPr>
      <w:r>
        <w:t>242.</w:t>
      </w:r>
      <w:r>
        <w:tab/>
        <w:t>Другим важным показателем школьного образования является посеща</w:t>
      </w:r>
      <w:r>
        <w:t>е</w:t>
      </w:r>
      <w:r>
        <w:t>мость. В 2003-2004 годах посещаемость девочками в 9-х-11-х классах соста</w:t>
      </w:r>
      <w:r>
        <w:t>в</w:t>
      </w:r>
      <w:r>
        <w:t>ляла примерно 3,1-3,6 процента, а в 12-м классе показатель отсева составлял лишь 0,7 процента. Среди мальчиков показатели отсева были выше, в особе</w:t>
      </w:r>
      <w:r>
        <w:t>н</w:t>
      </w:r>
      <w:r>
        <w:t>ности в 11-х классах. В рамках арабской системы образования разрыв между показателями для мальчиков и девочек был также в пользу мальчиков, хотя о</w:t>
      </w:r>
      <w:r>
        <w:t>т</w:t>
      </w:r>
      <w:r>
        <w:t>сев у арабских девочек выше, чем отсев среди еврейских девочек.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120"/>
      </w:pPr>
      <w:r>
        <w:t>243.</w:t>
      </w:r>
      <w:r>
        <w:tab/>
        <w:t>Департамент по вопросам регулярного посещения занятий и предотвр</w:t>
      </w:r>
      <w:r>
        <w:t>а</w:t>
      </w:r>
      <w:r>
        <w:t>щения отсева министерства образования, культуры и спорта активно действ</w:t>
      </w:r>
      <w:r>
        <w:t>о</w:t>
      </w:r>
      <w:r>
        <w:t>вал на всех уровнях с целью повысить показатели посещаемости и предотвр</w:t>
      </w:r>
      <w:r>
        <w:t>а</w:t>
      </w:r>
      <w:r>
        <w:t>щать отсев во всех секторах. Его сотрудники действовали на трех основных уровнях - распространение информации по данному вопросу, принятие упра</w:t>
      </w:r>
      <w:r>
        <w:t>в</w:t>
      </w:r>
      <w:r>
        <w:t>ленческих/организационных мер в рамках всей системы и педагогических мер. В период 2002-2003 годов показатель отсева снизился до 6 процентов в евре</w:t>
      </w:r>
      <w:r>
        <w:t>й</w:t>
      </w:r>
      <w:r>
        <w:t>ском секторе и до 10 процентов в арабском секторе.</w:t>
      </w:r>
    </w:p>
    <w:p w:rsidR="00000000" w:rsidRDefault="00000000">
      <w:pPr>
        <w:pStyle w:val="H1"/>
        <w:spacing w:line="300" w:lineRule="exact"/>
        <w:ind w:left="778" w:right="1267"/>
      </w:pPr>
      <w:r>
        <w:br w:type="page"/>
        <w:t>Мероприятия и учебные программы в целях предотвращения дискриминации в отношении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Гендерные стереотипы в школьных учебниках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120"/>
      </w:pPr>
      <w:r>
        <w:t>244.</w:t>
      </w:r>
      <w:r>
        <w:tab/>
        <w:t>Как подробно разъясняется в нашем предыдущем докладе, Департамент по вопросам планирования и разработки учебных программ министерства о</w:t>
      </w:r>
      <w:r>
        <w:t>б</w:t>
      </w:r>
      <w:r>
        <w:t>разования, культуры и спорта активно занимался разработкой критериев в о</w:t>
      </w:r>
      <w:r>
        <w:t>т</w:t>
      </w:r>
      <w:r>
        <w:t>ношении школьных учебников, в частности в области гендерных стереотипов. Эти критерии были включены в учебную программу по решению специального комитета, назначенного в 2001 году нынешним министром образования, кул</w:t>
      </w:r>
      <w:r>
        <w:t>ь</w:t>
      </w:r>
      <w:r>
        <w:t>туры и спорта.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120"/>
      </w:pPr>
      <w:r>
        <w:t>245.</w:t>
      </w:r>
      <w:r>
        <w:tab/>
        <w:t>Этот комитет изучил гендерные стереотипы в школьных учебниках, и</w:t>
      </w:r>
      <w:r>
        <w:t>с</w:t>
      </w:r>
      <w:r>
        <w:t>пользуемых в рамках израильской образовательной системы, и принял меры к тому, чтобы исключить любые стереотипы из учебной программы. Комитет скорректировал ранее существовавшие критерии, на качественном и количес</w:t>
      </w:r>
      <w:r>
        <w:t>т</w:t>
      </w:r>
      <w:r>
        <w:t>венном уровне, рассмотрев следующие вопросы, касающиеся равной пре</w:t>
      </w:r>
      <w:r>
        <w:t>д</w:t>
      </w:r>
      <w:r>
        <w:t>ставленности обоих полов: включение в материал примеров, характеризующих вклад женщин в различные сферы жизни; привлечение внимания к раннее с</w:t>
      </w:r>
      <w:r>
        <w:t>у</w:t>
      </w:r>
      <w:r>
        <w:t>ществовавшим стереотипам; исключение гендерных стереотипов любых видов (как прямых, так и косвенных); распределение заданий на нейтральной с ге</w:t>
      </w:r>
      <w:r>
        <w:t>н</w:t>
      </w:r>
      <w:r>
        <w:t>дерной точки зрения основе; отбор работ, сочинений и докладов, в равной ст</w:t>
      </w:r>
      <w:r>
        <w:t>е</w:t>
      </w:r>
      <w:r>
        <w:t>пени представляющих и мужчин, и женщин; перевод детей на курсы и в классы независимо от их пола; исключение из школьных учебников таких рисунков и иллюстраций, которые связаны с гендерными стереотипами.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Другие инструкции и программы участия, которые нацелены на предотвращение дискриминации в отношении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120"/>
      </w:pPr>
      <w:r>
        <w:t>246.</w:t>
      </w:r>
      <w:r>
        <w:tab/>
        <w:t>В 2003 году Генеральный директор министерства издал циркуляр (9.4-4</w:t>
      </w:r>
      <w:r>
        <w:rPr>
          <w:lang w:val="en-US"/>
        </w:rPr>
        <w:t>d</w:t>
      </w:r>
      <w:r>
        <w:t>) 4/2003), касающийся равенства возможностей обоих полов в системе образов</w:t>
      </w:r>
      <w:r>
        <w:t>а</w:t>
      </w:r>
      <w:r>
        <w:t>ния, с уделением особого внимания проведению образовател</w:t>
      </w:r>
      <w:r>
        <w:t>ь</w:t>
      </w:r>
      <w:r>
        <w:t xml:space="preserve">ных/общественных/учебных мероприятий по гендерным вопросам. В этом циркуляре особое внимание уделяется политике этого учреждения в области образования, а также учебному процессу.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120"/>
      </w:pPr>
      <w:r>
        <w:t>247.</w:t>
      </w:r>
      <w:r>
        <w:tab/>
        <w:t>Министерство намерено выполнить положения этого циркуляра, орган</w:t>
      </w:r>
      <w:r>
        <w:t>и</w:t>
      </w:r>
      <w:r>
        <w:t>зуя конференции и семинары для директоров и руководителей школ, а также целевое обучение преподавателей на всех уровнях. Еще одним направлением станет проведение школьных семинаров и реализация принципа равенства мужчин и женщин в различных департаментах министерства.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120"/>
      </w:pPr>
      <w:r>
        <w:t>248.</w:t>
      </w:r>
      <w:r>
        <w:tab/>
        <w:t xml:space="preserve">Кроме того, министерство оказывает поддержку программе </w:t>
      </w:r>
      <w:r>
        <w:rPr>
          <w:i/>
        </w:rPr>
        <w:t>"Девочки в</w:t>
      </w:r>
      <w:r>
        <w:rPr>
          <w:i/>
        </w:rPr>
        <w:t>ы</w:t>
      </w:r>
      <w:r>
        <w:rPr>
          <w:i/>
        </w:rPr>
        <w:t>ступают за перемены"</w:t>
      </w:r>
      <w:r>
        <w:t xml:space="preserve"> совместно с Израильской женской сетью. Задача з</w:t>
      </w:r>
      <w:r>
        <w:t>а</w:t>
      </w:r>
      <w:r>
        <w:t>ключается в том, чтобы добиваться расширения прав и возможностей и в</w:t>
      </w:r>
      <w:r>
        <w:t>ы</w:t>
      </w:r>
      <w:r>
        <w:t>движения в лидеры, а также повышать информированность о проблемах нер</w:t>
      </w:r>
      <w:r>
        <w:t>а</w:t>
      </w:r>
      <w:r>
        <w:t>венства между полами, укреплять чувство уверенности в себе и изменить п</w:t>
      </w:r>
      <w:r>
        <w:t>о</w:t>
      </w:r>
      <w:r>
        <w:t>зиции по вопросу о равенстве между мужчинами и женщинами.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120"/>
      </w:pPr>
      <w:r>
        <w:t>249.</w:t>
      </w:r>
      <w:r>
        <w:tab/>
        <w:t>Другая программа касается стимулирования девочек к изучению точных наук и математики, поощряя их к тому, чтобы выбирать эти темы для своих вступительных экзаменов и затем для изучения в высших учебных заведениях. Программа "</w:t>
      </w:r>
      <w:r>
        <w:rPr>
          <w:i/>
        </w:rPr>
        <w:t>Женское и мужское начало - следующее поколение</w:t>
      </w:r>
      <w:r>
        <w:t>" нацелена на обеспечение того, чтобы в рамках руководства и лидерства преобладало не и</w:t>
      </w:r>
      <w:r>
        <w:t>с</w:t>
      </w:r>
      <w:r>
        <w:t>ключительно мужское начало, а сочетание мужского и женского начал.</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Сексуальное воспитание и обучение навыкам семейной жизни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120"/>
      </w:pPr>
      <w:r>
        <w:t>250.</w:t>
      </w:r>
      <w:r>
        <w:tab/>
        <w:t>Нынешняя учебная программа для учащихся старших классов средней школы включает сексуальное воспитание и обучение навыкам семейной жизни. Основные темы программы - это индивидуальное развитие по выбору самой личности, уникальность, принятие других, даже если они отличаются от тебя, равенство девочек и мальчиков, которые при этом отличаются друг от друга, знакомство с принципами сексуальных отношений с учетом возраста, основа</w:t>
      </w:r>
      <w:r>
        <w:t>н</w:t>
      </w:r>
      <w:r>
        <w:t>ный на взаимном согласии контакт с другими и совместное принятие решений в браке. Основное внимание в учебной программе уделяется выявлению ге</w:t>
      </w:r>
      <w:r>
        <w:t>н</w:t>
      </w:r>
      <w:r>
        <w:t>дерных стереотипов, изменению позиций, разработке уникальных навыков и распространению знаний. Учебный план предусматривает программу под н</w:t>
      </w:r>
      <w:r>
        <w:t>а</w:t>
      </w:r>
      <w:r>
        <w:t>званием "дружеские и супружеские отношения, свободные от насилия", п</w:t>
      </w:r>
      <w:r>
        <w:t>о</w:t>
      </w:r>
      <w:r>
        <w:t>священную различиям между отношениями, основанными на уважении и ра</w:t>
      </w:r>
      <w:r>
        <w:t>в</w:t>
      </w:r>
      <w:r>
        <w:t>ноправии, по сравнению с жестокими или односторонними отношениями, ра</w:t>
      </w:r>
      <w:r>
        <w:t>з</w:t>
      </w:r>
      <w:r>
        <w:t>личиям между доброжелательным и оскорбительным отношением, а также т</w:t>
      </w:r>
      <w:r>
        <w:t>о</w:t>
      </w:r>
      <w:r>
        <w:t>му, что в браке допустимо, а что нет.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120"/>
      </w:pPr>
      <w:r>
        <w:t>251.</w:t>
      </w:r>
      <w:r>
        <w:tab/>
        <w:t>Учебная программа была адаптирована с учетом системы государственн</w:t>
      </w:r>
      <w:r>
        <w:t>о</w:t>
      </w:r>
      <w:r>
        <w:t>го религиозного образования и системы арабского образования. Программа рассчитана как на девочек, так и на мальчиков, однако некоторые школы пр</w:t>
      </w:r>
      <w:r>
        <w:t>о</w:t>
      </w:r>
      <w:r>
        <w:t xml:space="preserve">водят уроки для них раздельно.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Преподаватели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252.</w:t>
      </w:r>
      <w:r>
        <w:tab/>
        <w:t>В 2003-2004 годах доля еврейских мужчин в педагогических училищах составляла 18,3 процента по сравнению с 18,8 процента в 2002-2003 годах. Д</w:t>
      </w:r>
      <w:r>
        <w:t>о</w:t>
      </w:r>
      <w:r>
        <w:t>ля арабских мужчин в педагогических училищах составила 8,2 процента по сравнению с 7,6 процента в 2002-2003 годах.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56"/>
        <w:ind w:left="1267" w:right="1267"/>
      </w:pPr>
      <w:r>
        <w:t>Таблица 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 xml:space="preserve">Педагогические училища, отдельные годы </w:t>
      </w:r>
    </w:p>
    <w:p w:rsidR="00000000" w:rsidRDefault="00000000">
      <w:pPr>
        <w:pStyle w:val="SingleTxt"/>
        <w:keepNext/>
        <w:spacing w:after="0" w:line="240" w:lineRule="auto"/>
        <w:rPr>
          <w:sz w:val="10"/>
        </w:rPr>
      </w:pPr>
    </w:p>
    <w:tbl>
      <w:tblPr>
        <w:tblW w:w="0" w:type="auto"/>
        <w:tblInd w:w="1270" w:type="dxa"/>
        <w:tblLayout w:type="fixed"/>
        <w:tblCellMar>
          <w:left w:w="0" w:type="dxa"/>
          <w:right w:w="0" w:type="dxa"/>
        </w:tblCellMar>
        <w:tblLook w:val="0000" w:firstRow="0" w:lastRow="0" w:firstColumn="0" w:lastColumn="0" w:noHBand="0" w:noVBand="0"/>
      </w:tblPr>
      <w:tblGrid>
        <w:gridCol w:w="2520"/>
        <w:gridCol w:w="630"/>
        <w:gridCol w:w="630"/>
        <w:gridCol w:w="630"/>
        <w:gridCol w:w="630"/>
        <w:gridCol w:w="720"/>
        <w:gridCol w:w="720"/>
        <w:gridCol w:w="630"/>
        <w:gridCol w:w="630"/>
      </w:tblGrid>
      <w:tr w:rsidR="00000000">
        <w:tblPrEx>
          <w:tblCellMar>
            <w:top w:w="0" w:type="dxa"/>
            <w:left w:w="0" w:type="dxa"/>
            <w:bottom w:w="0" w:type="dxa"/>
            <w:right w:w="0" w:type="dxa"/>
          </w:tblCellMar>
        </w:tblPrEx>
        <w:trPr>
          <w:tblHeader/>
        </w:trPr>
        <w:tc>
          <w:tcPr>
            <w:tcW w:w="2520" w:type="dxa"/>
            <w:tcBorders>
              <w:top w:val="single" w:sz="4" w:space="0" w:color="auto"/>
            </w:tcBorders>
            <w:vAlign w:val="bottom"/>
          </w:tcPr>
          <w:p w:rsidR="00000000" w:rsidRDefault="00000000">
            <w:pPr>
              <w:tabs>
                <w:tab w:val="left" w:pos="288"/>
                <w:tab w:val="left" w:pos="576"/>
                <w:tab w:val="left" w:pos="864"/>
                <w:tab w:val="left" w:pos="1152"/>
              </w:tabs>
              <w:spacing w:before="81" w:after="81"/>
              <w:ind w:right="40"/>
              <w:rPr>
                <w:i/>
                <w:sz w:val="14"/>
              </w:rPr>
            </w:pPr>
          </w:p>
        </w:tc>
        <w:tc>
          <w:tcPr>
            <w:tcW w:w="630" w:type="dxa"/>
            <w:tcBorders>
              <w:top w:val="single" w:sz="4" w:space="0" w:color="auto"/>
            </w:tcBorders>
          </w:tcPr>
          <w:p w:rsidR="00000000" w:rsidRDefault="00000000">
            <w:pPr>
              <w:spacing w:after="120" w:line="240" w:lineRule="auto"/>
              <w:rPr>
                <w:i/>
                <w:sz w:val="14"/>
              </w:rPr>
            </w:pPr>
            <w:r>
              <w:rPr>
                <w:i/>
                <w:sz w:val="14"/>
              </w:rPr>
              <w:t>1969/70</w:t>
            </w:r>
          </w:p>
        </w:tc>
        <w:tc>
          <w:tcPr>
            <w:tcW w:w="630" w:type="dxa"/>
            <w:tcBorders>
              <w:top w:val="single" w:sz="4" w:space="0" w:color="auto"/>
            </w:tcBorders>
          </w:tcPr>
          <w:p w:rsidR="00000000" w:rsidRDefault="00000000">
            <w:pPr>
              <w:spacing w:after="120" w:line="240" w:lineRule="auto"/>
              <w:rPr>
                <w:i/>
                <w:sz w:val="14"/>
              </w:rPr>
            </w:pPr>
            <w:r>
              <w:rPr>
                <w:i/>
                <w:sz w:val="14"/>
              </w:rPr>
              <w:t>1979/80</w:t>
            </w:r>
          </w:p>
        </w:tc>
        <w:tc>
          <w:tcPr>
            <w:tcW w:w="630" w:type="dxa"/>
            <w:tcBorders>
              <w:top w:val="single" w:sz="4" w:space="0" w:color="auto"/>
            </w:tcBorders>
          </w:tcPr>
          <w:p w:rsidR="00000000" w:rsidRDefault="00000000">
            <w:pPr>
              <w:spacing w:after="120" w:line="240" w:lineRule="auto"/>
              <w:rPr>
                <w:i/>
                <w:sz w:val="14"/>
              </w:rPr>
            </w:pPr>
            <w:r>
              <w:rPr>
                <w:i/>
                <w:sz w:val="14"/>
              </w:rPr>
              <w:t>1989/90</w:t>
            </w:r>
          </w:p>
        </w:tc>
        <w:tc>
          <w:tcPr>
            <w:tcW w:w="630" w:type="dxa"/>
            <w:tcBorders>
              <w:top w:val="single" w:sz="4" w:space="0" w:color="auto"/>
            </w:tcBorders>
          </w:tcPr>
          <w:p w:rsidR="00000000" w:rsidRDefault="00000000">
            <w:pPr>
              <w:spacing w:after="120" w:line="240" w:lineRule="auto"/>
              <w:rPr>
                <w:i/>
                <w:sz w:val="14"/>
              </w:rPr>
            </w:pPr>
            <w:r>
              <w:rPr>
                <w:i/>
                <w:sz w:val="14"/>
              </w:rPr>
              <w:t>1994/95</w:t>
            </w:r>
          </w:p>
        </w:tc>
        <w:tc>
          <w:tcPr>
            <w:tcW w:w="720" w:type="dxa"/>
            <w:tcBorders>
              <w:top w:val="single" w:sz="4" w:space="0" w:color="auto"/>
            </w:tcBorders>
          </w:tcPr>
          <w:p w:rsidR="00000000" w:rsidRDefault="00000000">
            <w:pPr>
              <w:spacing w:after="120" w:line="240" w:lineRule="auto"/>
              <w:rPr>
                <w:i/>
                <w:sz w:val="14"/>
              </w:rPr>
            </w:pPr>
            <w:r>
              <w:rPr>
                <w:i/>
                <w:sz w:val="14"/>
              </w:rPr>
              <w:t>1999/00</w:t>
            </w:r>
          </w:p>
        </w:tc>
        <w:tc>
          <w:tcPr>
            <w:tcW w:w="720" w:type="dxa"/>
            <w:tcBorders>
              <w:top w:val="single" w:sz="4" w:space="0" w:color="auto"/>
            </w:tcBorders>
          </w:tcPr>
          <w:p w:rsidR="00000000" w:rsidRDefault="00000000">
            <w:pPr>
              <w:spacing w:after="120" w:line="240" w:lineRule="auto"/>
              <w:rPr>
                <w:i/>
                <w:sz w:val="14"/>
              </w:rPr>
            </w:pPr>
            <w:r>
              <w:rPr>
                <w:i/>
                <w:sz w:val="14"/>
              </w:rPr>
              <w:t>1001/02</w:t>
            </w:r>
          </w:p>
        </w:tc>
        <w:tc>
          <w:tcPr>
            <w:tcW w:w="630" w:type="dxa"/>
            <w:tcBorders>
              <w:top w:val="single" w:sz="4" w:space="0" w:color="auto"/>
            </w:tcBorders>
          </w:tcPr>
          <w:p w:rsidR="00000000" w:rsidRDefault="00000000">
            <w:pPr>
              <w:spacing w:after="120" w:line="240" w:lineRule="auto"/>
              <w:rPr>
                <w:i/>
                <w:sz w:val="14"/>
              </w:rPr>
            </w:pPr>
            <w:r>
              <w:rPr>
                <w:i/>
                <w:sz w:val="14"/>
              </w:rPr>
              <w:t>2002/03</w:t>
            </w:r>
          </w:p>
        </w:tc>
        <w:tc>
          <w:tcPr>
            <w:tcW w:w="630" w:type="dxa"/>
            <w:tcBorders>
              <w:top w:val="single" w:sz="4" w:space="0" w:color="auto"/>
            </w:tcBorders>
          </w:tcPr>
          <w:p w:rsidR="00000000" w:rsidRDefault="00000000">
            <w:pPr>
              <w:spacing w:after="120" w:line="240" w:lineRule="auto"/>
              <w:rPr>
                <w:i/>
                <w:sz w:val="14"/>
              </w:rPr>
            </w:pPr>
            <w:r>
              <w:rPr>
                <w:i/>
                <w:sz w:val="14"/>
              </w:rPr>
              <w:t>2003/04</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tabs>
                <w:tab w:val="left" w:pos="288"/>
                <w:tab w:val="left" w:pos="576"/>
                <w:tab w:val="left" w:pos="864"/>
                <w:tab w:val="left" w:pos="1152"/>
              </w:tabs>
              <w:spacing w:before="40" w:after="40"/>
              <w:ind w:right="40"/>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ind w:right="40"/>
              <w:jc w:val="right"/>
              <w:rPr>
                <w:sz w:val="17"/>
              </w:rPr>
            </w:pPr>
          </w:p>
        </w:tc>
        <w:tc>
          <w:tcPr>
            <w:tcW w:w="630" w:type="dxa"/>
            <w:tcBorders>
              <w:top w:val="single" w:sz="12" w:space="0" w:color="auto"/>
            </w:tcBorders>
          </w:tcPr>
          <w:p w:rsidR="00000000" w:rsidRDefault="00000000">
            <w:pPr>
              <w:tabs>
                <w:tab w:val="left" w:pos="288"/>
                <w:tab w:val="left" w:pos="576"/>
                <w:tab w:val="left" w:pos="864"/>
                <w:tab w:val="left" w:pos="1152"/>
              </w:tabs>
              <w:spacing w:before="40" w:after="40"/>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ind w:right="40"/>
              <w:jc w:val="right"/>
              <w:rPr>
                <w:sz w:val="17"/>
              </w:rPr>
            </w:pPr>
          </w:p>
        </w:tc>
        <w:tc>
          <w:tcPr>
            <w:tcW w:w="630" w:type="dxa"/>
            <w:tcBorders>
              <w:top w:val="single" w:sz="12" w:space="0" w:color="auto"/>
            </w:tcBorders>
          </w:tcPr>
          <w:p w:rsidR="00000000" w:rsidRDefault="00000000">
            <w:pPr>
              <w:tabs>
                <w:tab w:val="left" w:pos="288"/>
                <w:tab w:val="left" w:pos="576"/>
                <w:tab w:val="left" w:pos="864"/>
                <w:tab w:val="left" w:pos="1152"/>
              </w:tabs>
              <w:spacing w:before="40" w:after="40"/>
              <w:ind w:right="40"/>
              <w:jc w:val="right"/>
              <w:rPr>
                <w:sz w:val="17"/>
              </w:rPr>
            </w:pPr>
          </w:p>
        </w:tc>
        <w:tc>
          <w:tcPr>
            <w:tcW w:w="630" w:type="dxa"/>
            <w:tcBorders>
              <w:top w:val="single" w:sz="12" w:space="0" w:color="auto"/>
            </w:tcBorders>
          </w:tcPr>
          <w:p w:rsidR="00000000" w:rsidRDefault="00000000">
            <w:pPr>
              <w:tabs>
                <w:tab w:val="left" w:pos="288"/>
                <w:tab w:val="left" w:pos="576"/>
                <w:tab w:val="left" w:pos="864"/>
                <w:tab w:val="left" w:pos="1152"/>
              </w:tabs>
              <w:spacing w:before="40" w:after="40"/>
              <w:ind w:right="40"/>
              <w:jc w:val="right"/>
              <w:rPr>
                <w:sz w:val="17"/>
              </w:rPr>
            </w:pPr>
          </w:p>
        </w:tc>
      </w:tr>
      <w:tr w:rsidR="00000000">
        <w:tblPrEx>
          <w:tblCellMar>
            <w:top w:w="0" w:type="dxa"/>
            <w:left w:w="0" w:type="dxa"/>
            <w:bottom w:w="0" w:type="dxa"/>
            <w:right w:w="0" w:type="dxa"/>
          </w:tblCellMar>
        </w:tblPrEx>
        <w:tc>
          <w:tcPr>
            <w:tcW w:w="2520" w:type="dxa"/>
          </w:tcPr>
          <w:p w:rsidR="00000000" w:rsidRDefault="00000000">
            <w:pPr>
              <w:suppressAutoHyphens/>
              <w:spacing w:after="120" w:line="240" w:lineRule="auto"/>
              <w:rPr>
                <w:b/>
                <w:sz w:val="17"/>
              </w:rPr>
            </w:pPr>
            <w:r>
              <w:rPr>
                <w:b/>
                <w:sz w:val="17"/>
              </w:rPr>
              <w:t>Обучение на иврите</w:t>
            </w:r>
          </w:p>
        </w:tc>
        <w:tc>
          <w:tcPr>
            <w:tcW w:w="630" w:type="dxa"/>
          </w:tcPr>
          <w:p w:rsidR="00000000" w:rsidRDefault="00000000">
            <w:pPr>
              <w:spacing w:after="120" w:line="240" w:lineRule="auto"/>
              <w:rPr>
                <w:sz w:val="17"/>
              </w:rPr>
            </w:pPr>
          </w:p>
        </w:tc>
        <w:tc>
          <w:tcPr>
            <w:tcW w:w="630" w:type="dxa"/>
          </w:tcPr>
          <w:p w:rsidR="00000000" w:rsidRDefault="00000000">
            <w:pPr>
              <w:spacing w:after="120" w:line="240" w:lineRule="auto"/>
              <w:rPr>
                <w:sz w:val="17"/>
              </w:rPr>
            </w:pPr>
          </w:p>
        </w:tc>
        <w:tc>
          <w:tcPr>
            <w:tcW w:w="630" w:type="dxa"/>
          </w:tcPr>
          <w:p w:rsidR="00000000" w:rsidRDefault="00000000">
            <w:pPr>
              <w:spacing w:after="120" w:line="240" w:lineRule="auto"/>
              <w:rPr>
                <w:sz w:val="17"/>
              </w:rPr>
            </w:pPr>
          </w:p>
        </w:tc>
        <w:tc>
          <w:tcPr>
            <w:tcW w:w="630" w:type="dxa"/>
          </w:tcPr>
          <w:p w:rsidR="00000000" w:rsidRDefault="00000000">
            <w:pPr>
              <w:spacing w:after="120" w:line="240" w:lineRule="auto"/>
              <w:rPr>
                <w:sz w:val="17"/>
              </w:rPr>
            </w:pPr>
          </w:p>
        </w:tc>
        <w:tc>
          <w:tcPr>
            <w:tcW w:w="720" w:type="dxa"/>
          </w:tcPr>
          <w:p w:rsidR="00000000" w:rsidRDefault="00000000">
            <w:pPr>
              <w:spacing w:after="120" w:line="240" w:lineRule="auto"/>
              <w:rPr>
                <w:sz w:val="17"/>
              </w:rPr>
            </w:pPr>
          </w:p>
        </w:tc>
        <w:tc>
          <w:tcPr>
            <w:tcW w:w="720" w:type="dxa"/>
          </w:tcPr>
          <w:p w:rsidR="00000000" w:rsidRDefault="00000000">
            <w:pPr>
              <w:spacing w:after="120" w:line="240" w:lineRule="auto"/>
              <w:rPr>
                <w:sz w:val="17"/>
              </w:rPr>
            </w:pPr>
          </w:p>
        </w:tc>
        <w:tc>
          <w:tcPr>
            <w:tcW w:w="630" w:type="dxa"/>
          </w:tcPr>
          <w:p w:rsidR="00000000" w:rsidRDefault="00000000">
            <w:pPr>
              <w:spacing w:after="120" w:line="240" w:lineRule="auto"/>
              <w:rPr>
                <w:sz w:val="17"/>
              </w:rPr>
            </w:pPr>
          </w:p>
        </w:tc>
        <w:tc>
          <w:tcPr>
            <w:tcW w:w="630" w:type="dxa"/>
          </w:tcPr>
          <w:p w:rsidR="00000000" w:rsidRDefault="00000000">
            <w:pPr>
              <w:spacing w:after="120" w:line="240" w:lineRule="auto"/>
              <w:rPr>
                <w:sz w:val="17"/>
              </w:rPr>
            </w:pPr>
          </w:p>
        </w:tc>
      </w:tr>
      <w:tr w:rsidR="00000000">
        <w:tblPrEx>
          <w:tblCellMar>
            <w:top w:w="0" w:type="dxa"/>
            <w:left w:w="0" w:type="dxa"/>
            <w:bottom w:w="0" w:type="dxa"/>
            <w:right w:w="0" w:type="dxa"/>
          </w:tblCellMar>
        </w:tblPrEx>
        <w:tc>
          <w:tcPr>
            <w:tcW w:w="2520" w:type="dxa"/>
          </w:tcPr>
          <w:p w:rsidR="00000000" w:rsidRDefault="00000000">
            <w:pPr>
              <w:spacing w:after="120" w:line="240" w:lineRule="auto"/>
              <w:rPr>
                <w:sz w:val="17"/>
              </w:rPr>
            </w:pPr>
            <w:r>
              <w:rPr>
                <w:sz w:val="17"/>
              </w:rPr>
              <w:t>мужч</w:t>
            </w:r>
            <w:r>
              <w:rPr>
                <w:sz w:val="17"/>
              </w:rPr>
              <w:t>и</w:t>
            </w:r>
            <w:r>
              <w:rPr>
                <w:sz w:val="17"/>
              </w:rPr>
              <w:t>ны (в %)</w:t>
            </w:r>
          </w:p>
        </w:tc>
        <w:tc>
          <w:tcPr>
            <w:tcW w:w="630" w:type="dxa"/>
          </w:tcPr>
          <w:p w:rsidR="00000000" w:rsidRDefault="00000000">
            <w:pPr>
              <w:spacing w:after="120" w:line="240" w:lineRule="auto"/>
              <w:jc w:val="right"/>
              <w:rPr>
                <w:sz w:val="17"/>
              </w:rPr>
            </w:pPr>
            <w:r>
              <w:rPr>
                <w:sz w:val="17"/>
              </w:rPr>
              <w:t>13,9</w:t>
            </w:r>
          </w:p>
        </w:tc>
        <w:tc>
          <w:tcPr>
            <w:tcW w:w="630" w:type="dxa"/>
          </w:tcPr>
          <w:p w:rsidR="00000000" w:rsidRDefault="00000000">
            <w:pPr>
              <w:spacing w:after="120" w:line="240" w:lineRule="auto"/>
              <w:jc w:val="right"/>
              <w:rPr>
                <w:sz w:val="17"/>
              </w:rPr>
            </w:pPr>
            <w:r>
              <w:rPr>
                <w:sz w:val="17"/>
              </w:rPr>
              <w:t>10,3</w:t>
            </w:r>
          </w:p>
        </w:tc>
        <w:tc>
          <w:tcPr>
            <w:tcW w:w="630" w:type="dxa"/>
          </w:tcPr>
          <w:p w:rsidR="00000000" w:rsidRDefault="00000000">
            <w:pPr>
              <w:spacing w:after="120" w:line="240" w:lineRule="auto"/>
              <w:jc w:val="right"/>
              <w:rPr>
                <w:sz w:val="17"/>
              </w:rPr>
            </w:pPr>
            <w:r>
              <w:rPr>
                <w:sz w:val="17"/>
              </w:rPr>
              <w:t>16,6</w:t>
            </w:r>
          </w:p>
        </w:tc>
        <w:tc>
          <w:tcPr>
            <w:tcW w:w="630" w:type="dxa"/>
          </w:tcPr>
          <w:p w:rsidR="00000000" w:rsidRDefault="00000000">
            <w:pPr>
              <w:spacing w:after="120" w:line="240" w:lineRule="auto"/>
              <w:jc w:val="right"/>
              <w:rPr>
                <w:sz w:val="17"/>
              </w:rPr>
            </w:pPr>
            <w:r>
              <w:rPr>
                <w:sz w:val="17"/>
              </w:rPr>
              <w:t>16,3</w:t>
            </w:r>
          </w:p>
        </w:tc>
        <w:tc>
          <w:tcPr>
            <w:tcW w:w="720" w:type="dxa"/>
          </w:tcPr>
          <w:p w:rsidR="00000000" w:rsidRDefault="00000000">
            <w:pPr>
              <w:spacing w:after="120" w:line="240" w:lineRule="auto"/>
              <w:jc w:val="right"/>
              <w:rPr>
                <w:sz w:val="17"/>
              </w:rPr>
            </w:pPr>
            <w:r>
              <w:rPr>
                <w:sz w:val="17"/>
              </w:rPr>
              <w:t>16,6</w:t>
            </w:r>
          </w:p>
        </w:tc>
        <w:tc>
          <w:tcPr>
            <w:tcW w:w="720" w:type="dxa"/>
          </w:tcPr>
          <w:p w:rsidR="00000000" w:rsidRDefault="00000000">
            <w:pPr>
              <w:spacing w:after="120" w:line="240" w:lineRule="auto"/>
              <w:jc w:val="right"/>
              <w:rPr>
                <w:sz w:val="17"/>
              </w:rPr>
            </w:pPr>
            <w:r>
              <w:rPr>
                <w:sz w:val="17"/>
              </w:rPr>
              <w:t>17,8</w:t>
            </w:r>
          </w:p>
        </w:tc>
        <w:tc>
          <w:tcPr>
            <w:tcW w:w="630" w:type="dxa"/>
          </w:tcPr>
          <w:p w:rsidR="00000000" w:rsidRDefault="00000000">
            <w:pPr>
              <w:spacing w:after="120" w:line="240" w:lineRule="auto"/>
              <w:jc w:val="right"/>
              <w:rPr>
                <w:sz w:val="17"/>
              </w:rPr>
            </w:pPr>
            <w:r>
              <w:rPr>
                <w:sz w:val="17"/>
              </w:rPr>
              <w:t>18,8</w:t>
            </w:r>
          </w:p>
        </w:tc>
        <w:tc>
          <w:tcPr>
            <w:tcW w:w="630" w:type="dxa"/>
          </w:tcPr>
          <w:p w:rsidR="00000000" w:rsidRDefault="00000000">
            <w:pPr>
              <w:spacing w:after="120" w:line="240" w:lineRule="auto"/>
              <w:jc w:val="right"/>
              <w:rPr>
                <w:sz w:val="17"/>
              </w:rPr>
            </w:pPr>
            <w:r>
              <w:rPr>
                <w:sz w:val="17"/>
              </w:rPr>
              <w:t>18,3</w:t>
            </w:r>
          </w:p>
        </w:tc>
      </w:tr>
      <w:tr w:rsidR="00000000">
        <w:tblPrEx>
          <w:tblCellMar>
            <w:top w:w="0" w:type="dxa"/>
            <w:left w:w="0" w:type="dxa"/>
            <w:bottom w:w="0" w:type="dxa"/>
            <w:right w:w="0" w:type="dxa"/>
          </w:tblCellMar>
        </w:tblPrEx>
        <w:tc>
          <w:tcPr>
            <w:tcW w:w="2520" w:type="dxa"/>
          </w:tcPr>
          <w:p w:rsidR="00000000" w:rsidRDefault="00000000">
            <w:pPr>
              <w:spacing w:after="120" w:line="240" w:lineRule="auto"/>
              <w:rPr>
                <w:b/>
                <w:sz w:val="17"/>
              </w:rPr>
            </w:pPr>
            <w:r>
              <w:rPr>
                <w:b/>
                <w:sz w:val="17"/>
              </w:rPr>
              <w:t>Обучение на арабском яз</w:t>
            </w:r>
            <w:r>
              <w:rPr>
                <w:b/>
                <w:sz w:val="17"/>
              </w:rPr>
              <w:t>ы</w:t>
            </w:r>
            <w:r>
              <w:rPr>
                <w:b/>
                <w:sz w:val="17"/>
              </w:rPr>
              <w:t>ке</w:t>
            </w:r>
          </w:p>
        </w:tc>
        <w:tc>
          <w:tcPr>
            <w:tcW w:w="630" w:type="dxa"/>
          </w:tcPr>
          <w:p w:rsidR="00000000" w:rsidRDefault="00000000">
            <w:pPr>
              <w:spacing w:after="120" w:line="240" w:lineRule="auto"/>
              <w:rPr>
                <w:sz w:val="17"/>
              </w:rPr>
            </w:pPr>
          </w:p>
        </w:tc>
        <w:tc>
          <w:tcPr>
            <w:tcW w:w="630" w:type="dxa"/>
          </w:tcPr>
          <w:p w:rsidR="00000000" w:rsidRDefault="00000000">
            <w:pPr>
              <w:spacing w:after="120" w:line="240" w:lineRule="auto"/>
              <w:rPr>
                <w:sz w:val="17"/>
              </w:rPr>
            </w:pPr>
          </w:p>
        </w:tc>
        <w:tc>
          <w:tcPr>
            <w:tcW w:w="630" w:type="dxa"/>
          </w:tcPr>
          <w:p w:rsidR="00000000" w:rsidRDefault="00000000">
            <w:pPr>
              <w:spacing w:after="120" w:line="240" w:lineRule="auto"/>
              <w:rPr>
                <w:sz w:val="17"/>
              </w:rPr>
            </w:pPr>
          </w:p>
        </w:tc>
        <w:tc>
          <w:tcPr>
            <w:tcW w:w="630" w:type="dxa"/>
          </w:tcPr>
          <w:p w:rsidR="00000000" w:rsidRDefault="00000000">
            <w:pPr>
              <w:spacing w:after="120" w:line="240" w:lineRule="auto"/>
              <w:rPr>
                <w:sz w:val="17"/>
              </w:rPr>
            </w:pPr>
          </w:p>
        </w:tc>
        <w:tc>
          <w:tcPr>
            <w:tcW w:w="720" w:type="dxa"/>
          </w:tcPr>
          <w:p w:rsidR="00000000" w:rsidRDefault="00000000">
            <w:pPr>
              <w:spacing w:after="120" w:line="240" w:lineRule="auto"/>
              <w:rPr>
                <w:sz w:val="17"/>
              </w:rPr>
            </w:pPr>
          </w:p>
        </w:tc>
        <w:tc>
          <w:tcPr>
            <w:tcW w:w="720" w:type="dxa"/>
          </w:tcPr>
          <w:p w:rsidR="00000000" w:rsidRDefault="00000000">
            <w:pPr>
              <w:spacing w:after="120" w:line="240" w:lineRule="auto"/>
              <w:rPr>
                <w:sz w:val="17"/>
              </w:rPr>
            </w:pPr>
          </w:p>
        </w:tc>
        <w:tc>
          <w:tcPr>
            <w:tcW w:w="630" w:type="dxa"/>
          </w:tcPr>
          <w:p w:rsidR="00000000" w:rsidRDefault="00000000">
            <w:pPr>
              <w:spacing w:after="120" w:line="240" w:lineRule="auto"/>
              <w:rPr>
                <w:sz w:val="17"/>
              </w:rPr>
            </w:pPr>
          </w:p>
        </w:tc>
        <w:tc>
          <w:tcPr>
            <w:tcW w:w="630" w:type="dxa"/>
          </w:tcPr>
          <w:p w:rsidR="00000000" w:rsidRDefault="00000000">
            <w:pPr>
              <w:spacing w:after="120" w:line="240" w:lineRule="auto"/>
              <w:rPr>
                <w:sz w:val="17"/>
              </w:rPr>
            </w:pPr>
          </w:p>
        </w:tc>
      </w:tr>
      <w:tr w:rsidR="00000000">
        <w:tblPrEx>
          <w:tblCellMar>
            <w:top w:w="0" w:type="dxa"/>
            <w:left w:w="0" w:type="dxa"/>
            <w:bottom w:w="0" w:type="dxa"/>
            <w:right w:w="0" w:type="dxa"/>
          </w:tblCellMar>
        </w:tblPrEx>
        <w:tc>
          <w:tcPr>
            <w:tcW w:w="2520" w:type="dxa"/>
            <w:tcBorders>
              <w:bottom w:val="single" w:sz="12" w:space="0" w:color="auto"/>
            </w:tcBorders>
          </w:tcPr>
          <w:p w:rsidR="00000000" w:rsidRDefault="00000000">
            <w:pPr>
              <w:spacing w:after="120" w:line="240" w:lineRule="auto"/>
              <w:rPr>
                <w:sz w:val="17"/>
              </w:rPr>
            </w:pPr>
            <w:r>
              <w:rPr>
                <w:sz w:val="17"/>
              </w:rPr>
              <w:t>мужч</w:t>
            </w:r>
            <w:r>
              <w:rPr>
                <w:sz w:val="17"/>
              </w:rPr>
              <w:t>и</w:t>
            </w:r>
            <w:r>
              <w:rPr>
                <w:sz w:val="17"/>
              </w:rPr>
              <w:t>ны (в %)</w:t>
            </w:r>
          </w:p>
        </w:tc>
        <w:tc>
          <w:tcPr>
            <w:tcW w:w="630" w:type="dxa"/>
            <w:tcBorders>
              <w:bottom w:val="single" w:sz="12" w:space="0" w:color="auto"/>
            </w:tcBorders>
          </w:tcPr>
          <w:p w:rsidR="00000000" w:rsidRDefault="00000000">
            <w:pPr>
              <w:spacing w:after="120" w:line="240" w:lineRule="auto"/>
              <w:jc w:val="right"/>
              <w:rPr>
                <w:sz w:val="17"/>
              </w:rPr>
            </w:pPr>
            <w:r>
              <w:rPr>
                <w:sz w:val="17"/>
              </w:rPr>
              <w:t>46,9</w:t>
            </w:r>
          </w:p>
        </w:tc>
        <w:tc>
          <w:tcPr>
            <w:tcW w:w="630" w:type="dxa"/>
            <w:tcBorders>
              <w:bottom w:val="single" w:sz="12" w:space="0" w:color="auto"/>
            </w:tcBorders>
          </w:tcPr>
          <w:p w:rsidR="00000000" w:rsidRDefault="00000000">
            <w:pPr>
              <w:spacing w:after="120" w:line="240" w:lineRule="auto"/>
              <w:jc w:val="right"/>
              <w:rPr>
                <w:sz w:val="17"/>
              </w:rPr>
            </w:pPr>
            <w:r>
              <w:rPr>
                <w:sz w:val="17"/>
              </w:rPr>
              <w:t>45,2</w:t>
            </w:r>
          </w:p>
        </w:tc>
        <w:tc>
          <w:tcPr>
            <w:tcW w:w="630" w:type="dxa"/>
            <w:tcBorders>
              <w:bottom w:val="single" w:sz="12" w:space="0" w:color="auto"/>
            </w:tcBorders>
          </w:tcPr>
          <w:p w:rsidR="00000000" w:rsidRDefault="00000000">
            <w:pPr>
              <w:spacing w:after="120" w:line="240" w:lineRule="auto"/>
              <w:jc w:val="right"/>
              <w:rPr>
                <w:sz w:val="17"/>
              </w:rPr>
            </w:pPr>
            <w:r>
              <w:rPr>
                <w:sz w:val="17"/>
              </w:rPr>
              <w:t>22,9</w:t>
            </w:r>
          </w:p>
        </w:tc>
        <w:tc>
          <w:tcPr>
            <w:tcW w:w="630" w:type="dxa"/>
            <w:tcBorders>
              <w:bottom w:val="single" w:sz="12" w:space="0" w:color="auto"/>
            </w:tcBorders>
          </w:tcPr>
          <w:p w:rsidR="00000000" w:rsidRDefault="00000000">
            <w:pPr>
              <w:spacing w:after="120" w:line="240" w:lineRule="auto"/>
              <w:jc w:val="right"/>
              <w:rPr>
                <w:sz w:val="17"/>
              </w:rPr>
            </w:pPr>
            <w:r>
              <w:rPr>
                <w:sz w:val="17"/>
              </w:rPr>
              <w:t>16,2</w:t>
            </w:r>
          </w:p>
        </w:tc>
        <w:tc>
          <w:tcPr>
            <w:tcW w:w="720" w:type="dxa"/>
            <w:tcBorders>
              <w:bottom w:val="single" w:sz="12" w:space="0" w:color="auto"/>
            </w:tcBorders>
          </w:tcPr>
          <w:p w:rsidR="00000000" w:rsidRDefault="00000000">
            <w:pPr>
              <w:spacing w:after="120" w:line="240" w:lineRule="auto"/>
              <w:jc w:val="right"/>
              <w:rPr>
                <w:sz w:val="17"/>
              </w:rPr>
            </w:pPr>
            <w:r>
              <w:rPr>
                <w:sz w:val="17"/>
              </w:rPr>
              <w:t>7,8</w:t>
            </w:r>
          </w:p>
        </w:tc>
        <w:tc>
          <w:tcPr>
            <w:tcW w:w="720" w:type="dxa"/>
            <w:tcBorders>
              <w:bottom w:val="single" w:sz="12" w:space="0" w:color="auto"/>
            </w:tcBorders>
          </w:tcPr>
          <w:p w:rsidR="00000000" w:rsidRDefault="00000000">
            <w:pPr>
              <w:spacing w:after="120" w:line="240" w:lineRule="auto"/>
              <w:jc w:val="right"/>
              <w:rPr>
                <w:sz w:val="17"/>
              </w:rPr>
            </w:pPr>
            <w:r>
              <w:rPr>
                <w:sz w:val="17"/>
              </w:rPr>
              <w:t>8,8</w:t>
            </w:r>
          </w:p>
        </w:tc>
        <w:tc>
          <w:tcPr>
            <w:tcW w:w="630" w:type="dxa"/>
            <w:tcBorders>
              <w:bottom w:val="single" w:sz="12" w:space="0" w:color="auto"/>
            </w:tcBorders>
          </w:tcPr>
          <w:p w:rsidR="00000000" w:rsidRDefault="00000000">
            <w:pPr>
              <w:spacing w:after="120" w:line="240" w:lineRule="auto"/>
              <w:jc w:val="right"/>
              <w:rPr>
                <w:sz w:val="17"/>
              </w:rPr>
            </w:pPr>
            <w:r>
              <w:rPr>
                <w:sz w:val="17"/>
              </w:rPr>
              <w:t>7,6</w:t>
            </w:r>
          </w:p>
        </w:tc>
        <w:tc>
          <w:tcPr>
            <w:tcW w:w="630" w:type="dxa"/>
            <w:tcBorders>
              <w:bottom w:val="single" w:sz="12" w:space="0" w:color="auto"/>
            </w:tcBorders>
          </w:tcPr>
          <w:p w:rsidR="00000000" w:rsidRDefault="00000000">
            <w:pPr>
              <w:spacing w:after="120" w:line="240" w:lineRule="auto"/>
              <w:jc w:val="right"/>
              <w:rPr>
                <w:sz w:val="17"/>
              </w:rPr>
            </w:pPr>
            <w:r>
              <w:rPr>
                <w:sz w:val="17"/>
              </w:rPr>
              <w:t>8,2</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i/>
        </w:rPr>
      </w:pPr>
      <w:r>
        <w:rPr>
          <w:i/>
        </w:rPr>
        <w:t xml:space="preserve">Источник: </w:t>
      </w:r>
      <w:r>
        <w:t>Центральное статистическое бюро, 2004 год.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r>
        <w:rPr>
          <w:sz w:val="10"/>
        </w:rPr>
        <w:br w:type="page"/>
      </w:r>
    </w:p>
    <w:p w:rsidR="00000000" w:rsidRDefault="00000000">
      <w:pPr>
        <w:pStyle w:val="H1"/>
        <w:spacing w:line="300" w:lineRule="exact"/>
        <w:ind w:left="778" w:right="1267"/>
      </w:pPr>
      <w:r>
        <w:t>Высшее образование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5" w:right="1267" w:firstLine="172"/>
      </w:pPr>
      <w:r>
        <w:t>Женщины-учащиеся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120"/>
      </w:pPr>
      <w:r>
        <w:t>253.</w:t>
      </w:r>
      <w:r>
        <w:tab/>
        <w:t>Среди всего населения в целом доля женщин, имеющих аттестат об око</w:t>
      </w:r>
      <w:r>
        <w:t>н</w:t>
      </w:r>
      <w:r>
        <w:t>чании школы или диплом высшего учебного заведения (62 процента), выше, чем соответствующая доля мужчин (55 процентов). 55 процентов женщин и 50 процентов мужчин, окончивших среднюю школу в 1994 году, в течение 8 лет поступ</w:t>
      </w:r>
      <w:r>
        <w:t>и</w:t>
      </w:r>
      <w:r>
        <w:t xml:space="preserve">ли в высшие учебные заведения.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120"/>
      </w:pPr>
      <w:r>
        <w:t>254.</w:t>
      </w:r>
      <w:r>
        <w:tab/>
        <w:t>В 2003 году женщины по-прежнему составляли большинство среди ст</w:t>
      </w:r>
      <w:r>
        <w:t>у</w:t>
      </w:r>
      <w:r>
        <w:t>дентов первого (55,9 процентов), второго (57,1 процента) и третьего (52,2 пр</w:t>
      </w:r>
      <w:r>
        <w:t>о</w:t>
      </w:r>
      <w:r>
        <w:t>цента) курсов. По сравнению с предыдущими процентными данными никаких серьезных изменений не произошло. Однако женщины по-прежнему предпоч</w:t>
      </w:r>
      <w:r>
        <w:t>и</w:t>
      </w:r>
      <w:r>
        <w:t>тают изучать гуманитарные дисциплины и реже специализируются в таких о</w:t>
      </w:r>
      <w:r>
        <w:t>б</w:t>
      </w:r>
      <w:r>
        <w:t>ластях, как математика, наука и машиностроение, где они составляют лишь 25 процентов учащихся. Женщины составляют большинство в таких областях, как гуманитарные науки (66,4 процента), социальные исследования (61,3 пр</w:t>
      </w:r>
      <w:r>
        <w:t>о</w:t>
      </w:r>
      <w:r>
        <w:t>цента), медицина (52,3 процента), юриспруденция (49,9 процента) и биолог</w:t>
      </w:r>
      <w:r>
        <w:t>и</w:t>
      </w:r>
      <w:r>
        <w:t>ческие науки.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56"/>
        <w:ind w:left="2419" w:right="1267" w:hanging="1152"/>
      </w:pPr>
      <w:r>
        <w:t>Таблица 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Студенты в системе высшего образования с разбивкой по полу и специализации, 2002-2003 года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682"/>
        <w:gridCol w:w="1350"/>
        <w:gridCol w:w="1170"/>
        <w:gridCol w:w="1170"/>
      </w:tblGrid>
      <w:tr w:rsidR="00000000">
        <w:tblPrEx>
          <w:tblCellMar>
            <w:top w:w="0" w:type="dxa"/>
            <w:left w:w="0" w:type="dxa"/>
            <w:bottom w:w="0" w:type="dxa"/>
            <w:right w:w="0" w:type="dxa"/>
          </w:tblCellMar>
        </w:tblPrEx>
        <w:trPr>
          <w:tblHeader/>
        </w:trPr>
        <w:tc>
          <w:tcPr>
            <w:tcW w:w="2682"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rPr>
                <w:i/>
                <w:sz w:val="17"/>
              </w:rPr>
            </w:pPr>
            <w:r>
              <w:rPr>
                <w:i/>
                <w:sz w:val="14"/>
              </w:rPr>
              <w:t>Специализация</w:t>
            </w:r>
          </w:p>
        </w:tc>
        <w:tc>
          <w:tcPr>
            <w:tcW w:w="1350" w:type="dxa"/>
            <w:tcBorders>
              <w:left w:val="nil"/>
              <w:bottom w:val="single" w:sz="12" w:space="0" w:color="auto"/>
              <w:right w:val="nil"/>
            </w:tcBorders>
          </w:tcPr>
          <w:p w:rsidR="00000000" w:rsidRDefault="00000000">
            <w:pPr>
              <w:spacing w:line="240" w:lineRule="auto"/>
              <w:jc w:val="right"/>
              <w:rPr>
                <w:i/>
                <w:sz w:val="14"/>
              </w:rPr>
            </w:pPr>
            <w:r>
              <w:rPr>
                <w:i/>
                <w:sz w:val="14"/>
              </w:rPr>
              <w:t xml:space="preserve">Всего студентов  </w:t>
            </w:r>
            <w:r>
              <w:rPr>
                <w:i/>
                <w:sz w:val="14"/>
              </w:rPr>
              <w:br/>
            </w:r>
          </w:p>
        </w:tc>
        <w:tc>
          <w:tcPr>
            <w:tcW w:w="1170" w:type="dxa"/>
            <w:tcBorders>
              <w:left w:val="nil"/>
              <w:bottom w:val="single" w:sz="12" w:space="0" w:color="auto"/>
              <w:right w:val="nil"/>
            </w:tcBorders>
          </w:tcPr>
          <w:p w:rsidR="00000000" w:rsidRDefault="00000000">
            <w:pPr>
              <w:pStyle w:val="Heading6"/>
              <w:spacing w:before="0"/>
              <w:ind w:left="74" w:right="-96"/>
              <w:rPr>
                <w:b w:val="0"/>
                <w:i/>
                <w:sz w:val="14"/>
                <w:lang w:val="ru-RU"/>
              </w:rPr>
            </w:pPr>
            <w:r>
              <w:rPr>
                <w:b w:val="0"/>
                <w:i/>
                <w:sz w:val="14"/>
                <w:lang w:val="ru-RU"/>
              </w:rPr>
              <w:t>Женщиныы</w:t>
            </w:r>
          </w:p>
        </w:tc>
        <w:tc>
          <w:tcPr>
            <w:tcW w:w="1170" w:type="dxa"/>
            <w:tcBorders>
              <w:left w:val="nil"/>
              <w:bottom w:val="single" w:sz="12" w:space="0" w:color="auto"/>
              <w:right w:val="nil"/>
            </w:tcBorders>
          </w:tcPr>
          <w:p w:rsidR="00000000" w:rsidRDefault="00000000">
            <w:pPr>
              <w:spacing w:line="240" w:lineRule="auto"/>
              <w:ind w:left="117"/>
              <w:jc w:val="right"/>
              <w:rPr>
                <w:i/>
                <w:sz w:val="14"/>
              </w:rPr>
            </w:pPr>
            <w:r>
              <w:rPr>
                <w:i/>
                <w:sz w:val="14"/>
              </w:rPr>
              <w:t>Женщины (в %)</w:t>
            </w:r>
          </w:p>
        </w:tc>
      </w:tr>
      <w:tr w:rsidR="00000000">
        <w:tblPrEx>
          <w:tblCellMar>
            <w:top w:w="0" w:type="dxa"/>
            <w:left w:w="0" w:type="dxa"/>
            <w:bottom w:w="0" w:type="dxa"/>
            <w:right w:w="0" w:type="dxa"/>
          </w:tblCellMar>
        </w:tblPrEx>
        <w:trPr>
          <w:trHeight w:hRule="exact" w:val="115"/>
          <w:tblHeader/>
        </w:trPr>
        <w:tc>
          <w:tcPr>
            <w:tcW w:w="2682"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135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682" w:type="dxa"/>
            <w:tcBorders>
              <w:top w:val="nil"/>
              <w:left w:val="nil"/>
              <w:bottom w:val="nil"/>
              <w:right w:val="nil"/>
            </w:tcBorders>
          </w:tcPr>
          <w:p w:rsidR="00000000" w:rsidRDefault="00000000">
            <w:pPr>
              <w:spacing w:line="240" w:lineRule="auto"/>
              <w:rPr>
                <w:sz w:val="17"/>
              </w:rPr>
            </w:pPr>
            <w:r>
              <w:rPr>
                <w:sz w:val="17"/>
              </w:rPr>
              <w:t>Гуманитарные науки</w:t>
            </w:r>
          </w:p>
        </w:tc>
        <w:tc>
          <w:tcPr>
            <w:tcW w:w="1350" w:type="dxa"/>
            <w:tcBorders>
              <w:top w:val="nil"/>
              <w:left w:val="nil"/>
              <w:bottom w:val="nil"/>
              <w:right w:val="nil"/>
            </w:tcBorders>
          </w:tcPr>
          <w:p w:rsidR="00000000" w:rsidRDefault="00000000">
            <w:pPr>
              <w:spacing w:line="240" w:lineRule="auto"/>
              <w:ind w:left="180"/>
              <w:jc w:val="right"/>
              <w:rPr>
                <w:sz w:val="17"/>
              </w:rPr>
            </w:pPr>
            <w:r>
              <w:rPr>
                <w:sz w:val="17"/>
              </w:rPr>
              <w:t>27 679</w:t>
            </w:r>
          </w:p>
        </w:tc>
        <w:tc>
          <w:tcPr>
            <w:tcW w:w="1170" w:type="dxa"/>
            <w:tcBorders>
              <w:top w:val="nil"/>
              <w:left w:val="nil"/>
              <w:bottom w:val="nil"/>
              <w:right w:val="nil"/>
            </w:tcBorders>
          </w:tcPr>
          <w:p w:rsidR="00000000" w:rsidRDefault="00000000">
            <w:pPr>
              <w:spacing w:line="240" w:lineRule="auto"/>
              <w:ind w:left="243"/>
              <w:jc w:val="right"/>
              <w:rPr>
                <w:sz w:val="17"/>
              </w:rPr>
            </w:pPr>
            <w:r>
              <w:rPr>
                <w:sz w:val="17"/>
              </w:rPr>
              <w:t>18 397</w:t>
            </w:r>
          </w:p>
        </w:tc>
        <w:tc>
          <w:tcPr>
            <w:tcW w:w="1170" w:type="dxa"/>
            <w:tcBorders>
              <w:top w:val="nil"/>
              <w:left w:val="nil"/>
              <w:bottom w:val="nil"/>
              <w:right w:val="nil"/>
            </w:tcBorders>
          </w:tcPr>
          <w:p w:rsidR="00000000" w:rsidRDefault="00000000">
            <w:pPr>
              <w:spacing w:line="240" w:lineRule="auto"/>
              <w:ind w:left="234"/>
              <w:jc w:val="right"/>
              <w:rPr>
                <w:sz w:val="17"/>
              </w:rPr>
            </w:pPr>
            <w:r>
              <w:rPr>
                <w:sz w:val="17"/>
              </w:rPr>
              <w:t>66,4</w:t>
            </w:r>
          </w:p>
        </w:tc>
      </w:tr>
      <w:tr w:rsidR="00000000">
        <w:tblPrEx>
          <w:tblCellMar>
            <w:top w:w="0" w:type="dxa"/>
            <w:left w:w="0" w:type="dxa"/>
            <w:bottom w:w="0" w:type="dxa"/>
            <w:right w:w="0" w:type="dxa"/>
          </w:tblCellMar>
        </w:tblPrEx>
        <w:tc>
          <w:tcPr>
            <w:tcW w:w="2682" w:type="dxa"/>
            <w:tcBorders>
              <w:top w:val="nil"/>
              <w:left w:val="nil"/>
              <w:bottom w:val="nil"/>
              <w:right w:val="nil"/>
            </w:tcBorders>
          </w:tcPr>
          <w:p w:rsidR="00000000" w:rsidRDefault="00000000">
            <w:pPr>
              <w:spacing w:line="240" w:lineRule="auto"/>
              <w:rPr>
                <w:sz w:val="17"/>
              </w:rPr>
            </w:pPr>
            <w:r>
              <w:rPr>
                <w:sz w:val="17"/>
              </w:rPr>
              <w:t>Образование и педаг</w:t>
            </w:r>
            <w:r>
              <w:rPr>
                <w:sz w:val="17"/>
              </w:rPr>
              <w:t>о</w:t>
            </w:r>
            <w:r>
              <w:rPr>
                <w:sz w:val="17"/>
              </w:rPr>
              <w:t>гика</w:t>
            </w:r>
          </w:p>
        </w:tc>
        <w:tc>
          <w:tcPr>
            <w:tcW w:w="1350" w:type="dxa"/>
            <w:tcBorders>
              <w:top w:val="nil"/>
              <w:left w:val="nil"/>
              <w:bottom w:val="nil"/>
              <w:right w:val="nil"/>
            </w:tcBorders>
          </w:tcPr>
          <w:p w:rsidR="00000000" w:rsidRDefault="00000000">
            <w:pPr>
              <w:spacing w:line="240" w:lineRule="auto"/>
              <w:ind w:left="180"/>
              <w:jc w:val="right"/>
              <w:rPr>
                <w:sz w:val="17"/>
              </w:rPr>
            </w:pPr>
            <w:r>
              <w:rPr>
                <w:sz w:val="17"/>
              </w:rPr>
              <w:t>27 862</w:t>
            </w:r>
          </w:p>
        </w:tc>
        <w:tc>
          <w:tcPr>
            <w:tcW w:w="1170" w:type="dxa"/>
            <w:tcBorders>
              <w:top w:val="nil"/>
              <w:left w:val="nil"/>
              <w:bottom w:val="nil"/>
              <w:right w:val="nil"/>
            </w:tcBorders>
          </w:tcPr>
          <w:p w:rsidR="00000000" w:rsidRDefault="00000000">
            <w:pPr>
              <w:spacing w:line="240" w:lineRule="auto"/>
              <w:ind w:left="243"/>
              <w:jc w:val="right"/>
              <w:rPr>
                <w:sz w:val="17"/>
              </w:rPr>
            </w:pPr>
            <w:r>
              <w:rPr>
                <w:sz w:val="17"/>
              </w:rPr>
              <w:t>23 156</w:t>
            </w:r>
          </w:p>
        </w:tc>
        <w:tc>
          <w:tcPr>
            <w:tcW w:w="1170" w:type="dxa"/>
            <w:tcBorders>
              <w:top w:val="nil"/>
              <w:left w:val="nil"/>
              <w:bottom w:val="nil"/>
              <w:right w:val="nil"/>
            </w:tcBorders>
          </w:tcPr>
          <w:p w:rsidR="00000000" w:rsidRDefault="00000000">
            <w:pPr>
              <w:spacing w:line="240" w:lineRule="auto"/>
              <w:ind w:left="234"/>
              <w:jc w:val="right"/>
              <w:rPr>
                <w:sz w:val="17"/>
              </w:rPr>
            </w:pPr>
            <w:r>
              <w:rPr>
                <w:sz w:val="17"/>
              </w:rPr>
              <w:t>83,1</w:t>
            </w:r>
          </w:p>
        </w:tc>
      </w:tr>
      <w:tr w:rsidR="00000000">
        <w:tblPrEx>
          <w:tblCellMar>
            <w:top w:w="0" w:type="dxa"/>
            <w:left w:w="0" w:type="dxa"/>
            <w:bottom w:w="0" w:type="dxa"/>
            <w:right w:w="0" w:type="dxa"/>
          </w:tblCellMar>
        </w:tblPrEx>
        <w:tc>
          <w:tcPr>
            <w:tcW w:w="2682" w:type="dxa"/>
            <w:tcBorders>
              <w:top w:val="nil"/>
              <w:left w:val="nil"/>
              <w:bottom w:val="nil"/>
              <w:right w:val="nil"/>
            </w:tcBorders>
          </w:tcPr>
          <w:p w:rsidR="00000000" w:rsidRDefault="00000000">
            <w:pPr>
              <w:spacing w:line="240" w:lineRule="auto"/>
              <w:rPr>
                <w:sz w:val="17"/>
              </w:rPr>
            </w:pPr>
            <w:r>
              <w:rPr>
                <w:sz w:val="17"/>
              </w:rPr>
              <w:t>Общественные науки</w:t>
            </w:r>
          </w:p>
        </w:tc>
        <w:tc>
          <w:tcPr>
            <w:tcW w:w="1350" w:type="dxa"/>
            <w:tcBorders>
              <w:top w:val="nil"/>
              <w:left w:val="nil"/>
              <w:bottom w:val="nil"/>
              <w:right w:val="nil"/>
            </w:tcBorders>
          </w:tcPr>
          <w:p w:rsidR="00000000" w:rsidRDefault="00000000">
            <w:pPr>
              <w:pStyle w:val="EndnoteText"/>
              <w:tabs>
                <w:tab w:val="clear" w:pos="418"/>
              </w:tabs>
              <w:spacing w:line="240" w:lineRule="auto"/>
              <w:ind w:left="180" w:right="-279" w:firstLine="4"/>
              <w:jc w:val="right"/>
            </w:pPr>
            <w:r>
              <w:t>45 719</w:t>
            </w:r>
          </w:p>
        </w:tc>
        <w:tc>
          <w:tcPr>
            <w:tcW w:w="1170" w:type="dxa"/>
            <w:tcBorders>
              <w:top w:val="nil"/>
              <w:left w:val="nil"/>
              <w:bottom w:val="nil"/>
              <w:right w:val="nil"/>
            </w:tcBorders>
          </w:tcPr>
          <w:p w:rsidR="00000000" w:rsidRDefault="00000000">
            <w:pPr>
              <w:spacing w:line="240" w:lineRule="auto"/>
              <w:ind w:left="243"/>
              <w:jc w:val="right"/>
              <w:rPr>
                <w:sz w:val="17"/>
              </w:rPr>
            </w:pPr>
            <w:r>
              <w:rPr>
                <w:sz w:val="17"/>
              </w:rPr>
              <w:t>28 026</w:t>
            </w:r>
          </w:p>
        </w:tc>
        <w:tc>
          <w:tcPr>
            <w:tcW w:w="1170" w:type="dxa"/>
            <w:tcBorders>
              <w:top w:val="nil"/>
              <w:left w:val="nil"/>
              <w:bottom w:val="nil"/>
              <w:right w:val="nil"/>
            </w:tcBorders>
          </w:tcPr>
          <w:p w:rsidR="00000000" w:rsidRDefault="00000000">
            <w:pPr>
              <w:spacing w:line="240" w:lineRule="auto"/>
              <w:ind w:left="234"/>
              <w:jc w:val="right"/>
              <w:rPr>
                <w:sz w:val="17"/>
              </w:rPr>
            </w:pPr>
            <w:r>
              <w:rPr>
                <w:sz w:val="17"/>
              </w:rPr>
              <w:t>61,3</w:t>
            </w:r>
          </w:p>
        </w:tc>
      </w:tr>
      <w:tr w:rsidR="00000000">
        <w:tblPrEx>
          <w:tblCellMar>
            <w:top w:w="0" w:type="dxa"/>
            <w:left w:w="0" w:type="dxa"/>
            <w:bottom w:w="0" w:type="dxa"/>
            <w:right w:w="0" w:type="dxa"/>
          </w:tblCellMar>
        </w:tblPrEx>
        <w:tc>
          <w:tcPr>
            <w:tcW w:w="2682" w:type="dxa"/>
            <w:tcBorders>
              <w:top w:val="nil"/>
              <w:left w:val="nil"/>
              <w:bottom w:val="nil"/>
              <w:right w:val="nil"/>
            </w:tcBorders>
          </w:tcPr>
          <w:p w:rsidR="00000000" w:rsidRDefault="00000000">
            <w:pPr>
              <w:pStyle w:val="EndnoteText"/>
              <w:tabs>
                <w:tab w:val="clear" w:pos="418"/>
              </w:tabs>
              <w:spacing w:line="240" w:lineRule="auto"/>
              <w:ind w:left="0" w:firstLine="2"/>
            </w:pPr>
            <w:r>
              <w:t>Предпринимательство и управление</w:t>
            </w:r>
          </w:p>
        </w:tc>
        <w:tc>
          <w:tcPr>
            <w:tcW w:w="1350" w:type="dxa"/>
            <w:tcBorders>
              <w:top w:val="nil"/>
              <w:left w:val="nil"/>
              <w:bottom w:val="nil"/>
              <w:right w:val="nil"/>
            </w:tcBorders>
          </w:tcPr>
          <w:p w:rsidR="00000000" w:rsidRDefault="00000000">
            <w:pPr>
              <w:spacing w:line="240" w:lineRule="auto"/>
              <w:ind w:left="180"/>
              <w:jc w:val="right"/>
              <w:rPr>
                <w:sz w:val="17"/>
              </w:rPr>
            </w:pPr>
            <w:r>
              <w:rPr>
                <w:sz w:val="17"/>
              </w:rPr>
              <w:t>8 268</w:t>
            </w:r>
          </w:p>
        </w:tc>
        <w:tc>
          <w:tcPr>
            <w:tcW w:w="1170" w:type="dxa"/>
            <w:tcBorders>
              <w:top w:val="nil"/>
              <w:left w:val="nil"/>
              <w:bottom w:val="nil"/>
              <w:right w:val="nil"/>
            </w:tcBorders>
          </w:tcPr>
          <w:p w:rsidR="00000000" w:rsidRDefault="00000000">
            <w:pPr>
              <w:spacing w:line="240" w:lineRule="auto"/>
              <w:ind w:left="243"/>
              <w:jc w:val="right"/>
              <w:rPr>
                <w:sz w:val="17"/>
              </w:rPr>
            </w:pPr>
            <w:r>
              <w:rPr>
                <w:sz w:val="17"/>
              </w:rPr>
              <w:t>4 058</w:t>
            </w:r>
          </w:p>
        </w:tc>
        <w:tc>
          <w:tcPr>
            <w:tcW w:w="1170" w:type="dxa"/>
            <w:tcBorders>
              <w:top w:val="nil"/>
              <w:left w:val="nil"/>
              <w:bottom w:val="nil"/>
              <w:right w:val="nil"/>
            </w:tcBorders>
          </w:tcPr>
          <w:p w:rsidR="00000000" w:rsidRDefault="00000000">
            <w:pPr>
              <w:spacing w:line="240" w:lineRule="auto"/>
              <w:ind w:left="234"/>
              <w:jc w:val="right"/>
              <w:rPr>
                <w:sz w:val="17"/>
              </w:rPr>
            </w:pPr>
            <w:r>
              <w:rPr>
                <w:sz w:val="17"/>
              </w:rPr>
              <w:t>49,0</w:t>
            </w:r>
          </w:p>
        </w:tc>
      </w:tr>
      <w:tr w:rsidR="00000000">
        <w:tblPrEx>
          <w:tblCellMar>
            <w:top w:w="0" w:type="dxa"/>
            <w:left w:w="0" w:type="dxa"/>
            <w:bottom w:w="0" w:type="dxa"/>
            <w:right w:w="0" w:type="dxa"/>
          </w:tblCellMar>
        </w:tblPrEx>
        <w:tc>
          <w:tcPr>
            <w:tcW w:w="2682" w:type="dxa"/>
            <w:tcBorders>
              <w:top w:val="nil"/>
              <w:left w:val="nil"/>
              <w:bottom w:val="nil"/>
              <w:right w:val="nil"/>
            </w:tcBorders>
          </w:tcPr>
          <w:p w:rsidR="00000000" w:rsidRDefault="00000000">
            <w:pPr>
              <w:spacing w:line="240" w:lineRule="auto"/>
              <w:rPr>
                <w:sz w:val="17"/>
              </w:rPr>
            </w:pPr>
            <w:r>
              <w:rPr>
                <w:sz w:val="17"/>
              </w:rPr>
              <w:t>Право</w:t>
            </w:r>
          </w:p>
        </w:tc>
        <w:tc>
          <w:tcPr>
            <w:tcW w:w="1350" w:type="dxa"/>
            <w:tcBorders>
              <w:top w:val="nil"/>
              <w:left w:val="nil"/>
              <w:bottom w:val="nil"/>
              <w:right w:val="nil"/>
            </w:tcBorders>
          </w:tcPr>
          <w:p w:rsidR="00000000" w:rsidRDefault="00000000">
            <w:pPr>
              <w:spacing w:line="240" w:lineRule="auto"/>
              <w:ind w:left="180"/>
              <w:jc w:val="right"/>
              <w:rPr>
                <w:sz w:val="17"/>
              </w:rPr>
            </w:pPr>
            <w:r>
              <w:rPr>
                <w:sz w:val="17"/>
              </w:rPr>
              <w:t>12 897</w:t>
            </w:r>
          </w:p>
        </w:tc>
        <w:tc>
          <w:tcPr>
            <w:tcW w:w="1170" w:type="dxa"/>
            <w:tcBorders>
              <w:top w:val="nil"/>
              <w:left w:val="nil"/>
              <w:bottom w:val="nil"/>
              <w:right w:val="nil"/>
            </w:tcBorders>
          </w:tcPr>
          <w:p w:rsidR="00000000" w:rsidRDefault="00000000">
            <w:pPr>
              <w:spacing w:line="240" w:lineRule="auto"/>
              <w:ind w:left="243"/>
              <w:jc w:val="right"/>
              <w:rPr>
                <w:sz w:val="17"/>
              </w:rPr>
            </w:pPr>
            <w:r>
              <w:rPr>
                <w:sz w:val="17"/>
              </w:rPr>
              <w:t>6 446</w:t>
            </w:r>
          </w:p>
        </w:tc>
        <w:tc>
          <w:tcPr>
            <w:tcW w:w="1170" w:type="dxa"/>
            <w:tcBorders>
              <w:top w:val="nil"/>
              <w:left w:val="nil"/>
              <w:bottom w:val="nil"/>
              <w:right w:val="nil"/>
            </w:tcBorders>
          </w:tcPr>
          <w:p w:rsidR="00000000" w:rsidRDefault="00000000">
            <w:pPr>
              <w:spacing w:line="240" w:lineRule="auto"/>
              <w:ind w:left="234"/>
              <w:jc w:val="right"/>
              <w:rPr>
                <w:sz w:val="17"/>
              </w:rPr>
            </w:pPr>
            <w:r>
              <w:rPr>
                <w:sz w:val="17"/>
              </w:rPr>
              <w:t>49,9</w:t>
            </w:r>
          </w:p>
        </w:tc>
      </w:tr>
      <w:tr w:rsidR="00000000">
        <w:tblPrEx>
          <w:tblCellMar>
            <w:top w:w="0" w:type="dxa"/>
            <w:left w:w="0" w:type="dxa"/>
            <w:bottom w:w="0" w:type="dxa"/>
            <w:right w:w="0" w:type="dxa"/>
          </w:tblCellMar>
        </w:tblPrEx>
        <w:tc>
          <w:tcPr>
            <w:tcW w:w="2682" w:type="dxa"/>
            <w:tcBorders>
              <w:top w:val="nil"/>
              <w:left w:val="nil"/>
              <w:bottom w:val="nil"/>
              <w:right w:val="nil"/>
            </w:tcBorders>
          </w:tcPr>
          <w:p w:rsidR="00000000" w:rsidRDefault="00000000">
            <w:pPr>
              <w:spacing w:line="240" w:lineRule="auto"/>
              <w:rPr>
                <w:sz w:val="17"/>
              </w:rPr>
            </w:pPr>
            <w:r>
              <w:rPr>
                <w:sz w:val="17"/>
              </w:rPr>
              <w:t>Медицина</w:t>
            </w:r>
          </w:p>
        </w:tc>
        <w:tc>
          <w:tcPr>
            <w:tcW w:w="1350" w:type="dxa"/>
            <w:tcBorders>
              <w:top w:val="nil"/>
              <w:left w:val="nil"/>
              <w:bottom w:val="nil"/>
              <w:right w:val="nil"/>
            </w:tcBorders>
          </w:tcPr>
          <w:p w:rsidR="00000000" w:rsidRDefault="00000000">
            <w:pPr>
              <w:spacing w:line="240" w:lineRule="auto"/>
              <w:ind w:left="180"/>
              <w:jc w:val="right"/>
              <w:rPr>
                <w:sz w:val="17"/>
              </w:rPr>
            </w:pPr>
            <w:r>
              <w:rPr>
                <w:sz w:val="17"/>
              </w:rPr>
              <w:t>3 568</w:t>
            </w:r>
          </w:p>
        </w:tc>
        <w:tc>
          <w:tcPr>
            <w:tcW w:w="1170" w:type="dxa"/>
            <w:tcBorders>
              <w:top w:val="nil"/>
              <w:left w:val="nil"/>
              <w:bottom w:val="nil"/>
              <w:right w:val="nil"/>
            </w:tcBorders>
          </w:tcPr>
          <w:p w:rsidR="00000000" w:rsidRDefault="00000000">
            <w:pPr>
              <w:spacing w:line="240" w:lineRule="auto"/>
              <w:ind w:left="243"/>
              <w:jc w:val="right"/>
              <w:rPr>
                <w:sz w:val="17"/>
              </w:rPr>
            </w:pPr>
            <w:r>
              <w:rPr>
                <w:sz w:val="17"/>
              </w:rPr>
              <w:t>1 867</w:t>
            </w:r>
          </w:p>
        </w:tc>
        <w:tc>
          <w:tcPr>
            <w:tcW w:w="1170" w:type="dxa"/>
            <w:tcBorders>
              <w:top w:val="nil"/>
              <w:left w:val="nil"/>
              <w:bottom w:val="nil"/>
              <w:right w:val="nil"/>
            </w:tcBorders>
          </w:tcPr>
          <w:p w:rsidR="00000000" w:rsidRDefault="00000000">
            <w:pPr>
              <w:spacing w:line="240" w:lineRule="auto"/>
              <w:ind w:left="234"/>
              <w:jc w:val="right"/>
              <w:rPr>
                <w:sz w:val="17"/>
              </w:rPr>
            </w:pPr>
            <w:r>
              <w:rPr>
                <w:sz w:val="17"/>
              </w:rPr>
              <w:t>52,3</w:t>
            </w:r>
          </w:p>
        </w:tc>
      </w:tr>
      <w:tr w:rsidR="00000000">
        <w:tblPrEx>
          <w:tblCellMar>
            <w:top w:w="0" w:type="dxa"/>
            <w:left w:w="0" w:type="dxa"/>
            <w:bottom w:w="0" w:type="dxa"/>
            <w:right w:w="0" w:type="dxa"/>
          </w:tblCellMar>
        </w:tblPrEx>
        <w:tc>
          <w:tcPr>
            <w:tcW w:w="2682" w:type="dxa"/>
            <w:tcBorders>
              <w:top w:val="nil"/>
              <w:left w:val="nil"/>
              <w:bottom w:val="nil"/>
              <w:right w:val="nil"/>
            </w:tcBorders>
          </w:tcPr>
          <w:p w:rsidR="00000000" w:rsidRDefault="00000000">
            <w:pPr>
              <w:suppressAutoHyphens/>
              <w:spacing w:line="240" w:lineRule="auto"/>
              <w:rPr>
                <w:sz w:val="17"/>
              </w:rPr>
            </w:pPr>
            <w:r>
              <w:rPr>
                <w:sz w:val="17"/>
              </w:rPr>
              <w:t>Средний медицинский персонал</w:t>
            </w:r>
          </w:p>
        </w:tc>
        <w:tc>
          <w:tcPr>
            <w:tcW w:w="1350" w:type="dxa"/>
            <w:tcBorders>
              <w:top w:val="nil"/>
              <w:left w:val="nil"/>
              <w:bottom w:val="nil"/>
              <w:right w:val="nil"/>
            </w:tcBorders>
          </w:tcPr>
          <w:p w:rsidR="00000000" w:rsidRDefault="00000000">
            <w:pPr>
              <w:spacing w:line="240" w:lineRule="auto"/>
              <w:ind w:left="180"/>
              <w:jc w:val="right"/>
              <w:rPr>
                <w:sz w:val="17"/>
              </w:rPr>
            </w:pPr>
            <w:r>
              <w:rPr>
                <w:sz w:val="17"/>
              </w:rPr>
              <w:t>7 316</w:t>
            </w:r>
          </w:p>
        </w:tc>
        <w:tc>
          <w:tcPr>
            <w:tcW w:w="1170" w:type="dxa"/>
            <w:tcBorders>
              <w:top w:val="nil"/>
              <w:left w:val="nil"/>
              <w:bottom w:val="nil"/>
              <w:right w:val="nil"/>
            </w:tcBorders>
          </w:tcPr>
          <w:p w:rsidR="00000000" w:rsidRDefault="00000000">
            <w:pPr>
              <w:spacing w:line="240" w:lineRule="auto"/>
              <w:ind w:left="243"/>
              <w:jc w:val="right"/>
              <w:rPr>
                <w:sz w:val="17"/>
              </w:rPr>
            </w:pPr>
            <w:r>
              <w:rPr>
                <w:sz w:val="17"/>
              </w:rPr>
              <w:t>5 800</w:t>
            </w:r>
          </w:p>
        </w:tc>
        <w:tc>
          <w:tcPr>
            <w:tcW w:w="1170" w:type="dxa"/>
            <w:tcBorders>
              <w:top w:val="nil"/>
              <w:left w:val="nil"/>
              <w:bottom w:val="nil"/>
              <w:right w:val="nil"/>
            </w:tcBorders>
          </w:tcPr>
          <w:p w:rsidR="00000000" w:rsidRDefault="00000000">
            <w:pPr>
              <w:spacing w:line="240" w:lineRule="auto"/>
              <w:ind w:left="234"/>
              <w:jc w:val="right"/>
              <w:rPr>
                <w:sz w:val="17"/>
              </w:rPr>
            </w:pPr>
            <w:r>
              <w:rPr>
                <w:sz w:val="17"/>
              </w:rPr>
              <w:t>79,2</w:t>
            </w:r>
          </w:p>
        </w:tc>
      </w:tr>
      <w:tr w:rsidR="00000000">
        <w:tblPrEx>
          <w:tblCellMar>
            <w:top w:w="0" w:type="dxa"/>
            <w:left w:w="0" w:type="dxa"/>
            <w:bottom w:w="0" w:type="dxa"/>
            <w:right w:w="0" w:type="dxa"/>
          </w:tblCellMar>
        </w:tblPrEx>
        <w:tc>
          <w:tcPr>
            <w:tcW w:w="2682" w:type="dxa"/>
            <w:tcBorders>
              <w:top w:val="nil"/>
              <w:left w:val="nil"/>
              <w:bottom w:val="nil"/>
              <w:right w:val="nil"/>
            </w:tcBorders>
          </w:tcPr>
          <w:p w:rsidR="00000000" w:rsidRDefault="00000000">
            <w:pPr>
              <w:suppressAutoHyphens/>
              <w:spacing w:line="240" w:lineRule="auto"/>
              <w:rPr>
                <w:sz w:val="17"/>
              </w:rPr>
            </w:pPr>
            <w:r>
              <w:rPr>
                <w:sz w:val="17"/>
              </w:rPr>
              <w:t>Математика, статистика и компьютеры</w:t>
            </w:r>
          </w:p>
        </w:tc>
        <w:tc>
          <w:tcPr>
            <w:tcW w:w="1350" w:type="dxa"/>
            <w:tcBorders>
              <w:top w:val="nil"/>
              <w:left w:val="nil"/>
              <w:bottom w:val="nil"/>
              <w:right w:val="nil"/>
            </w:tcBorders>
          </w:tcPr>
          <w:p w:rsidR="00000000" w:rsidRDefault="00000000">
            <w:pPr>
              <w:spacing w:line="240" w:lineRule="auto"/>
              <w:ind w:left="180"/>
              <w:jc w:val="right"/>
              <w:rPr>
                <w:sz w:val="17"/>
              </w:rPr>
            </w:pPr>
            <w:r>
              <w:rPr>
                <w:sz w:val="17"/>
              </w:rPr>
              <w:t>12 323</w:t>
            </w:r>
          </w:p>
        </w:tc>
        <w:tc>
          <w:tcPr>
            <w:tcW w:w="1170" w:type="dxa"/>
            <w:tcBorders>
              <w:top w:val="nil"/>
              <w:left w:val="nil"/>
              <w:bottom w:val="nil"/>
              <w:right w:val="nil"/>
            </w:tcBorders>
          </w:tcPr>
          <w:p w:rsidR="00000000" w:rsidRDefault="00000000">
            <w:pPr>
              <w:spacing w:line="240" w:lineRule="auto"/>
              <w:ind w:left="243"/>
              <w:jc w:val="right"/>
              <w:rPr>
                <w:sz w:val="17"/>
              </w:rPr>
            </w:pPr>
            <w:r>
              <w:rPr>
                <w:sz w:val="17"/>
              </w:rPr>
              <w:t>3 864</w:t>
            </w:r>
          </w:p>
        </w:tc>
        <w:tc>
          <w:tcPr>
            <w:tcW w:w="1170" w:type="dxa"/>
            <w:tcBorders>
              <w:top w:val="nil"/>
              <w:left w:val="nil"/>
              <w:bottom w:val="nil"/>
              <w:right w:val="nil"/>
            </w:tcBorders>
          </w:tcPr>
          <w:p w:rsidR="00000000" w:rsidRDefault="00000000">
            <w:pPr>
              <w:spacing w:line="240" w:lineRule="auto"/>
              <w:ind w:left="234"/>
              <w:jc w:val="right"/>
              <w:rPr>
                <w:sz w:val="17"/>
              </w:rPr>
            </w:pPr>
            <w:r>
              <w:rPr>
                <w:sz w:val="17"/>
              </w:rPr>
              <w:t>31,3</w:t>
            </w:r>
          </w:p>
        </w:tc>
      </w:tr>
      <w:tr w:rsidR="00000000">
        <w:tblPrEx>
          <w:tblCellMar>
            <w:top w:w="0" w:type="dxa"/>
            <w:left w:w="0" w:type="dxa"/>
            <w:bottom w:w="0" w:type="dxa"/>
            <w:right w:w="0" w:type="dxa"/>
          </w:tblCellMar>
        </w:tblPrEx>
        <w:tc>
          <w:tcPr>
            <w:tcW w:w="2682" w:type="dxa"/>
            <w:tcBorders>
              <w:top w:val="nil"/>
              <w:left w:val="nil"/>
              <w:bottom w:val="nil"/>
              <w:right w:val="nil"/>
            </w:tcBorders>
          </w:tcPr>
          <w:p w:rsidR="00000000" w:rsidRDefault="00000000">
            <w:pPr>
              <w:spacing w:line="240" w:lineRule="auto"/>
              <w:rPr>
                <w:sz w:val="17"/>
              </w:rPr>
            </w:pPr>
            <w:r>
              <w:rPr>
                <w:sz w:val="17"/>
              </w:rPr>
              <w:t>Физические науки</w:t>
            </w:r>
          </w:p>
        </w:tc>
        <w:tc>
          <w:tcPr>
            <w:tcW w:w="1350" w:type="dxa"/>
            <w:tcBorders>
              <w:top w:val="nil"/>
              <w:left w:val="nil"/>
              <w:bottom w:val="nil"/>
              <w:right w:val="nil"/>
            </w:tcBorders>
          </w:tcPr>
          <w:p w:rsidR="00000000" w:rsidRDefault="00000000">
            <w:pPr>
              <w:spacing w:line="240" w:lineRule="auto"/>
              <w:ind w:left="180"/>
              <w:jc w:val="right"/>
              <w:rPr>
                <w:sz w:val="17"/>
              </w:rPr>
            </w:pPr>
            <w:r>
              <w:rPr>
                <w:sz w:val="17"/>
              </w:rPr>
              <w:t>4 559</w:t>
            </w:r>
          </w:p>
        </w:tc>
        <w:tc>
          <w:tcPr>
            <w:tcW w:w="1170" w:type="dxa"/>
            <w:tcBorders>
              <w:top w:val="nil"/>
              <w:left w:val="nil"/>
              <w:bottom w:val="nil"/>
              <w:right w:val="nil"/>
            </w:tcBorders>
          </w:tcPr>
          <w:p w:rsidR="00000000" w:rsidRDefault="00000000">
            <w:pPr>
              <w:spacing w:line="240" w:lineRule="auto"/>
              <w:ind w:left="243"/>
              <w:jc w:val="right"/>
              <w:rPr>
                <w:sz w:val="17"/>
              </w:rPr>
            </w:pPr>
            <w:r>
              <w:rPr>
                <w:sz w:val="17"/>
              </w:rPr>
              <w:t>1 690</w:t>
            </w:r>
          </w:p>
        </w:tc>
        <w:tc>
          <w:tcPr>
            <w:tcW w:w="1170" w:type="dxa"/>
            <w:tcBorders>
              <w:top w:val="nil"/>
              <w:left w:val="nil"/>
              <w:bottom w:val="nil"/>
              <w:right w:val="nil"/>
            </w:tcBorders>
          </w:tcPr>
          <w:p w:rsidR="00000000" w:rsidRDefault="00000000">
            <w:pPr>
              <w:spacing w:line="240" w:lineRule="auto"/>
              <w:ind w:left="234"/>
              <w:jc w:val="right"/>
              <w:rPr>
                <w:sz w:val="17"/>
              </w:rPr>
            </w:pPr>
            <w:r>
              <w:rPr>
                <w:sz w:val="17"/>
              </w:rPr>
              <w:t>37,0</w:t>
            </w:r>
          </w:p>
        </w:tc>
      </w:tr>
      <w:tr w:rsidR="00000000">
        <w:tblPrEx>
          <w:tblCellMar>
            <w:top w:w="0" w:type="dxa"/>
            <w:left w:w="0" w:type="dxa"/>
            <w:bottom w:w="0" w:type="dxa"/>
            <w:right w:w="0" w:type="dxa"/>
          </w:tblCellMar>
        </w:tblPrEx>
        <w:tc>
          <w:tcPr>
            <w:tcW w:w="2682" w:type="dxa"/>
            <w:tcBorders>
              <w:top w:val="nil"/>
              <w:left w:val="nil"/>
              <w:bottom w:val="nil"/>
              <w:right w:val="nil"/>
            </w:tcBorders>
          </w:tcPr>
          <w:p w:rsidR="00000000" w:rsidRDefault="00000000">
            <w:pPr>
              <w:spacing w:line="240" w:lineRule="auto"/>
              <w:rPr>
                <w:sz w:val="17"/>
              </w:rPr>
            </w:pPr>
            <w:r>
              <w:rPr>
                <w:sz w:val="17"/>
              </w:rPr>
              <w:t>Биологические науки</w:t>
            </w:r>
          </w:p>
        </w:tc>
        <w:tc>
          <w:tcPr>
            <w:tcW w:w="1350" w:type="dxa"/>
            <w:tcBorders>
              <w:top w:val="nil"/>
              <w:left w:val="nil"/>
              <w:bottom w:val="nil"/>
              <w:right w:val="nil"/>
            </w:tcBorders>
          </w:tcPr>
          <w:p w:rsidR="00000000" w:rsidRDefault="00000000">
            <w:pPr>
              <w:spacing w:line="240" w:lineRule="auto"/>
              <w:ind w:left="180"/>
              <w:jc w:val="right"/>
              <w:rPr>
                <w:sz w:val="17"/>
              </w:rPr>
            </w:pPr>
            <w:r>
              <w:rPr>
                <w:sz w:val="17"/>
              </w:rPr>
              <w:t>7 703</w:t>
            </w:r>
          </w:p>
        </w:tc>
        <w:tc>
          <w:tcPr>
            <w:tcW w:w="1170" w:type="dxa"/>
            <w:tcBorders>
              <w:top w:val="nil"/>
              <w:left w:val="nil"/>
              <w:bottom w:val="nil"/>
              <w:right w:val="nil"/>
            </w:tcBorders>
          </w:tcPr>
          <w:p w:rsidR="00000000" w:rsidRDefault="00000000">
            <w:pPr>
              <w:spacing w:line="240" w:lineRule="auto"/>
              <w:ind w:left="243"/>
              <w:jc w:val="right"/>
              <w:rPr>
                <w:sz w:val="17"/>
              </w:rPr>
            </w:pPr>
            <w:r>
              <w:rPr>
                <w:sz w:val="17"/>
              </w:rPr>
              <w:t>4 750</w:t>
            </w:r>
          </w:p>
        </w:tc>
        <w:tc>
          <w:tcPr>
            <w:tcW w:w="1170" w:type="dxa"/>
            <w:tcBorders>
              <w:top w:val="nil"/>
              <w:left w:val="nil"/>
              <w:bottom w:val="nil"/>
              <w:right w:val="nil"/>
            </w:tcBorders>
          </w:tcPr>
          <w:p w:rsidR="00000000" w:rsidRDefault="00000000">
            <w:pPr>
              <w:spacing w:line="240" w:lineRule="auto"/>
              <w:ind w:left="234"/>
              <w:jc w:val="right"/>
              <w:rPr>
                <w:sz w:val="17"/>
              </w:rPr>
            </w:pPr>
            <w:r>
              <w:rPr>
                <w:sz w:val="17"/>
              </w:rPr>
              <w:t>61,6</w:t>
            </w:r>
          </w:p>
        </w:tc>
      </w:tr>
      <w:tr w:rsidR="00000000">
        <w:tblPrEx>
          <w:tblCellMar>
            <w:top w:w="0" w:type="dxa"/>
            <w:left w:w="0" w:type="dxa"/>
            <w:bottom w:w="0" w:type="dxa"/>
            <w:right w:w="0" w:type="dxa"/>
          </w:tblCellMar>
        </w:tblPrEx>
        <w:tc>
          <w:tcPr>
            <w:tcW w:w="2682" w:type="dxa"/>
            <w:tcBorders>
              <w:top w:val="nil"/>
              <w:left w:val="nil"/>
              <w:bottom w:val="nil"/>
              <w:right w:val="nil"/>
            </w:tcBorders>
          </w:tcPr>
          <w:p w:rsidR="00000000" w:rsidRDefault="00000000">
            <w:pPr>
              <w:spacing w:line="240" w:lineRule="auto"/>
              <w:rPr>
                <w:sz w:val="17"/>
              </w:rPr>
            </w:pPr>
            <w:r>
              <w:rPr>
                <w:sz w:val="17"/>
              </w:rPr>
              <w:t>Сельское хозяйство</w:t>
            </w:r>
          </w:p>
        </w:tc>
        <w:tc>
          <w:tcPr>
            <w:tcW w:w="1350" w:type="dxa"/>
            <w:tcBorders>
              <w:top w:val="nil"/>
              <w:left w:val="nil"/>
              <w:bottom w:val="nil"/>
              <w:right w:val="nil"/>
            </w:tcBorders>
          </w:tcPr>
          <w:p w:rsidR="00000000" w:rsidRDefault="00000000">
            <w:pPr>
              <w:spacing w:line="240" w:lineRule="auto"/>
              <w:ind w:left="180"/>
              <w:jc w:val="right"/>
              <w:rPr>
                <w:sz w:val="17"/>
              </w:rPr>
            </w:pPr>
            <w:r>
              <w:rPr>
                <w:sz w:val="17"/>
              </w:rPr>
              <w:t>1 499</w:t>
            </w:r>
          </w:p>
        </w:tc>
        <w:tc>
          <w:tcPr>
            <w:tcW w:w="1170" w:type="dxa"/>
            <w:tcBorders>
              <w:top w:val="nil"/>
              <w:left w:val="nil"/>
              <w:bottom w:val="nil"/>
              <w:right w:val="nil"/>
            </w:tcBorders>
          </w:tcPr>
          <w:p w:rsidR="00000000" w:rsidRDefault="00000000">
            <w:pPr>
              <w:spacing w:line="240" w:lineRule="auto"/>
              <w:ind w:left="243"/>
              <w:jc w:val="right"/>
              <w:rPr>
                <w:sz w:val="17"/>
              </w:rPr>
            </w:pPr>
            <w:r>
              <w:rPr>
                <w:sz w:val="17"/>
              </w:rPr>
              <w:t>876</w:t>
            </w:r>
          </w:p>
        </w:tc>
        <w:tc>
          <w:tcPr>
            <w:tcW w:w="1170" w:type="dxa"/>
            <w:tcBorders>
              <w:top w:val="nil"/>
              <w:left w:val="nil"/>
              <w:bottom w:val="nil"/>
              <w:right w:val="nil"/>
            </w:tcBorders>
          </w:tcPr>
          <w:p w:rsidR="00000000" w:rsidRDefault="00000000">
            <w:pPr>
              <w:spacing w:line="240" w:lineRule="auto"/>
              <w:ind w:left="234"/>
              <w:jc w:val="right"/>
              <w:rPr>
                <w:sz w:val="17"/>
              </w:rPr>
            </w:pPr>
            <w:r>
              <w:rPr>
                <w:sz w:val="17"/>
              </w:rPr>
              <w:t>58,4</w:t>
            </w:r>
          </w:p>
        </w:tc>
      </w:tr>
      <w:tr w:rsidR="00000000">
        <w:tblPrEx>
          <w:tblCellMar>
            <w:top w:w="0" w:type="dxa"/>
            <w:left w:w="0" w:type="dxa"/>
            <w:bottom w:w="0" w:type="dxa"/>
            <w:right w:w="0" w:type="dxa"/>
          </w:tblCellMar>
        </w:tblPrEx>
        <w:tc>
          <w:tcPr>
            <w:tcW w:w="2682" w:type="dxa"/>
            <w:tcBorders>
              <w:top w:val="nil"/>
              <w:left w:val="nil"/>
              <w:bottom w:val="nil"/>
              <w:right w:val="nil"/>
            </w:tcBorders>
          </w:tcPr>
          <w:p w:rsidR="00000000" w:rsidRDefault="00000000">
            <w:pPr>
              <w:spacing w:line="240" w:lineRule="auto"/>
              <w:rPr>
                <w:sz w:val="17"/>
              </w:rPr>
            </w:pPr>
            <w:r>
              <w:rPr>
                <w:sz w:val="17"/>
              </w:rPr>
              <w:t>Инженерные специальности и архитект</w:t>
            </w:r>
            <w:r>
              <w:rPr>
                <w:sz w:val="17"/>
              </w:rPr>
              <w:t>у</w:t>
            </w:r>
            <w:r>
              <w:rPr>
                <w:sz w:val="17"/>
              </w:rPr>
              <w:t>ра</w:t>
            </w:r>
          </w:p>
        </w:tc>
        <w:tc>
          <w:tcPr>
            <w:tcW w:w="1350" w:type="dxa"/>
            <w:tcBorders>
              <w:top w:val="nil"/>
              <w:left w:val="nil"/>
              <w:bottom w:val="nil"/>
              <w:right w:val="nil"/>
            </w:tcBorders>
          </w:tcPr>
          <w:p w:rsidR="00000000" w:rsidRDefault="00000000">
            <w:pPr>
              <w:spacing w:line="240" w:lineRule="auto"/>
              <w:ind w:left="180"/>
              <w:jc w:val="right"/>
              <w:rPr>
                <w:sz w:val="17"/>
              </w:rPr>
            </w:pPr>
            <w:r>
              <w:rPr>
                <w:sz w:val="17"/>
              </w:rPr>
              <w:t>30 129</w:t>
            </w:r>
          </w:p>
        </w:tc>
        <w:tc>
          <w:tcPr>
            <w:tcW w:w="1170" w:type="dxa"/>
            <w:tcBorders>
              <w:top w:val="nil"/>
              <w:left w:val="nil"/>
              <w:bottom w:val="nil"/>
              <w:right w:val="nil"/>
            </w:tcBorders>
          </w:tcPr>
          <w:p w:rsidR="00000000" w:rsidRDefault="00000000">
            <w:pPr>
              <w:spacing w:line="240" w:lineRule="auto"/>
              <w:ind w:left="243" w:right="7"/>
              <w:jc w:val="right"/>
              <w:rPr>
                <w:sz w:val="17"/>
              </w:rPr>
            </w:pPr>
            <w:r>
              <w:rPr>
                <w:sz w:val="17"/>
              </w:rPr>
              <w:t>7 626</w:t>
            </w:r>
          </w:p>
        </w:tc>
        <w:tc>
          <w:tcPr>
            <w:tcW w:w="1170" w:type="dxa"/>
            <w:tcBorders>
              <w:top w:val="nil"/>
              <w:left w:val="nil"/>
              <w:bottom w:val="nil"/>
              <w:right w:val="nil"/>
            </w:tcBorders>
          </w:tcPr>
          <w:p w:rsidR="00000000" w:rsidRDefault="00000000">
            <w:pPr>
              <w:spacing w:line="240" w:lineRule="auto"/>
              <w:ind w:left="234" w:right="-342"/>
              <w:jc w:val="right"/>
              <w:rPr>
                <w:sz w:val="17"/>
              </w:rPr>
            </w:pPr>
            <w:r>
              <w:rPr>
                <w:sz w:val="17"/>
              </w:rPr>
              <w:t>25,3%</w:t>
            </w:r>
          </w:p>
        </w:tc>
      </w:tr>
      <w:tr w:rsidR="00000000">
        <w:tblPrEx>
          <w:tblCellMar>
            <w:top w:w="0" w:type="dxa"/>
            <w:left w:w="0" w:type="dxa"/>
            <w:bottom w:w="0" w:type="dxa"/>
            <w:right w:w="0" w:type="dxa"/>
          </w:tblCellMar>
        </w:tblPrEx>
        <w:tc>
          <w:tcPr>
            <w:tcW w:w="2682" w:type="dxa"/>
            <w:tcBorders>
              <w:top w:val="nil"/>
              <w:left w:val="nil"/>
              <w:bottom w:val="single" w:sz="12" w:space="0" w:color="auto"/>
              <w:right w:val="nil"/>
            </w:tcBorders>
          </w:tcPr>
          <w:p w:rsidR="00000000" w:rsidRDefault="00000000">
            <w:pPr>
              <w:pStyle w:val="Heading6"/>
              <w:spacing w:before="0" w:after="0"/>
              <w:ind w:left="176"/>
              <w:jc w:val="left"/>
              <w:rPr>
                <w:sz w:val="17"/>
                <w:lang w:val="ru-RU"/>
              </w:rPr>
            </w:pPr>
            <w:r>
              <w:rPr>
                <w:sz w:val="17"/>
                <w:lang w:val="ru-RU"/>
              </w:rPr>
              <w:t>Всего</w:t>
            </w:r>
          </w:p>
        </w:tc>
        <w:tc>
          <w:tcPr>
            <w:tcW w:w="1350" w:type="dxa"/>
            <w:tcBorders>
              <w:top w:val="nil"/>
              <w:left w:val="nil"/>
              <w:bottom w:val="single" w:sz="12" w:space="0" w:color="auto"/>
              <w:right w:val="nil"/>
            </w:tcBorders>
          </w:tcPr>
          <w:p w:rsidR="00000000" w:rsidRDefault="00000000">
            <w:pPr>
              <w:spacing w:line="240" w:lineRule="auto"/>
              <w:ind w:left="180"/>
              <w:jc w:val="right"/>
              <w:rPr>
                <w:sz w:val="17"/>
              </w:rPr>
            </w:pPr>
            <w:r>
              <w:rPr>
                <w:sz w:val="17"/>
              </w:rPr>
              <w:t>189 522</w:t>
            </w:r>
          </w:p>
        </w:tc>
        <w:tc>
          <w:tcPr>
            <w:tcW w:w="1170" w:type="dxa"/>
            <w:tcBorders>
              <w:top w:val="nil"/>
              <w:left w:val="nil"/>
              <w:bottom w:val="single" w:sz="12" w:space="0" w:color="auto"/>
              <w:right w:val="nil"/>
            </w:tcBorders>
          </w:tcPr>
          <w:p w:rsidR="00000000" w:rsidRDefault="00000000">
            <w:pPr>
              <w:spacing w:line="240" w:lineRule="auto"/>
              <w:ind w:left="243" w:right="7"/>
              <w:jc w:val="right"/>
              <w:rPr>
                <w:sz w:val="17"/>
              </w:rPr>
            </w:pPr>
            <w:r>
              <w:rPr>
                <w:sz w:val="17"/>
              </w:rPr>
              <w:t>106 555</w:t>
            </w:r>
          </w:p>
        </w:tc>
        <w:tc>
          <w:tcPr>
            <w:tcW w:w="1170" w:type="dxa"/>
            <w:tcBorders>
              <w:top w:val="nil"/>
              <w:left w:val="nil"/>
              <w:bottom w:val="single" w:sz="12" w:space="0" w:color="auto"/>
              <w:right w:val="nil"/>
            </w:tcBorders>
          </w:tcPr>
          <w:p w:rsidR="00000000" w:rsidRDefault="00000000">
            <w:pPr>
              <w:spacing w:line="240" w:lineRule="auto"/>
              <w:ind w:left="234" w:right="14"/>
              <w:jc w:val="right"/>
              <w:rPr>
                <w:sz w:val="17"/>
              </w:rPr>
            </w:pPr>
            <w:r>
              <w:rPr>
                <w:sz w:val="17"/>
              </w:rPr>
              <w:t>56,2</w:t>
            </w:r>
          </w:p>
        </w:tc>
      </w:tr>
    </w:tbl>
    <w:p w:rsidR="00000000" w:rsidRDefault="00000000">
      <w:pPr>
        <w:pStyle w:val="SingleTxt"/>
        <w:spacing w:after="0" w:line="120" w:lineRule="exact"/>
        <w:ind w:left="1264" w:right="1264"/>
        <w:jc w:val="left"/>
        <w:rPr>
          <w:sz w:val="10"/>
        </w:rPr>
      </w:pPr>
    </w:p>
    <w:p w:rsidR="00000000" w:rsidRDefault="00000000">
      <w:pPr>
        <w:ind w:left="1267" w:right="1267"/>
        <w:jc w:val="both"/>
        <w:rPr>
          <w:i/>
        </w:rPr>
      </w:pPr>
      <w:r>
        <w:rPr>
          <w:i/>
        </w:rPr>
        <w:t xml:space="preserve">Источник: </w:t>
      </w:r>
      <w:r>
        <w:t>Совет по высшему образованию, 2004 год</w:t>
      </w:r>
      <w:r>
        <w:rPr>
          <w:i/>
        </w:rP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120"/>
      </w:pPr>
      <w:r>
        <w:t>255.</w:t>
      </w:r>
      <w:r>
        <w:tab/>
        <w:t>Помимо государственных высших учебных заведений существует еще ряд альтернативных высших учебных заведений, которые выдают дипломы, отл</w:t>
      </w:r>
      <w:r>
        <w:t>и</w:t>
      </w:r>
      <w:r>
        <w:t>чающиеся от дипломов бакалавра, магистра и доктора наук. В 2002-2003 уче</w:t>
      </w:r>
      <w:r>
        <w:t>б</w:t>
      </w:r>
      <w:r>
        <w:t>ном году 6,4 процента еврейских женщин в возрасте от 20 до 29 лет посещали высшие учебные заведения, не относящиеся к категории университетов, по сравнению с 5,6 процента в 1999-2000 годах. Доля арабских женщин, пос</w:t>
      </w:r>
      <w:r>
        <w:t>е</w:t>
      </w:r>
      <w:r>
        <w:t>щавших эти учебные заведения, составляла 4,4 процента (по сравнению с 4,6 процента в 1999-2000 годах).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5" w:right="1267" w:firstLine="172"/>
      </w:pPr>
      <w:r>
        <w:t>Меньшинства в системе высшего образования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256.</w:t>
      </w:r>
      <w:r>
        <w:tab/>
        <w:t>Разрыв между численностью мужчин и женщин в системе высшего обр</w:t>
      </w:r>
      <w:r>
        <w:t>а</w:t>
      </w:r>
      <w:r>
        <w:t>зования был преодолен и в 2002-2003 учебном году студентки из общин м</w:t>
      </w:r>
      <w:r>
        <w:t>у</w:t>
      </w:r>
      <w:r>
        <w:t>сульман, христиан и друзов составляли большинство среди студентов, об</w:t>
      </w:r>
      <w:r>
        <w:t>у</w:t>
      </w:r>
      <w:r>
        <w:t>чающихся по программе бакалавриата в высших учебных заведениях, по сра</w:t>
      </w:r>
      <w:r>
        <w:t>в</w:t>
      </w:r>
      <w:r>
        <w:t>нению с мужчинами. Также дело обстоит и среди учащихся в целом, за искл</w:t>
      </w:r>
      <w:r>
        <w:t>ю</w:t>
      </w:r>
      <w:r>
        <w:t>чением общины друзов, где разрыв быстро сокращается. В самом деле, опр</w:t>
      </w:r>
      <w:r>
        <w:t>е</w:t>
      </w:r>
      <w:r>
        <w:t xml:space="preserve">деленное отставание еще сохраняется среди обучающихся по программам для получения более высоких степеней, однако, по имеющимся данным, в этих секторах процентная доля женщин-учащихся также значительно возросла.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120"/>
      </w:pPr>
      <w:r>
        <w:t>257.</w:t>
      </w:r>
      <w:r>
        <w:tab/>
        <w:t>Министерство образования, культуры и спорта недавно предоставило 18 полных стипендий студентам-бедуинам с тем, чтобы они могли обучаться в университете Бен-Гуриона в Беэр-Шеве в 2004/05 учебном году. Стипендии были распределены исходя из показателей успеваемости и финансового пол</w:t>
      </w:r>
      <w:r>
        <w:t>о</w:t>
      </w:r>
      <w:r>
        <w:t>жения. Из 18 студентов, получивших стипендию, 12 - это женщины. Дополн</w:t>
      </w:r>
      <w:r>
        <w:t>и</w:t>
      </w:r>
      <w:r>
        <w:t>тельные стипендии выдаются различными НПО.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56"/>
        <w:ind w:left="2462" w:right="1267" w:hanging="1195"/>
      </w:pPr>
      <w:r>
        <w:t>Таблица 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Изменение процентной доли женщин, являющихся гражданскими служащими, в период с 1996 по 2002 год</w:t>
      </w:r>
    </w:p>
    <w:p w:rsidR="00000000" w:rsidRDefault="00000000">
      <w:pPr>
        <w:pStyle w:val="SingleTxt"/>
        <w:keepNext/>
        <w:spacing w:after="0" w:line="240" w:lineRule="auto"/>
        <w:rPr>
          <w:sz w:val="10"/>
        </w:rPr>
      </w:pPr>
    </w:p>
    <w:p w:rsidR="00000000" w:rsidRDefault="00000000">
      <w:pPr>
        <w:pStyle w:val="SingleTxt"/>
        <w:rPr>
          <w:i/>
        </w:rPr>
      </w:pPr>
      <w:r>
        <w:rPr>
          <w:i/>
        </w:rPr>
        <w:t>Процентная доля женщин в общем числе студентов каждой группы (искл</w:t>
      </w:r>
      <w:r>
        <w:rPr>
          <w:i/>
        </w:rPr>
        <w:t>ю</w:t>
      </w:r>
      <w:r>
        <w:rPr>
          <w:i/>
        </w:rPr>
        <w:t>чительно университетов)</w:t>
      </w:r>
    </w:p>
    <w:p w:rsidR="00000000" w:rsidRDefault="00000000">
      <w:pPr>
        <w:pStyle w:val="SingleTxt"/>
        <w:keepNext/>
        <w:spacing w:after="0" w:line="240" w:lineRule="auto"/>
        <w:rPr>
          <w:sz w:val="10"/>
        </w:rPr>
      </w:pPr>
    </w:p>
    <w:tbl>
      <w:tblPr>
        <w:tblW w:w="0" w:type="auto"/>
        <w:tblInd w:w="1270" w:type="dxa"/>
        <w:tblLayout w:type="fixed"/>
        <w:tblCellMar>
          <w:left w:w="0" w:type="dxa"/>
          <w:right w:w="0" w:type="dxa"/>
        </w:tblCellMar>
        <w:tblLook w:val="0000" w:firstRow="0" w:lastRow="0" w:firstColumn="0" w:lastColumn="0" w:noHBand="0" w:noVBand="0"/>
      </w:tblPr>
      <w:tblGrid>
        <w:gridCol w:w="1620"/>
        <w:gridCol w:w="810"/>
        <w:gridCol w:w="1170"/>
        <w:gridCol w:w="1166"/>
        <w:gridCol w:w="1166"/>
        <w:gridCol w:w="1166"/>
      </w:tblGrid>
      <w:tr w:rsidR="00000000">
        <w:tblPrEx>
          <w:tblCellMar>
            <w:top w:w="0" w:type="dxa"/>
            <w:left w:w="0" w:type="dxa"/>
            <w:bottom w:w="0" w:type="dxa"/>
            <w:right w:w="0" w:type="dxa"/>
          </w:tblCellMar>
        </w:tblPrEx>
        <w:trPr>
          <w:tblHeader/>
        </w:trPr>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1" w:after="81"/>
              <w:ind w:right="40"/>
              <w:rPr>
                <w:i/>
                <w:sz w:val="14"/>
              </w:rPr>
            </w:pPr>
          </w:p>
        </w:tc>
        <w:tc>
          <w:tcPr>
            <w:tcW w:w="810" w:type="dxa"/>
            <w:tcBorders>
              <w:top w:val="single" w:sz="4" w:space="0" w:color="auto"/>
            </w:tcBorders>
          </w:tcPr>
          <w:p w:rsidR="00000000" w:rsidRDefault="00000000">
            <w:pPr>
              <w:spacing w:after="120" w:line="240" w:lineRule="auto"/>
              <w:jc w:val="right"/>
              <w:rPr>
                <w:i/>
                <w:sz w:val="14"/>
              </w:rPr>
            </w:pPr>
            <w:r>
              <w:rPr>
                <w:i/>
                <w:sz w:val="14"/>
              </w:rPr>
              <w:t>Всего</w:t>
            </w:r>
          </w:p>
        </w:tc>
        <w:tc>
          <w:tcPr>
            <w:tcW w:w="1170" w:type="dxa"/>
            <w:tcBorders>
              <w:top w:val="single" w:sz="4" w:space="0" w:color="auto"/>
            </w:tcBorders>
          </w:tcPr>
          <w:p w:rsidR="00000000" w:rsidRDefault="00000000">
            <w:pPr>
              <w:spacing w:after="120" w:line="240" w:lineRule="auto"/>
              <w:jc w:val="right"/>
              <w:rPr>
                <w:i/>
                <w:sz w:val="14"/>
              </w:rPr>
            </w:pPr>
            <w:r>
              <w:rPr>
                <w:i/>
                <w:sz w:val="14"/>
              </w:rPr>
              <w:t>Первая степень</w:t>
            </w:r>
            <w:r>
              <w:rPr>
                <w:i/>
                <w:sz w:val="14"/>
              </w:rPr>
              <w:br/>
            </w:r>
          </w:p>
        </w:tc>
        <w:tc>
          <w:tcPr>
            <w:tcW w:w="1166" w:type="dxa"/>
            <w:tcBorders>
              <w:top w:val="single" w:sz="4" w:space="0" w:color="auto"/>
            </w:tcBorders>
          </w:tcPr>
          <w:p w:rsidR="00000000" w:rsidRDefault="00000000">
            <w:pPr>
              <w:spacing w:after="120" w:line="240" w:lineRule="auto"/>
              <w:jc w:val="right"/>
              <w:rPr>
                <w:i/>
                <w:sz w:val="14"/>
              </w:rPr>
            </w:pPr>
            <w:r>
              <w:rPr>
                <w:i/>
                <w:sz w:val="14"/>
              </w:rPr>
              <w:t>Вторая ст</w:t>
            </w:r>
            <w:r>
              <w:rPr>
                <w:i/>
                <w:sz w:val="14"/>
              </w:rPr>
              <w:t>е</w:t>
            </w:r>
            <w:r>
              <w:rPr>
                <w:i/>
                <w:sz w:val="14"/>
              </w:rPr>
              <w:t>пень</w:t>
            </w:r>
            <w:r>
              <w:rPr>
                <w:i/>
                <w:sz w:val="14"/>
              </w:rPr>
              <w:br/>
            </w:r>
          </w:p>
        </w:tc>
        <w:tc>
          <w:tcPr>
            <w:tcW w:w="1166" w:type="dxa"/>
            <w:tcBorders>
              <w:top w:val="single" w:sz="4" w:space="0" w:color="auto"/>
            </w:tcBorders>
          </w:tcPr>
          <w:p w:rsidR="00000000" w:rsidRDefault="00000000">
            <w:pPr>
              <w:spacing w:after="120" w:line="240" w:lineRule="auto"/>
              <w:jc w:val="right"/>
              <w:rPr>
                <w:i/>
                <w:sz w:val="14"/>
              </w:rPr>
            </w:pPr>
            <w:r>
              <w:rPr>
                <w:i/>
                <w:sz w:val="14"/>
              </w:rPr>
              <w:t>Тр</w:t>
            </w:r>
            <w:r>
              <w:rPr>
                <w:i/>
                <w:sz w:val="14"/>
              </w:rPr>
              <w:t>е</w:t>
            </w:r>
            <w:r>
              <w:rPr>
                <w:i/>
                <w:sz w:val="14"/>
              </w:rPr>
              <w:t xml:space="preserve">тья степень </w:t>
            </w:r>
            <w:r>
              <w:rPr>
                <w:i/>
                <w:sz w:val="14"/>
              </w:rPr>
              <w:br/>
            </w:r>
          </w:p>
        </w:tc>
        <w:tc>
          <w:tcPr>
            <w:tcW w:w="1166" w:type="dxa"/>
            <w:tcBorders>
              <w:top w:val="single" w:sz="4" w:space="0" w:color="auto"/>
            </w:tcBorders>
          </w:tcPr>
          <w:p w:rsidR="00000000" w:rsidRDefault="00000000">
            <w:pPr>
              <w:spacing w:after="120" w:line="240" w:lineRule="auto"/>
              <w:jc w:val="right"/>
              <w:rPr>
                <w:i/>
                <w:sz w:val="14"/>
              </w:rPr>
            </w:pPr>
            <w:r>
              <w:rPr>
                <w:i/>
                <w:sz w:val="14"/>
              </w:rPr>
              <w:t>Д</w:t>
            </w:r>
            <w:r>
              <w:rPr>
                <w:i/>
                <w:sz w:val="14"/>
              </w:rPr>
              <w:t>и</w:t>
            </w:r>
            <w:r>
              <w:rPr>
                <w:i/>
                <w:sz w:val="14"/>
              </w:rPr>
              <w:t>плом</w:t>
            </w:r>
          </w:p>
        </w:tc>
      </w:tr>
      <w:tr w:rsidR="00000000">
        <w:tblPrEx>
          <w:tblCellMar>
            <w:top w:w="0" w:type="dxa"/>
            <w:left w:w="0" w:type="dxa"/>
            <w:bottom w:w="0" w:type="dxa"/>
            <w:right w:w="0" w:type="dxa"/>
          </w:tblCellMar>
        </w:tblPrEx>
        <w:trPr>
          <w:trHeight w:hRule="exact" w:val="115"/>
          <w:tblHeader/>
        </w:trPr>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ind w:right="40"/>
              <w:jc w:val="right"/>
              <w:rPr>
                <w:sz w:val="17"/>
              </w:rPr>
            </w:pPr>
          </w:p>
        </w:tc>
        <w:tc>
          <w:tcPr>
            <w:tcW w:w="1170" w:type="dxa"/>
            <w:tcBorders>
              <w:top w:val="single" w:sz="12" w:space="0" w:color="auto"/>
            </w:tcBorders>
          </w:tcPr>
          <w:p w:rsidR="00000000" w:rsidRDefault="00000000">
            <w:pPr>
              <w:tabs>
                <w:tab w:val="left" w:pos="288"/>
                <w:tab w:val="left" w:pos="576"/>
                <w:tab w:val="left" w:pos="864"/>
                <w:tab w:val="left" w:pos="1152"/>
              </w:tabs>
              <w:spacing w:before="40" w:after="40"/>
              <w:ind w:right="40"/>
              <w:jc w:val="right"/>
              <w:rPr>
                <w:sz w:val="17"/>
              </w:rPr>
            </w:pPr>
          </w:p>
        </w:tc>
        <w:tc>
          <w:tcPr>
            <w:tcW w:w="1166" w:type="dxa"/>
            <w:tcBorders>
              <w:top w:val="single" w:sz="12" w:space="0" w:color="auto"/>
            </w:tcBorders>
            <w:vAlign w:val="bottom"/>
          </w:tcPr>
          <w:p w:rsidR="00000000" w:rsidRDefault="00000000">
            <w:pPr>
              <w:tabs>
                <w:tab w:val="left" w:pos="288"/>
                <w:tab w:val="left" w:pos="576"/>
                <w:tab w:val="left" w:pos="864"/>
                <w:tab w:val="left" w:pos="1152"/>
              </w:tabs>
              <w:spacing w:before="40" w:after="40"/>
              <w:ind w:right="40"/>
              <w:jc w:val="right"/>
              <w:rPr>
                <w:sz w:val="17"/>
              </w:rPr>
            </w:pPr>
          </w:p>
        </w:tc>
        <w:tc>
          <w:tcPr>
            <w:tcW w:w="1166" w:type="dxa"/>
            <w:tcBorders>
              <w:top w:val="single" w:sz="12" w:space="0" w:color="auto"/>
            </w:tcBorders>
            <w:vAlign w:val="bottom"/>
          </w:tcPr>
          <w:p w:rsidR="00000000" w:rsidRDefault="00000000">
            <w:pPr>
              <w:tabs>
                <w:tab w:val="left" w:pos="288"/>
                <w:tab w:val="left" w:pos="576"/>
                <w:tab w:val="left" w:pos="864"/>
                <w:tab w:val="left" w:pos="1152"/>
              </w:tabs>
              <w:spacing w:before="40" w:after="40"/>
              <w:ind w:right="40"/>
              <w:jc w:val="right"/>
              <w:rPr>
                <w:sz w:val="17"/>
              </w:rPr>
            </w:pPr>
          </w:p>
        </w:tc>
        <w:tc>
          <w:tcPr>
            <w:tcW w:w="1166" w:type="dxa"/>
            <w:tcBorders>
              <w:top w:val="single" w:sz="12" w:space="0" w:color="auto"/>
            </w:tcBorders>
            <w:vAlign w:val="bottom"/>
          </w:tcPr>
          <w:p w:rsidR="00000000" w:rsidRDefault="00000000">
            <w:pPr>
              <w:tabs>
                <w:tab w:val="left" w:pos="288"/>
                <w:tab w:val="left" w:pos="576"/>
                <w:tab w:val="left" w:pos="864"/>
                <w:tab w:val="left" w:pos="1152"/>
              </w:tabs>
              <w:spacing w:before="40" w:after="40"/>
              <w:ind w:right="40"/>
              <w:jc w:val="right"/>
              <w:rPr>
                <w:sz w:val="17"/>
              </w:rPr>
            </w:pPr>
          </w:p>
        </w:tc>
      </w:tr>
      <w:tr w:rsidR="00000000">
        <w:tblPrEx>
          <w:tblCellMar>
            <w:top w:w="0" w:type="dxa"/>
            <w:left w:w="0" w:type="dxa"/>
            <w:bottom w:w="0" w:type="dxa"/>
            <w:right w:w="0" w:type="dxa"/>
          </w:tblCellMar>
        </w:tblPrEx>
        <w:tc>
          <w:tcPr>
            <w:tcW w:w="1620" w:type="dxa"/>
          </w:tcPr>
          <w:p w:rsidR="00000000" w:rsidRDefault="00000000">
            <w:pPr>
              <w:spacing w:after="120" w:line="240" w:lineRule="auto"/>
              <w:rPr>
                <w:sz w:val="17"/>
              </w:rPr>
            </w:pPr>
            <w:r>
              <w:rPr>
                <w:sz w:val="17"/>
              </w:rPr>
              <w:t>Всего</w:t>
            </w:r>
          </w:p>
        </w:tc>
        <w:tc>
          <w:tcPr>
            <w:tcW w:w="810" w:type="dxa"/>
          </w:tcPr>
          <w:p w:rsidR="00000000" w:rsidRDefault="00000000">
            <w:pPr>
              <w:spacing w:after="120" w:line="240" w:lineRule="auto"/>
              <w:jc w:val="right"/>
              <w:rPr>
                <w:sz w:val="17"/>
              </w:rPr>
            </w:pPr>
            <w:r>
              <w:rPr>
                <w:sz w:val="17"/>
              </w:rPr>
              <w:t>56,5</w:t>
            </w:r>
          </w:p>
        </w:tc>
        <w:tc>
          <w:tcPr>
            <w:tcW w:w="1170" w:type="dxa"/>
          </w:tcPr>
          <w:p w:rsidR="00000000" w:rsidRDefault="00000000">
            <w:pPr>
              <w:spacing w:after="120" w:line="240" w:lineRule="auto"/>
              <w:jc w:val="right"/>
              <w:rPr>
                <w:sz w:val="17"/>
              </w:rPr>
            </w:pPr>
            <w:r>
              <w:rPr>
                <w:sz w:val="17"/>
              </w:rPr>
              <w:t>56,2</w:t>
            </w:r>
          </w:p>
        </w:tc>
        <w:tc>
          <w:tcPr>
            <w:tcW w:w="1166" w:type="dxa"/>
          </w:tcPr>
          <w:p w:rsidR="00000000" w:rsidRDefault="00000000">
            <w:pPr>
              <w:spacing w:after="120" w:line="240" w:lineRule="auto"/>
              <w:jc w:val="right"/>
              <w:rPr>
                <w:sz w:val="17"/>
              </w:rPr>
            </w:pPr>
            <w:r>
              <w:rPr>
                <w:sz w:val="17"/>
              </w:rPr>
              <w:t>57,2</w:t>
            </w:r>
          </w:p>
        </w:tc>
        <w:tc>
          <w:tcPr>
            <w:tcW w:w="1166" w:type="dxa"/>
          </w:tcPr>
          <w:p w:rsidR="00000000" w:rsidRDefault="00000000">
            <w:pPr>
              <w:spacing w:after="120" w:line="240" w:lineRule="auto"/>
              <w:jc w:val="right"/>
              <w:rPr>
                <w:sz w:val="17"/>
              </w:rPr>
            </w:pPr>
            <w:r>
              <w:rPr>
                <w:sz w:val="17"/>
              </w:rPr>
              <w:t>52,7</w:t>
            </w:r>
          </w:p>
        </w:tc>
        <w:tc>
          <w:tcPr>
            <w:tcW w:w="1166" w:type="dxa"/>
          </w:tcPr>
          <w:p w:rsidR="00000000" w:rsidRDefault="00000000">
            <w:pPr>
              <w:spacing w:after="120" w:line="240" w:lineRule="auto"/>
              <w:jc w:val="right"/>
              <w:rPr>
                <w:sz w:val="17"/>
              </w:rPr>
            </w:pPr>
            <w:r>
              <w:rPr>
                <w:sz w:val="17"/>
              </w:rPr>
              <w:t>82,2</w:t>
            </w:r>
          </w:p>
        </w:tc>
      </w:tr>
      <w:tr w:rsidR="00000000">
        <w:tblPrEx>
          <w:tblCellMar>
            <w:top w:w="0" w:type="dxa"/>
            <w:left w:w="0" w:type="dxa"/>
            <w:bottom w:w="0" w:type="dxa"/>
            <w:right w:w="0" w:type="dxa"/>
          </w:tblCellMar>
        </w:tblPrEx>
        <w:tc>
          <w:tcPr>
            <w:tcW w:w="1620" w:type="dxa"/>
          </w:tcPr>
          <w:p w:rsidR="00000000" w:rsidRDefault="00000000">
            <w:pPr>
              <w:spacing w:after="120" w:line="240" w:lineRule="auto"/>
              <w:rPr>
                <w:sz w:val="17"/>
              </w:rPr>
            </w:pPr>
            <w:r>
              <w:rPr>
                <w:sz w:val="17"/>
              </w:rPr>
              <w:t>Евреи</w:t>
            </w:r>
          </w:p>
        </w:tc>
        <w:tc>
          <w:tcPr>
            <w:tcW w:w="810" w:type="dxa"/>
          </w:tcPr>
          <w:p w:rsidR="00000000" w:rsidRDefault="00000000">
            <w:pPr>
              <w:spacing w:after="120" w:line="240" w:lineRule="auto"/>
              <w:jc w:val="right"/>
              <w:rPr>
                <w:sz w:val="17"/>
              </w:rPr>
            </w:pPr>
            <w:r>
              <w:rPr>
                <w:sz w:val="17"/>
              </w:rPr>
              <w:t>56,8</w:t>
            </w:r>
          </w:p>
        </w:tc>
        <w:tc>
          <w:tcPr>
            <w:tcW w:w="1170" w:type="dxa"/>
          </w:tcPr>
          <w:p w:rsidR="00000000" w:rsidRDefault="00000000">
            <w:pPr>
              <w:spacing w:after="120" w:line="240" w:lineRule="auto"/>
              <w:jc w:val="right"/>
              <w:rPr>
                <w:sz w:val="17"/>
              </w:rPr>
            </w:pPr>
            <w:r>
              <w:rPr>
                <w:sz w:val="17"/>
              </w:rPr>
              <w:t>55,9</w:t>
            </w:r>
          </w:p>
        </w:tc>
        <w:tc>
          <w:tcPr>
            <w:tcW w:w="1166" w:type="dxa"/>
          </w:tcPr>
          <w:p w:rsidR="00000000" w:rsidRDefault="00000000">
            <w:pPr>
              <w:spacing w:after="120" w:line="240" w:lineRule="auto"/>
              <w:jc w:val="right"/>
              <w:rPr>
                <w:sz w:val="17"/>
              </w:rPr>
            </w:pPr>
            <w:r>
              <w:rPr>
                <w:sz w:val="17"/>
              </w:rPr>
              <w:t>58,1</w:t>
            </w:r>
          </w:p>
        </w:tc>
        <w:tc>
          <w:tcPr>
            <w:tcW w:w="1166" w:type="dxa"/>
          </w:tcPr>
          <w:p w:rsidR="00000000" w:rsidRDefault="00000000">
            <w:pPr>
              <w:spacing w:after="120" w:line="240" w:lineRule="auto"/>
              <w:jc w:val="right"/>
              <w:rPr>
                <w:sz w:val="17"/>
              </w:rPr>
            </w:pPr>
            <w:r>
              <w:rPr>
                <w:sz w:val="17"/>
              </w:rPr>
              <w:t>54,3</w:t>
            </w:r>
          </w:p>
        </w:tc>
        <w:tc>
          <w:tcPr>
            <w:tcW w:w="1166" w:type="dxa"/>
          </w:tcPr>
          <w:p w:rsidR="00000000" w:rsidRDefault="00000000">
            <w:pPr>
              <w:spacing w:after="120" w:line="240" w:lineRule="auto"/>
              <w:jc w:val="right"/>
              <w:rPr>
                <w:sz w:val="17"/>
              </w:rPr>
            </w:pPr>
            <w:r>
              <w:rPr>
                <w:sz w:val="17"/>
              </w:rPr>
              <w:t>84,9</w:t>
            </w:r>
          </w:p>
        </w:tc>
      </w:tr>
      <w:tr w:rsidR="00000000">
        <w:tblPrEx>
          <w:tblCellMar>
            <w:top w:w="0" w:type="dxa"/>
            <w:left w:w="0" w:type="dxa"/>
            <w:bottom w:w="0" w:type="dxa"/>
            <w:right w:w="0" w:type="dxa"/>
          </w:tblCellMar>
        </w:tblPrEx>
        <w:tc>
          <w:tcPr>
            <w:tcW w:w="1620" w:type="dxa"/>
          </w:tcPr>
          <w:p w:rsidR="00000000" w:rsidRDefault="00000000">
            <w:pPr>
              <w:spacing w:after="120" w:line="240" w:lineRule="auto"/>
              <w:rPr>
                <w:sz w:val="17"/>
              </w:rPr>
            </w:pPr>
            <w:r>
              <w:rPr>
                <w:sz w:val="17"/>
              </w:rPr>
              <w:t>Мусул</w:t>
            </w:r>
            <w:r>
              <w:rPr>
                <w:sz w:val="17"/>
              </w:rPr>
              <w:t>ь</w:t>
            </w:r>
            <w:r>
              <w:rPr>
                <w:sz w:val="17"/>
              </w:rPr>
              <w:t>мане</w:t>
            </w:r>
          </w:p>
        </w:tc>
        <w:tc>
          <w:tcPr>
            <w:tcW w:w="810" w:type="dxa"/>
          </w:tcPr>
          <w:p w:rsidR="00000000" w:rsidRDefault="00000000">
            <w:pPr>
              <w:spacing w:after="120" w:line="240" w:lineRule="auto"/>
              <w:jc w:val="right"/>
              <w:rPr>
                <w:sz w:val="17"/>
              </w:rPr>
            </w:pPr>
            <w:r>
              <w:rPr>
                <w:sz w:val="17"/>
              </w:rPr>
              <w:t>51,9</w:t>
            </w:r>
          </w:p>
        </w:tc>
        <w:tc>
          <w:tcPr>
            <w:tcW w:w="1170" w:type="dxa"/>
          </w:tcPr>
          <w:p w:rsidR="00000000" w:rsidRDefault="00000000">
            <w:pPr>
              <w:spacing w:after="120" w:line="240" w:lineRule="auto"/>
              <w:jc w:val="right"/>
              <w:rPr>
                <w:sz w:val="17"/>
              </w:rPr>
            </w:pPr>
            <w:r>
              <w:rPr>
                <w:sz w:val="17"/>
              </w:rPr>
              <w:t>54,6</w:t>
            </w:r>
          </w:p>
        </w:tc>
        <w:tc>
          <w:tcPr>
            <w:tcW w:w="1166" w:type="dxa"/>
          </w:tcPr>
          <w:p w:rsidR="00000000" w:rsidRDefault="00000000">
            <w:pPr>
              <w:spacing w:after="120" w:line="240" w:lineRule="auto"/>
              <w:jc w:val="right"/>
              <w:rPr>
                <w:sz w:val="17"/>
              </w:rPr>
            </w:pPr>
            <w:r>
              <w:rPr>
                <w:sz w:val="17"/>
              </w:rPr>
              <w:t>42,3</w:t>
            </w:r>
          </w:p>
        </w:tc>
        <w:tc>
          <w:tcPr>
            <w:tcW w:w="1166" w:type="dxa"/>
          </w:tcPr>
          <w:p w:rsidR="00000000" w:rsidRDefault="00000000">
            <w:pPr>
              <w:spacing w:after="120" w:line="240" w:lineRule="auto"/>
              <w:jc w:val="right"/>
              <w:rPr>
                <w:sz w:val="17"/>
              </w:rPr>
            </w:pPr>
            <w:r>
              <w:rPr>
                <w:sz w:val="17"/>
              </w:rPr>
              <w:t>23,9</w:t>
            </w:r>
          </w:p>
        </w:tc>
        <w:tc>
          <w:tcPr>
            <w:tcW w:w="1166" w:type="dxa"/>
          </w:tcPr>
          <w:p w:rsidR="00000000" w:rsidRDefault="00000000">
            <w:pPr>
              <w:spacing w:after="120" w:line="240" w:lineRule="auto"/>
              <w:jc w:val="right"/>
              <w:rPr>
                <w:sz w:val="17"/>
              </w:rPr>
            </w:pPr>
            <w:r>
              <w:rPr>
                <w:sz w:val="17"/>
              </w:rPr>
              <w:t>64,5</w:t>
            </w:r>
          </w:p>
        </w:tc>
      </w:tr>
      <w:tr w:rsidR="00000000">
        <w:tblPrEx>
          <w:tblCellMar>
            <w:top w:w="0" w:type="dxa"/>
            <w:left w:w="0" w:type="dxa"/>
            <w:bottom w:w="0" w:type="dxa"/>
            <w:right w:w="0" w:type="dxa"/>
          </w:tblCellMar>
        </w:tblPrEx>
        <w:tc>
          <w:tcPr>
            <w:tcW w:w="1620" w:type="dxa"/>
          </w:tcPr>
          <w:p w:rsidR="00000000" w:rsidRDefault="00000000">
            <w:pPr>
              <w:spacing w:after="120" w:line="240" w:lineRule="auto"/>
              <w:rPr>
                <w:sz w:val="17"/>
              </w:rPr>
            </w:pPr>
            <w:r>
              <w:rPr>
                <w:sz w:val="17"/>
              </w:rPr>
              <w:t>Хр</w:t>
            </w:r>
            <w:r>
              <w:rPr>
                <w:sz w:val="17"/>
              </w:rPr>
              <w:t>и</w:t>
            </w:r>
            <w:r>
              <w:rPr>
                <w:sz w:val="17"/>
              </w:rPr>
              <w:t>стиане</w:t>
            </w:r>
          </w:p>
        </w:tc>
        <w:tc>
          <w:tcPr>
            <w:tcW w:w="810" w:type="dxa"/>
          </w:tcPr>
          <w:p w:rsidR="00000000" w:rsidRDefault="00000000">
            <w:pPr>
              <w:spacing w:after="120" w:line="240" w:lineRule="auto"/>
              <w:jc w:val="right"/>
              <w:rPr>
                <w:sz w:val="17"/>
              </w:rPr>
            </w:pPr>
            <w:r>
              <w:rPr>
                <w:sz w:val="17"/>
              </w:rPr>
              <w:t>62,7</w:t>
            </w:r>
          </w:p>
        </w:tc>
        <w:tc>
          <w:tcPr>
            <w:tcW w:w="1170" w:type="dxa"/>
          </w:tcPr>
          <w:p w:rsidR="00000000" w:rsidRDefault="00000000">
            <w:pPr>
              <w:spacing w:after="120" w:line="240" w:lineRule="auto"/>
              <w:jc w:val="right"/>
              <w:rPr>
                <w:sz w:val="17"/>
              </w:rPr>
            </w:pPr>
            <w:r>
              <w:rPr>
                <w:sz w:val="17"/>
              </w:rPr>
              <w:t>63,9</w:t>
            </w:r>
          </w:p>
        </w:tc>
        <w:tc>
          <w:tcPr>
            <w:tcW w:w="1166" w:type="dxa"/>
          </w:tcPr>
          <w:p w:rsidR="00000000" w:rsidRDefault="00000000">
            <w:pPr>
              <w:spacing w:after="120" w:line="240" w:lineRule="auto"/>
              <w:jc w:val="right"/>
              <w:rPr>
                <w:sz w:val="17"/>
              </w:rPr>
            </w:pPr>
            <w:r>
              <w:rPr>
                <w:sz w:val="17"/>
              </w:rPr>
              <w:t>58,4</w:t>
            </w:r>
          </w:p>
        </w:tc>
        <w:tc>
          <w:tcPr>
            <w:tcW w:w="1166" w:type="dxa"/>
          </w:tcPr>
          <w:p w:rsidR="00000000" w:rsidRDefault="00000000">
            <w:pPr>
              <w:spacing w:after="120" w:line="240" w:lineRule="auto"/>
              <w:jc w:val="right"/>
              <w:rPr>
                <w:sz w:val="17"/>
              </w:rPr>
            </w:pPr>
            <w:r>
              <w:rPr>
                <w:sz w:val="17"/>
              </w:rPr>
              <w:t>34,5</w:t>
            </w:r>
          </w:p>
        </w:tc>
        <w:tc>
          <w:tcPr>
            <w:tcW w:w="1166" w:type="dxa"/>
          </w:tcPr>
          <w:p w:rsidR="00000000" w:rsidRDefault="00000000">
            <w:pPr>
              <w:spacing w:after="120" w:line="240" w:lineRule="auto"/>
              <w:jc w:val="right"/>
              <w:rPr>
                <w:sz w:val="17"/>
              </w:rPr>
            </w:pPr>
            <w:r>
              <w:rPr>
                <w:sz w:val="17"/>
              </w:rPr>
              <w:t>-</w:t>
            </w:r>
          </w:p>
        </w:tc>
      </w:tr>
      <w:tr w:rsidR="00000000">
        <w:tblPrEx>
          <w:tblCellMar>
            <w:top w:w="0" w:type="dxa"/>
            <w:left w:w="0" w:type="dxa"/>
            <w:bottom w:w="0" w:type="dxa"/>
            <w:right w:w="0" w:type="dxa"/>
          </w:tblCellMar>
        </w:tblPrEx>
        <w:tc>
          <w:tcPr>
            <w:tcW w:w="1620" w:type="dxa"/>
          </w:tcPr>
          <w:p w:rsidR="00000000" w:rsidRDefault="00000000">
            <w:pPr>
              <w:spacing w:after="120" w:line="240" w:lineRule="auto"/>
              <w:rPr>
                <w:sz w:val="17"/>
              </w:rPr>
            </w:pPr>
            <w:r>
              <w:rPr>
                <w:sz w:val="17"/>
              </w:rPr>
              <w:t>Друзы</w:t>
            </w:r>
          </w:p>
        </w:tc>
        <w:tc>
          <w:tcPr>
            <w:tcW w:w="810" w:type="dxa"/>
          </w:tcPr>
          <w:p w:rsidR="00000000" w:rsidRDefault="00000000">
            <w:pPr>
              <w:spacing w:after="120" w:line="240" w:lineRule="auto"/>
              <w:jc w:val="right"/>
              <w:rPr>
                <w:sz w:val="17"/>
              </w:rPr>
            </w:pPr>
            <w:r>
              <w:rPr>
                <w:sz w:val="17"/>
              </w:rPr>
              <w:t>49,9</w:t>
            </w:r>
          </w:p>
        </w:tc>
        <w:tc>
          <w:tcPr>
            <w:tcW w:w="1170" w:type="dxa"/>
          </w:tcPr>
          <w:p w:rsidR="00000000" w:rsidRDefault="00000000">
            <w:pPr>
              <w:spacing w:after="120" w:line="240" w:lineRule="auto"/>
              <w:jc w:val="right"/>
              <w:rPr>
                <w:sz w:val="17"/>
              </w:rPr>
            </w:pPr>
            <w:r>
              <w:rPr>
                <w:sz w:val="17"/>
              </w:rPr>
              <w:t>53,3</w:t>
            </w:r>
          </w:p>
        </w:tc>
        <w:tc>
          <w:tcPr>
            <w:tcW w:w="1166" w:type="dxa"/>
          </w:tcPr>
          <w:p w:rsidR="00000000" w:rsidRDefault="00000000">
            <w:pPr>
              <w:spacing w:after="120" w:line="240" w:lineRule="auto"/>
              <w:jc w:val="right"/>
              <w:rPr>
                <w:sz w:val="17"/>
              </w:rPr>
            </w:pPr>
            <w:r>
              <w:rPr>
                <w:sz w:val="17"/>
              </w:rPr>
              <w:t>33,7</w:t>
            </w:r>
          </w:p>
        </w:tc>
        <w:tc>
          <w:tcPr>
            <w:tcW w:w="1166" w:type="dxa"/>
          </w:tcPr>
          <w:p w:rsidR="00000000" w:rsidRDefault="00000000">
            <w:pPr>
              <w:spacing w:after="120" w:line="240" w:lineRule="auto"/>
              <w:jc w:val="right"/>
              <w:rPr>
                <w:sz w:val="17"/>
              </w:rPr>
            </w:pPr>
            <w:r>
              <w:rPr>
                <w:sz w:val="17"/>
              </w:rPr>
              <w:t>-</w:t>
            </w:r>
          </w:p>
        </w:tc>
        <w:tc>
          <w:tcPr>
            <w:tcW w:w="1166" w:type="dxa"/>
          </w:tcPr>
          <w:p w:rsidR="00000000" w:rsidRDefault="00000000">
            <w:pPr>
              <w:spacing w:after="120" w:line="240" w:lineRule="auto"/>
              <w:jc w:val="right"/>
              <w:rPr>
                <w:sz w:val="17"/>
              </w:rPr>
            </w:pPr>
            <w:r>
              <w:rPr>
                <w:sz w:val="17"/>
              </w:rPr>
              <w:t>-</w:t>
            </w:r>
          </w:p>
        </w:tc>
      </w:tr>
      <w:tr w:rsidR="00000000">
        <w:tblPrEx>
          <w:tblCellMar>
            <w:top w:w="0" w:type="dxa"/>
            <w:left w:w="0" w:type="dxa"/>
            <w:bottom w:w="0" w:type="dxa"/>
            <w:right w:w="0" w:type="dxa"/>
          </w:tblCellMar>
        </w:tblPrEx>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ind w:left="288" w:right="40" w:hanging="288"/>
              <w:rPr>
                <w:sz w:val="17"/>
              </w:rPr>
            </w:pPr>
          </w:p>
        </w:tc>
        <w:tc>
          <w:tcPr>
            <w:tcW w:w="810" w:type="dxa"/>
            <w:tcBorders>
              <w:bottom w:val="single" w:sz="12" w:space="0" w:color="auto"/>
            </w:tcBorders>
            <w:vAlign w:val="bottom"/>
          </w:tcPr>
          <w:p w:rsidR="00000000" w:rsidRDefault="00000000">
            <w:pPr>
              <w:jc w:val="right"/>
              <w:rPr>
                <w:sz w:val="17"/>
              </w:rPr>
            </w:pPr>
          </w:p>
        </w:tc>
        <w:tc>
          <w:tcPr>
            <w:tcW w:w="1170" w:type="dxa"/>
            <w:tcBorders>
              <w:bottom w:val="single" w:sz="12" w:space="0" w:color="auto"/>
            </w:tcBorders>
            <w:vAlign w:val="bottom"/>
          </w:tcPr>
          <w:p w:rsidR="00000000" w:rsidRDefault="00000000">
            <w:pPr>
              <w:jc w:val="right"/>
              <w:rPr>
                <w:sz w:val="17"/>
              </w:rPr>
            </w:pPr>
          </w:p>
        </w:tc>
        <w:tc>
          <w:tcPr>
            <w:tcW w:w="1166" w:type="dxa"/>
            <w:tcBorders>
              <w:bottom w:val="single" w:sz="12" w:space="0" w:color="auto"/>
            </w:tcBorders>
            <w:vAlign w:val="bottom"/>
          </w:tcPr>
          <w:p w:rsidR="00000000" w:rsidRDefault="00000000">
            <w:pPr>
              <w:jc w:val="right"/>
              <w:rPr>
                <w:sz w:val="17"/>
              </w:rPr>
            </w:pPr>
          </w:p>
        </w:tc>
        <w:tc>
          <w:tcPr>
            <w:tcW w:w="1166" w:type="dxa"/>
            <w:tcBorders>
              <w:bottom w:val="single" w:sz="12" w:space="0" w:color="auto"/>
            </w:tcBorders>
            <w:vAlign w:val="bottom"/>
          </w:tcPr>
          <w:p w:rsidR="00000000" w:rsidRDefault="00000000">
            <w:pPr>
              <w:jc w:val="right"/>
              <w:rPr>
                <w:sz w:val="17"/>
              </w:rPr>
            </w:pPr>
          </w:p>
        </w:tc>
        <w:tc>
          <w:tcPr>
            <w:tcW w:w="1166" w:type="dxa"/>
            <w:tcBorders>
              <w:bottom w:val="single" w:sz="12" w:space="0" w:color="auto"/>
            </w:tcBorders>
            <w:vAlign w:val="bottom"/>
          </w:tcPr>
          <w:p w:rsidR="00000000" w:rsidRDefault="00000000">
            <w:pPr>
              <w:jc w:val="right"/>
              <w:rPr>
                <w:sz w:val="17"/>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i/>
        </w:rPr>
      </w:pPr>
      <w:r>
        <w:rPr>
          <w:i/>
        </w:rPr>
        <w:t xml:space="preserve">Источник: </w:t>
      </w:r>
      <w:r>
        <w:t>Совет по высшему образованию, 2004 год.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5" w:right="1267" w:firstLine="172"/>
      </w:pPr>
      <w:r>
        <w:t>Женщины на преподавательских должностях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258.</w:t>
      </w:r>
      <w:r>
        <w:tab/>
        <w:t>В 2001 году женщины занимали 24 процента должностей старших преп</w:t>
      </w:r>
      <w:r>
        <w:t>о</w:t>
      </w:r>
      <w:r>
        <w:t>давателей, финансируемых из бюджета Совета по высшему образованию, по сравнению с 20 процентами в 1992/93 году. В период 1993-2003 годов 360 с</w:t>
      </w:r>
      <w:r>
        <w:t>о</w:t>
      </w:r>
      <w:r>
        <w:t>трудников были назначены на должность профессора, которая дает не только более высокий доход, но и влияние в научных кругах. Среди назначенных на эти должности женщин было всего лишь 78 (около 20 процентов). До насто</w:t>
      </w:r>
      <w:r>
        <w:t>я</w:t>
      </w:r>
      <w:r>
        <w:t>щего времени ни одна женщина не занимала должность президента универс</w:t>
      </w:r>
      <w:r>
        <w:t>и</w:t>
      </w:r>
      <w:r>
        <w:t xml:space="preserve">тета, а всего лишь две женщины выполняли обязанности ректора.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259.</w:t>
      </w:r>
      <w:r>
        <w:tab/>
        <w:t>В 1988 году НПО "Женское лобби" обратилась к руководству совета ун</w:t>
      </w:r>
      <w:r>
        <w:t>и</w:t>
      </w:r>
      <w:r>
        <w:t>верситетов с предложением назначить в каждом университете советника пр</w:t>
      </w:r>
      <w:r>
        <w:t>е</w:t>
      </w:r>
      <w:r>
        <w:t>зидента по проблемам женщин. Такие советники в настоящее время работают во всех государственных университетах. В апреле</w:t>
      </w:r>
      <w:r>
        <w:rPr>
          <w:lang w:val="fr-CA"/>
        </w:rPr>
        <w:t xml:space="preserve"> 2003 </w:t>
      </w:r>
      <w:r>
        <w:t>года аналогичное пре</w:t>
      </w:r>
      <w:r>
        <w:t>д</w:t>
      </w:r>
      <w:r>
        <w:t xml:space="preserve">ложение получили и руководители высших училищ.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56"/>
        <w:ind w:left="2376" w:right="1267" w:hanging="1138"/>
      </w:pPr>
      <w:r>
        <w:t>Таблица 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b w:val="0"/>
        </w:rPr>
      </w:pPr>
      <w:r>
        <w:tab/>
      </w:r>
      <w:r>
        <w:tab/>
        <w:t>Женщины на преподавательских должностях в высших учебных заведениях Израиля, 2001-2001 годы</w:t>
      </w:r>
    </w:p>
    <w:p w:rsidR="00000000" w:rsidRDefault="00000000">
      <w:pPr>
        <w:pStyle w:val="SingleTxt"/>
        <w:keepNext/>
        <w:spacing w:after="0" w:line="240" w:lineRule="auto"/>
        <w:rPr>
          <w:sz w:val="10"/>
        </w:rPr>
      </w:pPr>
    </w:p>
    <w:p w:rsidR="00000000" w:rsidRDefault="00000000">
      <w:pPr>
        <w:pStyle w:val="SingleTxt"/>
        <w:keepNext/>
        <w:spacing w:after="0" w:line="240" w:lineRule="auto"/>
        <w:rPr>
          <w:sz w:val="10"/>
        </w:rPr>
      </w:pPr>
    </w:p>
    <w:tbl>
      <w:tblPr>
        <w:tblW w:w="0" w:type="auto"/>
        <w:tblInd w:w="1270" w:type="dxa"/>
        <w:tblLayout w:type="fixed"/>
        <w:tblCellMar>
          <w:left w:w="0" w:type="dxa"/>
          <w:right w:w="0" w:type="dxa"/>
        </w:tblCellMar>
        <w:tblLook w:val="0000" w:firstRow="0" w:lastRow="0" w:firstColumn="0" w:lastColumn="0" w:noHBand="0" w:noVBand="0"/>
      </w:tblPr>
      <w:tblGrid>
        <w:gridCol w:w="2880"/>
        <w:gridCol w:w="990"/>
        <w:gridCol w:w="810"/>
        <w:gridCol w:w="810"/>
        <w:gridCol w:w="720"/>
        <w:gridCol w:w="1170"/>
      </w:tblGrid>
      <w:tr w:rsidR="00000000">
        <w:tblPrEx>
          <w:tblCellMar>
            <w:top w:w="0" w:type="dxa"/>
            <w:left w:w="0" w:type="dxa"/>
            <w:bottom w:w="0" w:type="dxa"/>
            <w:right w:w="0" w:type="dxa"/>
          </w:tblCellMar>
        </w:tblPrEx>
        <w:trPr>
          <w:tblHeader/>
        </w:trPr>
        <w:tc>
          <w:tcPr>
            <w:tcW w:w="2880" w:type="dxa"/>
            <w:tcBorders>
              <w:top w:val="single" w:sz="4" w:space="0" w:color="auto"/>
            </w:tcBorders>
          </w:tcPr>
          <w:p w:rsidR="00000000" w:rsidRDefault="00000000">
            <w:pPr>
              <w:keepNext/>
              <w:spacing w:after="120" w:line="240" w:lineRule="auto"/>
              <w:ind w:left="176"/>
              <w:jc w:val="right"/>
              <w:rPr>
                <w:i/>
                <w:color w:val="000000"/>
                <w:sz w:val="14"/>
                <w:lang w:val="fr-CA"/>
              </w:rPr>
            </w:pPr>
          </w:p>
        </w:tc>
        <w:tc>
          <w:tcPr>
            <w:tcW w:w="990" w:type="dxa"/>
            <w:tcBorders>
              <w:top w:val="single" w:sz="4" w:space="0" w:color="auto"/>
            </w:tcBorders>
            <w:vAlign w:val="bottom"/>
          </w:tcPr>
          <w:p w:rsidR="00000000" w:rsidRDefault="00000000">
            <w:pPr>
              <w:keepNext/>
              <w:spacing w:after="120" w:line="240" w:lineRule="auto"/>
              <w:ind w:left="1"/>
              <w:jc w:val="right"/>
              <w:rPr>
                <w:i/>
                <w:color w:val="000000"/>
                <w:sz w:val="14"/>
              </w:rPr>
            </w:pPr>
            <w:r>
              <w:rPr>
                <w:i/>
                <w:color w:val="000000"/>
                <w:sz w:val="14"/>
              </w:rPr>
              <w:t>Учебные зав</w:t>
            </w:r>
            <w:r>
              <w:rPr>
                <w:i/>
                <w:color w:val="000000"/>
                <w:sz w:val="14"/>
              </w:rPr>
              <w:t>е</w:t>
            </w:r>
            <w:r>
              <w:rPr>
                <w:i/>
                <w:color w:val="000000"/>
                <w:sz w:val="14"/>
              </w:rPr>
              <w:t>д</w:t>
            </w:r>
            <w:r>
              <w:rPr>
                <w:i/>
                <w:color w:val="000000"/>
                <w:sz w:val="14"/>
              </w:rPr>
              <w:t>е</w:t>
            </w:r>
            <w:r>
              <w:rPr>
                <w:i/>
                <w:color w:val="000000"/>
                <w:sz w:val="14"/>
              </w:rPr>
              <w:t>ния и курсы</w:t>
            </w:r>
          </w:p>
        </w:tc>
        <w:tc>
          <w:tcPr>
            <w:tcW w:w="810" w:type="dxa"/>
            <w:tcBorders>
              <w:top w:val="single" w:sz="4" w:space="0" w:color="auto"/>
            </w:tcBorders>
            <w:vAlign w:val="bottom"/>
          </w:tcPr>
          <w:p w:rsidR="00000000" w:rsidRDefault="00000000">
            <w:pPr>
              <w:keepNext/>
              <w:spacing w:after="120" w:line="240" w:lineRule="auto"/>
              <w:ind w:left="27"/>
              <w:jc w:val="right"/>
              <w:rPr>
                <w:i/>
                <w:color w:val="000000"/>
                <w:sz w:val="14"/>
              </w:rPr>
            </w:pPr>
            <w:r>
              <w:rPr>
                <w:i/>
                <w:color w:val="000000"/>
                <w:sz w:val="14"/>
              </w:rPr>
              <w:t>Женщ</w:t>
            </w:r>
            <w:r>
              <w:rPr>
                <w:i/>
                <w:color w:val="000000"/>
                <w:sz w:val="14"/>
              </w:rPr>
              <w:t>и</w:t>
            </w:r>
            <w:r>
              <w:rPr>
                <w:i/>
                <w:color w:val="000000"/>
                <w:sz w:val="14"/>
              </w:rPr>
              <w:t>ны</w:t>
            </w:r>
          </w:p>
        </w:tc>
        <w:tc>
          <w:tcPr>
            <w:tcW w:w="810" w:type="dxa"/>
            <w:tcBorders>
              <w:top w:val="single" w:sz="4" w:space="0" w:color="auto"/>
            </w:tcBorders>
            <w:vAlign w:val="bottom"/>
          </w:tcPr>
          <w:p w:rsidR="00000000" w:rsidRDefault="00000000">
            <w:pPr>
              <w:keepNext/>
              <w:spacing w:after="120" w:line="240" w:lineRule="auto"/>
              <w:ind w:left="4"/>
              <w:jc w:val="right"/>
              <w:rPr>
                <w:i/>
                <w:color w:val="000000"/>
                <w:sz w:val="14"/>
              </w:rPr>
            </w:pPr>
            <w:r>
              <w:rPr>
                <w:i/>
                <w:color w:val="000000"/>
                <w:sz w:val="14"/>
              </w:rPr>
              <w:t>Мужч</w:t>
            </w:r>
            <w:r>
              <w:rPr>
                <w:i/>
                <w:color w:val="000000"/>
                <w:sz w:val="14"/>
              </w:rPr>
              <w:t>и</w:t>
            </w:r>
            <w:r>
              <w:rPr>
                <w:i/>
                <w:color w:val="000000"/>
                <w:sz w:val="14"/>
              </w:rPr>
              <w:t>ны</w:t>
            </w:r>
          </w:p>
        </w:tc>
        <w:tc>
          <w:tcPr>
            <w:tcW w:w="720" w:type="dxa"/>
            <w:tcBorders>
              <w:top w:val="single" w:sz="4" w:space="0" w:color="auto"/>
            </w:tcBorders>
            <w:vAlign w:val="bottom"/>
          </w:tcPr>
          <w:p w:rsidR="00000000" w:rsidRDefault="00000000">
            <w:pPr>
              <w:keepNext/>
              <w:spacing w:after="120" w:line="240" w:lineRule="auto"/>
              <w:jc w:val="right"/>
              <w:rPr>
                <w:i/>
                <w:color w:val="000000"/>
                <w:sz w:val="14"/>
              </w:rPr>
            </w:pPr>
            <w:r>
              <w:rPr>
                <w:i/>
                <w:color w:val="000000"/>
                <w:sz w:val="14"/>
              </w:rPr>
              <w:t>Всего</w:t>
            </w:r>
          </w:p>
        </w:tc>
        <w:tc>
          <w:tcPr>
            <w:tcW w:w="1170" w:type="dxa"/>
            <w:tcBorders>
              <w:top w:val="single" w:sz="4" w:space="0" w:color="auto"/>
            </w:tcBorders>
            <w:vAlign w:val="bottom"/>
          </w:tcPr>
          <w:p w:rsidR="00000000" w:rsidRDefault="00000000">
            <w:pPr>
              <w:keepNext/>
              <w:suppressAutoHyphens/>
              <w:spacing w:after="120" w:line="240" w:lineRule="auto"/>
              <w:jc w:val="right"/>
              <w:rPr>
                <w:i/>
                <w:color w:val="000000"/>
                <w:sz w:val="14"/>
              </w:rPr>
            </w:pPr>
            <w:r>
              <w:rPr>
                <w:i/>
                <w:color w:val="000000"/>
                <w:sz w:val="14"/>
              </w:rPr>
              <w:t>Доля женщин в % от ит</w:t>
            </w:r>
            <w:r>
              <w:rPr>
                <w:i/>
                <w:color w:val="000000"/>
                <w:sz w:val="14"/>
              </w:rPr>
              <w:t>о</w:t>
            </w:r>
            <w:r>
              <w:rPr>
                <w:i/>
                <w:color w:val="000000"/>
                <w:sz w:val="14"/>
              </w:rPr>
              <w:t>га</w:t>
            </w:r>
          </w:p>
        </w:tc>
      </w:tr>
      <w:tr w:rsidR="00000000">
        <w:tblPrEx>
          <w:tblCellMar>
            <w:top w:w="0" w:type="dxa"/>
            <w:left w:w="0" w:type="dxa"/>
            <w:bottom w:w="0" w:type="dxa"/>
            <w:right w:w="0" w:type="dxa"/>
          </w:tblCellMar>
        </w:tblPrEx>
        <w:trPr>
          <w:trHeight w:hRule="exact" w:val="115"/>
          <w:tblHeader/>
        </w:trPr>
        <w:tc>
          <w:tcPr>
            <w:tcW w:w="2880" w:type="dxa"/>
            <w:tcBorders>
              <w:top w:val="single" w:sz="12" w:space="0" w:color="auto"/>
            </w:tcBorders>
            <w:vAlign w:val="bottom"/>
          </w:tcPr>
          <w:p w:rsidR="00000000" w:rsidRDefault="00000000">
            <w:pPr>
              <w:tabs>
                <w:tab w:val="left" w:pos="288"/>
                <w:tab w:val="left" w:pos="576"/>
                <w:tab w:val="left" w:pos="864"/>
                <w:tab w:val="left" w:pos="1152"/>
              </w:tabs>
              <w:spacing w:before="40" w:after="40"/>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ind w:right="40"/>
              <w:jc w:val="right"/>
              <w:rPr>
                <w:sz w:val="17"/>
              </w:rPr>
            </w:pPr>
          </w:p>
        </w:tc>
        <w:tc>
          <w:tcPr>
            <w:tcW w:w="810" w:type="dxa"/>
            <w:tcBorders>
              <w:top w:val="single" w:sz="12" w:space="0" w:color="auto"/>
            </w:tcBorders>
          </w:tcPr>
          <w:p w:rsidR="00000000" w:rsidRDefault="00000000">
            <w:pPr>
              <w:tabs>
                <w:tab w:val="left" w:pos="288"/>
                <w:tab w:val="left" w:pos="576"/>
                <w:tab w:val="left" w:pos="864"/>
                <w:tab w:val="left" w:pos="1152"/>
              </w:tabs>
              <w:spacing w:before="40" w:after="40"/>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ind w:right="40"/>
              <w:jc w:val="right"/>
              <w:rPr>
                <w:sz w:val="17"/>
              </w:rPr>
            </w:pPr>
          </w:p>
        </w:tc>
      </w:tr>
      <w:tr w:rsidR="00000000">
        <w:tblPrEx>
          <w:tblCellMar>
            <w:top w:w="0" w:type="dxa"/>
            <w:left w:w="0" w:type="dxa"/>
            <w:bottom w:w="0" w:type="dxa"/>
            <w:right w:w="0" w:type="dxa"/>
          </w:tblCellMar>
        </w:tblPrEx>
        <w:tc>
          <w:tcPr>
            <w:tcW w:w="2880" w:type="dxa"/>
          </w:tcPr>
          <w:p w:rsidR="00000000" w:rsidRDefault="00000000">
            <w:pPr>
              <w:pStyle w:val="Heading8"/>
              <w:keepNext/>
              <w:suppressAutoHyphens/>
              <w:spacing w:before="0" w:after="120"/>
              <w:ind w:right="-108"/>
              <w:jc w:val="left"/>
              <w:rPr>
                <w:b/>
                <w:i w:val="0"/>
                <w:sz w:val="17"/>
                <w:lang w:val="ru-RU"/>
              </w:rPr>
            </w:pPr>
            <w:r>
              <w:rPr>
                <w:b/>
                <w:i w:val="0"/>
                <w:sz w:val="17"/>
                <w:lang w:val="ru-RU"/>
              </w:rPr>
              <w:t>Общее число учебных заведений</w:t>
            </w:r>
          </w:p>
        </w:tc>
        <w:tc>
          <w:tcPr>
            <w:tcW w:w="990" w:type="dxa"/>
          </w:tcPr>
          <w:p w:rsidR="00000000" w:rsidRDefault="00000000">
            <w:pPr>
              <w:keepNext/>
              <w:spacing w:after="120" w:line="240" w:lineRule="auto"/>
              <w:ind w:left="167"/>
              <w:jc w:val="right"/>
              <w:rPr>
                <w:color w:val="000000"/>
                <w:sz w:val="17"/>
              </w:rPr>
            </w:pPr>
            <w:r>
              <w:rPr>
                <w:color w:val="000000"/>
                <w:sz w:val="17"/>
              </w:rPr>
              <w:t>50</w:t>
            </w:r>
          </w:p>
        </w:tc>
        <w:tc>
          <w:tcPr>
            <w:tcW w:w="810" w:type="dxa"/>
          </w:tcPr>
          <w:p w:rsidR="00000000" w:rsidRDefault="00000000">
            <w:pPr>
              <w:keepNext/>
              <w:spacing w:after="120" w:line="240" w:lineRule="auto"/>
              <w:ind w:left="27"/>
              <w:jc w:val="right"/>
              <w:rPr>
                <w:color w:val="000000"/>
                <w:sz w:val="17"/>
              </w:rPr>
            </w:pPr>
            <w:r>
              <w:rPr>
                <w:color w:val="000000"/>
                <w:sz w:val="17"/>
              </w:rPr>
              <w:t>1 762,9</w:t>
            </w:r>
          </w:p>
        </w:tc>
        <w:tc>
          <w:tcPr>
            <w:tcW w:w="810" w:type="dxa"/>
          </w:tcPr>
          <w:p w:rsidR="00000000" w:rsidRDefault="00000000">
            <w:pPr>
              <w:keepNext/>
              <w:spacing w:after="120" w:line="240" w:lineRule="auto"/>
              <w:ind w:left="195"/>
              <w:jc w:val="right"/>
              <w:rPr>
                <w:color w:val="000000"/>
                <w:sz w:val="17"/>
              </w:rPr>
            </w:pPr>
            <w:r>
              <w:rPr>
                <w:color w:val="000000"/>
                <w:sz w:val="17"/>
              </w:rPr>
              <w:t>4 442,3</w:t>
            </w:r>
          </w:p>
        </w:tc>
        <w:tc>
          <w:tcPr>
            <w:tcW w:w="720" w:type="dxa"/>
          </w:tcPr>
          <w:p w:rsidR="00000000" w:rsidRDefault="00000000">
            <w:pPr>
              <w:keepNext/>
              <w:spacing w:after="120" w:line="240" w:lineRule="auto"/>
              <w:ind w:left="91"/>
              <w:jc w:val="right"/>
              <w:rPr>
                <w:color w:val="000000"/>
                <w:sz w:val="17"/>
              </w:rPr>
            </w:pPr>
            <w:r>
              <w:rPr>
                <w:color w:val="000000"/>
                <w:sz w:val="17"/>
              </w:rPr>
              <w:t>6 205.3</w:t>
            </w:r>
          </w:p>
        </w:tc>
        <w:tc>
          <w:tcPr>
            <w:tcW w:w="1170" w:type="dxa"/>
          </w:tcPr>
          <w:p w:rsidR="00000000" w:rsidRDefault="00000000">
            <w:pPr>
              <w:keepNext/>
              <w:spacing w:after="120" w:line="240" w:lineRule="auto"/>
              <w:ind w:left="57"/>
              <w:jc w:val="right"/>
              <w:rPr>
                <w:color w:val="000000"/>
                <w:sz w:val="17"/>
              </w:rPr>
            </w:pPr>
            <w:r>
              <w:rPr>
                <w:color w:val="000000"/>
                <w:sz w:val="17"/>
              </w:rPr>
              <w:t>28,4</w:t>
            </w:r>
          </w:p>
        </w:tc>
      </w:tr>
      <w:tr w:rsidR="00000000">
        <w:tblPrEx>
          <w:tblCellMar>
            <w:top w:w="0" w:type="dxa"/>
            <w:left w:w="0" w:type="dxa"/>
            <w:bottom w:w="0" w:type="dxa"/>
            <w:right w:w="0" w:type="dxa"/>
          </w:tblCellMar>
        </w:tblPrEx>
        <w:tc>
          <w:tcPr>
            <w:tcW w:w="2880" w:type="dxa"/>
          </w:tcPr>
          <w:p w:rsidR="00000000" w:rsidRDefault="00000000">
            <w:pPr>
              <w:suppressAutoHyphens/>
              <w:spacing w:after="120" w:line="240" w:lineRule="auto"/>
              <w:ind w:right="-108"/>
              <w:rPr>
                <w:color w:val="000000"/>
                <w:sz w:val="17"/>
              </w:rPr>
            </w:pPr>
            <w:r>
              <w:rPr>
                <w:color w:val="000000"/>
                <w:sz w:val="17"/>
              </w:rPr>
              <w:t>Университ</w:t>
            </w:r>
            <w:r>
              <w:rPr>
                <w:color w:val="000000"/>
                <w:sz w:val="17"/>
              </w:rPr>
              <w:t>е</w:t>
            </w:r>
            <w:r>
              <w:rPr>
                <w:color w:val="000000"/>
                <w:sz w:val="17"/>
              </w:rPr>
              <w:t>ты</w:t>
            </w:r>
          </w:p>
        </w:tc>
        <w:tc>
          <w:tcPr>
            <w:tcW w:w="990" w:type="dxa"/>
          </w:tcPr>
          <w:p w:rsidR="00000000" w:rsidRDefault="00000000">
            <w:pPr>
              <w:spacing w:after="120" w:line="240" w:lineRule="auto"/>
              <w:ind w:left="167"/>
              <w:jc w:val="right"/>
              <w:rPr>
                <w:color w:val="000000"/>
                <w:sz w:val="17"/>
              </w:rPr>
            </w:pPr>
            <w:r>
              <w:rPr>
                <w:color w:val="000000"/>
                <w:sz w:val="17"/>
              </w:rPr>
              <w:t>7</w:t>
            </w:r>
          </w:p>
        </w:tc>
        <w:tc>
          <w:tcPr>
            <w:tcW w:w="810" w:type="dxa"/>
          </w:tcPr>
          <w:p w:rsidR="00000000" w:rsidRDefault="00000000">
            <w:pPr>
              <w:spacing w:after="120" w:line="240" w:lineRule="auto"/>
              <w:ind w:left="27"/>
              <w:jc w:val="right"/>
              <w:rPr>
                <w:color w:val="000000"/>
                <w:sz w:val="17"/>
              </w:rPr>
            </w:pPr>
            <w:r>
              <w:rPr>
                <w:color w:val="000000"/>
                <w:sz w:val="17"/>
              </w:rPr>
              <w:t>1 139,7</w:t>
            </w:r>
          </w:p>
        </w:tc>
        <w:tc>
          <w:tcPr>
            <w:tcW w:w="810" w:type="dxa"/>
          </w:tcPr>
          <w:p w:rsidR="00000000" w:rsidRDefault="00000000">
            <w:pPr>
              <w:spacing w:after="120" w:line="240" w:lineRule="auto"/>
              <w:ind w:left="195"/>
              <w:jc w:val="right"/>
              <w:rPr>
                <w:color w:val="000000"/>
                <w:sz w:val="17"/>
              </w:rPr>
            </w:pPr>
            <w:r>
              <w:rPr>
                <w:color w:val="000000"/>
                <w:sz w:val="17"/>
              </w:rPr>
              <w:t>3 498,2</w:t>
            </w:r>
          </w:p>
        </w:tc>
        <w:tc>
          <w:tcPr>
            <w:tcW w:w="720" w:type="dxa"/>
          </w:tcPr>
          <w:p w:rsidR="00000000" w:rsidRDefault="00000000">
            <w:pPr>
              <w:spacing w:after="120" w:line="240" w:lineRule="auto"/>
              <w:ind w:left="91"/>
              <w:jc w:val="right"/>
              <w:rPr>
                <w:color w:val="000000"/>
                <w:sz w:val="17"/>
              </w:rPr>
            </w:pPr>
            <w:r>
              <w:rPr>
                <w:color w:val="000000"/>
                <w:sz w:val="17"/>
              </w:rPr>
              <w:t>4 637,8</w:t>
            </w:r>
          </w:p>
        </w:tc>
        <w:tc>
          <w:tcPr>
            <w:tcW w:w="1170" w:type="dxa"/>
          </w:tcPr>
          <w:p w:rsidR="00000000" w:rsidRDefault="00000000">
            <w:pPr>
              <w:spacing w:after="120" w:line="240" w:lineRule="auto"/>
              <w:ind w:left="57"/>
              <w:jc w:val="right"/>
              <w:rPr>
                <w:color w:val="000000"/>
                <w:sz w:val="17"/>
              </w:rPr>
            </w:pPr>
            <w:r>
              <w:rPr>
                <w:color w:val="000000"/>
                <w:sz w:val="17"/>
              </w:rPr>
              <w:t>24,6</w:t>
            </w:r>
          </w:p>
        </w:tc>
      </w:tr>
      <w:tr w:rsidR="00000000">
        <w:tblPrEx>
          <w:tblCellMar>
            <w:top w:w="0" w:type="dxa"/>
            <w:left w:w="0" w:type="dxa"/>
            <w:bottom w:w="0" w:type="dxa"/>
            <w:right w:w="0" w:type="dxa"/>
          </w:tblCellMar>
        </w:tblPrEx>
        <w:tc>
          <w:tcPr>
            <w:tcW w:w="2880" w:type="dxa"/>
          </w:tcPr>
          <w:p w:rsidR="00000000" w:rsidRDefault="00000000">
            <w:pPr>
              <w:suppressAutoHyphens/>
              <w:spacing w:after="120" w:line="240" w:lineRule="auto"/>
              <w:ind w:right="-108"/>
              <w:rPr>
                <w:color w:val="000000"/>
                <w:sz w:val="17"/>
              </w:rPr>
            </w:pPr>
            <w:r>
              <w:rPr>
                <w:color w:val="000000"/>
                <w:sz w:val="17"/>
              </w:rPr>
              <w:t>Открытый университет</w:t>
            </w:r>
          </w:p>
        </w:tc>
        <w:tc>
          <w:tcPr>
            <w:tcW w:w="990" w:type="dxa"/>
          </w:tcPr>
          <w:p w:rsidR="00000000" w:rsidRDefault="00000000">
            <w:pPr>
              <w:spacing w:after="120" w:line="240" w:lineRule="auto"/>
              <w:ind w:left="167"/>
              <w:jc w:val="right"/>
              <w:rPr>
                <w:color w:val="000000"/>
                <w:sz w:val="17"/>
              </w:rPr>
            </w:pPr>
            <w:r>
              <w:rPr>
                <w:color w:val="000000"/>
                <w:sz w:val="17"/>
              </w:rPr>
              <w:t>1</w:t>
            </w:r>
          </w:p>
        </w:tc>
        <w:tc>
          <w:tcPr>
            <w:tcW w:w="810" w:type="dxa"/>
          </w:tcPr>
          <w:p w:rsidR="00000000" w:rsidRDefault="00000000">
            <w:pPr>
              <w:spacing w:after="120" w:line="240" w:lineRule="auto"/>
              <w:ind w:left="27"/>
              <w:jc w:val="right"/>
              <w:rPr>
                <w:color w:val="000000"/>
                <w:sz w:val="17"/>
              </w:rPr>
            </w:pPr>
            <w:r>
              <w:rPr>
                <w:color w:val="000000"/>
                <w:sz w:val="17"/>
              </w:rPr>
              <w:t>20,5</w:t>
            </w:r>
          </w:p>
        </w:tc>
        <w:tc>
          <w:tcPr>
            <w:tcW w:w="810" w:type="dxa"/>
          </w:tcPr>
          <w:p w:rsidR="00000000" w:rsidRDefault="00000000">
            <w:pPr>
              <w:spacing w:after="120" w:line="240" w:lineRule="auto"/>
              <w:ind w:left="195"/>
              <w:jc w:val="right"/>
              <w:rPr>
                <w:color w:val="000000"/>
                <w:sz w:val="17"/>
              </w:rPr>
            </w:pPr>
            <w:r>
              <w:rPr>
                <w:color w:val="000000"/>
                <w:sz w:val="17"/>
              </w:rPr>
              <w:t>33,1</w:t>
            </w:r>
          </w:p>
        </w:tc>
        <w:tc>
          <w:tcPr>
            <w:tcW w:w="720" w:type="dxa"/>
          </w:tcPr>
          <w:p w:rsidR="00000000" w:rsidRDefault="00000000">
            <w:pPr>
              <w:spacing w:after="120" w:line="240" w:lineRule="auto"/>
              <w:ind w:left="91"/>
              <w:jc w:val="right"/>
              <w:rPr>
                <w:color w:val="000000"/>
                <w:sz w:val="17"/>
              </w:rPr>
            </w:pPr>
            <w:r>
              <w:rPr>
                <w:color w:val="000000"/>
                <w:sz w:val="17"/>
              </w:rPr>
              <w:t>53, 6</w:t>
            </w:r>
          </w:p>
        </w:tc>
        <w:tc>
          <w:tcPr>
            <w:tcW w:w="1170" w:type="dxa"/>
          </w:tcPr>
          <w:p w:rsidR="00000000" w:rsidRDefault="00000000">
            <w:pPr>
              <w:spacing w:after="120" w:line="240" w:lineRule="auto"/>
              <w:ind w:left="57"/>
              <w:jc w:val="right"/>
              <w:rPr>
                <w:color w:val="000000"/>
                <w:sz w:val="17"/>
              </w:rPr>
            </w:pPr>
            <w:r>
              <w:rPr>
                <w:color w:val="000000"/>
                <w:sz w:val="17"/>
              </w:rPr>
              <w:t>38,3</w:t>
            </w:r>
          </w:p>
        </w:tc>
      </w:tr>
      <w:tr w:rsidR="00000000">
        <w:tblPrEx>
          <w:tblCellMar>
            <w:top w:w="0" w:type="dxa"/>
            <w:left w:w="0" w:type="dxa"/>
            <w:bottom w:w="0" w:type="dxa"/>
            <w:right w:w="0" w:type="dxa"/>
          </w:tblCellMar>
        </w:tblPrEx>
        <w:tc>
          <w:tcPr>
            <w:tcW w:w="2880" w:type="dxa"/>
          </w:tcPr>
          <w:p w:rsidR="00000000" w:rsidRDefault="00000000">
            <w:pPr>
              <w:suppressAutoHyphens/>
              <w:spacing w:after="120" w:line="240" w:lineRule="auto"/>
              <w:ind w:right="-108"/>
              <w:rPr>
                <w:color w:val="000000"/>
                <w:sz w:val="17"/>
              </w:rPr>
            </w:pPr>
            <w:r>
              <w:rPr>
                <w:color w:val="000000"/>
                <w:sz w:val="17"/>
              </w:rPr>
              <w:t>Учебные заведения, не являющиеся университетами (финансируемые Советом по высшему образованию, Комитетом по планированию и бюджету)</w:t>
            </w:r>
          </w:p>
        </w:tc>
        <w:tc>
          <w:tcPr>
            <w:tcW w:w="990" w:type="dxa"/>
          </w:tcPr>
          <w:p w:rsidR="00000000" w:rsidRDefault="00000000">
            <w:pPr>
              <w:spacing w:after="120" w:line="240" w:lineRule="auto"/>
              <w:ind w:left="167"/>
              <w:jc w:val="right"/>
              <w:rPr>
                <w:color w:val="000000"/>
                <w:sz w:val="17"/>
              </w:rPr>
            </w:pPr>
            <w:r>
              <w:rPr>
                <w:color w:val="000000"/>
                <w:sz w:val="17"/>
              </w:rPr>
              <w:t>21</w:t>
            </w:r>
          </w:p>
        </w:tc>
        <w:tc>
          <w:tcPr>
            <w:tcW w:w="810" w:type="dxa"/>
          </w:tcPr>
          <w:p w:rsidR="00000000" w:rsidRDefault="00000000">
            <w:pPr>
              <w:spacing w:after="120" w:line="240" w:lineRule="auto"/>
              <w:ind w:left="27"/>
              <w:jc w:val="right"/>
              <w:rPr>
                <w:color w:val="000000"/>
                <w:sz w:val="17"/>
              </w:rPr>
            </w:pPr>
            <w:r>
              <w:rPr>
                <w:color w:val="000000"/>
                <w:sz w:val="17"/>
              </w:rPr>
              <w:t>229,5</w:t>
            </w:r>
          </w:p>
        </w:tc>
        <w:tc>
          <w:tcPr>
            <w:tcW w:w="810" w:type="dxa"/>
          </w:tcPr>
          <w:p w:rsidR="00000000" w:rsidRDefault="00000000">
            <w:pPr>
              <w:spacing w:after="120" w:line="240" w:lineRule="auto"/>
              <w:ind w:left="195"/>
              <w:jc w:val="right"/>
              <w:rPr>
                <w:color w:val="000000"/>
                <w:sz w:val="17"/>
              </w:rPr>
            </w:pPr>
            <w:r>
              <w:rPr>
                <w:color w:val="000000"/>
                <w:sz w:val="17"/>
              </w:rPr>
              <w:t>663,4</w:t>
            </w:r>
          </w:p>
        </w:tc>
        <w:tc>
          <w:tcPr>
            <w:tcW w:w="720" w:type="dxa"/>
          </w:tcPr>
          <w:p w:rsidR="00000000" w:rsidRDefault="00000000">
            <w:pPr>
              <w:spacing w:after="120" w:line="240" w:lineRule="auto"/>
              <w:ind w:left="91"/>
              <w:jc w:val="right"/>
              <w:rPr>
                <w:color w:val="000000"/>
                <w:sz w:val="17"/>
              </w:rPr>
            </w:pPr>
            <w:r>
              <w:rPr>
                <w:color w:val="000000"/>
                <w:sz w:val="17"/>
              </w:rPr>
              <w:t>893,0</w:t>
            </w:r>
          </w:p>
        </w:tc>
        <w:tc>
          <w:tcPr>
            <w:tcW w:w="1170" w:type="dxa"/>
          </w:tcPr>
          <w:p w:rsidR="00000000" w:rsidRDefault="00000000">
            <w:pPr>
              <w:spacing w:after="120" w:line="240" w:lineRule="auto"/>
              <w:ind w:left="57"/>
              <w:jc w:val="right"/>
              <w:rPr>
                <w:color w:val="000000"/>
                <w:sz w:val="17"/>
              </w:rPr>
            </w:pPr>
            <w:r>
              <w:rPr>
                <w:color w:val="000000"/>
                <w:sz w:val="17"/>
              </w:rPr>
              <w:t>25,7</w:t>
            </w:r>
          </w:p>
        </w:tc>
      </w:tr>
      <w:tr w:rsidR="00000000">
        <w:tblPrEx>
          <w:tblCellMar>
            <w:top w:w="0" w:type="dxa"/>
            <w:left w:w="0" w:type="dxa"/>
            <w:bottom w:w="0" w:type="dxa"/>
            <w:right w:w="0" w:type="dxa"/>
          </w:tblCellMar>
        </w:tblPrEx>
        <w:tc>
          <w:tcPr>
            <w:tcW w:w="2880" w:type="dxa"/>
            <w:tcBorders>
              <w:bottom w:val="single" w:sz="12" w:space="0" w:color="auto"/>
            </w:tcBorders>
          </w:tcPr>
          <w:p w:rsidR="00000000" w:rsidRDefault="00000000">
            <w:pPr>
              <w:suppressAutoHyphens/>
              <w:spacing w:after="120" w:line="240" w:lineRule="auto"/>
              <w:ind w:right="-115"/>
              <w:rPr>
                <w:color w:val="000000"/>
                <w:sz w:val="17"/>
              </w:rPr>
            </w:pPr>
            <w:r>
              <w:rPr>
                <w:color w:val="000000"/>
                <w:sz w:val="17"/>
              </w:rPr>
              <w:t>Педагогические училища</w:t>
            </w:r>
          </w:p>
        </w:tc>
        <w:tc>
          <w:tcPr>
            <w:tcW w:w="990" w:type="dxa"/>
            <w:tcBorders>
              <w:bottom w:val="single" w:sz="12" w:space="0" w:color="auto"/>
            </w:tcBorders>
          </w:tcPr>
          <w:p w:rsidR="00000000" w:rsidRDefault="00000000">
            <w:pPr>
              <w:spacing w:after="120" w:line="240" w:lineRule="auto"/>
              <w:ind w:left="167"/>
              <w:jc w:val="right"/>
              <w:rPr>
                <w:color w:val="000000"/>
                <w:sz w:val="17"/>
              </w:rPr>
            </w:pPr>
            <w:r>
              <w:rPr>
                <w:color w:val="000000"/>
                <w:sz w:val="17"/>
              </w:rPr>
              <w:t>21</w:t>
            </w:r>
          </w:p>
        </w:tc>
        <w:tc>
          <w:tcPr>
            <w:tcW w:w="810" w:type="dxa"/>
            <w:tcBorders>
              <w:bottom w:val="single" w:sz="12" w:space="0" w:color="auto"/>
            </w:tcBorders>
          </w:tcPr>
          <w:p w:rsidR="00000000" w:rsidRDefault="00000000">
            <w:pPr>
              <w:spacing w:after="120" w:line="240" w:lineRule="auto"/>
              <w:ind w:left="27"/>
              <w:jc w:val="right"/>
              <w:rPr>
                <w:color w:val="000000"/>
                <w:sz w:val="17"/>
              </w:rPr>
            </w:pPr>
            <w:r>
              <w:rPr>
                <w:color w:val="000000"/>
                <w:sz w:val="17"/>
              </w:rPr>
              <w:t>373,2</w:t>
            </w:r>
          </w:p>
        </w:tc>
        <w:tc>
          <w:tcPr>
            <w:tcW w:w="810" w:type="dxa"/>
            <w:tcBorders>
              <w:bottom w:val="single" w:sz="12" w:space="0" w:color="auto"/>
            </w:tcBorders>
          </w:tcPr>
          <w:p w:rsidR="00000000" w:rsidRDefault="00000000">
            <w:pPr>
              <w:spacing w:after="120" w:line="240" w:lineRule="auto"/>
              <w:ind w:left="195"/>
              <w:jc w:val="right"/>
              <w:rPr>
                <w:color w:val="000000"/>
                <w:sz w:val="17"/>
              </w:rPr>
            </w:pPr>
            <w:r>
              <w:rPr>
                <w:color w:val="000000"/>
                <w:sz w:val="17"/>
              </w:rPr>
              <w:t>247,7</w:t>
            </w:r>
          </w:p>
        </w:tc>
        <w:tc>
          <w:tcPr>
            <w:tcW w:w="720" w:type="dxa"/>
            <w:tcBorders>
              <w:bottom w:val="single" w:sz="12" w:space="0" w:color="auto"/>
            </w:tcBorders>
          </w:tcPr>
          <w:p w:rsidR="00000000" w:rsidRDefault="00000000">
            <w:pPr>
              <w:spacing w:after="120" w:line="240" w:lineRule="auto"/>
              <w:ind w:left="91"/>
              <w:jc w:val="right"/>
              <w:rPr>
                <w:color w:val="000000"/>
                <w:sz w:val="17"/>
              </w:rPr>
            </w:pPr>
            <w:r>
              <w:rPr>
                <w:color w:val="000000"/>
                <w:sz w:val="17"/>
              </w:rPr>
              <w:t>620,9</w:t>
            </w:r>
          </w:p>
        </w:tc>
        <w:tc>
          <w:tcPr>
            <w:tcW w:w="1170" w:type="dxa"/>
            <w:tcBorders>
              <w:bottom w:val="single" w:sz="12" w:space="0" w:color="auto"/>
            </w:tcBorders>
          </w:tcPr>
          <w:p w:rsidR="00000000" w:rsidRDefault="00000000">
            <w:pPr>
              <w:spacing w:after="120" w:line="240" w:lineRule="auto"/>
              <w:ind w:left="57"/>
              <w:jc w:val="right"/>
              <w:rPr>
                <w:color w:val="000000"/>
                <w:sz w:val="17"/>
              </w:rPr>
            </w:pPr>
            <w:r>
              <w:rPr>
                <w:color w:val="000000"/>
                <w:sz w:val="17"/>
              </w:rPr>
              <w:t>60,1</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i/>
        </w:rPr>
      </w:pPr>
      <w:r>
        <w:rPr>
          <w:i/>
        </w:rPr>
        <w:t>Источник</w:t>
      </w:r>
      <w:r>
        <w:t>: Министерство науки и техники, декабрь 2003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260.</w:t>
      </w:r>
      <w:r>
        <w:tab/>
        <w:t>Хотя на всех уровнях высшего образования женщин больше, чем мужчин, они составляют лишь 24 процента преподавателей, причем их доля меньше среди преподавателей инженерных специальностей, точных наук и технич</w:t>
      </w:r>
      <w:r>
        <w:t>е</w:t>
      </w:r>
      <w:r>
        <w:t>ских дисциплин. Например, что касается инженерных специальностей, то женщины составляют 25 процентов студентов и 12 процентов преподавателей, а что касается физики, то они составляют 36 процентов студентов и 8 проце</w:t>
      </w:r>
      <w:r>
        <w:t>н</w:t>
      </w:r>
      <w:r>
        <w:t>тов преподавателей. Ситуация складывается аналогичным образом и в альте</w:t>
      </w:r>
      <w:r>
        <w:t>р</w:t>
      </w:r>
      <w:r>
        <w:t>нативных учебных заведениях, где женщины составляют лишь 25 процентов старшего преподавательского состава.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261.</w:t>
      </w:r>
      <w:r>
        <w:tab/>
        <w:t>После представления нашего предыдущего доклада проблема недостато</w:t>
      </w:r>
      <w:r>
        <w:t>ч</w:t>
      </w:r>
      <w:r>
        <w:t>ной представленности женщин среди преподавателей, в особенности старшего их звена, продолжала оставаться в центре внимания. Комитет кнессета по п</w:t>
      </w:r>
      <w:r>
        <w:t>о</w:t>
      </w:r>
      <w:r>
        <w:t>ложению женщин привержен делу увеличения представленности женщин ср</w:t>
      </w:r>
      <w:r>
        <w:t>е</w:t>
      </w:r>
      <w:r>
        <w:t>ди преподавателей высших учебных заведений и провел ряд совещаний по данному вопросу.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r>
        <w:rPr>
          <w:sz w:val="10"/>
        </w:rPr>
        <w:br w:type="page"/>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5" w:right="1267" w:firstLine="172"/>
      </w:pPr>
      <w:r>
        <w:t xml:space="preserve">Женщины и гендерные исследования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262.</w:t>
      </w:r>
      <w:r>
        <w:tab/>
        <w:t>За последние несколько лет большинство университетов и некоторые др</w:t>
      </w:r>
      <w:r>
        <w:t>у</w:t>
      </w:r>
      <w:r>
        <w:t>гие высшие учебные заведения открыли кафедры по изучению женских и ге</w:t>
      </w:r>
      <w:r>
        <w:t>н</w:t>
      </w:r>
      <w:r>
        <w:t>дерных проблем, которые должны исследовать широкий круг тем, касающихся женщин и женственности. Исследования по женской и гендерной проблемат</w:t>
      </w:r>
      <w:r>
        <w:t>и</w:t>
      </w:r>
      <w:r>
        <w:t>ке имеют решающее значение для изучения положения женщин в обществе, дискриминации в отношении них и мер, которые следует принять для борьбы с дискриминацией.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Научно-техническое образование для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278" w:right="1267" w:hanging="11"/>
      </w:pPr>
      <w:r>
        <w:t>Инициативы, нацеленные на поощрение девочек к изучению научно-технических дисциплин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263.</w:t>
      </w:r>
      <w:r>
        <w:tab/>
        <w:t>Продолжалось осуществление инициатив, нацеленных на поощрение д</w:t>
      </w:r>
      <w:r>
        <w:t>е</w:t>
      </w:r>
      <w:r>
        <w:t>вочек к изучению научно-технических дисциплин. Эти программы включают: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264.</w:t>
      </w:r>
      <w:r>
        <w:tab/>
      </w:r>
      <w:r>
        <w:rPr>
          <w:i/>
        </w:rPr>
        <w:t>"Клуб женщин-ученых"</w:t>
      </w:r>
      <w:r>
        <w:t>, ориентированный на девочек, обучающихся в 6</w:t>
      </w:r>
      <w:r>
        <w:noBreakHyphen/>
        <w:t>х классах, проявляющих интерес к науке и технике и имеющих соответс</w:t>
      </w:r>
      <w:r>
        <w:t>т</w:t>
      </w:r>
      <w:r>
        <w:t xml:space="preserve">вующие знания, который поощряет их к тому, чтобы продолжать работать в этой области; </w:t>
      </w:r>
      <w:r>
        <w:rPr>
          <w:i/>
        </w:rPr>
        <w:t>"Отделение молодых ученых"</w:t>
      </w:r>
      <w:r>
        <w:t xml:space="preserve"> Тель-авивского университета пр</w:t>
      </w:r>
      <w:r>
        <w:t>и</w:t>
      </w:r>
      <w:r>
        <w:t>нимает конструктивные меры для повышения процентной доли женщин, уч</w:t>
      </w:r>
      <w:r>
        <w:t>а</w:t>
      </w:r>
      <w:r>
        <w:t xml:space="preserve">ствующих в его деятельности; программа </w:t>
      </w:r>
      <w:r>
        <w:rPr>
          <w:i/>
        </w:rPr>
        <w:t>"Будущее поколение передовых те</w:t>
      </w:r>
      <w:r>
        <w:rPr>
          <w:i/>
        </w:rPr>
        <w:t>х</w:t>
      </w:r>
      <w:r>
        <w:rPr>
          <w:i/>
        </w:rPr>
        <w:t>нологий</w:t>
      </w:r>
      <w:r>
        <w:t>"</w:t>
      </w:r>
      <w:r>
        <w:rPr>
          <w:i/>
        </w:rPr>
        <w:t xml:space="preserve">, </w:t>
      </w:r>
      <w:r>
        <w:t>подробно описанная в нашем предыдущем докладе, продолжает со</w:t>
      </w:r>
      <w:r>
        <w:t>з</w:t>
      </w:r>
      <w:r>
        <w:t>давать партнерства (в настоящее время 100 школ являются участниками этой программы, по сравнению с 23 в 2001 году) между промышленными предпр</w:t>
      </w:r>
      <w:r>
        <w:t>и</w:t>
      </w:r>
      <w:r>
        <w:t>ятиями и младшими классами средних школ по всей территории страны, охв</w:t>
      </w:r>
      <w:r>
        <w:t>а</w:t>
      </w:r>
      <w:r>
        <w:t xml:space="preserve">тив 35 000 учащихся лишь в 2002/03 учебном году; </w:t>
      </w:r>
      <w:r>
        <w:rPr>
          <w:i/>
        </w:rPr>
        <w:t>"ОРТ к 21"</w:t>
      </w:r>
      <w:r>
        <w:t xml:space="preserve"> - программа, которая стимулирует девушек к выбору и успешному изучению передовых те</w:t>
      </w:r>
      <w:r>
        <w:t>х</w:t>
      </w:r>
      <w:r>
        <w:t>нических дисциплин и точных наук в средних школах и высших учебных зав</w:t>
      </w:r>
      <w:r>
        <w:t>е</w:t>
      </w:r>
      <w:r>
        <w:t>дениях, причем за 2002-2003 учебный год 7 400 девочек-участниц из младших классов 23 средних школ добились отличных результатов; программа Технион - израильский институт технологии, которая включает социальную работу в о</w:t>
      </w:r>
      <w:r>
        <w:t>б</w:t>
      </w:r>
      <w:r>
        <w:t>щинах, стимулирование девочек к изучению научных и инженерных дисци</w:t>
      </w:r>
      <w:r>
        <w:t>п</w:t>
      </w:r>
      <w:r>
        <w:t>лин и обучение девочек в 10</w:t>
      </w:r>
      <w:r>
        <w:noBreakHyphen/>
        <w:t>х и 11-х классах.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267" w:right="1267"/>
      </w:pPr>
      <w:r>
        <w:t>Инициативы по стимулированию женщин к изучению научно-технических дисциплин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265.</w:t>
      </w:r>
      <w:r>
        <w:tab/>
        <w:t>Министерство науки и техники продолжает осуществление своей спец</w:t>
      </w:r>
      <w:r>
        <w:t>и</w:t>
      </w:r>
      <w:r>
        <w:t>альной программы предоставления стипендий, в рамках которой студенты старших курсов, изучающие инженерно-технические дисциплины и точные науки, могут получать ежегодные стипендии в размере от 8 000 до 10 000 н</w:t>
      </w:r>
      <w:r>
        <w:t>о</w:t>
      </w:r>
      <w:r>
        <w:t>вых шекелей (около 2 000 долл. США) с обязательством проработать 100 часов в программах Национального совета по улучшению положения женщин в н</w:t>
      </w:r>
      <w:r>
        <w:t>а</w:t>
      </w:r>
      <w:r>
        <w:t>учно-технической сфере, цель которых - продвижение женщин-ученых по сл</w:t>
      </w:r>
      <w:r>
        <w:t>у</w:t>
      </w:r>
      <w:r>
        <w:t>жебной лестнице. В 2000-2003 годах министерство предоставило 122 стипендии девушкам, обучавшимся на факультетах, где в процентном о</w:t>
      </w:r>
      <w:r>
        <w:t>т</w:t>
      </w:r>
      <w:r>
        <w:t>ношении они составляют меньшинство.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266.</w:t>
      </w:r>
      <w:r>
        <w:tab/>
        <w:t xml:space="preserve">Другие программы включают программу </w:t>
      </w:r>
      <w:r>
        <w:rPr>
          <w:i/>
        </w:rPr>
        <w:t>"Ракия"</w:t>
      </w:r>
      <w:r>
        <w:t xml:space="preserve">, ориентированную на девочек-учащихся 12-х классов, заинтересованных в получении инженерной специальности в рамках израильских вооруженных сил; религиозный институт </w:t>
      </w:r>
      <w:r>
        <w:rPr>
          <w:i/>
        </w:rPr>
        <w:t>"Таль"</w:t>
      </w:r>
      <w:r>
        <w:t xml:space="preserve"> предлагает специальные программы, ориентированные на религиозных женщин, стремящихся получить инженерную специальность, в сочетании со специальной подготовкой религиозных женщин к работе в среде, где ведущую роль играют мужчины; академический колледж по подготовке преподавателей технических дисциплин - "ОРТ Тель-Авив", готовящий преподавателей в таких областях, как электротехника/электроника, компьютерное дело, наука и техн</w:t>
      </w:r>
      <w:r>
        <w:t>и</w:t>
      </w:r>
      <w:r>
        <w:t>ка, взимает со своих студенток половину обычной платы за обучение.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267.</w:t>
      </w:r>
      <w:r>
        <w:tab/>
        <w:t>Обследование, проведенное в феврале 2003 года министерством науки и техники для изучения основных подходов к положению женщин в науке, пок</w:t>
      </w:r>
      <w:r>
        <w:t>а</w:t>
      </w:r>
      <w:r>
        <w:t>зало, что большинство населения (85 процентов) позитивно оценивают нау</w:t>
      </w:r>
      <w:r>
        <w:t>ч</w:t>
      </w:r>
      <w:r>
        <w:t>ную работу женщин и их способность участвовать в научно-технических и</w:t>
      </w:r>
      <w:r>
        <w:t>с</w:t>
      </w:r>
      <w:r>
        <w:t>следованиях. Следует отметить, что, по мнению 60 процентов, достижениями женщин в научно-технической сфере может гордиться Израиль, тогда как по</w:t>
      </w:r>
      <w:r>
        <w:t>ч</w:t>
      </w:r>
      <w:r>
        <w:t>ти 60 процентов полагает, что в конкретных научных областях, таких, как м</w:t>
      </w:r>
      <w:r>
        <w:t>е</w:t>
      </w:r>
      <w:r>
        <w:t>дицина, компьютерная техника и сельское хозяйство, работать лучше женщ</w:t>
      </w:r>
      <w:r>
        <w:t>и</w:t>
      </w:r>
      <w:r>
        <w:t>нам, а не мужчинам.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Физическое воспитание и спорт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5" w:right="1267" w:firstLine="172"/>
      </w:pPr>
      <w:r>
        <w:t>Изменения в законодательстве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268.</w:t>
      </w:r>
      <w:r>
        <w:tab/>
        <w:t xml:space="preserve">Раздел 9А </w:t>
      </w:r>
      <w:r>
        <w:rPr>
          <w:i/>
        </w:rPr>
        <w:t>Закона о спорте</w:t>
      </w:r>
      <w:r>
        <w:t>, принятого в конце 2003 года, гласит, что все финансируемые государством спортивные организации, включая спортивные ассоциации, органы, союзы и федерации, должны обеспечивать надлежащее представительство женщин. Это надлежащее представительство касается как рядовых сотрудников, так и руководства и должно охватывать все категории должностей. В соответствии с раздел 9В спортивные организации обязаны представлять ежегодные доклады в Комитет кнесета по осуществлению пол</w:t>
      </w:r>
      <w:r>
        <w:t>о</w:t>
      </w:r>
      <w:r>
        <w:t>жений этого раздела. В основе этой поправки лежит понимание того, что укр</w:t>
      </w:r>
      <w:r>
        <w:t>е</w:t>
      </w:r>
      <w:r>
        <w:t>пление роли женщин в спорте, как и во многих других сферах жизни, требует их полномасштабного участия не только в самих спортивных мероприятиях, но и в принятии решений и в осуществлении руководства.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269.</w:t>
      </w:r>
      <w:r>
        <w:tab/>
        <w:t>Верховный суд, в своем беспрецедентном решении (</w:t>
      </w:r>
      <w:r>
        <w:rPr>
          <w:i/>
          <w:lang w:val="en-US"/>
        </w:rPr>
        <w:t>H</w:t>
      </w:r>
      <w:r>
        <w:rPr>
          <w:i/>
        </w:rPr>
        <w:t>.</w:t>
      </w:r>
      <w:r>
        <w:rPr>
          <w:i/>
          <w:lang w:val="en-US"/>
        </w:rPr>
        <w:t>C</w:t>
      </w:r>
      <w:r>
        <w:rPr>
          <w:i/>
        </w:rPr>
        <w:t>.</w:t>
      </w:r>
      <w:r>
        <w:rPr>
          <w:i/>
          <w:lang w:val="en-US"/>
        </w:rPr>
        <w:t>J</w:t>
      </w:r>
      <w:r>
        <w:rPr>
          <w:i/>
        </w:rPr>
        <w:t xml:space="preserve">. 5325/01) </w:t>
      </w:r>
      <w:r>
        <w:t>по и</w:t>
      </w:r>
      <w:r>
        <w:t>с</w:t>
      </w:r>
      <w:r>
        <w:t>ку, поданному Ассоциацией по улучшению положения женщин в баскетболе против местного совета Рамат Хашарон и др., рассмотрел вопрос о распред</w:t>
      </w:r>
      <w:r>
        <w:t>е</w:t>
      </w:r>
      <w:r>
        <w:t>лении финансовых средств между спортивными учреждениями. В своем п</w:t>
      </w:r>
      <w:r>
        <w:t>о</w:t>
      </w:r>
      <w:r>
        <w:t xml:space="preserve">становлении суд опирался на раздел 3А </w:t>
      </w:r>
      <w:r>
        <w:rPr>
          <w:i/>
        </w:rPr>
        <w:t>Закона о бюджетных принципах,</w:t>
      </w:r>
      <w:r>
        <w:t xml:space="preserve"> кот</w:t>
      </w:r>
      <w:r>
        <w:t>о</w:t>
      </w:r>
      <w:r>
        <w:t>рый предусматривает критерии качества в отношении распределения бюдже</w:t>
      </w:r>
      <w:r>
        <w:t>т</w:t>
      </w:r>
      <w:r>
        <w:t>ных средств среди государственных учреждений. В данном случае суд прим</w:t>
      </w:r>
      <w:r>
        <w:t>е</w:t>
      </w:r>
      <w:r>
        <w:t>нил критерии распределения, принятые министерством культуры, науки и спорта, которые санкционируют конструктивные меры и обеспечивают асси</w:t>
      </w:r>
      <w:r>
        <w:t>г</w:t>
      </w:r>
      <w:r>
        <w:t>нование на нужды женских спортивных мероприятий в полтора раза больше бюджетных средств, чем на мужские спортивные мероприятия. Суд постан</w:t>
      </w:r>
      <w:r>
        <w:t>о</w:t>
      </w:r>
      <w:r>
        <w:t>вил, что равенство также должно обеспечиваться и местными властями в пр</w:t>
      </w:r>
      <w:r>
        <w:t>о</w:t>
      </w:r>
      <w:r>
        <w:t>цессе распределениями ими финансовых средств. По решению суда совет Р</w:t>
      </w:r>
      <w:r>
        <w:t>а</w:t>
      </w:r>
      <w:r>
        <w:t>мат Хашарон, глава этого совета и центр образования и спорта Рамат Хашарон обязаны распределять финансовые средства в соответствии с вышеуказанными критери</w:t>
      </w:r>
      <w:r>
        <w:t>я</w:t>
      </w:r>
      <w:r>
        <w:t xml:space="preserve">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270.</w:t>
      </w:r>
      <w:r>
        <w:tab/>
        <w:t>В другом случае в сентябре 2004 года ряд женских футбольных команд из высшей лиги обратились с жалобой в Верховный суд (</w:t>
      </w:r>
      <w:r>
        <w:rPr>
          <w:i/>
          <w:lang w:val="en-US"/>
        </w:rPr>
        <w:t>H</w:t>
      </w:r>
      <w:r>
        <w:rPr>
          <w:i/>
        </w:rPr>
        <w:t>.</w:t>
      </w:r>
      <w:r>
        <w:rPr>
          <w:i/>
          <w:lang w:val="en-US"/>
        </w:rPr>
        <w:t>C</w:t>
      </w:r>
      <w:r>
        <w:rPr>
          <w:i/>
        </w:rPr>
        <w:t>.</w:t>
      </w:r>
      <w:r>
        <w:rPr>
          <w:i/>
          <w:lang w:val="en-US"/>
        </w:rPr>
        <w:t>J</w:t>
      </w:r>
      <w:r>
        <w:rPr>
          <w:i/>
        </w:rPr>
        <w:t>. 8472/04 Женская футбольная команда Хапоель Беер Шева и др. против решения Совета по спортивным играм и др).</w:t>
      </w:r>
      <w:r>
        <w:t xml:space="preserve"> Истцы обратились к суду с просьбой предписать С</w:t>
      </w:r>
      <w:r>
        <w:t>о</w:t>
      </w:r>
      <w:r>
        <w:t>вету по спортивным играм принять позитивные меры в отношении женских футбольных команд и предоставить им в процентном отношении больше средств, чем мужским командам. Истцы требовали, чтобы совет предоставил им более обширную финансовую поддержку, чем мужской команде, приняв специальные меры в отношении женских команд. Это обращение пока еще рассматривается судом.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267" w:right="1267"/>
      </w:pPr>
      <w:r>
        <w:t>Правительственные структуры, обеспечивающие улучшение положения женщин в области спорта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271.</w:t>
      </w:r>
      <w:r>
        <w:tab/>
        <w:t>В 2000 году Отдел спорта министерства по делам образования, культуры и спорта изменило критерий финансирования спортивных ассоциаций, выд</w:t>
      </w:r>
      <w:r>
        <w:t>е</w:t>
      </w:r>
      <w:r>
        <w:t>лив в полтора раза больше бюджетных средств на нужды женских спортивных асс</w:t>
      </w:r>
      <w:r>
        <w:t>о</w:t>
      </w:r>
      <w:r>
        <w:t xml:space="preserve">циаций.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272.</w:t>
      </w:r>
      <w:r>
        <w:tab/>
        <w:t>Общественному комитету "Комитет Каца" было поручено проанализир</w:t>
      </w:r>
      <w:r>
        <w:t>о</w:t>
      </w:r>
      <w:r>
        <w:t>вать критерии Совета по организации спортивных игр и рекомендуемые планы позитивных действий, рассчитанные на женщин и спортивные команды дев</w:t>
      </w:r>
      <w:r>
        <w:t>о</w:t>
      </w:r>
      <w:r>
        <w:t>чек.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273.</w:t>
      </w:r>
      <w:r>
        <w:tab/>
        <w:t>Отдел недавно завершил подготовку брошюры, которая должна распр</w:t>
      </w:r>
      <w:r>
        <w:t>о</w:t>
      </w:r>
      <w:r>
        <w:t>страняться среди тренеров, спортсменов, в школах, колледжах и среди родит</w:t>
      </w:r>
      <w:r>
        <w:t>е</w:t>
      </w:r>
      <w:r>
        <w:t>лей. Эта брошюра предусматривает этический кодекс, нацеленный на предо</w:t>
      </w:r>
      <w:r>
        <w:t>т</w:t>
      </w:r>
      <w:r>
        <w:t>вращение домогательств и сексуального насилия в спорте. Помимо этой ва</w:t>
      </w:r>
      <w:r>
        <w:t>ж</w:t>
      </w:r>
      <w:r>
        <w:t>ной камп</w:t>
      </w:r>
      <w:r>
        <w:t>а</w:t>
      </w:r>
      <w:r>
        <w:t xml:space="preserve">нии ассоциацией развития спорта проводятся семинары.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274.</w:t>
      </w:r>
      <w:r>
        <w:tab/>
        <w:t>Отдел планирует также осуществить национальную программу по улу</w:t>
      </w:r>
      <w:r>
        <w:t>ч</w:t>
      </w:r>
      <w:r>
        <w:t>шению положения женщин в области спорта в 2005 году. Бюджет этой пр</w:t>
      </w:r>
      <w:r>
        <w:t>о</w:t>
      </w:r>
      <w:r>
        <w:t>граммы составит 80 млн. новых шекелей на ближайшие 8 лет; повышение о</w:t>
      </w:r>
      <w:r>
        <w:t>с</w:t>
      </w:r>
      <w:r>
        <w:t>ведомленности женщин в вопросах спорта с помощью национальных кампаний в печатных и радио и телевизионных средствах массовой информации; предо</w:t>
      </w:r>
      <w:r>
        <w:t>с</w:t>
      </w:r>
      <w:r>
        <w:t xml:space="preserve">тавление преимуществ женщинам в 10 состязательных видах спорта, особые ассигнования для соответствующих союзов при условии, что они соблюдают основные условия, касающиеся роли женщин в этих областях.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5" w:right="1267" w:firstLine="172"/>
      </w:pPr>
      <w:r>
        <w:t>Спортивные занятия девочек в школах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275.</w:t>
      </w:r>
      <w:r>
        <w:tab/>
        <w:t>Посещение учащимися уроков физического воспитания является обяз</w:t>
      </w:r>
      <w:r>
        <w:t>а</w:t>
      </w:r>
      <w:r>
        <w:t>тельным в школьной системе Израиля. Базовая программа системы образов</w:t>
      </w:r>
      <w:r>
        <w:t>а</w:t>
      </w:r>
      <w:r>
        <w:t>ния предусматривает, что каждый учащийся во всех государственных школах обязан заниматься физической культурой по два часа еженедельно. Школы, не находящиеся под прямым государственным контролем, должны обеспечивать, чтобы учащиеся занимались физической культурой в течение одного часа еж</w:t>
      </w:r>
      <w:r>
        <w:t>е</w:t>
      </w:r>
      <w:r>
        <w:t>недел</w:t>
      </w:r>
      <w:r>
        <w:t>ь</w:t>
      </w:r>
      <w:r>
        <w:t>но.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276.</w:t>
      </w:r>
      <w:r>
        <w:tab/>
        <w:t>Как подробно разъясняется в нашем предыдущем докладе, школьная спортивная ассоциация поставила перед собой цель увеличить число школ</w:t>
      </w:r>
      <w:r>
        <w:t>ь</w:t>
      </w:r>
      <w:r>
        <w:t>ниц, участвующих в спортивных состязаниях. Текущие данные свидетельс</w:t>
      </w:r>
      <w:r>
        <w:t>т</w:t>
      </w:r>
      <w:r>
        <w:t>вуют о том, что число мальчиков и девочек, активно занимающихся спортом (что означает участие в 18 играх по групповых видам спорта и участие в 3-4 признанных состязаниях по индивидуальным видам спорта) почти равно (9 641 девочка и 9 710 мальчиков) во всех видах спорта.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277.</w:t>
      </w:r>
      <w:r>
        <w:tab/>
        <w:t>В соответствии с директивами министерства по делам образования, кул</w:t>
      </w:r>
      <w:r>
        <w:t>ь</w:t>
      </w:r>
      <w:r>
        <w:t>туры и спорта, руководители системы физического воспитания (одна треть из которых - это женщины, 5 из 15) санкционирует направление учащегося на с</w:t>
      </w:r>
      <w:r>
        <w:t>о</w:t>
      </w:r>
      <w:r>
        <w:t>ревнования Международной федерации спорта (МФШС) при условии равной представленности мальч</w:t>
      </w:r>
      <w:r>
        <w:t>и</w:t>
      </w:r>
      <w:r>
        <w:t xml:space="preserve">ков и девочек в делегации.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5" w:right="1267" w:firstLine="172"/>
      </w:pPr>
      <w:r>
        <w:t>Текущие данные - женщины в спорте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278.</w:t>
      </w:r>
      <w:r>
        <w:tab/>
        <w:t>Как видно из диаграммы, которая приводится ниже, число женщин, пр</w:t>
      </w:r>
      <w:r>
        <w:t>и</w:t>
      </w:r>
      <w:r>
        <w:t>нимающих участие в олимпийских играх, заметно возросло за последние н</w:t>
      </w:r>
      <w:r>
        <w:t>е</w:t>
      </w:r>
      <w:r>
        <w:t>сколько лет: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56"/>
        <w:ind w:left="2637" w:right="1267" w:hanging="1370"/>
      </w:pPr>
      <w:r>
        <w:t>Диаграмма 5</w:t>
      </w:r>
    </w:p>
    <w:p w:rsidR="00000000" w:rsidRDefault="00000000">
      <w:pPr>
        <w:pStyle w:val="H56"/>
        <w:spacing w:after="120"/>
        <w:ind w:left="2635" w:right="1267" w:hanging="1368"/>
        <w:rPr>
          <w:b/>
        </w:rPr>
      </w:pPr>
      <w:r>
        <w:rPr>
          <w:b/>
        </w:rPr>
        <w:t>Спортсмены - участники Олимпийских Игр, 1992, 1996, 2000 и 2004 годы</w:t>
      </w:r>
    </w:p>
    <w:p w:rsidR="00000000" w:rsidRDefault="00000000">
      <w:pPr>
        <w:spacing w:line="240" w:lineRule="auto"/>
        <w:ind w:left="1440"/>
        <w:rPr>
          <w:sz w:val="24"/>
        </w:rPr>
      </w:pPr>
      <w:r>
        <w:rPr>
          <w:sz w:val="24"/>
        </w:rPr>
        <w:object w:dxaOrig="7140" w:dyaOrig="2611">
          <v:shape id="_x0000_i1027" type="#_x0000_t75" style="width:357pt;height:130.5pt" o:ole="" fillcolor="window">
            <v:imagedata r:id="rId20" o:title=""/>
          </v:shape>
          <o:OLEObject Type="Embed" ProgID="MSGraph.Chart.8" ShapeID="_x0000_i1027" DrawAspect="Content" ObjectID="_1395241338" r:id="rId21">
            <o:FieldCodes>\s</o:FieldCodes>
          </o:OLEObject>
        </w:object>
      </w:r>
    </w:p>
    <w:p w:rsidR="00000000" w:rsidRDefault="00000000">
      <w:pPr>
        <w:pStyle w:val="SingleTxt"/>
        <w:spacing w:after="0"/>
        <w:rPr>
          <w:i/>
        </w:rPr>
      </w:pPr>
      <w:r>
        <w:rPr>
          <w:i/>
        </w:rPr>
        <w:t xml:space="preserve">Источник: </w:t>
      </w:r>
      <w:r>
        <w:t>Министерство по делам образования, культуры и спорта, 2004 год.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279.</w:t>
      </w:r>
      <w:r>
        <w:tab/>
        <w:t>Общая процентная доля женщин, принимающих активное участие в спо</w:t>
      </w:r>
      <w:r>
        <w:t>р</w:t>
      </w:r>
      <w:r>
        <w:t>тивных состязаниях, медленно увеличивалась в течение последнего десятил</w:t>
      </w:r>
      <w:r>
        <w:t>е</w:t>
      </w:r>
      <w:r>
        <w:t>тия - с 12 процентов в 1994 году до 15 процентов в 2004 году.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280.</w:t>
      </w:r>
      <w:r>
        <w:tab/>
        <w:t>Доля женщин в руководящих органах спортивных ассоциаций остается на низком уровне, составляя примерно 10 процентов, что можно сказать и о доле же</w:t>
      </w:r>
      <w:r>
        <w:t>н</w:t>
      </w:r>
      <w:r>
        <w:t>щин-тренеров.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r>
        <w:rPr>
          <w:sz w:val="10"/>
        </w:rPr>
        <w:br w:type="page"/>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Ch"/>
        <w:ind w:left="778" w:right="1267"/>
      </w:pPr>
      <w:r>
        <w:t>Статья 11. Занятость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Правовая защита от дискриминации на работе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281.</w:t>
      </w:r>
      <w:r>
        <w:tab/>
        <w:t xml:space="preserve">В июне 2004 года в соответствии с поправкой № 9 к </w:t>
      </w:r>
      <w:r>
        <w:rPr>
          <w:i/>
        </w:rPr>
        <w:t>Закону о равных во</w:t>
      </w:r>
      <w:r>
        <w:rPr>
          <w:i/>
        </w:rPr>
        <w:t>з</w:t>
      </w:r>
      <w:r>
        <w:rPr>
          <w:i/>
        </w:rPr>
        <w:t xml:space="preserve">можностях в области занятости </w:t>
      </w:r>
      <w:r>
        <w:t>беременность стала одной из причин, по к</w:t>
      </w:r>
      <w:r>
        <w:t>о</w:t>
      </w:r>
      <w:r>
        <w:t>торым лицо не может быть подвергнуто дискриминации на рынке труда ни в качестве претендента на рабочее место, ни в качестве наемного работника.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282.</w:t>
      </w:r>
      <w:r>
        <w:tab/>
        <w:t xml:space="preserve">В 2001 году министр труда и социального обеспечения издал </w:t>
      </w:r>
      <w:r>
        <w:rPr>
          <w:i/>
        </w:rPr>
        <w:t>Постано</w:t>
      </w:r>
      <w:r>
        <w:rPr>
          <w:i/>
        </w:rPr>
        <w:t>в</w:t>
      </w:r>
      <w:r>
        <w:rPr>
          <w:i/>
        </w:rPr>
        <w:t xml:space="preserve">ление о занятости женщин (запрещенные виды работы, ограниченные виды работы и опасные виды работы), 5761-2001 </w:t>
      </w:r>
      <w:r>
        <w:t>("</w:t>
      </w:r>
      <w:r>
        <w:rPr>
          <w:i/>
        </w:rPr>
        <w:t>Постановление о занятости женщин (запрещенные виды работ, ограниченные виды работ и опасные виды работ)</w:t>
      </w:r>
      <w:r>
        <w:t>"), которое расширяет Положение о занятости женщин (запрещенные виды работ и ограниченные виды работ) 1979 года, предназначенное для укр</w:t>
      </w:r>
      <w:r>
        <w:t>е</w:t>
      </w:r>
      <w:r>
        <w:t>пления защиты женщин фертильного возраста и беременных женщин от во</w:t>
      </w:r>
      <w:r>
        <w:t>з</w:t>
      </w:r>
      <w:r>
        <w:t>действия химических и биологических материалов, которые могут угрожать здоровью плода или новорожденного.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i/>
        </w:rPr>
      </w:pPr>
      <w:r>
        <w:t>283.</w:t>
      </w:r>
      <w:r>
        <w:tab/>
        <w:t>Израиль является участником следующих конвенций Международной о</w:t>
      </w:r>
      <w:r>
        <w:t>р</w:t>
      </w:r>
      <w:r>
        <w:t xml:space="preserve">ганизации труда, касающихся равенства и запрета дискриминации по признаку пола: С100 Конвенция 1951 года о равном вознаграждении (с 1965 года) и </w:t>
      </w:r>
      <w:r>
        <w:rPr>
          <w:i/>
        </w:rPr>
        <w:t>С111 Конвенция 1958 года о дискриминации в области труда и занятости (с 1959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284.</w:t>
      </w:r>
      <w:r>
        <w:tab/>
        <w:t>Ряд недавно принятых судами по трудовым спорам постановлений обе</w:t>
      </w:r>
      <w:r>
        <w:t>с</w:t>
      </w:r>
      <w:r>
        <w:t>печили дальнейшее укрепление правовой защиты женщин на рынке труда. В ноябре 2003 года суд по трудовым спорам в Беэр Шеве вынес решение в пользу женщины, получавшей более низкую заработную плату, чем ее коллеги из числа мужчин (</w:t>
      </w:r>
      <w:r>
        <w:rPr>
          <w:lang w:val="en-US"/>
        </w:rPr>
        <w:t>La</w:t>
      </w:r>
      <w:r>
        <w:t xml:space="preserve">. 1576/99 </w:t>
      </w:r>
      <w:r>
        <w:rPr>
          <w:i/>
        </w:rPr>
        <w:t>Симми Нидам против компании "Рэлли электр</w:t>
      </w:r>
      <w:r>
        <w:rPr>
          <w:i/>
        </w:rPr>
        <w:t>и</w:t>
      </w:r>
      <w:r>
        <w:rPr>
          <w:i/>
        </w:rPr>
        <w:t>сиси энд электроникс лтд</w:t>
      </w:r>
      <w:r>
        <w:t>.</w:t>
      </w:r>
      <w:r>
        <w:rPr>
          <w:i/>
        </w:rPr>
        <w:t>"</w:t>
      </w:r>
      <w:r>
        <w:t xml:space="preserve"> (03.11.03))</w:t>
      </w:r>
      <w:r>
        <w:rPr>
          <w:i/>
        </w:rPr>
        <w:t xml:space="preserve">. </w:t>
      </w:r>
      <w:r>
        <w:t>Суд постановил, что истице должны быть выплачены все социальные пособия, а также компенсация за причине</w:t>
      </w:r>
      <w:r>
        <w:t>н</w:t>
      </w:r>
      <w:r>
        <w:t>ные страдания в размере 30 000 новых шекелей (примерно 6 500 долл. США). Суд по трудовым спорам Тель-Авива (Яффы) принял решение против комп</w:t>
      </w:r>
      <w:r>
        <w:t>а</w:t>
      </w:r>
      <w:r>
        <w:t>нии, из которой была уволена беременная женщина, временно работавшая в ней, за два дня до окончания шестимесячного испытательного срока. Мин</w:t>
      </w:r>
      <w:r>
        <w:t>и</w:t>
      </w:r>
      <w:r>
        <w:t>стерство промышленности, торговли и труда вынесла обвинительный акт пр</w:t>
      </w:r>
      <w:r>
        <w:t>о</w:t>
      </w:r>
      <w:r>
        <w:t xml:space="preserve">тив компании по признакам дискриминации (беременность, родительство и пол) на основе </w:t>
      </w:r>
      <w:r>
        <w:rPr>
          <w:i/>
        </w:rPr>
        <w:t>Закона о равных возможностях в области занятости</w:t>
      </w:r>
      <w:r>
        <w:t>. Суд в</w:t>
      </w:r>
      <w:r>
        <w:t>ы</w:t>
      </w:r>
      <w:r>
        <w:t>нес обвинительное заключение против этой компании и наложил на нее штраф в размере 80 000 новых шекелей в рамках сделки о признании вины (</w:t>
      </w:r>
      <w:r>
        <w:rPr>
          <w:lang w:val="en-US"/>
        </w:rPr>
        <w:t>Cr</w:t>
      </w:r>
      <w:r>
        <w:t>.</w:t>
      </w:r>
      <w:r>
        <w:rPr>
          <w:lang w:val="en-US"/>
        </w:rPr>
        <w:t>C</w:t>
      </w:r>
      <w:r>
        <w:t xml:space="preserve">. 100/04 </w:t>
      </w:r>
      <w:r>
        <w:rPr>
          <w:i/>
        </w:rPr>
        <w:t xml:space="preserve">государство Израиль/министерство промышленности, торговли и труда против </w:t>
      </w:r>
      <w:r>
        <w:rPr>
          <w:i/>
          <w:lang w:val="en-US"/>
        </w:rPr>
        <w:t>S</w:t>
      </w:r>
      <w:r>
        <w:rPr>
          <w:i/>
        </w:rPr>
        <w:t>.</w:t>
      </w:r>
      <w:r>
        <w:rPr>
          <w:i/>
          <w:lang w:val="en-US"/>
        </w:rPr>
        <w:t>I</w:t>
      </w:r>
      <w:r>
        <w:rPr>
          <w:i/>
        </w:rPr>
        <w:t>.</w:t>
      </w:r>
      <w:r>
        <w:rPr>
          <w:i/>
          <w:lang w:val="en-US"/>
        </w:rPr>
        <w:t>R</w:t>
      </w:r>
      <w:r>
        <w:rPr>
          <w:i/>
        </w:rPr>
        <w:t>.</w:t>
      </w:r>
      <w:r>
        <w:rPr>
          <w:i/>
          <w:lang w:val="en-US"/>
        </w:rPr>
        <w:t>N</w:t>
      </w:r>
      <w:r>
        <w:rPr>
          <w:i/>
        </w:rPr>
        <w:t xml:space="preserve">. </w:t>
      </w:r>
      <w:r>
        <w:rPr>
          <w:i/>
          <w:lang w:val="en-US"/>
        </w:rPr>
        <w:t>Ltd</w:t>
      </w:r>
      <w:r>
        <w:rPr>
          <w:i/>
        </w:rPr>
        <w:t xml:space="preserve">. и других </w:t>
      </w:r>
      <w:r>
        <w:t>(15.12.04)).</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285.</w:t>
      </w:r>
      <w:r>
        <w:tab/>
        <w:t xml:space="preserve">В январе 2004 года суд по трудовым спорам Тель-Авива вынес решение в пользу женщины-истицы, получавшей более низкую заработную плату, чем ее коллеги-мужчины, постановив выплатить ей недостающую часть заработной платы, а также дополнительную компенсацию, ввиду нарушения </w:t>
      </w:r>
      <w:r>
        <w:rPr>
          <w:i/>
        </w:rPr>
        <w:t>Закона о ра</w:t>
      </w:r>
      <w:r>
        <w:rPr>
          <w:i/>
        </w:rPr>
        <w:t>в</w:t>
      </w:r>
      <w:r>
        <w:rPr>
          <w:i/>
        </w:rPr>
        <w:t>ных возможностях в области занятости</w:t>
      </w:r>
      <w:r>
        <w:t xml:space="preserve"> (</w:t>
      </w:r>
      <w:r>
        <w:rPr>
          <w:lang w:val="en-US"/>
        </w:rPr>
        <w:t>L</w:t>
      </w:r>
      <w:r>
        <w:t>.</w:t>
      </w:r>
      <w:r>
        <w:rPr>
          <w:lang w:val="en-US"/>
        </w:rPr>
        <w:t>A</w:t>
      </w:r>
      <w:r>
        <w:t xml:space="preserve">. 300880/98 Орит Горен против Хоум </w:t>
      </w:r>
      <w:r>
        <w:rPr>
          <w:lang w:val="en-US"/>
        </w:rPr>
        <w:t>c</w:t>
      </w:r>
      <w:r>
        <w:t>ентерс Инт. (04.01.04)).</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Отпуск по беременности и родам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286.</w:t>
      </w:r>
      <w:r>
        <w:tab/>
        <w:t>См. раздел , посвященный статье 13, ниже.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Родительство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287.</w:t>
      </w:r>
      <w:r>
        <w:tab/>
        <w:t xml:space="preserve">В поправке, принятой в 2002 году, законодатели расширили льготы для родителей-одиночек в соответствии с </w:t>
      </w:r>
      <w:r>
        <w:rPr>
          <w:i/>
        </w:rPr>
        <w:t>Законом об оплачиваемом отпуске по б</w:t>
      </w:r>
      <w:r>
        <w:rPr>
          <w:i/>
        </w:rPr>
        <w:t>о</w:t>
      </w:r>
      <w:r>
        <w:rPr>
          <w:i/>
        </w:rPr>
        <w:t>лезни (невыход на работу по причине болезни ребенка), 5753-1993</w:t>
      </w:r>
      <w:r>
        <w:t xml:space="preserve"> </w:t>
      </w:r>
      <w:r>
        <w:rPr>
          <w:i/>
        </w:rPr>
        <w:t>("Закон об оплачиваемом отпуске по болезни (невыход на работу по причине болезни р</w:t>
      </w:r>
      <w:r>
        <w:rPr>
          <w:i/>
        </w:rPr>
        <w:t>е</w:t>
      </w:r>
      <w:r>
        <w:rPr>
          <w:i/>
        </w:rPr>
        <w:t>бенка")</w:t>
      </w:r>
      <w:r>
        <w:t>), предоставив 12-дневный отпуск для ухода за больным ребенком (обычно такой отпуск составляет 8 дней).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Конструктивные меры в сфере занятости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288.</w:t>
      </w:r>
      <w:r>
        <w:tab/>
        <w:t>См. раздел, посвященный статье 4, выше.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Пособия по социальному страхованию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289.</w:t>
      </w:r>
      <w:r>
        <w:tab/>
        <w:t>См. раздел, посвященный статье 13, ниже.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Занятость женщин - данные и анализ</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5" w:right="1267" w:firstLine="172"/>
      </w:pPr>
      <w:r>
        <w:t>Женщины на рынке труда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290.</w:t>
      </w:r>
      <w:r>
        <w:tab/>
        <w:t>В 2003 году в Израиле гражданские трудовые ресурсы составляли 1,4 млн. мужчин и 1,2 млн. женщин. По сравнению с 2002 годом численность трудовых ресурсов возросла на 24 000 мужчин и 39 300 женщин, причем пр</w:t>
      </w:r>
      <w:r>
        <w:t>и</w:t>
      </w:r>
      <w:r>
        <w:t>мерно 60 процентов этого прироста приходится на долю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291.</w:t>
      </w:r>
      <w:r>
        <w:tab/>
        <w:t>В 2003 году доля женщин в трудовых ресурсах возросла до 49,1 процента по сравнению с 48,2 процента в 2001 году и 46,3 процента в 1998 году. Доля мужчин снизилась до 60,1 процента с 60,7 процента в 2001 году и 61,2 проце</w:t>
      </w:r>
      <w:r>
        <w:t>н</w:t>
      </w:r>
      <w:r>
        <w:t>та в 1998 году.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292.</w:t>
      </w:r>
      <w:r>
        <w:tab/>
        <w:t>В 2003 году 27 процентов женщин в составе трудовых ресурсов имели за плечами как минимум 16 лет учебы по сравнению с 23 процентами мужчин. Уровень образования играет решающую роль с точки зрения активности же</w:t>
      </w:r>
      <w:r>
        <w:t>н</w:t>
      </w:r>
      <w:r>
        <w:t>щин на рынке труда, причем по мере повышения уровня образования доля женщин на нем растет. Общий уровень образования женщин в составе труд</w:t>
      </w:r>
      <w:r>
        <w:t>о</w:t>
      </w:r>
      <w:r>
        <w:t>вых ресурсов, как правило, выше уровня мужчин.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5" w:right="1267" w:firstLine="172"/>
      </w:pPr>
      <w:r>
        <w:t>Модели трудовой деятельности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293.</w:t>
      </w:r>
      <w:r>
        <w:tab/>
        <w:t>В 2003 году 87,4 процента мужчин и 62,6 процента женщин работали на условиях полной занятости. Большинство работников, обычно занятых непо</w:t>
      </w:r>
      <w:r>
        <w:t>л</w:t>
      </w:r>
      <w:r>
        <w:t>ный рабочий день, на рынке труда составляли женщины (401 400 женщин по сравнению с 159 500 мужчинами). 14,1 процента женщин заявили, что работать неполный рабочий день их вынуждает необходимость ухаживать за детьми и/или вести домашнее хозяйство.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294.</w:t>
      </w:r>
      <w:r>
        <w:tab/>
        <w:t>Как подробно разъясняется в нашем предыдущем докладе, показатели временного отсутствия на работе выше для женщин, чем для мужчин. В 2003 году 15 900 женщин временно отсутствовали на работе, взяв отпуск по беременности. За тот же самый период 4 800 мужчин отсутствовали из-за н</w:t>
      </w:r>
      <w:r>
        <w:t>е</w:t>
      </w:r>
      <w:r>
        <w:t>обходимости прохождения военных сборов для резервистов.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295.</w:t>
      </w:r>
      <w:r>
        <w:tab/>
        <w:t>В 2003 году насчитывался 1 072 600 занятых женщин (по сравнению с 1 257 600 мужчинами), причем 978 000 из них были наемными работниками. Из числа занятых лиц 984 600 были еврейскими женщинами, 895 800 из кот</w:t>
      </w:r>
      <w:r>
        <w:t>о</w:t>
      </w:r>
      <w:r>
        <w:t>рых - это наемные работники. В то же время большинство занятых мужчин (81,9 процента) были наемными работниками, а 8,8 процента занимались и</w:t>
      </w:r>
      <w:r>
        <w:t>н</w:t>
      </w:r>
      <w:r>
        <w:t>дивидуальной трудовой деятельностью. 91,2 процента занятых женщин были наемными работниками и лишь 4,6 процента занимались индивидуальной тр</w:t>
      </w:r>
      <w:r>
        <w:t>у</w:t>
      </w:r>
      <w:r>
        <w:t>довой деятельностью. В 2002 году 17 000 мужчин и 20 000 женщин заработную плату выплачивали работодатели, по сравнению с 22 000 и 26 000 в 2001 году, соо</w:t>
      </w:r>
      <w:r>
        <w:t>т</w:t>
      </w:r>
      <w:r>
        <w:t>ветственно.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5" w:right="1267" w:firstLine="172"/>
      </w:pPr>
      <w:r>
        <w:t>Безработные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296.</w:t>
      </w:r>
      <w:r>
        <w:tab/>
        <w:t>Местный "рынок безработных" характеризуется двумя основными те</w:t>
      </w:r>
      <w:r>
        <w:t>н</w:t>
      </w:r>
      <w:r>
        <w:t>денциями. Первая из них заключается в повышении уровня безработицы, а вторая - в нарушении прав безработных (определяемых в качестве лиц, не з</w:t>
      </w:r>
      <w:r>
        <w:t>а</w:t>
      </w:r>
      <w:r>
        <w:t>нятых оплачиваемым трудом в течение одного часа за неделю проведения о</w:t>
      </w:r>
      <w:r>
        <w:t>б</w:t>
      </w:r>
      <w:r>
        <w:t>следования, которые активно ищут работу). Кроме того, доля мужчин в составе израильской рабочей силы продолжала снижаться в 2002-2003 годах, что св</w:t>
      </w:r>
      <w:r>
        <w:t>и</w:t>
      </w:r>
      <w:r>
        <w:t>детельствует о возникновении чувства безысходности у тех, кто ищет рабочее место. Напротив, доля женщин в составе рабочей силы возросла, очевидно, в силу снижения доходов домашних хозяйств и потребности во втором доходе для нужд д</w:t>
      </w:r>
      <w:r>
        <w:t>о</w:t>
      </w:r>
      <w:r>
        <w:t xml:space="preserve">машнего хозяйства.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297.</w:t>
      </w:r>
      <w:r>
        <w:tab/>
        <w:t>В 2003 году в бюро по трудоустройству обратились 219 805 лиц, ищущих работу (на основе средних ежемесячных показателей), среди которых насчит</w:t>
      </w:r>
      <w:r>
        <w:t>ы</w:t>
      </w:r>
      <w:r>
        <w:t>валось 114 321 женщина (по сравнению с 91 920 женщинами в 2001 году) и 105 484 мужчинами.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298.</w:t>
      </w:r>
      <w:r>
        <w:tab/>
        <w:t>Доля безработных женщин составила 10,6 процента. В 2003 году доля безработных мужчин в составе рабочей силы равнялась 10,2 процента (по сравнению 8,4 процента в 2000 году). В 2003 году доля безработных женщин составила 11,3 процента по сравнению с 9,2 процента в 2000 году. В 2003 году большинство женщин (83,9 процента) искали работу, знакомясь с объявлени</w:t>
      </w:r>
      <w:r>
        <w:t>я</w:t>
      </w:r>
      <w:r>
        <w:t>ми в газетах, тогда как большинство мужчин (82,5 процента ) обращались за помощью к друзьям. Следует отметить, что 5,5 процента мужчин пытались в свое время создать частное предприятие по сравнению лишь с 2,8 процента женщин. 72,5 процента женщин искали работу на условиях полной занятости, а оставшаяся 27,5 процента - на условиях неполной занятости (по сравнению с 88,2 процента и 11,8 процента мужчин, соответственно).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Продвижение женщин по службе: уровни и оклады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267" w:right="1267"/>
      </w:pPr>
      <w:r>
        <w:t>Распределение женщин по профессиональным группам и сегрегация по признаку пола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299.</w:t>
      </w:r>
      <w:r>
        <w:tab/>
        <w:t>Как подробно разъясняется в нашем предыдущем докладе, продолжают существовать так называемые "женские профессии", причем в процентном о</w:t>
      </w:r>
      <w:r>
        <w:t>т</w:t>
      </w:r>
      <w:r>
        <w:t>ношении женщин больше всего среди работников образования (20,8 процента), медицинских служб, работников системы социального обеспечения и социал</w:t>
      </w:r>
      <w:r>
        <w:t>ь</w:t>
      </w:r>
      <w:r>
        <w:t xml:space="preserve">ных работников (17,4 процента). Однако, как подробно разъясняется в разделе, посвященном статье 7, выше, доля женщин среди юристов продолжает расти.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56"/>
        <w:ind w:left="1267"/>
      </w:pPr>
      <w:r>
        <w:t>Таблица 10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Занятые с разбивкой по отраслям экономики, 2003 год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spacing w:after="0" w:line="120" w:lineRule="exact"/>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952"/>
        <w:gridCol w:w="1710"/>
        <w:gridCol w:w="1714"/>
      </w:tblGrid>
      <w:tr w:rsidR="00000000">
        <w:tblPrEx>
          <w:tblCellMar>
            <w:top w:w="0" w:type="dxa"/>
            <w:left w:w="0" w:type="dxa"/>
            <w:bottom w:w="0" w:type="dxa"/>
            <w:right w:w="0" w:type="dxa"/>
          </w:tblCellMar>
        </w:tblPrEx>
        <w:trPr>
          <w:tblHeader/>
        </w:trPr>
        <w:tc>
          <w:tcPr>
            <w:tcW w:w="2952" w:type="dxa"/>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10" w:lineRule="exact"/>
              <w:ind w:right="43"/>
              <w:rPr>
                <w:i/>
                <w:sz w:val="17"/>
              </w:rPr>
            </w:pPr>
          </w:p>
        </w:tc>
        <w:tc>
          <w:tcPr>
            <w:tcW w:w="1710" w:type="dxa"/>
            <w:tcBorders>
              <w:left w:val="nil"/>
              <w:bottom w:val="single" w:sz="12" w:space="0" w:color="auto"/>
              <w:right w:val="nil"/>
            </w:tcBorders>
          </w:tcPr>
          <w:p w:rsidR="00000000" w:rsidRDefault="00000000">
            <w:pPr>
              <w:suppressAutoHyphens/>
              <w:spacing w:after="120" w:line="240" w:lineRule="auto"/>
              <w:jc w:val="right"/>
              <w:rPr>
                <w:i/>
                <w:sz w:val="14"/>
              </w:rPr>
            </w:pPr>
            <w:r>
              <w:rPr>
                <w:i/>
                <w:sz w:val="14"/>
              </w:rPr>
              <w:t>Доля мужчин в общем числе занятых в %</w:t>
            </w:r>
          </w:p>
        </w:tc>
        <w:tc>
          <w:tcPr>
            <w:tcW w:w="1714" w:type="dxa"/>
            <w:tcBorders>
              <w:left w:val="nil"/>
              <w:bottom w:val="single" w:sz="12" w:space="0" w:color="auto"/>
              <w:right w:val="nil"/>
            </w:tcBorders>
          </w:tcPr>
          <w:p w:rsidR="00000000" w:rsidRDefault="00000000">
            <w:pPr>
              <w:suppressAutoHyphens/>
              <w:spacing w:after="120" w:line="240" w:lineRule="auto"/>
              <w:jc w:val="right"/>
              <w:rPr>
                <w:i/>
                <w:sz w:val="14"/>
                <w:lang w:val="fr-CA"/>
              </w:rPr>
            </w:pPr>
            <w:r>
              <w:rPr>
                <w:i/>
                <w:sz w:val="14"/>
              </w:rPr>
              <w:t>Доля женщин в общем числе занятых в %</w:t>
            </w:r>
          </w:p>
        </w:tc>
      </w:tr>
      <w:tr w:rsidR="00000000">
        <w:tblPrEx>
          <w:tblCellMar>
            <w:top w:w="0" w:type="dxa"/>
            <w:left w:w="0" w:type="dxa"/>
            <w:bottom w:w="0" w:type="dxa"/>
            <w:right w:w="0" w:type="dxa"/>
          </w:tblCellMar>
        </w:tblPrEx>
        <w:trPr>
          <w:trHeight w:hRule="exact" w:val="115"/>
          <w:tblHeader/>
        </w:trPr>
        <w:tc>
          <w:tcPr>
            <w:tcW w:w="2952"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171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714"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95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uppressAutoHyphens/>
              <w:spacing w:line="240" w:lineRule="auto"/>
              <w:ind w:left="0" w:right="-126"/>
              <w:jc w:val="left"/>
              <w:rPr>
                <w:sz w:val="17"/>
              </w:rPr>
            </w:pPr>
            <w:r>
              <w:rPr>
                <w:sz w:val="17"/>
              </w:rPr>
              <w:t>Сельское хозяйство</w:t>
            </w:r>
          </w:p>
        </w:tc>
        <w:tc>
          <w:tcPr>
            <w:tcW w:w="1710" w:type="dxa"/>
            <w:tcBorders>
              <w:top w:val="nil"/>
              <w:left w:val="nil"/>
              <w:bottom w:val="nil"/>
              <w:right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0" w:right="90"/>
              <w:jc w:val="right"/>
              <w:rPr>
                <w:sz w:val="17"/>
              </w:rPr>
            </w:pPr>
            <w:r>
              <w:rPr>
                <w:sz w:val="17"/>
              </w:rPr>
              <w:t>2,7</w:t>
            </w:r>
          </w:p>
        </w:tc>
        <w:tc>
          <w:tcPr>
            <w:tcW w:w="1714" w:type="dxa"/>
            <w:tcBorders>
              <w:top w:val="nil"/>
              <w:left w:val="nil"/>
              <w:bottom w:val="nil"/>
              <w:right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0" w:right="90"/>
              <w:jc w:val="right"/>
              <w:rPr>
                <w:sz w:val="17"/>
              </w:rPr>
            </w:pPr>
            <w:r>
              <w:rPr>
                <w:sz w:val="17"/>
              </w:rPr>
              <w:t>0,8</w:t>
            </w:r>
          </w:p>
        </w:tc>
      </w:tr>
      <w:tr w:rsidR="00000000">
        <w:tblPrEx>
          <w:tblCellMar>
            <w:top w:w="0" w:type="dxa"/>
            <w:left w:w="0" w:type="dxa"/>
            <w:bottom w:w="0" w:type="dxa"/>
            <w:right w:w="0" w:type="dxa"/>
          </w:tblCellMar>
        </w:tblPrEx>
        <w:tc>
          <w:tcPr>
            <w:tcW w:w="295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uppressAutoHyphens/>
              <w:spacing w:line="240" w:lineRule="auto"/>
              <w:ind w:left="0" w:right="-126"/>
              <w:jc w:val="left"/>
              <w:rPr>
                <w:sz w:val="17"/>
              </w:rPr>
            </w:pPr>
            <w:r>
              <w:rPr>
                <w:sz w:val="17"/>
              </w:rPr>
              <w:t>Промышленность</w:t>
            </w:r>
          </w:p>
        </w:tc>
        <w:tc>
          <w:tcPr>
            <w:tcW w:w="1710" w:type="dxa"/>
            <w:tcBorders>
              <w:top w:val="nil"/>
              <w:left w:val="nil"/>
              <w:bottom w:val="nil"/>
              <w:right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0" w:right="90"/>
              <w:jc w:val="right"/>
              <w:rPr>
                <w:sz w:val="17"/>
              </w:rPr>
            </w:pPr>
            <w:r>
              <w:rPr>
                <w:sz w:val="17"/>
              </w:rPr>
              <w:t>22,1</w:t>
            </w:r>
          </w:p>
        </w:tc>
        <w:tc>
          <w:tcPr>
            <w:tcW w:w="1714" w:type="dxa"/>
            <w:tcBorders>
              <w:top w:val="nil"/>
              <w:left w:val="nil"/>
              <w:bottom w:val="nil"/>
              <w:right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0" w:right="90"/>
              <w:jc w:val="right"/>
              <w:rPr>
                <w:sz w:val="17"/>
              </w:rPr>
            </w:pPr>
            <w:r>
              <w:rPr>
                <w:sz w:val="17"/>
              </w:rPr>
              <w:t>9,8</w:t>
            </w:r>
          </w:p>
        </w:tc>
      </w:tr>
      <w:tr w:rsidR="00000000">
        <w:tblPrEx>
          <w:tblCellMar>
            <w:top w:w="0" w:type="dxa"/>
            <w:left w:w="0" w:type="dxa"/>
            <w:bottom w:w="0" w:type="dxa"/>
            <w:right w:w="0" w:type="dxa"/>
          </w:tblCellMar>
        </w:tblPrEx>
        <w:tc>
          <w:tcPr>
            <w:tcW w:w="295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uppressAutoHyphens/>
              <w:spacing w:line="240" w:lineRule="auto"/>
              <w:ind w:left="0" w:right="-126"/>
              <w:jc w:val="left"/>
              <w:rPr>
                <w:sz w:val="17"/>
              </w:rPr>
            </w:pPr>
            <w:r>
              <w:rPr>
                <w:sz w:val="17"/>
              </w:rPr>
              <w:t>Электроэнергетика и водоснабжение</w:t>
            </w:r>
          </w:p>
        </w:tc>
        <w:tc>
          <w:tcPr>
            <w:tcW w:w="1710" w:type="dxa"/>
            <w:tcBorders>
              <w:top w:val="nil"/>
              <w:left w:val="nil"/>
              <w:bottom w:val="nil"/>
              <w:right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0" w:right="90"/>
              <w:jc w:val="right"/>
              <w:rPr>
                <w:sz w:val="17"/>
              </w:rPr>
            </w:pPr>
            <w:r>
              <w:rPr>
                <w:sz w:val="17"/>
              </w:rPr>
              <w:t>1,2</w:t>
            </w:r>
          </w:p>
        </w:tc>
        <w:tc>
          <w:tcPr>
            <w:tcW w:w="1714" w:type="dxa"/>
            <w:tcBorders>
              <w:top w:val="nil"/>
              <w:left w:val="nil"/>
              <w:bottom w:val="nil"/>
              <w:right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0" w:right="90"/>
              <w:jc w:val="right"/>
              <w:rPr>
                <w:sz w:val="17"/>
              </w:rPr>
            </w:pPr>
            <w:r>
              <w:rPr>
                <w:sz w:val="17"/>
              </w:rPr>
              <w:t>0,3</w:t>
            </w:r>
          </w:p>
        </w:tc>
      </w:tr>
      <w:tr w:rsidR="00000000">
        <w:tblPrEx>
          <w:tblCellMar>
            <w:top w:w="0" w:type="dxa"/>
            <w:left w:w="0" w:type="dxa"/>
            <w:bottom w:w="0" w:type="dxa"/>
            <w:right w:w="0" w:type="dxa"/>
          </w:tblCellMar>
        </w:tblPrEx>
        <w:tc>
          <w:tcPr>
            <w:tcW w:w="295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uppressAutoHyphens/>
              <w:spacing w:line="240" w:lineRule="auto"/>
              <w:ind w:left="0" w:right="-126"/>
              <w:jc w:val="left"/>
              <w:rPr>
                <w:sz w:val="17"/>
              </w:rPr>
            </w:pPr>
            <w:r>
              <w:rPr>
                <w:sz w:val="17"/>
              </w:rPr>
              <w:t>Строительство</w:t>
            </w:r>
          </w:p>
        </w:tc>
        <w:tc>
          <w:tcPr>
            <w:tcW w:w="1710" w:type="dxa"/>
            <w:tcBorders>
              <w:top w:val="nil"/>
              <w:left w:val="nil"/>
              <w:bottom w:val="nil"/>
              <w:right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0" w:right="90"/>
              <w:jc w:val="right"/>
              <w:rPr>
                <w:sz w:val="17"/>
              </w:rPr>
            </w:pPr>
            <w:r>
              <w:rPr>
                <w:sz w:val="17"/>
              </w:rPr>
              <w:t>9,5</w:t>
            </w:r>
          </w:p>
        </w:tc>
        <w:tc>
          <w:tcPr>
            <w:tcW w:w="1714" w:type="dxa"/>
            <w:tcBorders>
              <w:top w:val="nil"/>
              <w:left w:val="nil"/>
              <w:bottom w:val="nil"/>
              <w:right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0" w:right="90"/>
              <w:jc w:val="right"/>
              <w:rPr>
                <w:sz w:val="17"/>
              </w:rPr>
            </w:pPr>
            <w:r>
              <w:rPr>
                <w:sz w:val="17"/>
              </w:rPr>
              <w:t>1</w:t>
            </w:r>
          </w:p>
        </w:tc>
      </w:tr>
      <w:tr w:rsidR="00000000">
        <w:tblPrEx>
          <w:tblCellMar>
            <w:top w:w="0" w:type="dxa"/>
            <w:left w:w="0" w:type="dxa"/>
            <w:bottom w:w="0" w:type="dxa"/>
            <w:right w:w="0" w:type="dxa"/>
          </w:tblCellMar>
        </w:tblPrEx>
        <w:tc>
          <w:tcPr>
            <w:tcW w:w="295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uppressAutoHyphens/>
              <w:spacing w:line="240" w:lineRule="auto"/>
              <w:ind w:left="0" w:right="-126"/>
              <w:jc w:val="left"/>
              <w:rPr>
                <w:sz w:val="17"/>
              </w:rPr>
            </w:pPr>
            <w:r>
              <w:rPr>
                <w:sz w:val="17"/>
              </w:rPr>
              <w:t>Оптовая и розничная торговля и ремонт</w:t>
            </w:r>
          </w:p>
        </w:tc>
        <w:tc>
          <w:tcPr>
            <w:tcW w:w="1710" w:type="dxa"/>
            <w:tcBorders>
              <w:top w:val="nil"/>
              <w:left w:val="nil"/>
              <w:bottom w:val="nil"/>
              <w:right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0" w:right="90"/>
              <w:jc w:val="right"/>
              <w:rPr>
                <w:sz w:val="17"/>
              </w:rPr>
            </w:pPr>
            <w:r>
              <w:rPr>
                <w:sz w:val="17"/>
              </w:rPr>
              <w:t>14,8</w:t>
            </w:r>
          </w:p>
        </w:tc>
        <w:tc>
          <w:tcPr>
            <w:tcW w:w="1714" w:type="dxa"/>
            <w:tcBorders>
              <w:top w:val="nil"/>
              <w:left w:val="nil"/>
              <w:bottom w:val="nil"/>
              <w:right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0" w:right="90"/>
              <w:jc w:val="right"/>
              <w:rPr>
                <w:sz w:val="17"/>
              </w:rPr>
            </w:pPr>
            <w:r>
              <w:rPr>
                <w:sz w:val="17"/>
              </w:rPr>
              <w:t>12,1</w:t>
            </w:r>
          </w:p>
        </w:tc>
      </w:tr>
      <w:tr w:rsidR="00000000">
        <w:tblPrEx>
          <w:tblCellMar>
            <w:top w:w="0" w:type="dxa"/>
            <w:left w:w="0" w:type="dxa"/>
            <w:bottom w:w="0" w:type="dxa"/>
            <w:right w:w="0" w:type="dxa"/>
          </w:tblCellMar>
        </w:tblPrEx>
        <w:tc>
          <w:tcPr>
            <w:tcW w:w="295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uppressAutoHyphens/>
              <w:spacing w:line="240" w:lineRule="auto"/>
              <w:ind w:left="0" w:right="-126"/>
              <w:jc w:val="left"/>
              <w:rPr>
                <w:sz w:val="17"/>
              </w:rPr>
            </w:pPr>
            <w:r>
              <w:rPr>
                <w:sz w:val="17"/>
              </w:rPr>
              <w:t>Гостиничные услуги и рестораны</w:t>
            </w:r>
          </w:p>
        </w:tc>
        <w:tc>
          <w:tcPr>
            <w:tcW w:w="1710" w:type="dxa"/>
            <w:tcBorders>
              <w:top w:val="nil"/>
              <w:left w:val="nil"/>
              <w:bottom w:val="nil"/>
              <w:right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0" w:right="90"/>
              <w:jc w:val="right"/>
              <w:rPr>
                <w:sz w:val="17"/>
              </w:rPr>
            </w:pPr>
            <w:r>
              <w:rPr>
                <w:sz w:val="17"/>
              </w:rPr>
              <w:t>4,3</w:t>
            </w:r>
          </w:p>
        </w:tc>
        <w:tc>
          <w:tcPr>
            <w:tcW w:w="1714" w:type="dxa"/>
            <w:tcBorders>
              <w:top w:val="nil"/>
              <w:left w:val="nil"/>
              <w:bottom w:val="nil"/>
              <w:right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0" w:right="90"/>
              <w:jc w:val="right"/>
              <w:rPr>
                <w:sz w:val="17"/>
              </w:rPr>
            </w:pPr>
            <w:r>
              <w:rPr>
                <w:sz w:val="17"/>
              </w:rPr>
              <w:t>3,7</w:t>
            </w:r>
          </w:p>
        </w:tc>
      </w:tr>
      <w:tr w:rsidR="00000000">
        <w:tblPrEx>
          <w:tblCellMar>
            <w:top w:w="0" w:type="dxa"/>
            <w:left w:w="0" w:type="dxa"/>
            <w:bottom w:w="0" w:type="dxa"/>
            <w:right w:w="0" w:type="dxa"/>
          </w:tblCellMar>
        </w:tblPrEx>
        <w:tc>
          <w:tcPr>
            <w:tcW w:w="295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uppressAutoHyphens/>
              <w:spacing w:line="240" w:lineRule="auto"/>
              <w:ind w:left="0" w:right="-126"/>
              <w:jc w:val="left"/>
              <w:rPr>
                <w:sz w:val="17"/>
              </w:rPr>
            </w:pPr>
            <w:r>
              <w:rPr>
                <w:sz w:val="17"/>
              </w:rPr>
              <w:t>Транспорт, хранение и связь</w:t>
            </w:r>
          </w:p>
        </w:tc>
        <w:tc>
          <w:tcPr>
            <w:tcW w:w="1710" w:type="dxa"/>
            <w:tcBorders>
              <w:top w:val="nil"/>
              <w:left w:val="nil"/>
              <w:bottom w:val="nil"/>
              <w:right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0" w:right="90"/>
              <w:jc w:val="right"/>
              <w:rPr>
                <w:sz w:val="17"/>
              </w:rPr>
            </w:pPr>
            <w:r>
              <w:rPr>
                <w:sz w:val="17"/>
              </w:rPr>
              <w:t>8,8</w:t>
            </w:r>
          </w:p>
        </w:tc>
        <w:tc>
          <w:tcPr>
            <w:tcW w:w="1714" w:type="dxa"/>
            <w:tcBorders>
              <w:top w:val="nil"/>
              <w:left w:val="nil"/>
              <w:bottom w:val="nil"/>
              <w:right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0" w:right="90"/>
              <w:jc w:val="right"/>
              <w:rPr>
                <w:sz w:val="17"/>
              </w:rPr>
            </w:pPr>
            <w:r>
              <w:rPr>
                <w:sz w:val="17"/>
              </w:rPr>
              <w:t>4</w:t>
            </w:r>
          </w:p>
        </w:tc>
      </w:tr>
      <w:tr w:rsidR="00000000">
        <w:tblPrEx>
          <w:tblCellMar>
            <w:top w:w="0" w:type="dxa"/>
            <w:left w:w="0" w:type="dxa"/>
            <w:bottom w:w="0" w:type="dxa"/>
            <w:right w:w="0" w:type="dxa"/>
          </w:tblCellMar>
        </w:tblPrEx>
        <w:tc>
          <w:tcPr>
            <w:tcW w:w="295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uppressAutoHyphens/>
              <w:spacing w:line="240" w:lineRule="auto"/>
              <w:ind w:left="0" w:right="-126"/>
              <w:jc w:val="left"/>
              <w:rPr>
                <w:sz w:val="17"/>
              </w:rPr>
            </w:pPr>
            <w:r>
              <w:rPr>
                <w:sz w:val="17"/>
              </w:rPr>
              <w:t>Банковское дело, страхование и финансы</w:t>
            </w:r>
          </w:p>
        </w:tc>
        <w:tc>
          <w:tcPr>
            <w:tcW w:w="1710" w:type="dxa"/>
            <w:tcBorders>
              <w:top w:val="nil"/>
              <w:left w:val="nil"/>
              <w:bottom w:val="nil"/>
              <w:right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0" w:right="90"/>
              <w:jc w:val="right"/>
              <w:rPr>
                <w:sz w:val="17"/>
              </w:rPr>
            </w:pPr>
            <w:r>
              <w:rPr>
                <w:sz w:val="17"/>
              </w:rPr>
              <w:t>2,6</w:t>
            </w:r>
          </w:p>
        </w:tc>
        <w:tc>
          <w:tcPr>
            <w:tcW w:w="1714" w:type="dxa"/>
            <w:tcBorders>
              <w:top w:val="nil"/>
              <w:left w:val="nil"/>
              <w:bottom w:val="nil"/>
              <w:right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0" w:right="90"/>
              <w:jc w:val="right"/>
              <w:rPr>
                <w:sz w:val="17"/>
              </w:rPr>
            </w:pPr>
            <w:r>
              <w:rPr>
                <w:sz w:val="17"/>
              </w:rPr>
              <w:t>4,3</w:t>
            </w:r>
          </w:p>
        </w:tc>
      </w:tr>
      <w:tr w:rsidR="00000000">
        <w:tblPrEx>
          <w:tblCellMar>
            <w:top w:w="0" w:type="dxa"/>
            <w:left w:w="0" w:type="dxa"/>
            <w:bottom w:w="0" w:type="dxa"/>
            <w:right w:w="0" w:type="dxa"/>
          </w:tblCellMar>
        </w:tblPrEx>
        <w:tc>
          <w:tcPr>
            <w:tcW w:w="295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uppressAutoHyphens/>
              <w:spacing w:line="240" w:lineRule="auto"/>
              <w:ind w:left="0" w:right="-126"/>
              <w:jc w:val="left"/>
              <w:rPr>
                <w:sz w:val="17"/>
              </w:rPr>
            </w:pPr>
            <w:r>
              <w:rPr>
                <w:sz w:val="17"/>
              </w:rPr>
              <w:t>Предпринимательская деятельность</w:t>
            </w:r>
          </w:p>
        </w:tc>
        <w:tc>
          <w:tcPr>
            <w:tcW w:w="1710" w:type="dxa"/>
            <w:tcBorders>
              <w:top w:val="nil"/>
              <w:left w:val="nil"/>
              <w:bottom w:val="nil"/>
              <w:right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0" w:right="90"/>
              <w:jc w:val="right"/>
              <w:rPr>
                <w:sz w:val="17"/>
              </w:rPr>
            </w:pPr>
            <w:r>
              <w:rPr>
                <w:sz w:val="17"/>
              </w:rPr>
              <w:t>13,7</w:t>
            </w:r>
          </w:p>
        </w:tc>
        <w:tc>
          <w:tcPr>
            <w:tcW w:w="1714" w:type="dxa"/>
            <w:tcBorders>
              <w:top w:val="nil"/>
              <w:left w:val="nil"/>
              <w:bottom w:val="nil"/>
              <w:right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0" w:right="90"/>
              <w:jc w:val="right"/>
              <w:rPr>
                <w:sz w:val="17"/>
              </w:rPr>
            </w:pPr>
            <w:r>
              <w:rPr>
                <w:sz w:val="17"/>
              </w:rPr>
              <w:t>11,9</w:t>
            </w:r>
          </w:p>
        </w:tc>
      </w:tr>
      <w:tr w:rsidR="00000000">
        <w:tblPrEx>
          <w:tblCellMar>
            <w:top w:w="0" w:type="dxa"/>
            <w:left w:w="0" w:type="dxa"/>
            <w:bottom w:w="0" w:type="dxa"/>
            <w:right w:w="0" w:type="dxa"/>
          </w:tblCellMar>
        </w:tblPrEx>
        <w:tc>
          <w:tcPr>
            <w:tcW w:w="295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uppressAutoHyphens/>
              <w:spacing w:line="240" w:lineRule="auto"/>
              <w:ind w:left="0" w:right="-126"/>
              <w:jc w:val="left"/>
              <w:rPr>
                <w:sz w:val="17"/>
              </w:rPr>
            </w:pPr>
            <w:r>
              <w:rPr>
                <w:sz w:val="17"/>
              </w:rPr>
              <w:t>Государственное управление</w:t>
            </w:r>
          </w:p>
        </w:tc>
        <w:tc>
          <w:tcPr>
            <w:tcW w:w="1710" w:type="dxa"/>
            <w:tcBorders>
              <w:top w:val="nil"/>
              <w:left w:val="nil"/>
              <w:bottom w:val="nil"/>
              <w:right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0" w:right="90"/>
              <w:jc w:val="right"/>
              <w:rPr>
                <w:sz w:val="17"/>
              </w:rPr>
            </w:pPr>
            <w:r>
              <w:rPr>
                <w:sz w:val="17"/>
              </w:rPr>
              <w:t>5,5</w:t>
            </w:r>
          </w:p>
        </w:tc>
        <w:tc>
          <w:tcPr>
            <w:tcW w:w="1714" w:type="dxa"/>
            <w:tcBorders>
              <w:top w:val="nil"/>
              <w:left w:val="nil"/>
              <w:bottom w:val="nil"/>
              <w:right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0" w:right="90"/>
              <w:jc w:val="right"/>
              <w:rPr>
                <w:sz w:val="17"/>
              </w:rPr>
            </w:pPr>
            <w:r>
              <w:rPr>
                <w:sz w:val="17"/>
              </w:rPr>
              <w:t>5,4</w:t>
            </w:r>
          </w:p>
        </w:tc>
      </w:tr>
      <w:tr w:rsidR="00000000">
        <w:tblPrEx>
          <w:tblCellMar>
            <w:top w:w="0" w:type="dxa"/>
            <w:left w:w="0" w:type="dxa"/>
            <w:bottom w:w="0" w:type="dxa"/>
            <w:right w:w="0" w:type="dxa"/>
          </w:tblCellMar>
        </w:tblPrEx>
        <w:tc>
          <w:tcPr>
            <w:tcW w:w="295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uppressAutoHyphens/>
              <w:spacing w:line="240" w:lineRule="auto"/>
              <w:ind w:left="0" w:right="-126"/>
              <w:jc w:val="left"/>
              <w:rPr>
                <w:sz w:val="17"/>
              </w:rPr>
            </w:pPr>
            <w:r>
              <w:rPr>
                <w:sz w:val="17"/>
              </w:rPr>
              <w:t>Образование</w:t>
            </w:r>
          </w:p>
        </w:tc>
        <w:tc>
          <w:tcPr>
            <w:tcW w:w="1710" w:type="dxa"/>
            <w:tcBorders>
              <w:top w:val="nil"/>
              <w:left w:val="nil"/>
              <w:bottom w:val="nil"/>
              <w:right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0" w:right="90"/>
              <w:jc w:val="right"/>
              <w:rPr>
                <w:sz w:val="17"/>
              </w:rPr>
            </w:pPr>
            <w:r>
              <w:rPr>
                <w:sz w:val="17"/>
              </w:rPr>
              <w:t>5,6</w:t>
            </w:r>
          </w:p>
        </w:tc>
        <w:tc>
          <w:tcPr>
            <w:tcW w:w="1714" w:type="dxa"/>
            <w:tcBorders>
              <w:top w:val="nil"/>
              <w:left w:val="nil"/>
              <w:bottom w:val="nil"/>
              <w:right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0" w:right="90"/>
              <w:jc w:val="right"/>
              <w:rPr>
                <w:sz w:val="17"/>
              </w:rPr>
            </w:pPr>
            <w:r>
              <w:rPr>
                <w:sz w:val="17"/>
              </w:rPr>
              <w:t>20,8</w:t>
            </w:r>
          </w:p>
        </w:tc>
      </w:tr>
      <w:tr w:rsidR="00000000">
        <w:tblPrEx>
          <w:tblCellMar>
            <w:top w:w="0" w:type="dxa"/>
            <w:left w:w="0" w:type="dxa"/>
            <w:bottom w:w="0" w:type="dxa"/>
            <w:right w:w="0" w:type="dxa"/>
          </w:tblCellMar>
        </w:tblPrEx>
        <w:tc>
          <w:tcPr>
            <w:tcW w:w="295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uppressAutoHyphens/>
              <w:spacing w:line="240" w:lineRule="auto"/>
              <w:ind w:left="0" w:right="-126"/>
              <w:jc w:val="left"/>
              <w:rPr>
                <w:sz w:val="17"/>
              </w:rPr>
            </w:pPr>
            <w:r>
              <w:rPr>
                <w:sz w:val="17"/>
              </w:rPr>
              <w:t>Здравоохранение, социальное обеспечение и социальная работа</w:t>
            </w:r>
          </w:p>
        </w:tc>
        <w:tc>
          <w:tcPr>
            <w:tcW w:w="1710" w:type="dxa"/>
            <w:tcBorders>
              <w:top w:val="nil"/>
              <w:left w:val="nil"/>
              <w:bottom w:val="nil"/>
              <w:right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0" w:right="90"/>
              <w:jc w:val="right"/>
              <w:rPr>
                <w:sz w:val="17"/>
              </w:rPr>
            </w:pPr>
            <w:r>
              <w:rPr>
                <w:sz w:val="17"/>
              </w:rPr>
              <w:t>4,6</w:t>
            </w:r>
          </w:p>
        </w:tc>
        <w:tc>
          <w:tcPr>
            <w:tcW w:w="1714" w:type="dxa"/>
            <w:tcBorders>
              <w:top w:val="nil"/>
              <w:left w:val="nil"/>
              <w:bottom w:val="nil"/>
              <w:right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0" w:right="90"/>
              <w:jc w:val="right"/>
              <w:rPr>
                <w:sz w:val="17"/>
              </w:rPr>
            </w:pPr>
            <w:r>
              <w:rPr>
                <w:sz w:val="17"/>
              </w:rPr>
              <w:t>17,4</w:t>
            </w:r>
          </w:p>
        </w:tc>
      </w:tr>
      <w:tr w:rsidR="00000000">
        <w:tblPrEx>
          <w:tblCellMar>
            <w:top w:w="0" w:type="dxa"/>
            <w:left w:w="0" w:type="dxa"/>
            <w:bottom w:w="0" w:type="dxa"/>
            <w:right w:w="0" w:type="dxa"/>
          </w:tblCellMar>
        </w:tblPrEx>
        <w:tc>
          <w:tcPr>
            <w:tcW w:w="2952" w:type="dxa"/>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uppressAutoHyphens/>
              <w:spacing w:line="240" w:lineRule="auto"/>
              <w:ind w:left="0" w:right="-225"/>
              <w:jc w:val="left"/>
              <w:rPr>
                <w:sz w:val="17"/>
              </w:rPr>
            </w:pPr>
            <w:r>
              <w:rPr>
                <w:sz w:val="17"/>
              </w:rPr>
              <w:t>Общинные, социальные и личные услуги</w:t>
            </w:r>
          </w:p>
        </w:tc>
        <w:tc>
          <w:tcPr>
            <w:tcW w:w="1710" w:type="dxa"/>
            <w:tcBorders>
              <w:top w:val="nil"/>
              <w:left w:val="nil"/>
              <w:bottom w:val="nil"/>
              <w:right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0" w:right="90"/>
              <w:jc w:val="right"/>
              <w:rPr>
                <w:sz w:val="17"/>
              </w:rPr>
            </w:pPr>
            <w:r>
              <w:rPr>
                <w:sz w:val="17"/>
              </w:rPr>
              <w:t>4,3</w:t>
            </w:r>
          </w:p>
        </w:tc>
        <w:tc>
          <w:tcPr>
            <w:tcW w:w="1714" w:type="dxa"/>
            <w:tcBorders>
              <w:top w:val="nil"/>
              <w:left w:val="nil"/>
              <w:bottom w:val="nil"/>
              <w:right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0" w:right="90"/>
              <w:jc w:val="right"/>
              <w:rPr>
                <w:sz w:val="17"/>
              </w:rPr>
            </w:pPr>
            <w:r>
              <w:rPr>
                <w:sz w:val="17"/>
              </w:rPr>
              <w:t>5,7</w:t>
            </w:r>
          </w:p>
        </w:tc>
      </w:tr>
      <w:tr w:rsidR="00000000">
        <w:tblPrEx>
          <w:tblCellMar>
            <w:top w:w="0" w:type="dxa"/>
            <w:left w:w="0" w:type="dxa"/>
            <w:bottom w:w="0" w:type="dxa"/>
            <w:right w:w="0" w:type="dxa"/>
          </w:tblCellMar>
        </w:tblPrEx>
        <w:tc>
          <w:tcPr>
            <w:tcW w:w="2952" w:type="dxa"/>
            <w:tcBorders>
              <w:top w:val="nil"/>
              <w:left w:val="nil"/>
              <w:bottom w:val="single" w:sz="12" w:space="0" w:color="auto"/>
              <w:right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uppressAutoHyphens/>
              <w:spacing w:line="240" w:lineRule="auto"/>
              <w:ind w:left="0" w:right="-126"/>
              <w:jc w:val="left"/>
              <w:rPr>
                <w:sz w:val="17"/>
              </w:rPr>
            </w:pPr>
            <w:r>
              <w:rPr>
                <w:sz w:val="17"/>
              </w:rPr>
              <w:t>Услуги домашним хозяйствам, оказываемые наемной прислугой</w:t>
            </w:r>
          </w:p>
        </w:tc>
        <w:tc>
          <w:tcPr>
            <w:tcW w:w="1710" w:type="dxa"/>
            <w:tcBorders>
              <w:top w:val="nil"/>
              <w:left w:val="nil"/>
              <w:bottom w:val="single" w:sz="12" w:space="0" w:color="auto"/>
              <w:right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0" w:right="90"/>
              <w:jc w:val="right"/>
              <w:rPr>
                <w:sz w:val="17"/>
              </w:rPr>
            </w:pPr>
            <w:r>
              <w:rPr>
                <w:sz w:val="17"/>
              </w:rPr>
              <w:t>0,3</w:t>
            </w:r>
          </w:p>
        </w:tc>
        <w:tc>
          <w:tcPr>
            <w:tcW w:w="1714" w:type="dxa"/>
            <w:tcBorders>
              <w:top w:val="nil"/>
              <w:left w:val="nil"/>
              <w:bottom w:val="single" w:sz="12" w:space="0" w:color="auto"/>
              <w:right w:val="nil"/>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0" w:right="90"/>
              <w:jc w:val="right"/>
              <w:rPr>
                <w:sz w:val="17"/>
              </w:rPr>
            </w:pPr>
            <w:r>
              <w:rPr>
                <w:sz w:val="17"/>
              </w:rPr>
              <w:t>2,9</w:t>
            </w:r>
          </w:p>
        </w:tc>
      </w:tr>
    </w:tbl>
    <w:p w:rsidR="00000000" w:rsidRDefault="00000000">
      <w:pPr>
        <w:pStyle w:val="SingleTxt"/>
        <w:spacing w:after="0" w:line="120" w:lineRule="exact"/>
        <w:ind w:left="1264" w:right="1264"/>
        <w:jc w:val="lef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i/>
        </w:rPr>
      </w:pPr>
      <w:r>
        <w:rPr>
          <w:i/>
        </w:rPr>
        <w:t xml:space="preserve">Источник: </w:t>
      </w:r>
      <w:r>
        <w:t>Центральное статистическое бюро, 2004 год.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5" w:right="1267" w:firstLine="172"/>
      </w:pPr>
      <w:r>
        <w:t>Различия в окладах и заработной плате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300.</w:t>
      </w:r>
      <w:r>
        <w:tab/>
        <w:t xml:space="preserve">Мужчины и женщины по-прежнему получают разную заработную плату. Согласно последним данным, мужчины в среднем зарабатывают на 63 процента больше женщин.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301.</w:t>
      </w:r>
      <w:r>
        <w:tab/>
        <w:t>Одно из объяснений этого несовпадения связано с тем, что женщины р</w:t>
      </w:r>
      <w:r>
        <w:t>а</w:t>
      </w:r>
      <w:r>
        <w:t>ботают меньшее количество часов (или имеют меньше возможностей для раб</w:t>
      </w:r>
      <w:r>
        <w:t>о</w:t>
      </w:r>
      <w:r>
        <w:t>ты) - в 2002 году мужчины работали в среднем 42 часа в неделю, а женщины - 31 час в неделю, что на 35 процентов меньше. При этом в 2002 году средняя заработная плата женщин в час равнялась 36,7 новых шекелей, а мужчин - 45,3 новый шекеля, что означает разрыв в 23 процента, который свидетельствует о том, что число рабочих часов не является его единственной причиной.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302.</w:t>
      </w:r>
      <w:r>
        <w:tab/>
        <w:t>В арабском секторе наемные работники-женщины зарабатывают на 7 пр</w:t>
      </w:r>
      <w:r>
        <w:t>о</w:t>
      </w:r>
      <w:r>
        <w:t>центов больше мужчин. За этим может стоять тот факт, что 47 процентов ара</w:t>
      </w:r>
      <w:r>
        <w:t>б</w:t>
      </w:r>
      <w:r>
        <w:t>ских женщин занимают преподавательские и технические должности, тогда как 64 процента арабских мужчин являются квалифицированными и неквалифиц</w:t>
      </w:r>
      <w:r>
        <w:t>и</w:t>
      </w:r>
      <w:r>
        <w:t xml:space="preserve">рованными рабочими в строительстве и промышленности. По мере увеличения возраста этот разрыв увеличивается, хотя с возрастом доход как мужчин, так и женщин увеличивается.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56"/>
        <w:ind w:left="1260" w:right="1267" w:firstLine="7"/>
      </w:pPr>
      <w:r>
        <w:t>Таблица 11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Ежемесячная заработная плата наемных работников и их валовая заработная плата в час, с разбивкой по профессиям - 2002 год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keepNext/>
        <w:spacing w:after="0" w:line="240" w:lineRule="auto"/>
        <w:rPr>
          <w:sz w:val="10"/>
        </w:rPr>
      </w:pPr>
    </w:p>
    <w:tbl>
      <w:tblPr>
        <w:tblW w:w="0" w:type="auto"/>
        <w:tblInd w:w="1270" w:type="dxa"/>
        <w:tblLayout w:type="fixed"/>
        <w:tblCellMar>
          <w:left w:w="0" w:type="dxa"/>
          <w:right w:w="0" w:type="dxa"/>
        </w:tblCellMar>
        <w:tblLook w:val="0000" w:firstRow="0" w:lastRow="0" w:firstColumn="0" w:lastColumn="0" w:noHBand="0" w:noVBand="0"/>
      </w:tblPr>
      <w:tblGrid>
        <w:gridCol w:w="3150"/>
        <w:gridCol w:w="900"/>
        <w:gridCol w:w="900"/>
        <w:gridCol w:w="720"/>
        <w:gridCol w:w="810"/>
        <w:gridCol w:w="1080"/>
      </w:tblGrid>
      <w:tr w:rsidR="00000000">
        <w:tblPrEx>
          <w:tblCellMar>
            <w:top w:w="0" w:type="dxa"/>
            <w:left w:w="0" w:type="dxa"/>
            <w:bottom w:w="0" w:type="dxa"/>
            <w:right w:w="0" w:type="dxa"/>
          </w:tblCellMar>
        </w:tblPrEx>
        <w:trPr>
          <w:cantSplit/>
          <w:tblHeader/>
        </w:trPr>
        <w:tc>
          <w:tcPr>
            <w:tcW w:w="3150" w:type="dxa"/>
            <w:tcBorders>
              <w:top w:val="single" w:sz="4" w:space="0" w:color="auto"/>
            </w:tcBorders>
          </w:tcPr>
          <w:p w:rsidR="00000000" w:rsidRDefault="00000000">
            <w:pPr>
              <w:keepNext/>
              <w:spacing w:after="120" w:line="240" w:lineRule="auto"/>
              <w:ind w:left="176"/>
              <w:rPr>
                <w:i/>
                <w:color w:val="000000"/>
                <w:sz w:val="14"/>
                <w:lang w:val="fr-CA"/>
              </w:rPr>
            </w:pPr>
            <w:r>
              <w:rPr>
                <w:i/>
                <w:sz w:val="14"/>
              </w:rPr>
              <w:t>Профессия</w:t>
            </w:r>
          </w:p>
        </w:tc>
        <w:tc>
          <w:tcPr>
            <w:tcW w:w="1800" w:type="dxa"/>
            <w:gridSpan w:val="2"/>
            <w:tcBorders>
              <w:top w:val="single" w:sz="4" w:space="0" w:color="auto"/>
            </w:tcBorders>
          </w:tcPr>
          <w:p w:rsidR="00000000" w:rsidRDefault="00000000">
            <w:pPr>
              <w:suppressAutoHyphens/>
              <w:spacing w:after="120"/>
              <w:ind w:right="-108"/>
              <w:jc w:val="center"/>
              <w:rPr>
                <w:i/>
                <w:sz w:val="14"/>
              </w:rPr>
            </w:pPr>
            <w:r>
              <w:rPr>
                <w:i/>
                <w:sz w:val="14"/>
              </w:rPr>
              <w:t xml:space="preserve">В месяц </w:t>
            </w:r>
            <w:r>
              <w:rPr>
                <w:i/>
                <w:sz w:val="14"/>
              </w:rPr>
              <w:br/>
              <w:t>(новых шекелей)</w:t>
            </w:r>
          </w:p>
        </w:tc>
        <w:tc>
          <w:tcPr>
            <w:tcW w:w="2610" w:type="dxa"/>
            <w:gridSpan w:val="3"/>
            <w:tcBorders>
              <w:top w:val="single" w:sz="4" w:space="0" w:color="auto"/>
            </w:tcBorders>
          </w:tcPr>
          <w:p w:rsidR="00000000" w:rsidRDefault="00000000">
            <w:pPr>
              <w:spacing w:after="120"/>
              <w:ind w:right="-99"/>
              <w:jc w:val="center"/>
              <w:rPr>
                <w:i/>
                <w:sz w:val="14"/>
              </w:rPr>
            </w:pPr>
            <w:r>
              <w:rPr>
                <w:i/>
                <w:sz w:val="14"/>
              </w:rPr>
              <w:t xml:space="preserve">В час </w:t>
            </w:r>
            <w:r>
              <w:rPr>
                <w:i/>
                <w:sz w:val="14"/>
              </w:rPr>
              <w:br/>
              <w:t>(новых шекелей)</w:t>
            </w:r>
          </w:p>
        </w:tc>
      </w:tr>
      <w:tr w:rsidR="00000000">
        <w:tblPrEx>
          <w:tblCellMar>
            <w:top w:w="0" w:type="dxa"/>
            <w:left w:w="0" w:type="dxa"/>
            <w:bottom w:w="0" w:type="dxa"/>
            <w:right w:w="0" w:type="dxa"/>
          </w:tblCellMar>
        </w:tblPrEx>
        <w:trPr>
          <w:tblHeader/>
        </w:trPr>
        <w:tc>
          <w:tcPr>
            <w:tcW w:w="3150" w:type="dxa"/>
            <w:tcBorders>
              <w:top w:val="single" w:sz="4" w:space="0" w:color="auto"/>
            </w:tcBorders>
          </w:tcPr>
          <w:p w:rsidR="00000000" w:rsidRDefault="00000000">
            <w:pPr>
              <w:keepNext/>
              <w:spacing w:after="120" w:line="240" w:lineRule="auto"/>
              <w:ind w:left="176"/>
              <w:jc w:val="right"/>
              <w:rPr>
                <w:i/>
                <w:color w:val="000000"/>
                <w:sz w:val="14"/>
                <w:lang w:val="fr-CA"/>
              </w:rPr>
            </w:pPr>
          </w:p>
        </w:tc>
        <w:tc>
          <w:tcPr>
            <w:tcW w:w="900" w:type="dxa"/>
            <w:tcBorders>
              <w:top w:val="single" w:sz="4" w:space="0" w:color="auto"/>
            </w:tcBorders>
          </w:tcPr>
          <w:p w:rsidR="00000000" w:rsidRDefault="00000000">
            <w:pPr>
              <w:spacing w:after="120" w:line="240" w:lineRule="auto"/>
              <w:jc w:val="right"/>
              <w:rPr>
                <w:i/>
                <w:sz w:val="14"/>
              </w:rPr>
            </w:pPr>
            <w:r>
              <w:rPr>
                <w:i/>
                <w:sz w:val="14"/>
              </w:rPr>
              <w:t>Мужч</w:t>
            </w:r>
            <w:r>
              <w:rPr>
                <w:i/>
                <w:sz w:val="14"/>
              </w:rPr>
              <w:t>и</w:t>
            </w:r>
            <w:r>
              <w:rPr>
                <w:i/>
                <w:sz w:val="14"/>
              </w:rPr>
              <w:t>ны</w:t>
            </w:r>
          </w:p>
        </w:tc>
        <w:tc>
          <w:tcPr>
            <w:tcW w:w="900" w:type="dxa"/>
            <w:tcBorders>
              <w:top w:val="single" w:sz="4" w:space="0" w:color="auto"/>
            </w:tcBorders>
          </w:tcPr>
          <w:p w:rsidR="00000000" w:rsidRDefault="00000000">
            <w:pPr>
              <w:spacing w:after="120" w:line="240" w:lineRule="auto"/>
              <w:jc w:val="right"/>
              <w:rPr>
                <w:i/>
                <w:sz w:val="14"/>
              </w:rPr>
            </w:pPr>
            <w:r>
              <w:rPr>
                <w:i/>
                <w:sz w:val="14"/>
              </w:rPr>
              <w:t>Женщ</w:t>
            </w:r>
            <w:r>
              <w:rPr>
                <w:i/>
                <w:sz w:val="14"/>
              </w:rPr>
              <w:t>и</w:t>
            </w:r>
            <w:r>
              <w:rPr>
                <w:i/>
                <w:sz w:val="14"/>
              </w:rPr>
              <w:t>ны</w:t>
            </w:r>
          </w:p>
        </w:tc>
        <w:tc>
          <w:tcPr>
            <w:tcW w:w="720" w:type="dxa"/>
            <w:tcBorders>
              <w:top w:val="single" w:sz="4" w:space="0" w:color="auto"/>
            </w:tcBorders>
          </w:tcPr>
          <w:p w:rsidR="00000000" w:rsidRDefault="00000000">
            <w:pPr>
              <w:spacing w:after="120" w:line="240" w:lineRule="auto"/>
              <w:jc w:val="right"/>
              <w:rPr>
                <w:i/>
                <w:sz w:val="14"/>
              </w:rPr>
            </w:pPr>
            <w:r>
              <w:rPr>
                <w:i/>
                <w:sz w:val="14"/>
              </w:rPr>
              <w:t>Му</w:t>
            </w:r>
            <w:r>
              <w:rPr>
                <w:i/>
                <w:sz w:val="14"/>
              </w:rPr>
              <w:t>ж</w:t>
            </w:r>
            <w:r>
              <w:rPr>
                <w:i/>
                <w:sz w:val="14"/>
              </w:rPr>
              <w:t>чины</w:t>
            </w:r>
          </w:p>
        </w:tc>
        <w:tc>
          <w:tcPr>
            <w:tcW w:w="810" w:type="dxa"/>
            <w:tcBorders>
              <w:top w:val="single" w:sz="4" w:space="0" w:color="auto"/>
            </w:tcBorders>
          </w:tcPr>
          <w:p w:rsidR="00000000" w:rsidRDefault="00000000">
            <w:pPr>
              <w:spacing w:after="120" w:line="240" w:lineRule="auto"/>
              <w:jc w:val="right"/>
              <w:rPr>
                <w:i/>
                <w:sz w:val="14"/>
              </w:rPr>
            </w:pPr>
            <w:r>
              <w:rPr>
                <w:i/>
                <w:sz w:val="14"/>
              </w:rPr>
              <w:t>Женщ</w:t>
            </w:r>
            <w:r>
              <w:rPr>
                <w:i/>
                <w:sz w:val="14"/>
              </w:rPr>
              <w:t>и</w:t>
            </w:r>
            <w:r>
              <w:rPr>
                <w:i/>
                <w:sz w:val="14"/>
              </w:rPr>
              <w:t>ны</w:t>
            </w:r>
          </w:p>
        </w:tc>
        <w:tc>
          <w:tcPr>
            <w:tcW w:w="1080" w:type="dxa"/>
            <w:tcBorders>
              <w:top w:val="single" w:sz="4" w:space="0" w:color="auto"/>
            </w:tcBorders>
          </w:tcPr>
          <w:p w:rsidR="00000000" w:rsidRDefault="00000000">
            <w:pPr>
              <w:suppressAutoHyphens/>
              <w:spacing w:after="120" w:line="240" w:lineRule="auto"/>
              <w:jc w:val="right"/>
              <w:rPr>
                <w:i/>
                <w:sz w:val="14"/>
              </w:rPr>
            </w:pPr>
            <w:r>
              <w:rPr>
                <w:i/>
                <w:sz w:val="14"/>
              </w:rPr>
              <w:t>Разность (в %)</w:t>
            </w:r>
          </w:p>
        </w:tc>
      </w:tr>
      <w:tr w:rsidR="00000000">
        <w:tblPrEx>
          <w:tblCellMar>
            <w:top w:w="0" w:type="dxa"/>
            <w:left w:w="0" w:type="dxa"/>
            <w:bottom w:w="0" w:type="dxa"/>
            <w:right w:w="0" w:type="dxa"/>
          </w:tblCellMar>
        </w:tblPrEx>
        <w:trPr>
          <w:trHeight w:hRule="exact" w:val="115"/>
          <w:tblHeader/>
        </w:trPr>
        <w:tc>
          <w:tcPr>
            <w:tcW w:w="3150" w:type="dxa"/>
            <w:tcBorders>
              <w:top w:val="single" w:sz="12" w:space="0" w:color="auto"/>
            </w:tcBorders>
            <w:vAlign w:val="bottom"/>
          </w:tcPr>
          <w:p w:rsidR="00000000" w:rsidRDefault="00000000">
            <w:pPr>
              <w:tabs>
                <w:tab w:val="left" w:pos="288"/>
                <w:tab w:val="left" w:pos="576"/>
                <w:tab w:val="left" w:pos="864"/>
                <w:tab w:val="left" w:pos="1152"/>
              </w:tabs>
              <w:spacing w:before="40" w:after="40"/>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ind w:right="40"/>
              <w:jc w:val="right"/>
              <w:rPr>
                <w:sz w:val="17"/>
              </w:rPr>
            </w:pPr>
          </w:p>
        </w:tc>
        <w:tc>
          <w:tcPr>
            <w:tcW w:w="900" w:type="dxa"/>
            <w:tcBorders>
              <w:top w:val="single" w:sz="12" w:space="0" w:color="auto"/>
            </w:tcBorders>
          </w:tcPr>
          <w:p w:rsidR="00000000" w:rsidRDefault="00000000">
            <w:pPr>
              <w:tabs>
                <w:tab w:val="left" w:pos="288"/>
                <w:tab w:val="left" w:pos="576"/>
                <w:tab w:val="left" w:pos="864"/>
                <w:tab w:val="left" w:pos="1152"/>
              </w:tabs>
              <w:spacing w:before="40" w:after="40"/>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ind w:right="40"/>
              <w:jc w:val="right"/>
              <w:rPr>
                <w:sz w:val="17"/>
              </w:rPr>
            </w:pPr>
          </w:p>
        </w:tc>
      </w:tr>
      <w:tr w:rsidR="00000000">
        <w:tblPrEx>
          <w:tblCellMar>
            <w:top w:w="0" w:type="dxa"/>
            <w:left w:w="0" w:type="dxa"/>
            <w:bottom w:w="0" w:type="dxa"/>
            <w:right w:w="0" w:type="dxa"/>
          </w:tblCellMar>
        </w:tblPrEx>
        <w:tc>
          <w:tcPr>
            <w:tcW w:w="3150" w:type="dxa"/>
          </w:tcPr>
          <w:p w:rsidR="00000000" w:rsidRDefault="00000000">
            <w:pPr>
              <w:suppressAutoHyphens/>
              <w:spacing w:after="120" w:line="240" w:lineRule="auto"/>
              <w:ind w:right="-130"/>
              <w:rPr>
                <w:sz w:val="17"/>
              </w:rPr>
            </w:pPr>
            <w:r>
              <w:rPr>
                <w:sz w:val="17"/>
              </w:rPr>
              <w:t>Научные работники</w:t>
            </w:r>
          </w:p>
        </w:tc>
        <w:tc>
          <w:tcPr>
            <w:tcW w:w="900" w:type="dxa"/>
          </w:tcPr>
          <w:p w:rsidR="00000000" w:rsidRDefault="00000000">
            <w:pPr>
              <w:spacing w:after="120" w:line="240" w:lineRule="auto"/>
              <w:jc w:val="right"/>
              <w:rPr>
                <w:sz w:val="17"/>
              </w:rPr>
            </w:pPr>
            <w:r>
              <w:rPr>
                <w:sz w:val="17"/>
              </w:rPr>
              <w:t>13 603</w:t>
            </w:r>
          </w:p>
        </w:tc>
        <w:tc>
          <w:tcPr>
            <w:tcW w:w="900" w:type="dxa"/>
          </w:tcPr>
          <w:p w:rsidR="00000000" w:rsidRDefault="00000000">
            <w:pPr>
              <w:spacing w:after="120" w:line="240" w:lineRule="auto"/>
              <w:jc w:val="right"/>
              <w:rPr>
                <w:sz w:val="17"/>
              </w:rPr>
            </w:pPr>
            <w:r>
              <w:rPr>
                <w:sz w:val="17"/>
              </w:rPr>
              <w:t>8 574</w:t>
            </w:r>
          </w:p>
        </w:tc>
        <w:tc>
          <w:tcPr>
            <w:tcW w:w="720" w:type="dxa"/>
          </w:tcPr>
          <w:p w:rsidR="00000000" w:rsidRDefault="00000000">
            <w:pPr>
              <w:spacing w:after="120" w:line="240" w:lineRule="auto"/>
              <w:jc w:val="right"/>
              <w:rPr>
                <w:sz w:val="17"/>
              </w:rPr>
            </w:pPr>
            <w:r>
              <w:rPr>
                <w:sz w:val="17"/>
              </w:rPr>
              <w:t>71</w:t>
            </w:r>
          </w:p>
        </w:tc>
        <w:tc>
          <w:tcPr>
            <w:tcW w:w="810" w:type="dxa"/>
          </w:tcPr>
          <w:p w:rsidR="00000000" w:rsidRDefault="00000000">
            <w:pPr>
              <w:spacing w:after="120" w:line="240" w:lineRule="auto"/>
              <w:ind w:right="-10"/>
              <w:jc w:val="right"/>
              <w:rPr>
                <w:sz w:val="17"/>
              </w:rPr>
            </w:pPr>
            <w:r>
              <w:rPr>
                <w:sz w:val="17"/>
              </w:rPr>
              <w:t>59</w:t>
            </w:r>
          </w:p>
        </w:tc>
        <w:tc>
          <w:tcPr>
            <w:tcW w:w="1080" w:type="dxa"/>
          </w:tcPr>
          <w:p w:rsidR="00000000" w:rsidRDefault="00000000">
            <w:pPr>
              <w:spacing w:after="120" w:line="240" w:lineRule="auto"/>
              <w:ind w:right="90"/>
              <w:jc w:val="right"/>
              <w:rPr>
                <w:sz w:val="17"/>
              </w:rPr>
            </w:pPr>
            <w:r>
              <w:rPr>
                <w:sz w:val="17"/>
              </w:rPr>
              <w:t>20</w:t>
            </w:r>
          </w:p>
        </w:tc>
      </w:tr>
      <w:tr w:rsidR="00000000">
        <w:tblPrEx>
          <w:tblCellMar>
            <w:top w:w="0" w:type="dxa"/>
            <w:left w:w="0" w:type="dxa"/>
            <w:bottom w:w="0" w:type="dxa"/>
            <w:right w:w="0" w:type="dxa"/>
          </w:tblCellMar>
        </w:tblPrEx>
        <w:tc>
          <w:tcPr>
            <w:tcW w:w="3150" w:type="dxa"/>
          </w:tcPr>
          <w:p w:rsidR="00000000" w:rsidRDefault="00000000">
            <w:pPr>
              <w:suppressAutoHyphens/>
              <w:spacing w:after="120" w:line="240" w:lineRule="auto"/>
              <w:ind w:right="-130"/>
              <w:rPr>
                <w:sz w:val="17"/>
              </w:rPr>
            </w:pPr>
            <w:r>
              <w:rPr>
                <w:sz w:val="17"/>
              </w:rPr>
              <w:t>Помощники и технические работники</w:t>
            </w:r>
          </w:p>
        </w:tc>
        <w:tc>
          <w:tcPr>
            <w:tcW w:w="900" w:type="dxa"/>
          </w:tcPr>
          <w:p w:rsidR="00000000" w:rsidRDefault="00000000">
            <w:pPr>
              <w:spacing w:after="120" w:line="240" w:lineRule="auto"/>
              <w:jc w:val="right"/>
              <w:rPr>
                <w:sz w:val="17"/>
              </w:rPr>
            </w:pPr>
            <w:r>
              <w:rPr>
                <w:sz w:val="17"/>
              </w:rPr>
              <w:t>9 134</w:t>
            </w:r>
          </w:p>
        </w:tc>
        <w:tc>
          <w:tcPr>
            <w:tcW w:w="900" w:type="dxa"/>
          </w:tcPr>
          <w:p w:rsidR="00000000" w:rsidRDefault="00000000">
            <w:pPr>
              <w:spacing w:after="120" w:line="240" w:lineRule="auto"/>
              <w:jc w:val="right"/>
              <w:rPr>
                <w:sz w:val="17"/>
              </w:rPr>
            </w:pPr>
            <w:r>
              <w:rPr>
                <w:sz w:val="17"/>
              </w:rPr>
              <w:t>5 717</w:t>
            </w:r>
          </w:p>
        </w:tc>
        <w:tc>
          <w:tcPr>
            <w:tcW w:w="720" w:type="dxa"/>
          </w:tcPr>
          <w:p w:rsidR="00000000" w:rsidRDefault="00000000">
            <w:pPr>
              <w:spacing w:after="120" w:line="240" w:lineRule="auto"/>
              <w:jc w:val="right"/>
              <w:rPr>
                <w:sz w:val="17"/>
              </w:rPr>
            </w:pPr>
            <w:r>
              <w:rPr>
                <w:sz w:val="17"/>
              </w:rPr>
              <w:t>52</w:t>
            </w:r>
          </w:p>
        </w:tc>
        <w:tc>
          <w:tcPr>
            <w:tcW w:w="810" w:type="dxa"/>
          </w:tcPr>
          <w:p w:rsidR="00000000" w:rsidRDefault="00000000">
            <w:pPr>
              <w:spacing w:after="120" w:line="240" w:lineRule="auto"/>
              <w:ind w:right="-10"/>
              <w:jc w:val="right"/>
              <w:rPr>
                <w:sz w:val="17"/>
              </w:rPr>
            </w:pPr>
            <w:r>
              <w:rPr>
                <w:sz w:val="17"/>
              </w:rPr>
              <w:t>44</w:t>
            </w:r>
          </w:p>
        </w:tc>
        <w:tc>
          <w:tcPr>
            <w:tcW w:w="1080" w:type="dxa"/>
          </w:tcPr>
          <w:p w:rsidR="00000000" w:rsidRDefault="00000000">
            <w:pPr>
              <w:spacing w:after="120" w:line="240" w:lineRule="auto"/>
              <w:ind w:right="90"/>
              <w:jc w:val="right"/>
              <w:rPr>
                <w:sz w:val="17"/>
              </w:rPr>
            </w:pPr>
            <w:r>
              <w:rPr>
                <w:sz w:val="17"/>
              </w:rPr>
              <w:t>18</w:t>
            </w:r>
          </w:p>
        </w:tc>
      </w:tr>
      <w:tr w:rsidR="00000000">
        <w:tblPrEx>
          <w:tblCellMar>
            <w:top w:w="0" w:type="dxa"/>
            <w:left w:w="0" w:type="dxa"/>
            <w:bottom w:w="0" w:type="dxa"/>
            <w:right w:w="0" w:type="dxa"/>
          </w:tblCellMar>
        </w:tblPrEx>
        <w:tc>
          <w:tcPr>
            <w:tcW w:w="3150" w:type="dxa"/>
          </w:tcPr>
          <w:p w:rsidR="00000000" w:rsidRDefault="00000000">
            <w:pPr>
              <w:suppressAutoHyphens/>
              <w:spacing w:after="120" w:line="240" w:lineRule="auto"/>
              <w:ind w:right="-130"/>
              <w:rPr>
                <w:sz w:val="17"/>
              </w:rPr>
            </w:pPr>
            <w:r>
              <w:rPr>
                <w:sz w:val="17"/>
              </w:rPr>
              <w:t>Руководящие работники</w:t>
            </w:r>
          </w:p>
        </w:tc>
        <w:tc>
          <w:tcPr>
            <w:tcW w:w="900" w:type="dxa"/>
          </w:tcPr>
          <w:p w:rsidR="00000000" w:rsidRDefault="00000000">
            <w:pPr>
              <w:spacing w:after="120" w:line="240" w:lineRule="auto"/>
              <w:jc w:val="right"/>
              <w:rPr>
                <w:sz w:val="17"/>
              </w:rPr>
            </w:pPr>
            <w:r>
              <w:rPr>
                <w:sz w:val="17"/>
              </w:rPr>
              <w:t>18 054</w:t>
            </w:r>
          </w:p>
        </w:tc>
        <w:tc>
          <w:tcPr>
            <w:tcW w:w="900" w:type="dxa"/>
          </w:tcPr>
          <w:p w:rsidR="00000000" w:rsidRDefault="00000000">
            <w:pPr>
              <w:spacing w:after="120" w:line="240" w:lineRule="auto"/>
              <w:jc w:val="right"/>
              <w:rPr>
                <w:sz w:val="17"/>
              </w:rPr>
            </w:pPr>
            <w:r>
              <w:rPr>
                <w:sz w:val="17"/>
              </w:rPr>
              <w:t>11 213</w:t>
            </w:r>
          </w:p>
        </w:tc>
        <w:tc>
          <w:tcPr>
            <w:tcW w:w="720" w:type="dxa"/>
          </w:tcPr>
          <w:p w:rsidR="00000000" w:rsidRDefault="00000000">
            <w:pPr>
              <w:spacing w:after="120" w:line="240" w:lineRule="auto"/>
              <w:jc w:val="right"/>
              <w:rPr>
                <w:sz w:val="17"/>
              </w:rPr>
            </w:pPr>
            <w:r>
              <w:rPr>
                <w:sz w:val="17"/>
              </w:rPr>
              <w:t>81</w:t>
            </w:r>
          </w:p>
        </w:tc>
        <w:tc>
          <w:tcPr>
            <w:tcW w:w="810" w:type="dxa"/>
          </w:tcPr>
          <w:p w:rsidR="00000000" w:rsidRDefault="00000000">
            <w:pPr>
              <w:spacing w:after="120" w:line="240" w:lineRule="auto"/>
              <w:ind w:right="-10"/>
              <w:jc w:val="right"/>
              <w:rPr>
                <w:sz w:val="17"/>
              </w:rPr>
            </w:pPr>
            <w:r>
              <w:rPr>
                <w:sz w:val="17"/>
              </w:rPr>
              <w:t>63</w:t>
            </w:r>
          </w:p>
        </w:tc>
        <w:tc>
          <w:tcPr>
            <w:tcW w:w="1080" w:type="dxa"/>
          </w:tcPr>
          <w:p w:rsidR="00000000" w:rsidRDefault="00000000">
            <w:pPr>
              <w:spacing w:after="120" w:line="240" w:lineRule="auto"/>
              <w:ind w:right="90"/>
              <w:jc w:val="right"/>
              <w:rPr>
                <w:sz w:val="17"/>
              </w:rPr>
            </w:pPr>
            <w:r>
              <w:rPr>
                <w:sz w:val="17"/>
              </w:rPr>
              <w:t>30</w:t>
            </w:r>
          </w:p>
        </w:tc>
      </w:tr>
      <w:tr w:rsidR="00000000">
        <w:tblPrEx>
          <w:tblCellMar>
            <w:top w:w="0" w:type="dxa"/>
            <w:left w:w="0" w:type="dxa"/>
            <w:bottom w:w="0" w:type="dxa"/>
            <w:right w:w="0" w:type="dxa"/>
          </w:tblCellMar>
        </w:tblPrEx>
        <w:tc>
          <w:tcPr>
            <w:tcW w:w="3150" w:type="dxa"/>
          </w:tcPr>
          <w:p w:rsidR="00000000" w:rsidRDefault="00000000">
            <w:pPr>
              <w:suppressAutoHyphens/>
              <w:spacing w:after="120" w:line="240" w:lineRule="auto"/>
              <w:ind w:right="-130"/>
              <w:rPr>
                <w:sz w:val="17"/>
              </w:rPr>
            </w:pPr>
            <w:r>
              <w:rPr>
                <w:sz w:val="17"/>
              </w:rPr>
              <w:t>Канцелярские работники</w:t>
            </w:r>
          </w:p>
        </w:tc>
        <w:tc>
          <w:tcPr>
            <w:tcW w:w="900" w:type="dxa"/>
          </w:tcPr>
          <w:p w:rsidR="00000000" w:rsidRDefault="00000000">
            <w:pPr>
              <w:spacing w:after="120" w:line="240" w:lineRule="auto"/>
              <w:jc w:val="right"/>
              <w:rPr>
                <w:sz w:val="17"/>
              </w:rPr>
            </w:pPr>
            <w:r>
              <w:rPr>
                <w:sz w:val="17"/>
              </w:rPr>
              <w:t>8 587</w:t>
            </w:r>
          </w:p>
        </w:tc>
        <w:tc>
          <w:tcPr>
            <w:tcW w:w="900" w:type="dxa"/>
          </w:tcPr>
          <w:p w:rsidR="00000000" w:rsidRDefault="00000000">
            <w:pPr>
              <w:spacing w:after="120" w:line="240" w:lineRule="auto"/>
              <w:jc w:val="right"/>
              <w:rPr>
                <w:sz w:val="17"/>
              </w:rPr>
            </w:pPr>
            <w:r>
              <w:rPr>
                <w:sz w:val="17"/>
              </w:rPr>
              <w:t>5 233</w:t>
            </w:r>
          </w:p>
        </w:tc>
        <w:tc>
          <w:tcPr>
            <w:tcW w:w="720" w:type="dxa"/>
          </w:tcPr>
          <w:p w:rsidR="00000000" w:rsidRDefault="00000000">
            <w:pPr>
              <w:spacing w:after="120" w:line="240" w:lineRule="auto"/>
              <w:jc w:val="right"/>
              <w:rPr>
                <w:sz w:val="17"/>
              </w:rPr>
            </w:pPr>
            <w:r>
              <w:rPr>
                <w:sz w:val="17"/>
              </w:rPr>
              <w:t>46</w:t>
            </w:r>
          </w:p>
        </w:tc>
        <w:tc>
          <w:tcPr>
            <w:tcW w:w="810" w:type="dxa"/>
          </w:tcPr>
          <w:p w:rsidR="00000000" w:rsidRDefault="00000000">
            <w:pPr>
              <w:spacing w:after="120" w:line="240" w:lineRule="auto"/>
              <w:ind w:right="-10"/>
              <w:jc w:val="right"/>
              <w:rPr>
                <w:sz w:val="17"/>
              </w:rPr>
            </w:pPr>
            <w:r>
              <w:rPr>
                <w:sz w:val="17"/>
              </w:rPr>
              <w:t>33</w:t>
            </w:r>
          </w:p>
        </w:tc>
        <w:tc>
          <w:tcPr>
            <w:tcW w:w="1080" w:type="dxa"/>
          </w:tcPr>
          <w:p w:rsidR="00000000" w:rsidRDefault="00000000">
            <w:pPr>
              <w:spacing w:after="120" w:line="240" w:lineRule="auto"/>
              <w:ind w:right="90"/>
              <w:jc w:val="right"/>
              <w:rPr>
                <w:sz w:val="17"/>
              </w:rPr>
            </w:pPr>
            <w:r>
              <w:rPr>
                <w:sz w:val="17"/>
              </w:rPr>
              <w:t>39</w:t>
            </w:r>
          </w:p>
        </w:tc>
      </w:tr>
      <w:tr w:rsidR="00000000">
        <w:tblPrEx>
          <w:tblCellMar>
            <w:top w:w="0" w:type="dxa"/>
            <w:left w:w="0" w:type="dxa"/>
            <w:bottom w:w="0" w:type="dxa"/>
            <w:right w:w="0" w:type="dxa"/>
          </w:tblCellMar>
        </w:tblPrEx>
        <w:tc>
          <w:tcPr>
            <w:tcW w:w="3150" w:type="dxa"/>
          </w:tcPr>
          <w:p w:rsidR="00000000" w:rsidRDefault="00000000">
            <w:pPr>
              <w:suppressAutoHyphens/>
              <w:spacing w:after="120" w:line="240" w:lineRule="auto"/>
              <w:ind w:right="-130"/>
              <w:rPr>
                <w:sz w:val="17"/>
              </w:rPr>
            </w:pPr>
            <w:r>
              <w:rPr>
                <w:sz w:val="17"/>
              </w:rPr>
              <w:t>Продавцы и поставщики услуг</w:t>
            </w:r>
          </w:p>
        </w:tc>
        <w:tc>
          <w:tcPr>
            <w:tcW w:w="900" w:type="dxa"/>
          </w:tcPr>
          <w:p w:rsidR="00000000" w:rsidRDefault="00000000">
            <w:pPr>
              <w:spacing w:after="120" w:line="240" w:lineRule="auto"/>
              <w:jc w:val="right"/>
              <w:rPr>
                <w:sz w:val="17"/>
              </w:rPr>
            </w:pPr>
            <w:r>
              <w:rPr>
                <w:sz w:val="17"/>
              </w:rPr>
              <w:t>6 054</w:t>
            </w:r>
          </w:p>
        </w:tc>
        <w:tc>
          <w:tcPr>
            <w:tcW w:w="900" w:type="dxa"/>
          </w:tcPr>
          <w:p w:rsidR="00000000" w:rsidRDefault="00000000">
            <w:pPr>
              <w:spacing w:after="120" w:line="240" w:lineRule="auto"/>
              <w:jc w:val="right"/>
              <w:rPr>
                <w:sz w:val="17"/>
              </w:rPr>
            </w:pPr>
            <w:r>
              <w:rPr>
                <w:sz w:val="17"/>
              </w:rPr>
              <w:t>3 167</w:t>
            </w:r>
          </w:p>
        </w:tc>
        <w:tc>
          <w:tcPr>
            <w:tcW w:w="720" w:type="dxa"/>
          </w:tcPr>
          <w:p w:rsidR="00000000" w:rsidRDefault="00000000">
            <w:pPr>
              <w:spacing w:after="120" w:line="240" w:lineRule="auto"/>
              <w:jc w:val="right"/>
              <w:rPr>
                <w:sz w:val="17"/>
              </w:rPr>
            </w:pPr>
            <w:r>
              <w:rPr>
                <w:sz w:val="17"/>
              </w:rPr>
              <w:t>33</w:t>
            </w:r>
          </w:p>
        </w:tc>
        <w:tc>
          <w:tcPr>
            <w:tcW w:w="810" w:type="dxa"/>
          </w:tcPr>
          <w:p w:rsidR="00000000" w:rsidRDefault="00000000">
            <w:pPr>
              <w:spacing w:after="120" w:line="240" w:lineRule="auto"/>
              <w:ind w:right="-10"/>
              <w:jc w:val="right"/>
              <w:rPr>
                <w:sz w:val="17"/>
              </w:rPr>
            </w:pPr>
            <w:r>
              <w:rPr>
                <w:sz w:val="17"/>
              </w:rPr>
              <w:t>23</w:t>
            </w:r>
          </w:p>
        </w:tc>
        <w:tc>
          <w:tcPr>
            <w:tcW w:w="1080" w:type="dxa"/>
          </w:tcPr>
          <w:p w:rsidR="00000000" w:rsidRDefault="00000000">
            <w:pPr>
              <w:spacing w:after="120" w:line="240" w:lineRule="auto"/>
              <w:ind w:right="90"/>
              <w:jc w:val="right"/>
              <w:rPr>
                <w:sz w:val="17"/>
              </w:rPr>
            </w:pPr>
            <w:r>
              <w:rPr>
                <w:sz w:val="17"/>
              </w:rPr>
              <w:t>41</w:t>
            </w:r>
          </w:p>
        </w:tc>
      </w:tr>
      <w:tr w:rsidR="00000000">
        <w:tblPrEx>
          <w:tblCellMar>
            <w:top w:w="0" w:type="dxa"/>
            <w:left w:w="0" w:type="dxa"/>
            <w:bottom w:w="0" w:type="dxa"/>
            <w:right w:w="0" w:type="dxa"/>
          </w:tblCellMar>
        </w:tblPrEx>
        <w:tc>
          <w:tcPr>
            <w:tcW w:w="3150" w:type="dxa"/>
          </w:tcPr>
          <w:p w:rsidR="00000000" w:rsidRDefault="00000000">
            <w:pPr>
              <w:suppressAutoHyphens/>
              <w:spacing w:after="120" w:line="240" w:lineRule="auto"/>
              <w:ind w:right="-130"/>
              <w:rPr>
                <w:sz w:val="17"/>
              </w:rPr>
            </w:pPr>
            <w:r>
              <w:rPr>
                <w:sz w:val="17"/>
              </w:rPr>
              <w:t>Квалифицированные рабочие</w:t>
            </w:r>
          </w:p>
        </w:tc>
        <w:tc>
          <w:tcPr>
            <w:tcW w:w="900" w:type="dxa"/>
          </w:tcPr>
          <w:p w:rsidR="00000000" w:rsidRDefault="00000000">
            <w:pPr>
              <w:spacing w:after="120" w:line="240" w:lineRule="auto"/>
              <w:jc w:val="right"/>
              <w:rPr>
                <w:sz w:val="17"/>
              </w:rPr>
            </w:pPr>
            <w:r>
              <w:rPr>
                <w:sz w:val="17"/>
              </w:rPr>
              <w:t>6 148</w:t>
            </w:r>
          </w:p>
        </w:tc>
        <w:tc>
          <w:tcPr>
            <w:tcW w:w="900" w:type="dxa"/>
          </w:tcPr>
          <w:p w:rsidR="00000000" w:rsidRDefault="00000000">
            <w:pPr>
              <w:spacing w:after="120" w:line="240" w:lineRule="auto"/>
              <w:jc w:val="right"/>
              <w:rPr>
                <w:sz w:val="17"/>
              </w:rPr>
            </w:pPr>
            <w:r>
              <w:rPr>
                <w:sz w:val="17"/>
              </w:rPr>
              <w:t>3 757</w:t>
            </w:r>
          </w:p>
        </w:tc>
        <w:tc>
          <w:tcPr>
            <w:tcW w:w="720" w:type="dxa"/>
          </w:tcPr>
          <w:p w:rsidR="00000000" w:rsidRDefault="00000000">
            <w:pPr>
              <w:spacing w:after="120" w:line="240" w:lineRule="auto"/>
              <w:jc w:val="right"/>
              <w:rPr>
                <w:sz w:val="17"/>
              </w:rPr>
            </w:pPr>
            <w:r>
              <w:rPr>
                <w:sz w:val="17"/>
              </w:rPr>
              <w:t>31</w:t>
            </w:r>
          </w:p>
        </w:tc>
        <w:tc>
          <w:tcPr>
            <w:tcW w:w="810" w:type="dxa"/>
          </w:tcPr>
          <w:p w:rsidR="00000000" w:rsidRDefault="00000000">
            <w:pPr>
              <w:spacing w:after="120" w:line="240" w:lineRule="auto"/>
              <w:ind w:right="-10"/>
              <w:jc w:val="right"/>
              <w:rPr>
                <w:sz w:val="17"/>
              </w:rPr>
            </w:pPr>
            <w:r>
              <w:rPr>
                <w:sz w:val="17"/>
              </w:rPr>
              <w:t>22</w:t>
            </w:r>
          </w:p>
        </w:tc>
        <w:tc>
          <w:tcPr>
            <w:tcW w:w="1080" w:type="dxa"/>
          </w:tcPr>
          <w:p w:rsidR="00000000" w:rsidRDefault="00000000">
            <w:pPr>
              <w:spacing w:after="120" w:line="240" w:lineRule="auto"/>
              <w:ind w:right="90"/>
              <w:jc w:val="right"/>
              <w:rPr>
                <w:sz w:val="17"/>
              </w:rPr>
            </w:pPr>
            <w:r>
              <w:rPr>
                <w:sz w:val="17"/>
              </w:rPr>
              <w:t>46</w:t>
            </w:r>
          </w:p>
        </w:tc>
      </w:tr>
      <w:tr w:rsidR="00000000">
        <w:tblPrEx>
          <w:tblCellMar>
            <w:top w:w="0" w:type="dxa"/>
            <w:left w:w="0" w:type="dxa"/>
            <w:bottom w:w="0" w:type="dxa"/>
            <w:right w:w="0" w:type="dxa"/>
          </w:tblCellMar>
        </w:tblPrEx>
        <w:tc>
          <w:tcPr>
            <w:tcW w:w="3150" w:type="dxa"/>
            <w:tcBorders>
              <w:bottom w:val="single" w:sz="12" w:space="0" w:color="auto"/>
            </w:tcBorders>
          </w:tcPr>
          <w:p w:rsidR="00000000" w:rsidRDefault="00000000">
            <w:pPr>
              <w:suppressAutoHyphens/>
              <w:spacing w:after="120" w:line="240" w:lineRule="auto"/>
              <w:ind w:right="-130"/>
              <w:rPr>
                <w:sz w:val="17"/>
              </w:rPr>
            </w:pPr>
            <w:r>
              <w:rPr>
                <w:sz w:val="17"/>
              </w:rPr>
              <w:t>Неквалифицированные рабочие</w:t>
            </w:r>
          </w:p>
        </w:tc>
        <w:tc>
          <w:tcPr>
            <w:tcW w:w="900" w:type="dxa"/>
            <w:tcBorders>
              <w:bottom w:val="single" w:sz="12" w:space="0" w:color="auto"/>
            </w:tcBorders>
          </w:tcPr>
          <w:p w:rsidR="00000000" w:rsidRDefault="00000000">
            <w:pPr>
              <w:spacing w:after="120" w:line="240" w:lineRule="auto"/>
              <w:jc w:val="right"/>
              <w:rPr>
                <w:sz w:val="17"/>
              </w:rPr>
            </w:pPr>
            <w:r>
              <w:rPr>
                <w:sz w:val="17"/>
              </w:rPr>
              <w:t>4 236</w:t>
            </w:r>
          </w:p>
        </w:tc>
        <w:tc>
          <w:tcPr>
            <w:tcW w:w="900" w:type="dxa"/>
            <w:tcBorders>
              <w:bottom w:val="single" w:sz="12" w:space="0" w:color="auto"/>
            </w:tcBorders>
          </w:tcPr>
          <w:p w:rsidR="00000000" w:rsidRDefault="00000000">
            <w:pPr>
              <w:spacing w:after="120" w:line="240" w:lineRule="auto"/>
              <w:jc w:val="right"/>
              <w:rPr>
                <w:sz w:val="17"/>
              </w:rPr>
            </w:pPr>
            <w:r>
              <w:rPr>
                <w:sz w:val="17"/>
              </w:rPr>
              <w:t>2 694</w:t>
            </w:r>
          </w:p>
        </w:tc>
        <w:tc>
          <w:tcPr>
            <w:tcW w:w="720" w:type="dxa"/>
            <w:tcBorders>
              <w:bottom w:val="single" w:sz="12" w:space="0" w:color="auto"/>
            </w:tcBorders>
          </w:tcPr>
          <w:p w:rsidR="00000000" w:rsidRDefault="00000000">
            <w:pPr>
              <w:spacing w:after="120" w:line="240" w:lineRule="auto"/>
              <w:jc w:val="right"/>
              <w:rPr>
                <w:sz w:val="17"/>
              </w:rPr>
            </w:pPr>
            <w:r>
              <w:rPr>
                <w:sz w:val="17"/>
              </w:rPr>
              <w:t>25</w:t>
            </w:r>
          </w:p>
        </w:tc>
        <w:tc>
          <w:tcPr>
            <w:tcW w:w="810" w:type="dxa"/>
            <w:tcBorders>
              <w:bottom w:val="single" w:sz="12" w:space="0" w:color="auto"/>
            </w:tcBorders>
          </w:tcPr>
          <w:p w:rsidR="00000000" w:rsidRDefault="00000000">
            <w:pPr>
              <w:spacing w:after="120" w:line="240" w:lineRule="auto"/>
              <w:ind w:right="-10"/>
              <w:jc w:val="right"/>
              <w:rPr>
                <w:sz w:val="17"/>
              </w:rPr>
            </w:pPr>
            <w:r>
              <w:rPr>
                <w:sz w:val="17"/>
              </w:rPr>
              <w:t>21</w:t>
            </w:r>
          </w:p>
        </w:tc>
        <w:tc>
          <w:tcPr>
            <w:tcW w:w="1080" w:type="dxa"/>
            <w:tcBorders>
              <w:bottom w:val="single" w:sz="12" w:space="0" w:color="auto"/>
            </w:tcBorders>
          </w:tcPr>
          <w:p w:rsidR="00000000" w:rsidRDefault="00000000">
            <w:pPr>
              <w:spacing w:after="120" w:line="240" w:lineRule="auto"/>
              <w:ind w:right="90"/>
              <w:jc w:val="right"/>
              <w:rPr>
                <w:sz w:val="17"/>
              </w:rPr>
            </w:pPr>
            <w:r>
              <w:rPr>
                <w:sz w:val="17"/>
              </w:rPr>
              <w:t>20</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s>
        <w:spacing w:after="0" w:line="240" w:lineRule="auto"/>
        <w:ind w:left="2340" w:hanging="1073"/>
        <w:rPr>
          <w:i/>
        </w:rPr>
      </w:pPr>
      <w:r>
        <w:rPr>
          <w:i/>
        </w:rPr>
        <w:t>Источник</w:t>
      </w:r>
      <w:r>
        <w:t>:</w:t>
      </w:r>
      <w:r>
        <w:tab/>
        <w:t>Центральное статистическое бюро, "Женщины и мужчины", фе</w:t>
      </w:r>
      <w:r>
        <w:t>в</w:t>
      </w:r>
      <w:r>
        <w:t>раль 2004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88" w:right="1267" w:firstLine="172"/>
      </w:pPr>
      <w:r>
        <w:t>Предпринимательская деятельность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303.</w:t>
      </w:r>
      <w:r>
        <w:tab/>
        <w:t>Число мужчин, обращающихся в Центр по развитию предпринимательс</w:t>
      </w:r>
      <w:r>
        <w:t>т</w:t>
      </w:r>
      <w:r>
        <w:t>ва при министерстве промышленности, торговли и труда, в два раза превышает число обращающихся туда женщин. Большинство претендентов, мужчин и женщин, относится к возрастным группам от 25 до 34 лет и от 35 до 44 лет. 45 процентов женщин-претендентов имеют научную степень по сравнению лишь с 35 процентами мужчин- претендентов. Большинству претендентов, будь то мужчины или женщины, требуется помощь в развертывании предприним</w:t>
      </w:r>
      <w:r>
        <w:t>а</w:t>
      </w:r>
      <w:r>
        <w:t xml:space="preserve">тельской деятельности - примерно 60 процентам из них.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304.</w:t>
      </w:r>
      <w:r>
        <w:tab/>
        <w:t>Данные обследования 2001 года свидетельствуют о том, что женщины с</w:t>
      </w:r>
      <w:r>
        <w:t>о</w:t>
      </w:r>
      <w:r>
        <w:t>ставляют 30,7 процента лиц, занимающихся индивидуальной трудовой де</w:t>
      </w:r>
      <w:r>
        <w:t>я</w:t>
      </w:r>
      <w:r>
        <w:t>тельностью, а мужчины - 69,3 процента. Женщины-предприниматели сталк</w:t>
      </w:r>
      <w:r>
        <w:t>и</w:t>
      </w:r>
      <w:r>
        <w:t>ваются, естественно, с такими препятствиями, как нехватка административных навыков, трудности с финансированием и низкая самооценка. Поэтому мин</w:t>
      </w:r>
      <w:r>
        <w:t>и</w:t>
      </w:r>
      <w:r>
        <w:t>стерством промышленности, торговли и труда с помощью Органа по вопросам малых и средних предприятий Израиля и центров развития предпринимател</w:t>
      </w:r>
      <w:r>
        <w:t>ь</w:t>
      </w:r>
      <w:r>
        <w:t>ства был разработан ряд программ для женщин из всех секторов, включая арабский сектор, новых иммигрантов и женщин ортодоксальных религиозных взглядов. Эти программы включают помощь в финансировании малых пре</w:t>
      </w:r>
      <w:r>
        <w:t>д</w:t>
      </w:r>
      <w:r>
        <w:t>приятий, курсы по расширению прав и возможностей женщин, создание дел</w:t>
      </w:r>
      <w:r>
        <w:t>о</w:t>
      </w:r>
      <w:r>
        <w:t>вых клубов "исключительно для женщин" и другие мероприятия и специал</w:t>
      </w:r>
      <w:r>
        <w:t>ь</w:t>
      </w:r>
      <w:r>
        <w:t>ную помощь матерям-одиночкам.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Профессиональная и специальная подготовка для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305.</w:t>
      </w:r>
      <w:r>
        <w:tab/>
        <w:t>Как указывается в нашем предыдущем докладе, Отдел подготовки кадров и развития министерства промышленности, торговли и труда организовал ку</w:t>
      </w:r>
      <w:r>
        <w:t>р</w:t>
      </w:r>
      <w:r>
        <w:t>сы профессиональной подготовки для всех слоев населения Израиля. Отдел принимает конкретные меры для увеличения числа посещающих эти курсы женщин посредством организации отдельных курсов для женщин в ультрао</w:t>
      </w:r>
      <w:r>
        <w:t>р</w:t>
      </w:r>
      <w:r>
        <w:t>тодоксальном и арабском секторе, призывая отборочные комиссии исполнять свои функции на основе максимального равенства и оказания поддержки же</w:t>
      </w:r>
      <w:r>
        <w:t>н</w:t>
      </w:r>
      <w:r>
        <w:t>щинам, посещающим все курсы, в особенности те, которые ранее считались "мужскими".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306.</w:t>
      </w:r>
      <w:r>
        <w:tab/>
        <w:t>В нижеследующей таблице приведены данные о распределении по ра</w:t>
      </w:r>
      <w:r>
        <w:t>з</w:t>
      </w:r>
      <w:r>
        <w:t>личным видам курсов, предлагаемых в 2003 году, мужчин и женщин - их сл</w:t>
      </w:r>
      <w:r>
        <w:t>у</w:t>
      </w:r>
      <w:r>
        <w:t>шателей.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56"/>
        <w:ind w:left="2477" w:right="1267" w:hanging="1210"/>
      </w:pPr>
      <w:r>
        <w:t>Таблица 12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Участие в профессиональном обучении с разбивкой по предметам, 2003 год</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132"/>
        <w:gridCol w:w="1260"/>
        <w:gridCol w:w="1530"/>
        <w:gridCol w:w="1530"/>
      </w:tblGrid>
      <w:tr w:rsidR="00000000">
        <w:tblPrEx>
          <w:tblCellMar>
            <w:top w:w="0" w:type="dxa"/>
            <w:left w:w="0" w:type="dxa"/>
            <w:bottom w:w="0" w:type="dxa"/>
            <w:right w:w="0" w:type="dxa"/>
          </w:tblCellMar>
        </w:tblPrEx>
        <w:trPr>
          <w:tblHeader/>
        </w:trPr>
        <w:tc>
          <w:tcPr>
            <w:tcW w:w="3132" w:type="dxa"/>
            <w:tcBorders>
              <w:left w:val="nil"/>
              <w:bottom w:val="single" w:sz="12" w:space="0" w:color="auto"/>
              <w:right w:val="nil"/>
            </w:tcBorders>
            <w:vAlign w:val="center"/>
          </w:tcPr>
          <w:p w:rsidR="00000000" w:rsidRDefault="00000000">
            <w:pPr>
              <w:spacing w:after="120" w:line="240" w:lineRule="auto"/>
              <w:ind w:left="72"/>
              <w:jc w:val="both"/>
              <w:rPr>
                <w:i/>
                <w:sz w:val="14"/>
              </w:rPr>
            </w:pPr>
            <w:r>
              <w:rPr>
                <w:i/>
                <w:sz w:val="14"/>
              </w:rPr>
              <w:t>Направление</w:t>
            </w:r>
          </w:p>
        </w:tc>
        <w:tc>
          <w:tcPr>
            <w:tcW w:w="1260" w:type="dxa"/>
            <w:tcBorders>
              <w:left w:val="nil"/>
              <w:bottom w:val="single" w:sz="12" w:space="0" w:color="auto"/>
              <w:right w:val="nil"/>
            </w:tcBorders>
            <w:vAlign w:val="center"/>
          </w:tcPr>
          <w:p w:rsidR="00000000" w:rsidRDefault="00000000">
            <w:pPr>
              <w:suppressAutoHyphens/>
              <w:spacing w:after="120" w:line="240" w:lineRule="auto"/>
              <w:ind w:left="34"/>
              <w:jc w:val="right"/>
              <w:rPr>
                <w:i/>
                <w:sz w:val="14"/>
              </w:rPr>
            </w:pPr>
            <w:r>
              <w:rPr>
                <w:i/>
                <w:sz w:val="14"/>
              </w:rPr>
              <w:t>Всего участников</w:t>
            </w:r>
          </w:p>
        </w:tc>
        <w:tc>
          <w:tcPr>
            <w:tcW w:w="1530" w:type="dxa"/>
            <w:tcBorders>
              <w:left w:val="nil"/>
              <w:bottom w:val="single" w:sz="12" w:space="0" w:color="auto"/>
              <w:right w:val="nil"/>
            </w:tcBorders>
            <w:vAlign w:val="center"/>
          </w:tcPr>
          <w:p w:rsidR="00000000" w:rsidRDefault="00000000">
            <w:pPr>
              <w:suppressAutoHyphens/>
              <w:spacing w:after="120" w:line="240" w:lineRule="auto"/>
              <w:ind w:left="34"/>
              <w:jc w:val="right"/>
              <w:rPr>
                <w:i/>
                <w:sz w:val="14"/>
              </w:rPr>
            </w:pPr>
            <w:r>
              <w:rPr>
                <w:i/>
                <w:sz w:val="14"/>
              </w:rPr>
              <w:t>Женщины-участницы</w:t>
            </w:r>
          </w:p>
        </w:tc>
        <w:tc>
          <w:tcPr>
            <w:tcW w:w="1530" w:type="dxa"/>
            <w:tcBorders>
              <w:left w:val="nil"/>
              <w:bottom w:val="single" w:sz="12" w:space="0" w:color="auto"/>
              <w:right w:val="nil"/>
            </w:tcBorders>
            <w:vAlign w:val="center"/>
          </w:tcPr>
          <w:p w:rsidR="00000000" w:rsidRDefault="00000000">
            <w:pPr>
              <w:suppressAutoHyphens/>
              <w:spacing w:after="120" w:line="240" w:lineRule="auto"/>
              <w:ind w:left="15"/>
              <w:jc w:val="right"/>
              <w:rPr>
                <w:i/>
                <w:sz w:val="14"/>
              </w:rPr>
            </w:pPr>
            <w:r>
              <w:rPr>
                <w:i/>
                <w:sz w:val="14"/>
              </w:rPr>
              <w:t>Доля женщин в %</w:t>
            </w:r>
          </w:p>
        </w:tc>
      </w:tr>
      <w:tr w:rsidR="00000000">
        <w:tblPrEx>
          <w:tblCellMar>
            <w:top w:w="0" w:type="dxa"/>
            <w:left w:w="0" w:type="dxa"/>
            <w:bottom w:w="0" w:type="dxa"/>
            <w:right w:w="0" w:type="dxa"/>
          </w:tblCellMar>
        </w:tblPrEx>
        <w:trPr>
          <w:trHeight w:hRule="exact" w:val="115"/>
          <w:tblHeader/>
        </w:trPr>
        <w:tc>
          <w:tcPr>
            <w:tcW w:w="3132"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126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53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530"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132" w:type="dxa"/>
            <w:tcBorders>
              <w:top w:val="nil"/>
              <w:left w:val="nil"/>
              <w:bottom w:val="nil"/>
              <w:right w:val="nil"/>
            </w:tcBorders>
          </w:tcPr>
          <w:p w:rsidR="00000000" w:rsidRDefault="00000000">
            <w:pPr>
              <w:suppressAutoHyphens/>
              <w:spacing w:after="120" w:line="240" w:lineRule="auto"/>
              <w:ind w:left="-9" w:right="90"/>
              <w:rPr>
                <w:sz w:val="17"/>
              </w:rPr>
            </w:pPr>
            <w:r>
              <w:rPr>
                <w:sz w:val="17"/>
              </w:rPr>
              <w:t>Обучение взрослых - лица, ищущие раб</w:t>
            </w:r>
            <w:r>
              <w:rPr>
                <w:sz w:val="17"/>
              </w:rPr>
              <w:t>о</w:t>
            </w:r>
            <w:r>
              <w:rPr>
                <w:sz w:val="17"/>
              </w:rPr>
              <w:t>ту</w:t>
            </w:r>
          </w:p>
        </w:tc>
        <w:tc>
          <w:tcPr>
            <w:tcW w:w="1260" w:type="dxa"/>
            <w:tcBorders>
              <w:top w:val="nil"/>
              <w:left w:val="nil"/>
              <w:bottom w:val="nil"/>
              <w:right w:val="nil"/>
            </w:tcBorders>
          </w:tcPr>
          <w:p w:rsidR="00000000" w:rsidRDefault="00000000">
            <w:pPr>
              <w:spacing w:after="120" w:line="240" w:lineRule="auto"/>
              <w:ind w:left="63" w:right="90"/>
              <w:jc w:val="right"/>
              <w:rPr>
                <w:sz w:val="17"/>
              </w:rPr>
            </w:pPr>
            <w:r>
              <w:rPr>
                <w:sz w:val="17"/>
              </w:rPr>
              <w:t>12 697</w:t>
            </w:r>
          </w:p>
        </w:tc>
        <w:tc>
          <w:tcPr>
            <w:tcW w:w="1530" w:type="dxa"/>
            <w:tcBorders>
              <w:top w:val="nil"/>
              <w:left w:val="nil"/>
              <w:bottom w:val="nil"/>
              <w:right w:val="nil"/>
            </w:tcBorders>
          </w:tcPr>
          <w:p w:rsidR="00000000" w:rsidRDefault="00000000">
            <w:pPr>
              <w:spacing w:after="120" w:line="240" w:lineRule="auto"/>
              <w:ind w:left="317" w:right="94"/>
              <w:jc w:val="right"/>
              <w:rPr>
                <w:sz w:val="17"/>
              </w:rPr>
            </w:pPr>
            <w:r>
              <w:rPr>
                <w:sz w:val="17"/>
              </w:rPr>
              <w:t>6 693</w:t>
            </w:r>
          </w:p>
        </w:tc>
        <w:tc>
          <w:tcPr>
            <w:tcW w:w="1530" w:type="dxa"/>
            <w:tcBorders>
              <w:top w:val="nil"/>
              <w:left w:val="nil"/>
              <w:bottom w:val="nil"/>
              <w:right w:val="nil"/>
            </w:tcBorders>
          </w:tcPr>
          <w:p w:rsidR="00000000" w:rsidRDefault="00000000">
            <w:pPr>
              <w:spacing w:after="120" w:line="240" w:lineRule="auto"/>
              <w:ind w:left="157" w:right="98"/>
              <w:jc w:val="right"/>
              <w:rPr>
                <w:sz w:val="17"/>
              </w:rPr>
            </w:pPr>
            <w:r>
              <w:rPr>
                <w:sz w:val="17"/>
              </w:rPr>
              <w:t>52,7</w:t>
            </w:r>
          </w:p>
        </w:tc>
      </w:tr>
      <w:tr w:rsidR="00000000">
        <w:tblPrEx>
          <w:tblCellMar>
            <w:top w:w="0" w:type="dxa"/>
            <w:left w:w="0" w:type="dxa"/>
            <w:bottom w:w="0" w:type="dxa"/>
            <w:right w:w="0" w:type="dxa"/>
          </w:tblCellMar>
        </w:tblPrEx>
        <w:tc>
          <w:tcPr>
            <w:tcW w:w="3132" w:type="dxa"/>
            <w:tcBorders>
              <w:top w:val="nil"/>
              <w:left w:val="nil"/>
              <w:bottom w:val="nil"/>
              <w:right w:val="nil"/>
            </w:tcBorders>
          </w:tcPr>
          <w:p w:rsidR="00000000" w:rsidRDefault="00000000">
            <w:pPr>
              <w:suppressAutoHyphens/>
              <w:spacing w:after="120" w:line="240" w:lineRule="auto"/>
              <w:ind w:left="-9" w:right="90"/>
              <w:rPr>
                <w:sz w:val="17"/>
              </w:rPr>
            </w:pPr>
            <w:r>
              <w:rPr>
                <w:sz w:val="17"/>
              </w:rPr>
              <w:t>Научная переподготовка - лица, ищущие работу</w:t>
            </w:r>
          </w:p>
        </w:tc>
        <w:tc>
          <w:tcPr>
            <w:tcW w:w="1260" w:type="dxa"/>
            <w:tcBorders>
              <w:top w:val="nil"/>
              <w:left w:val="nil"/>
              <w:bottom w:val="nil"/>
              <w:right w:val="nil"/>
            </w:tcBorders>
          </w:tcPr>
          <w:p w:rsidR="00000000" w:rsidRDefault="00000000">
            <w:pPr>
              <w:spacing w:after="120" w:line="240" w:lineRule="auto"/>
              <w:ind w:left="63" w:right="90"/>
              <w:jc w:val="right"/>
              <w:rPr>
                <w:sz w:val="17"/>
              </w:rPr>
            </w:pPr>
            <w:r>
              <w:rPr>
                <w:sz w:val="17"/>
              </w:rPr>
              <w:t>1 253</w:t>
            </w:r>
          </w:p>
        </w:tc>
        <w:tc>
          <w:tcPr>
            <w:tcW w:w="1530" w:type="dxa"/>
            <w:tcBorders>
              <w:top w:val="nil"/>
              <w:left w:val="nil"/>
              <w:bottom w:val="nil"/>
              <w:right w:val="nil"/>
            </w:tcBorders>
          </w:tcPr>
          <w:p w:rsidR="00000000" w:rsidRDefault="00000000">
            <w:pPr>
              <w:spacing w:after="120" w:line="240" w:lineRule="auto"/>
              <w:ind w:left="317" w:right="94"/>
              <w:jc w:val="right"/>
              <w:rPr>
                <w:sz w:val="17"/>
              </w:rPr>
            </w:pPr>
            <w:r>
              <w:rPr>
                <w:sz w:val="17"/>
              </w:rPr>
              <w:t>697</w:t>
            </w:r>
          </w:p>
        </w:tc>
        <w:tc>
          <w:tcPr>
            <w:tcW w:w="1530" w:type="dxa"/>
            <w:tcBorders>
              <w:top w:val="nil"/>
              <w:left w:val="nil"/>
              <w:bottom w:val="nil"/>
              <w:right w:val="nil"/>
            </w:tcBorders>
          </w:tcPr>
          <w:p w:rsidR="00000000" w:rsidRDefault="00000000">
            <w:pPr>
              <w:spacing w:after="120" w:line="240" w:lineRule="auto"/>
              <w:ind w:left="157" w:right="98"/>
              <w:jc w:val="right"/>
              <w:rPr>
                <w:sz w:val="17"/>
              </w:rPr>
            </w:pPr>
            <w:r>
              <w:rPr>
                <w:sz w:val="17"/>
              </w:rPr>
              <w:t>55,6</w:t>
            </w:r>
          </w:p>
        </w:tc>
      </w:tr>
      <w:tr w:rsidR="00000000">
        <w:tblPrEx>
          <w:tblCellMar>
            <w:top w:w="0" w:type="dxa"/>
            <w:left w:w="0" w:type="dxa"/>
            <w:bottom w:w="0" w:type="dxa"/>
            <w:right w:w="0" w:type="dxa"/>
          </w:tblCellMar>
        </w:tblPrEx>
        <w:tc>
          <w:tcPr>
            <w:tcW w:w="3132" w:type="dxa"/>
            <w:tcBorders>
              <w:top w:val="nil"/>
              <w:left w:val="nil"/>
              <w:bottom w:val="nil"/>
              <w:right w:val="nil"/>
            </w:tcBorders>
          </w:tcPr>
          <w:p w:rsidR="00000000" w:rsidRDefault="00000000">
            <w:pPr>
              <w:suppressAutoHyphens/>
              <w:spacing w:after="120" w:line="240" w:lineRule="auto"/>
              <w:ind w:left="-9" w:right="90"/>
              <w:rPr>
                <w:sz w:val="17"/>
              </w:rPr>
            </w:pPr>
            <w:r>
              <w:rPr>
                <w:sz w:val="17"/>
              </w:rPr>
              <w:t>Школы бизнеса/профессиональная подготовка</w:t>
            </w:r>
          </w:p>
        </w:tc>
        <w:tc>
          <w:tcPr>
            <w:tcW w:w="1260" w:type="dxa"/>
            <w:tcBorders>
              <w:top w:val="nil"/>
              <w:left w:val="nil"/>
              <w:bottom w:val="nil"/>
              <w:right w:val="nil"/>
            </w:tcBorders>
          </w:tcPr>
          <w:p w:rsidR="00000000" w:rsidRDefault="00000000">
            <w:pPr>
              <w:spacing w:after="120" w:line="240" w:lineRule="auto"/>
              <w:ind w:left="63" w:right="90"/>
              <w:jc w:val="right"/>
              <w:rPr>
                <w:sz w:val="17"/>
              </w:rPr>
            </w:pPr>
            <w:r>
              <w:rPr>
                <w:sz w:val="17"/>
              </w:rPr>
              <w:t>18 386</w:t>
            </w:r>
          </w:p>
        </w:tc>
        <w:tc>
          <w:tcPr>
            <w:tcW w:w="1530" w:type="dxa"/>
            <w:tcBorders>
              <w:top w:val="nil"/>
              <w:left w:val="nil"/>
              <w:bottom w:val="nil"/>
              <w:right w:val="nil"/>
            </w:tcBorders>
          </w:tcPr>
          <w:p w:rsidR="00000000" w:rsidRDefault="00000000">
            <w:pPr>
              <w:spacing w:after="120" w:line="240" w:lineRule="auto"/>
              <w:ind w:left="33" w:right="94"/>
              <w:jc w:val="right"/>
              <w:rPr>
                <w:sz w:val="17"/>
              </w:rPr>
            </w:pPr>
            <w:r>
              <w:rPr>
                <w:sz w:val="17"/>
              </w:rPr>
              <w:t>11 711</w:t>
            </w:r>
          </w:p>
        </w:tc>
        <w:tc>
          <w:tcPr>
            <w:tcW w:w="1530" w:type="dxa"/>
            <w:tcBorders>
              <w:top w:val="nil"/>
              <w:left w:val="nil"/>
              <w:bottom w:val="nil"/>
              <w:right w:val="nil"/>
            </w:tcBorders>
          </w:tcPr>
          <w:p w:rsidR="00000000" w:rsidRDefault="00000000">
            <w:pPr>
              <w:spacing w:after="120" w:line="240" w:lineRule="auto"/>
              <w:ind w:left="75" w:right="98"/>
              <w:jc w:val="right"/>
              <w:rPr>
                <w:sz w:val="17"/>
              </w:rPr>
            </w:pPr>
            <w:r>
              <w:rPr>
                <w:sz w:val="17"/>
              </w:rPr>
              <w:t>63,7</w:t>
            </w:r>
          </w:p>
        </w:tc>
      </w:tr>
      <w:tr w:rsidR="00000000">
        <w:tblPrEx>
          <w:tblCellMar>
            <w:top w:w="0" w:type="dxa"/>
            <w:left w:w="0" w:type="dxa"/>
            <w:bottom w:w="0" w:type="dxa"/>
            <w:right w:w="0" w:type="dxa"/>
          </w:tblCellMar>
        </w:tblPrEx>
        <w:tc>
          <w:tcPr>
            <w:tcW w:w="3132" w:type="dxa"/>
            <w:tcBorders>
              <w:top w:val="nil"/>
              <w:left w:val="nil"/>
              <w:bottom w:val="nil"/>
              <w:right w:val="nil"/>
            </w:tcBorders>
          </w:tcPr>
          <w:p w:rsidR="00000000" w:rsidRDefault="00000000">
            <w:pPr>
              <w:suppressAutoHyphens/>
              <w:spacing w:after="120" w:line="240" w:lineRule="auto"/>
              <w:ind w:left="-9" w:right="90"/>
              <w:rPr>
                <w:sz w:val="17"/>
              </w:rPr>
            </w:pPr>
            <w:r>
              <w:rPr>
                <w:sz w:val="17"/>
              </w:rPr>
              <w:t>Школы бизнеса - транспорт</w:t>
            </w:r>
          </w:p>
        </w:tc>
        <w:tc>
          <w:tcPr>
            <w:tcW w:w="1260" w:type="dxa"/>
            <w:tcBorders>
              <w:top w:val="nil"/>
              <w:left w:val="nil"/>
              <w:bottom w:val="nil"/>
              <w:right w:val="nil"/>
            </w:tcBorders>
          </w:tcPr>
          <w:p w:rsidR="00000000" w:rsidRDefault="00000000">
            <w:pPr>
              <w:spacing w:after="120" w:line="240" w:lineRule="auto"/>
              <w:ind w:left="63" w:right="90"/>
              <w:jc w:val="right"/>
              <w:rPr>
                <w:sz w:val="17"/>
              </w:rPr>
            </w:pPr>
            <w:r>
              <w:rPr>
                <w:sz w:val="17"/>
              </w:rPr>
              <w:t>11 919</w:t>
            </w:r>
          </w:p>
        </w:tc>
        <w:tc>
          <w:tcPr>
            <w:tcW w:w="1530" w:type="dxa"/>
            <w:tcBorders>
              <w:top w:val="nil"/>
              <w:left w:val="nil"/>
              <w:bottom w:val="nil"/>
              <w:right w:val="nil"/>
            </w:tcBorders>
          </w:tcPr>
          <w:p w:rsidR="00000000" w:rsidRDefault="00000000">
            <w:pPr>
              <w:spacing w:after="120" w:line="240" w:lineRule="auto"/>
              <w:ind w:left="33" w:right="94"/>
              <w:jc w:val="right"/>
              <w:rPr>
                <w:sz w:val="17"/>
              </w:rPr>
            </w:pPr>
            <w:r>
              <w:rPr>
                <w:sz w:val="17"/>
              </w:rPr>
              <w:t>416</w:t>
            </w:r>
          </w:p>
        </w:tc>
        <w:tc>
          <w:tcPr>
            <w:tcW w:w="1530" w:type="dxa"/>
            <w:tcBorders>
              <w:top w:val="nil"/>
              <w:left w:val="nil"/>
              <w:bottom w:val="nil"/>
              <w:right w:val="nil"/>
            </w:tcBorders>
          </w:tcPr>
          <w:p w:rsidR="00000000" w:rsidRDefault="00000000">
            <w:pPr>
              <w:spacing w:after="120" w:line="240" w:lineRule="auto"/>
              <w:ind w:left="75" w:right="98"/>
              <w:jc w:val="right"/>
              <w:rPr>
                <w:sz w:val="17"/>
              </w:rPr>
            </w:pPr>
            <w:r>
              <w:rPr>
                <w:sz w:val="17"/>
              </w:rPr>
              <w:t>3,5</w:t>
            </w:r>
          </w:p>
        </w:tc>
      </w:tr>
      <w:tr w:rsidR="00000000">
        <w:tblPrEx>
          <w:tblCellMar>
            <w:top w:w="0" w:type="dxa"/>
            <w:left w:w="0" w:type="dxa"/>
            <w:bottom w:w="0" w:type="dxa"/>
            <w:right w:w="0" w:type="dxa"/>
          </w:tblCellMar>
        </w:tblPrEx>
        <w:tc>
          <w:tcPr>
            <w:tcW w:w="3132" w:type="dxa"/>
            <w:tcBorders>
              <w:top w:val="nil"/>
              <w:left w:val="nil"/>
              <w:bottom w:val="nil"/>
              <w:right w:val="nil"/>
            </w:tcBorders>
          </w:tcPr>
          <w:p w:rsidR="00000000" w:rsidRDefault="00000000">
            <w:pPr>
              <w:suppressAutoHyphens/>
              <w:spacing w:after="120" w:line="240" w:lineRule="auto"/>
              <w:ind w:left="-9" w:right="90"/>
              <w:rPr>
                <w:sz w:val="17"/>
              </w:rPr>
            </w:pPr>
            <w:r>
              <w:rPr>
                <w:sz w:val="17"/>
              </w:rPr>
              <w:t>Техники - инжен</w:t>
            </w:r>
            <w:r>
              <w:rPr>
                <w:sz w:val="17"/>
              </w:rPr>
              <w:t>е</w:t>
            </w:r>
            <w:r>
              <w:rPr>
                <w:sz w:val="17"/>
              </w:rPr>
              <w:t>ры-практики</w:t>
            </w:r>
          </w:p>
        </w:tc>
        <w:tc>
          <w:tcPr>
            <w:tcW w:w="1260" w:type="dxa"/>
            <w:tcBorders>
              <w:top w:val="nil"/>
              <w:left w:val="nil"/>
              <w:bottom w:val="nil"/>
              <w:right w:val="nil"/>
            </w:tcBorders>
          </w:tcPr>
          <w:p w:rsidR="00000000" w:rsidRDefault="00000000">
            <w:pPr>
              <w:spacing w:after="120" w:line="240" w:lineRule="auto"/>
              <w:ind w:left="63" w:right="90"/>
              <w:jc w:val="right"/>
              <w:rPr>
                <w:sz w:val="17"/>
              </w:rPr>
            </w:pPr>
            <w:r>
              <w:rPr>
                <w:sz w:val="17"/>
              </w:rPr>
              <w:t>24 389</w:t>
            </w:r>
          </w:p>
        </w:tc>
        <w:tc>
          <w:tcPr>
            <w:tcW w:w="1530" w:type="dxa"/>
            <w:tcBorders>
              <w:top w:val="nil"/>
              <w:left w:val="nil"/>
              <w:bottom w:val="nil"/>
              <w:right w:val="nil"/>
            </w:tcBorders>
          </w:tcPr>
          <w:p w:rsidR="00000000" w:rsidRDefault="00000000">
            <w:pPr>
              <w:spacing w:after="120" w:line="240" w:lineRule="auto"/>
              <w:ind w:left="33" w:right="94"/>
              <w:jc w:val="right"/>
              <w:rPr>
                <w:sz w:val="17"/>
              </w:rPr>
            </w:pPr>
            <w:r>
              <w:rPr>
                <w:sz w:val="17"/>
              </w:rPr>
              <w:t>7 836</w:t>
            </w:r>
          </w:p>
        </w:tc>
        <w:tc>
          <w:tcPr>
            <w:tcW w:w="1530" w:type="dxa"/>
            <w:tcBorders>
              <w:top w:val="nil"/>
              <w:left w:val="nil"/>
              <w:bottom w:val="nil"/>
              <w:right w:val="nil"/>
            </w:tcBorders>
          </w:tcPr>
          <w:p w:rsidR="00000000" w:rsidRDefault="00000000">
            <w:pPr>
              <w:spacing w:after="120" w:line="240" w:lineRule="auto"/>
              <w:ind w:left="75" w:right="98"/>
              <w:jc w:val="right"/>
              <w:rPr>
                <w:sz w:val="17"/>
              </w:rPr>
            </w:pPr>
            <w:r>
              <w:rPr>
                <w:sz w:val="17"/>
              </w:rPr>
              <w:t>32,1</w:t>
            </w:r>
          </w:p>
        </w:tc>
      </w:tr>
      <w:tr w:rsidR="00000000">
        <w:tblPrEx>
          <w:tblCellMar>
            <w:top w:w="0" w:type="dxa"/>
            <w:left w:w="0" w:type="dxa"/>
            <w:bottom w:w="0" w:type="dxa"/>
            <w:right w:w="0" w:type="dxa"/>
          </w:tblCellMar>
        </w:tblPrEx>
        <w:tc>
          <w:tcPr>
            <w:tcW w:w="3132" w:type="dxa"/>
            <w:tcBorders>
              <w:top w:val="nil"/>
              <w:left w:val="nil"/>
              <w:bottom w:val="nil"/>
              <w:right w:val="nil"/>
            </w:tcBorders>
          </w:tcPr>
          <w:p w:rsidR="00000000" w:rsidRDefault="00000000">
            <w:pPr>
              <w:suppressAutoHyphens/>
              <w:spacing w:after="120" w:line="240" w:lineRule="auto"/>
              <w:ind w:left="-9" w:right="90"/>
              <w:rPr>
                <w:sz w:val="17"/>
              </w:rPr>
            </w:pPr>
            <w:r>
              <w:rPr>
                <w:sz w:val="17"/>
              </w:rPr>
              <w:t>Обучение молодежи</w:t>
            </w:r>
          </w:p>
        </w:tc>
        <w:tc>
          <w:tcPr>
            <w:tcW w:w="1260" w:type="dxa"/>
            <w:tcBorders>
              <w:top w:val="nil"/>
              <w:left w:val="nil"/>
              <w:bottom w:val="nil"/>
              <w:right w:val="nil"/>
            </w:tcBorders>
          </w:tcPr>
          <w:p w:rsidR="00000000" w:rsidRDefault="00000000">
            <w:pPr>
              <w:spacing w:after="120" w:line="240" w:lineRule="auto"/>
              <w:ind w:left="63" w:right="90"/>
              <w:jc w:val="right"/>
              <w:rPr>
                <w:sz w:val="17"/>
              </w:rPr>
            </w:pPr>
            <w:r>
              <w:rPr>
                <w:sz w:val="17"/>
              </w:rPr>
              <w:t>12 895</w:t>
            </w:r>
          </w:p>
        </w:tc>
        <w:tc>
          <w:tcPr>
            <w:tcW w:w="1530" w:type="dxa"/>
            <w:tcBorders>
              <w:top w:val="nil"/>
              <w:left w:val="nil"/>
              <w:bottom w:val="nil"/>
              <w:right w:val="nil"/>
            </w:tcBorders>
          </w:tcPr>
          <w:p w:rsidR="00000000" w:rsidRDefault="00000000">
            <w:pPr>
              <w:spacing w:after="120" w:line="240" w:lineRule="auto"/>
              <w:ind w:left="33" w:right="94"/>
              <w:jc w:val="right"/>
              <w:rPr>
                <w:sz w:val="17"/>
              </w:rPr>
            </w:pPr>
            <w:r>
              <w:rPr>
                <w:sz w:val="17"/>
              </w:rPr>
              <w:t>2 524</w:t>
            </w:r>
          </w:p>
        </w:tc>
        <w:tc>
          <w:tcPr>
            <w:tcW w:w="1530" w:type="dxa"/>
            <w:tcBorders>
              <w:top w:val="nil"/>
              <w:left w:val="nil"/>
              <w:bottom w:val="nil"/>
              <w:right w:val="nil"/>
            </w:tcBorders>
          </w:tcPr>
          <w:p w:rsidR="00000000" w:rsidRDefault="00000000">
            <w:pPr>
              <w:spacing w:after="120" w:line="240" w:lineRule="auto"/>
              <w:ind w:left="75" w:right="98"/>
              <w:jc w:val="right"/>
              <w:rPr>
                <w:sz w:val="17"/>
              </w:rPr>
            </w:pPr>
            <w:r>
              <w:rPr>
                <w:sz w:val="17"/>
              </w:rPr>
              <w:t>19,6</w:t>
            </w:r>
          </w:p>
        </w:tc>
      </w:tr>
      <w:tr w:rsidR="00000000">
        <w:tblPrEx>
          <w:tblCellMar>
            <w:top w:w="0" w:type="dxa"/>
            <w:left w:w="0" w:type="dxa"/>
            <w:bottom w:w="0" w:type="dxa"/>
            <w:right w:w="0" w:type="dxa"/>
          </w:tblCellMar>
        </w:tblPrEx>
        <w:tc>
          <w:tcPr>
            <w:tcW w:w="3132" w:type="dxa"/>
            <w:tcBorders>
              <w:top w:val="nil"/>
              <w:left w:val="nil"/>
              <w:bottom w:val="single" w:sz="12" w:space="0" w:color="auto"/>
              <w:right w:val="nil"/>
            </w:tcBorders>
          </w:tcPr>
          <w:p w:rsidR="00000000" w:rsidRDefault="00000000">
            <w:pPr>
              <w:suppressAutoHyphens/>
              <w:spacing w:after="120" w:line="240" w:lineRule="auto"/>
              <w:ind w:left="252" w:right="90"/>
              <w:rPr>
                <w:b/>
                <w:sz w:val="17"/>
              </w:rPr>
            </w:pPr>
            <w:r>
              <w:rPr>
                <w:b/>
                <w:sz w:val="17"/>
              </w:rPr>
              <w:t>Всего</w:t>
            </w:r>
          </w:p>
        </w:tc>
        <w:tc>
          <w:tcPr>
            <w:tcW w:w="1260" w:type="dxa"/>
            <w:tcBorders>
              <w:top w:val="nil"/>
              <w:left w:val="nil"/>
              <w:bottom w:val="single" w:sz="12" w:space="0" w:color="auto"/>
              <w:right w:val="nil"/>
            </w:tcBorders>
          </w:tcPr>
          <w:p w:rsidR="00000000" w:rsidRDefault="00000000">
            <w:pPr>
              <w:spacing w:after="120" w:line="240" w:lineRule="auto"/>
              <w:ind w:left="63" w:right="90"/>
              <w:jc w:val="right"/>
              <w:rPr>
                <w:sz w:val="17"/>
              </w:rPr>
            </w:pPr>
            <w:r>
              <w:rPr>
                <w:sz w:val="17"/>
              </w:rPr>
              <w:t>81 539</w:t>
            </w:r>
          </w:p>
        </w:tc>
        <w:tc>
          <w:tcPr>
            <w:tcW w:w="1530" w:type="dxa"/>
            <w:tcBorders>
              <w:top w:val="nil"/>
              <w:left w:val="nil"/>
              <w:bottom w:val="single" w:sz="12" w:space="0" w:color="auto"/>
              <w:right w:val="nil"/>
            </w:tcBorders>
          </w:tcPr>
          <w:p w:rsidR="00000000" w:rsidRDefault="00000000">
            <w:pPr>
              <w:spacing w:after="120" w:line="240" w:lineRule="auto"/>
              <w:ind w:left="33" w:right="94"/>
              <w:jc w:val="right"/>
              <w:rPr>
                <w:sz w:val="17"/>
              </w:rPr>
            </w:pPr>
            <w:r>
              <w:rPr>
                <w:sz w:val="17"/>
              </w:rPr>
              <w:t>29 877</w:t>
            </w:r>
          </w:p>
        </w:tc>
        <w:tc>
          <w:tcPr>
            <w:tcW w:w="1530" w:type="dxa"/>
            <w:tcBorders>
              <w:top w:val="nil"/>
              <w:left w:val="nil"/>
              <w:bottom w:val="single" w:sz="12" w:space="0" w:color="auto"/>
              <w:right w:val="nil"/>
            </w:tcBorders>
          </w:tcPr>
          <w:p w:rsidR="00000000" w:rsidRDefault="00000000">
            <w:pPr>
              <w:spacing w:after="120" w:line="240" w:lineRule="auto"/>
              <w:ind w:left="75" w:right="98"/>
              <w:jc w:val="right"/>
              <w:rPr>
                <w:sz w:val="17"/>
              </w:rPr>
            </w:pPr>
            <w:r>
              <w:rPr>
                <w:sz w:val="17"/>
              </w:rPr>
              <w:t>36,6</w:t>
            </w:r>
          </w:p>
        </w:tc>
      </w:tr>
    </w:tbl>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i/>
        </w:rPr>
      </w:pPr>
      <w:r>
        <w:rPr>
          <w:i/>
          <w:color w:val="000000"/>
        </w:rPr>
        <w:t xml:space="preserve">Источник: </w:t>
      </w:r>
      <w:r>
        <w:t>Министерство промышленности, торговли и труда, 2004 год.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r>
        <w:rPr>
          <w:sz w:val="10"/>
        </w:rPr>
        <w:br w:type="page"/>
      </w:r>
    </w:p>
    <w:p w:rsidR="00000000" w:rsidRDefault="00000000">
      <w:pPr>
        <w:pStyle w:val="H1"/>
        <w:spacing w:line="300" w:lineRule="exact"/>
        <w:ind w:left="778" w:right="1267"/>
      </w:pPr>
      <w:r>
        <w:t>Уход за детьми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307.</w:t>
      </w:r>
      <w:r>
        <w:tab/>
        <w:t>Исследователи пришли к выводу, что важнейшим фактором, определя</w:t>
      </w:r>
      <w:r>
        <w:t>ю</w:t>
      </w:r>
      <w:r>
        <w:t>щим положение женщин на рынке труда, является наличие детских дошкол</w:t>
      </w:r>
      <w:r>
        <w:t>ь</w:t>
      </w:r>
      <w:r>
        <w:t>ных учреждений, которые обеспечивают подготовку детей к получению школьного образования. Помимо этих центров, находящихся под контролем министерства промышленности, торговли и труда, имеются также и частные центры по уходу за детьми в рабочее время, а также услуги по уходу на дому, оказ</w:t>
      </w:r>
      <w:r>
        <w:t>ы</w:t>
      </w:r>
      <w:r>
        <w:t>ваемые нянями.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308.</w:t>
      </w:r>
      <w:r>
        <w:tab/>
        <w:t>Департамент социального обслуживания министерства по социальным вопросам направляет детей в центры по уходу в рабочее время ввиду трудн</w:t>
      </w:r>
      <w:r>
        <w:t>о</w:t>
      </w:r>
      <w:r>
        <w:t>стей в семье; в этих центрах также осуществляется уход и за детьми работа</w:t>
      </w:r>
      <w:r>
        <w:t>ю</w:t>
      </w:r>
      <w:r>
        <w:t>щих матерей. В настоящее время имеется 1 600 центров по уходу в рабочее время и 2 300 центров семейного ухода, которые посещает 68 000 детей раб</w:t>
      </w:r>
      <w:r>
        <w:t>о</w:t>
      </w:r>
      <w:r>
        <w:t>тающих матерей и 14 000 детей, направляемых туда органами социального обеспечения.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309.</w:t>
      </w:r>
      <w:r>
        <w:tab/>
        <w:t>В еврейском секторе услугами центров по уходу в рабочее время польз</w:t>
      </w:r>
      <w:r>
        <w:t>у</w:t>
      </w:r>
      <w:r>
        <w:t>ется 63,2 процента матерей. 9,4 процента женщин получают помощь со стор</w:t>
      </w:r>
      <w:r>
        <w:t>о</w:t>
      </w:r>
      <w:r>
        <w:t>ны членов семьи, друзей или вообще не нуждаются в помощи, а 27,4 процента их остается дома. В арабском секторе, который в целом считается более трад</w:t>
      </w:r>
      <w:r>
        <w:t>и</w:t>
      </w:r>
      <w:r>
        <w:t>ционным, 70,4 процента остается дома, 16,3 процента женщин пользуются у</w:t>
      </w:r>
      <w:r>
        <w:t>с</w:t>
      </w:r>
      <w:r>
        <w:t>лугами центров по уходу в рабочее время, а 13,3 процента использует другие бесплатные возможности.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Реализация законодательства в области занятости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Департамент по надзору за соблюдением трудового законодательства министерства промышленности, торговли и труда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310.</w:t>
      </w:r>
      <w:r>
        <w:tab/>
        <w:t>Департамент по надзору за соблюдением трудового законодательства м</w:t>
      </w:r>
      <w:r>
        <w:t>и</w:t>
      </w:r>
      <w:r>
        <w:t>нистерства промышленности, торговли и труда осуществляет надзор за собл</w:t>
      </w:r>
      <w:r>
        <w:t>ю</w:t>
      </w:r>
      <w:r>
        <w:t xml:space="preserve">дением ряда законов о труде, включая </w:t>
      </w:r>
      <w:r>
        <w:rPr>
          <w:i/>
        </w:rPr>
        <w:t xml:space="preserve">Закон о занятости женщин. </w:t>
      </w:r>
      <w:r>
        <w:t>Согласно этому закону в 2003-2004 годах (до 1 июня) 32 дела были направлены в прав</w:t>
      </w:r>
      <w:r>
        <w:t>о</w:t>
      </w:r>
      <w:r>
        <w:t>вой департамент для подготовки обвинительных актов, а против 7 работодат</w:t>
      </w:r>
      <w:r>
        <w:t>е</w:t>
      </w:r>
      <w:r>
        <w:t>лей были вынесены обвинительные акты в связи с нарушением этих законов. Двое из них были осуждены и оштрафованы, а 2 других дела пока еще нах</w:t>
      </w:r>
      <w:r>
        <w:t>о</w:t>
      </w:r>
      <w:r>
        <w:t>дятся на стадии рассмотрения. Два других обвинительных акта касаются ди</w:t>
      </w:r>
      <w:r>
        <w:t>с</w:t>
      </w:r>
      <w:r>
        <w:t>криминации женщин при приеме на работу по причине наличия детей; в одном случае работодатель был осужден и оштрафован на 40 000 новых шекелей, а другое дело все еще находится на стадии рассмотрения.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311.</w:t>
      </w:r>
      <w:r>
        <w:tab/>
        <w:t>Как указывается в нашем предыдущем докладе, неуклонно растет число заявлений, касающихся увольнения беременных женщин. По данным департ</w:t>
      </w:r>
      <w:r>
        <w:t>а</w:t>
      </w:r>
      <w:r>
        <w:t>мента, в 2003 году им было получено 1 647 заявлений от работодателей и же</w:t>
      </w:r>
      <w:r>
        <w:t>н</w:t>
      </w:r>
      <w:r>
        <w:t>щин, касающихся увольнения в период беременности.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312.</w:t>
      </w:r>
      <w:r>
        <w:tab/>
        <w:t>За последние несколько лет Отдел правоприменения министерства пр</w:t>
      </w:r>
      <w:r>
        <w:t>о</w:t>
      </w:r>
      <w:r>
        <w:t xml:space="preserve">мышленности, торговли и труда активизировал свою деятельность в рамках </w:t>
      </w:r>
      <w:r>
        <w:rPr>
          <w:i/>
        </w:rPr>
        <w:t>Закона о равных возможностях в области занятости</w:t>
      </w:r>
      <w:r>
        <w:t xml:space="preserve"> и </w:t>
      </w:r>
      <w:r>
        <w:rPr>
          <w:i/>
        </w:rPr>
        <w:t>Закона о предотвр</w:t>
      </w:r>
      <w:r>
        <w:rPr>
          <w:i/>
        </w:rPr>
        <w:t>а</w:t>
      </w:r>
      <w:r>
        <w:rPr>
          <w:i/>
        </w:rPr>
        <w:t>щении сексуальных домогательств</w:t>
      </w:r>
      <w:r>
        <w:t>. За 2003-2004 годы (до конца июня 2004 г</w:t>
      </w:r>
      <w:r>
        <w:t>о</w:t>
      </w:r>
      <w:r>
        <w:t>да) он провел расследование по 55 жалобам, касающимся якобы имевшей м</w:t>
      </w:r>
      <w:r>
        <w:t>е</w:t>
      </w:r>
      <w:r>
        <w:t>сто дискриминации в отношении женщин на работе по признакам беременн</w:t>
      </w:r>
      <w:r>
        <w:t>о</w:t>
      </w:r>
      <w:r>
        <w:t>сти, наличия детей и по признаку пола. Отдел провел 477 расследований, св</w:t>
      </w:r>
      <w:r>
        <w:t>я</w:t>
      </w:r>
      <w:r>
        <w:t>занных с противоречащими закону объявлениями, и наложил 228 администр</w:t>
      </w:r>
      <w:r>
        <w:t>а</w:t>
      </w:r>
      <w:r>
        <w:t xml:space="preserve">тивных штрафов. Кроме того, отдел осуществил 1 326 инспекций рабочих мест в связи с публикацией кода практики в соответствии с </w:t>
      </w:r>
      <w:r>
        <w:rPr>
          <w:i/>
        </w:rPr>
        <w:t>Законом о предотвр</w:t>
      </w:r>
      <w:r>
        <w:rPr>
          <w:i/>
        </w:rPr>
        <w:t>а</w:t>
      </w:r>
      <w:r>
        <w:rPr>
          <w:i/>
        </w:rPr>
        <w:t>щении сексуальных домог</w:t>
      </w:r>
      <w:r>
        <w:rPr>
          <w:i/>
        </w:rPr>
        <w:t>а</w:t>
      </w:r>
      <w:r>
        <w:rPr>
          <w:i/>
        </w:rPr>
        <w:t>тельств</w:t>
      </w:r>
      <w:r>
        <w:t xml:space="preserve">.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313.</w:t>
      </w:r>
      <w:r>
        <w:tab/>
        <w:t>По последним данным 5,3 процента женщин, которые имели работу в п</w:t>
      </w:r>
      <w:r>
        <w:t>е</w:t>
      </w:r>
      <w:r>
        <w:t>риод своей последней беременности, ушли с нее после родов. 2 процента же</w:t>
      </w:r>
      <w:r>
        <w:t>н</w:t>
      </w:r>
      <w:r>
        <w:t>щин, которые были заняты в период своей последней беременности, были ув</w:t>
      </w:r>
      <w:r>
        <w:t>о</w:t>
      </w:r>
      <w:r>
        <w:t>лены после родов. Это означает высокий уровень соблюдения закона. По око</w:t>
      </w:r>
      <w:r>
        <w:t>н</w:t>
      </w:r>
      <w:r>
        <w:t>чании отпуска по беременности большинство женщин возвращается на те же самые или сопоставимые должности. 4,5 процента женщин получили повыш</w:t>
      </w:r>
      <w:r>
        <w:t>е</w:t>
      </w:r>
      <w:r>
        <w:t xml:space="preserve">ние по службе, а 6 процентов были понижены в должности.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260" w:right="1267"/>
      </w:pPr>
      <w:r>
        <w:t>Департамент по обеспечению соблюдения законодательства о труде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314.</w:t>
      </w:r>
      <w:r>
        <w:tab/>
        <w:t>В 2003 году было получено 1,657 заявлений, касающихся увольнения б</w:t>
      </w:r>
      <w:r>
        <w:t>е</w:t>
      </w:r>
      <w:r>
        <w:t>ременных женщин - наемных работников. В 44 процентах случаев департамент выдал разрешения на увольнение, тогда как 56 процентов просьб было откл</w:t>
      </w:r>
      <w:r>
        <w:t>о</w:t>
      </w:r>
      <w:r>
        <w:t>нено или дела были закрыты, что значительно ниже показателя в 54 процента удовлетворенных заявлений в 2000 году. Основные причины выдачи разреш</w:t>
      </w:r>
      <w:r>
        <w:t>е</w:t>
      </w:r>
      <w:r>
        <w:t>ний были связаны с закрытием предприятий, увольнением по обоюдному с</w:t>
      </w:r>
      <w:r>
        <w:t>о</w:t>
      </w:r>
      <w:r>
        <w:t xml:space="preserve">гласию или окончанием срока договора.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315.</w:t>
      </w:r>
      <w:r>
        <w:tab/>
        <w:t>Решение о согласии с увольнением носит административный характер и подлежит проверке со стороны судебных органов. Обе стороны могут оспорить это решение в суде по трудовым спорам. Однако, как правило, суды не вступ</w:t>
      </w:r>
      <w:r>
        <w:t>а</w:t>
      </w:r>
      <w:r>
        <w:t xml:space="preserve">ют в полемику с властями и не отменяют эти решения, при условии, что орган власти исполнил свою функцию добросовестно и в рамках своей компетенции.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Занятость женщин среди арабского населения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316.</w:t>
      </w:r>
      <w:r>
        <w:tab/>
        <w:t>В течение двух последних десятилетий доля арабских женщин в структ</w:t>
      </w:r>
      <w:r>
        <w:t>у</w:t>
      </w:r>
      <w:r>
        <w:t>ре рабочей силы возросла с 11 процентов в 1980 году до 14,8 процента в 2002 году. На сегодняшний день арабские женщины составляют около 4 пр</w:t>
      </w:r>
      <w:r>
        <w:t>о</w:t>
      </w:r>
      <w:r>
        <w:t>центов всех женщин в составе гражданской рабочей силы в Израиле. В 2003 году в составе рабочей силы насчитывалось 263 500 арабов, 204 900 (77,7 пр</w:t>
      </w:r>
      <w:r>
        <w:t>о</w:t>
      </w:r>
      <w:r>
        <w:t>цента) из которых были мужчинами, а 58 600 (22,3 процента) - женщинами. 34 100 человек арабского происхождения были зарегистрированы в качестве безработных, 6 400 (18,7 процента) из которых были женщинами.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317.</w:t>
      </w:r>
      <w:r>
        <w:tab/>
        <w:t>В составе рабочей силы наиболее высока доля мужчин и женщин в во</w:t>
      </w:r>
      <w:r>
        <w:t>з</w:t>
      </w:r>
      <w:r>
        <w:t>расте от 25 до 34 лет. В арабском секторе большинство мужчин (81 200) в с</w:t>
      </w:r>
      <w:r>
        <w:t>о</w:t>
      </w:r>
      <w:r>
        <w:t xml:space="preserve">ставе рабочей силы имеют 11-12 лет школьного образования, по сравнению с большинством женщин (32 100), которые учились в школе в течение 13 лет или более.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Ch"/>
        <w:ind w:left="792" w:right="1267"/>
      </w:pPr>
      <w:r>
        <w:t>Статья 12. Равный доступ к здравоохранению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Общие положения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318.</w:t>
      </w:r>
      <w:r>
        <w:tab/>
        <w:t xml:space="preserve">В соответствии с </w:t>
      </w:r>
      <w:r>
        <w:rPr>
          <w:i/>
        </w:rPr>
        <w:t xml:space="preserve">Законом о государственном медицинском страховании, 5754-1994 </w:t>
      </w:r>
      <w:r>
        <w:t>(</w:t>
      </w:r>
      <w:r>
        <w:rPr>
          <w:i/>
        </w:rPr>
        <w:t>"Закон о государственном медицинском страховании"</w:t>
      </w:r>
      <w:r>
        <w:t>), каждый р</w:t>
      </w:r>
      <w:r>
        <w:t>е</w:t>
      </w:r>
      <w:r>
        <w:t>зидент имеет право на комплексную медицинскую помощь. Помощь должна оказываться надлежащего качества и в разумные сроки и на значительном ра</w:t>
      </w:r>
      <w:r>
        <w:t>с</w:t>
      </w:r>
      <w:r>
        <w:t>стоянии от места проживания пациента. Эта помощь охватывает личную пр</w:t>
      </w:r>
      <w:r>
        <w:t>о</w:t>
      </w:r>
      <w:r>
        <w:t>филактическую медицину, санитарное просвещение, медицинскую диагност</w:t>
      </w:r>
      <w:r>
        <w:t>и</w:t>
      </w:r>
      <w:r>
        <w:t>ку, амбулаторную медицинскую помощь, психологическую помощь, госпитал</w:t>
      </w:r>
      <w:r>
        <w:t>и</w:t>
      </w:r>
      <w:r>
        <w:t>зацию, медицинскую реабилитацию, медицинские принадлежности, медици</w:t>
      </w:r>
      <w:r>
        <w:t>н</w:t>
      </w:r>
      <w:r>
        <w:t>ские приборы и приспособления, а также первую медицинскую помощь.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319.</w:t>
      </w:r>
      <w:r>
        <w:tab/>
        <w:t>После представления нашего предыдущего доклада были проведены два крупных обследования: Национальный доклад о здравоохранении в 2003</w:t>
      </w:r>
      <w:r>
        <w:noBreakHyphen/>
        <w:t>2004 годах, подготовленный Израильским центром по контролю над з</w:t>
      </w:r>
      <w:r>
        <w:t>а</w:t>
      </w:r>
      <w:r>
        <w:t>болеваниями, причем этот проект был развернут в рамках европейский обсл</w:t>
      </w:r>
      <w:r>
        <w:t>е</w:t>
      </w:r>
      <w:r>
        <w:t>дований состояния здоровья методом собеседования (</w:t>
      </w:r>
      <w:r>
        <w:rPr>
          <w:lang w:val="en-US"/>
        </w:rPr>
        <w:t>EUROHIS</w:t>
      </w:r>
      <w:r>
        <w:t>). В обследов</w:t>
      </w:r>
      <w:r>
        <w:t>а</w:t>
      </w:r>
      <w:r>
        <w:t>нии приняли участие 8 000 человек в возрасте 21 года, а в рамках соответс</w:t>
      </w:r>
      <w:r>
        <w:t>т</w:t>
      </w:r>
      <w:r>
        <w:t>вующего раздела под названием "Здоровье женщин" было опрошено 2 711 женщин - 2 160 еврейских женщин и 551 арабская женщина. Рассматриваемые темы включают: 1. обращение за помощью к гинекологу, 2. использование го</w:t>
      </w:r>
      <w:r>
        <w:t>р</w:t>
      </w:r>
      <w:r>
        <w:t>мональных препаратов, 3. фертильность и репродуктивная функция, 4. модели поведения, связанные с охраной здоровья, 5. масса тела, 6. здоровье и ситу</w:t>
      </w:r>
      <w:r>
        <w:t>а</w:t>
      </w:r>
      <w:r>
        <w:t>ции, связанные с заболеваемостью. Кроме того, обследования 2002 года, к</w:t>
      </w:r>
      <w:r>
        <w:t>а</w:t>
      </w:r>
      <w:r>
        <w:t>сающиеся субъективного состояния здоровья, показывает, что 39 процентов израильских женщин считают себя "абсолютно здоровыми", причем счита</w:t>
      </w:r>
      <w:r>
        <w:t>ю</w:t>
      </w:r>
      <w:r>
        <w:t>щих так мужчин несколько больше (75 процентов). Одна треть мужчин и одна треть женщин положительно ответили на вопрос о наличии у них проблем со здоровьем или физических проблем в течение периода свыше 6 месяцев. Из тех, кто испытывал проблемы со здоровьем, 72 процента женщин и 64 проце</w:t>
      </w:r>
      <w:r>
        <w:t>н</w:t>
      </w:r>
      <w:r>
        <w:t>та мужчин заявили, что они испытывали трудности каждый день.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Специальное медицинское обслуживание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260" w:right="1267"/>
        <w:rPr>
          <w:b w:val="0"/>
        </w:rPr>
      </w:pPr>
      <w:r>
        <w:rPr>
          <w:b w:val="0"/>
        </w:rPr>
        <w:t>До- и послеродовое обслуживание: клиники матери и ребенка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320.</w:t>
      </w:r>
      <w:r>
        <w:tab/>
        <w:t>В 2002-2003 годах на 1 000 жительниц в гинекологических палатах насч</w:t>
      </w:r>
      <w:r>
        <w:t>и</w:t>
      </w:r>
      <w:r>
        <w:t xml:space="preserve">тывалось 0,100 мест по сравнению с 0,103 в 2001 году. Число занимаемых коек возросло с 93,1 процента в 2001 году до 94,8 процента в 2003 году. В 2003 году число коек в палатах для беременных уменьшилось до 0,198 процента на 1 000 резидентов (с 0,203 в 2001-2002 годах), а число занимаемых койко-мест возросло с 109,2 процента в 2001 году до 113,5 процента в 2003 году. </w:t>
      </w:r>
    </w:p>
    <w:p w:rsidR="00000000" w:rsidRDefault="00000000">
      <w:pPr>
        <w:pStyle w:val="H56"/>
        <w:tabs>
          <w:tab w:val="clear" w:pos="360"/>
        </w:tabs>
        <w:ind w:left="2477" w:right="1267" w:hanging="1210"/>
      </w:pPr>
      <w:r>
        <w:br w:type="page"/>
        <w:t>Таблица 13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Число койко-мест в больницах и заполненность палат, с разбивкой по типу койка-мест, 2001-2003 годы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42"/>
        <w:gridCol w:w="990"/>
        <w:gridCol w:w="990"/>
        <w:gridCol w:w="1170"/>
        <w:gridCol w:w="990"/>
        <w:gridCol w:w="990"/>
        <w:gridCol w:w="994"/>
      </w:tblGrid>
      <w:tr w:rsidR="00000000">
        <w:tblPrEx>
          <w:tblCellMar>
            <w:top w:w="0" w:type="dxa"/>
            <w:left w:w="0" w:type="dxa"/>
            <w:bottom w:w="0" w:type="dxa"/>
            <w:right w:w="0" w:type="dxa"/>
          </w:tblCellMar>
        </w:tblPrEx>
        <w:trPr>
          <w:cantSplit/>
          <w:tblHeader/>
        </w:trPr>
        <w:tc>
          <w:tcPr>
            <w:tcW w:w="1242" w:type="dxa"/>
            <w:vMerge w:val="restart"/>
            <w:tcBorders>
              <w:left w:val="nil"/>
              <w:right w:val="nil"/>
            </w:tcBorders>
            <w:vAlign w:val="center"/>
          </w:tcPr>
          <w:p w:rsidR="00000000" w:rsidRDefault="00000000">
            <w:pPr>
              <w:spacing w:after="120" w:line="240" w:lineRule="auto"/>
              <w:ind w:left="72"/>
              <w:rPr>
                <w:i/>
                <w:sz w:val="14"/>
              </w:rPr>
            </w:pPr>
            <w:r>
              <w:rPr>
                <w:i/>
                <w:sz w:val="14"/>
              </w:rPr>
              <w:t xml:space="preserve">Вид </w:t>
            </w:r>
            <w:r>
              <w:rPr>
                <w:i/>
                <w:sz w:val="14"/>
              </w:rPr>
              <w:br/>
              <w:t>койкоместа</w:t>
            </w:r>
          </w:p>
        </w:tc>
        <w:tc>
          <w:tcPr>
            <w:tcW w:w="3150" w:type="dxa"/>
            <w:gridSpan w:val="3"/>
            <w:tcBorders>
              <w:left w:val="nil"/>
              <w:bottom w:val="single" w:sz="4" w:space="0" w:color="auto"/>
              <w:right w:val="nil"/>
            </w:tcBorders>
          </w:tcPr>
          <w:p w:rsidR="00000000" w:rsidRDefault="00000000">
            <w:pPr>
              <w:spacing w:after="120"/>
              <w:jc w:val="center"/>
              <w:rPr>
                <w:i/>
                <w:sz w:val="14"/>
              </w:rPr>
            </w:pPr>
            <w:r>
              <w:rPr>
                <w:i/>
                <w:sz w:val="14"/>
              </w:rPr>
              <w:t>Койко-место (показатель на 1 000 резидентов)</w:t>
            </w:r>
          </w:p>
        </w:tc>
        <w:tc>
          <w:tcPr>
            <w:tcW w:w="2974" w:type="dxa"/>
            <w:gridSpan w:val="3"/>
            <w:tcBorders>
              <w:left w:val="nil"/>
              <w:bottom w:val="single" w:sz="4" w:space="0" w:color="auto"/>
              <w:right w:val="nil"/>
            </w:tcBorders>
          </w:tcPr>
          <w:p w:rsidR="00000000" w:rsidRDefault="00000000">
            <w:pPr>
              <w:spacing w:after="120"/>
              <w:jc w:val="center"/>
              <w:rPr>
                <w:i/>
                <w:sz w:val="14"/>
              </w:rPr>
            </w:pPr>
            <w:r>
              <w:rPr>
                <w:i/>
                <w:sz w:val="14"/>
              </w:rPr>
              <w:t>Число койко-мест (в проце</w:t>
            </w:r>
            <w:r>
              <w:rPr>
                <w:i/>
                <w:sz w:val="14"/>
              </w:rPr>
              <w:t>н</w:t>
            </w:r>
            <w:r>
              <w:rPr>
                <w:i/>
                <w:sz w:val="14"/>
              </w:rPr>
              <w:t>тах)</w:t>
            </w:r>
          </w:p>
        </w:tc>
      </w:tr>
      <w:tr w:rsidR="00000000">
        <w:tblPrEx>
          <w:tblCellMar>
            <w:top w:w="0" w:type="dxa"/>
            <w:left w:w="0" w:type="dxa"/>
            <w:bottom w:w="0" w:type="dxa"/>
            <w:right w:w="0" w:type="dxa"/>
          </w:tblCellMar>
        </w:tblPrEx>
        <w:trPr>
          <w:cantSplit/>
          <w:tblHeader/>
        </w:trPr>
        <w:tc>
          <w:tcPr>
            <w:tcW w:w="1242" w:type="dxa"/>
            <w:vMerge/>
            <w:tcBorders>
              <w:left w:val="nil"/>
              <w:bottom w:val="single" w:sz="12" w:space="0" w:color="auto"/>
              <w:right w:val="nil"/>
            </w:tcBorders>
            <w:vAlign w:val="center"/>
          </w:tcPr>
          <w:p w:rsidR="00000000" w:rsidRDefault="00000000">
            <w:pPr>
              <w:spacing w:after="120" w:line="240" w:lineRule="auto"/>
              <w:ind w:left="72"/>
              <w:jc w:val="both"/>
              <w:rPr>
                <w:i/>
                <w:sz w:val="14"/>
              </w:rPr>
            </w:pPr>
          </w:p>
        </w:tc>
        <w:tc>
          <w:tcPr>
            <w:tcW w:w="990" w:type="dxa"/>
            <w:tcBorders>
              <w:top w:val="single" w:sz="4" w:space="0" w:color="auto"/>
              <w:left w:val="nil"/>
              <w:bottom w:val="single" w:sz="12" w:space="0" w:color="auto"/>
              <w:right w:val="nil"/>
            </w:tcBorders>
          </w:tcPr>
          <w:p w:rsidR="00000000" w:rsidRDefault="00000000">
            <w:pPr>
              <w:spacing w:after="120"/>
              <w:jc w:val="right"/>
              <w:rPr>
                <w:i/>
                <w:sz w:val="14"/>
              </w:rPr>
            </w:pPr>
            <w:r>
              <w:rPr>
                <w:i/>
                <w:sz w:val="14"/>
              </w:rPr>
              <w:t>2001 год</w:t>
            </w:r>
          </w:p>
        </w:tc>
        <w:tc>
          <w:tcPr>
            <w:tcW w:w="990" w:type="dxa"/>
            <w:tcBorders>
              <w:top w:val="single" w:sz="4" w:space="0" w:color="auto"/>
              <w:left w:val="nil"/>
              <w:bottom w:val="single" w:sz="12" w:space="0" w:color="auto"/>
              <w:right w:val="nil"/>
            </w:tcBorders>
          </w:tcPr>
          <w:p w:rsidR="00000000" w:rsidRDefault="00000000">
            <w:pPr>
              <w:spacing w:after="120"/>
              <w:jc w:val="right"/>
              <w:rPr>
                <w:i/>
                <w:sz w:val="14"/>
              </w:rPr>
            </w:pPr>
            <w:r>
              <w:rPr>
                <w:i/>
                <w:sz w:val="14"/>
              </w:rPr>
              <w:t>2002 год</w:t>
            </w:r>
          </w:p>
        </w:tc>
        <w:tc>
          <w:tcPr>
            <w:tcW w:w="1170" w:type="dxa"/>
            <w:tcBorders>
              <w:top w:val="single" w:sz="4" w:space="0" w:color="auto"/>
              <w:left w:val="nil"/>
              <w:bottom w:val="single" w:sz="12" w:space="0" w:color="auto"/>
              <w:right w:val="nil"/>
            </w:tcBorders>
          </w:tcPr>
          <w:p w:rsidR="00000000" w:rsidRDefault="00000000">
            <w:pPr>
              <w:spacing w:after="120"/>
              <w:jc w:val="right"/>
              <w:rPr>
                <w:i/>
                <w:sz w:val="14"/>
              </w:rPr>
            </w:pPr>
            <w:r>
              <w:rPr>
                <w:i/>
                <w:sz w:val="14"/>
              </w:rPr>
              <w:t>2003 год</w:t>
            </w:r>
          </w:p>
        </w:tc>
        <w:tc>
          <w:tcPr>
            <w:tcW w:w="990" w:type="dxa"/>
            <w:tcBorders>
              <w:top w:val="single" w:sz="4" w:space="0" w:color="auto"/>
              <w:left w:val="nil"/>
              <w:bottom w:val="single" w:sz="12" w:space="0" w:color="auto"/>
              <w:right w:val="nil"/>
            </w:tcBorders>
          </w:tcPr>
          <w:p w:rsidR="00000000" w:rsidRDefault="00000000">
            <w:pPr>
              <w:spacing w:after="120"/>
              <w:jc w:val="right"/>
              <w:rPr>
                <w:i/>
                <w:sz w:val="14"/>
              </w:rPr>
            </w:pPr>
            <w:r>
              <w:rPr>
                <w:i/>
                <w:sz w:val="14"/>
              </w:rPr>
              <w:t>2001 год</w:t>
            </w:r>
          </w:p>
        </w:tc>
        <w:tc>
          <w:tcPr>
            <w:tcW w:w="990" w:type="dxa"/>
            <w:tcBorders>
              <w:top w:val="single" w:sz="4" w:space="0" w:color="auto"/>
              <w:left w:val="nil"/>
              <w:bottom w:val="single" w:sz="12" w:space="0" w:color="auto"/>
              <w:right w:val="nil"/>
            </w:tcBorders>
          </w:tcPr>
          <w:p w:rsidR="00000000" w:rsidRDefault="00000000">
            <w:pPr>
              <w:spacing w:after="120"/>
              <w:jc w:val="right"/>
              <w:rPr>
                <w:i/>
                <w:sz w:val="14"/>
              </w:rPr>
            </w:pPr>
            <w:r>
              <w:rPr>
                <w:i/>
                <w:sz w:val="14"/>
              </w:rPr>
              <w:t>2002 год</w:t>
            </w:r>
          </w:p>
        </w:tc>
        <w:tc>
          <w:tcPr>
            <w:tcW w:w="994" w:type="dxa"/>
            <w:tcBorders>
              <w:top w:val="single" w:sz="4" w:space="0" w:color="auto"/>
              <w:left w:val="nil"/>
              <w:bottom w:val="single" w:sz="12" w:space="0" w:color="auto"/>
              <w:right w:val="nil"/>
            </w:tcBorders>
          </w:tcPr>
          <w:p w:rsidR="00000000" w:rsidRDefault="00000000">
            <w:pPr>
              <w:spacing w:after="120"/>
              <w:jc w:val="right"/>
              <w:rPr>
                <w:i/>
                <w:sz w:val="14"/>
              </w:rPr>
            </w:pPr>
            <w:r>
              <w:rPr>
                <w:i/>
                <w:sz w:val="14"/>
              </w:rPr>
              <w:t>2003 год</w:t>
            </w:r>
          </w:p>
        </w:tc>
      </w:tr>
      <w:tr w:rsidR="00000000">
        <w:tblPrEx>
          <w:tblCellMar>
            <w:top w:w="0" w:type="dxa"/>
            <w:left w:w="0" w:type="dxa"/>
            <w:bottom w:w="0" w:type="dxa"/>
            <w:right w:w="0" w:type="dxa"/>
          </w:tblCellMar>
        </w:tblPrEx>
        <w:trPr>
          <w:trHeight w:hRule="exact" w:val="115"/>
          <w:tblHeader/>
        </w:trPr>
        <w:tc>
          <w:tcPr>
            <w:tcW w:w="1242"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994"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42" w:type="dxa"/>
            <w:tcBorders>
              <w:top w:val="nil"/>
              <w:left w:val="nil"/>
              <w:bottom w:val="nil"/>
              <w:right w:val="nil"/>
            </w:tcBorders>
          </w:tcPr>
          <w:p w:rsidR="00000000" w:rsidRDefault="00000000">
            <w:pPr>
              <w:spacing w:after="120"/>
              <w:rPr>
                <w:sz w:val="17"/>
              </w:rPr>
            </w:pPr>
            <w:r>
              <w:rPr>
                <w:sz w:val="17"/>
              </w:rPr>
              <w:t>Гинекология</w:t>
            </w:r>
          </w:p>
        </w:tc>
        <w:tc>
          <w:tcPr>
            <w:tcW w:w="990" w:type="dxa"/>
            <w:tcBorders>
              <w:top w:val="nil"/>
              <w:left w:val="nil"/>
              <w:bottom w:val="nil"/>
              <w:right w:val="nil"/>
            </w:tcBorders>
          </w:tcPr>
          <w:p w:rsidR="00000000" w:rsidRDefault="00000000">
            <w:pPr>
              <w:spacing w:after="120"/>
              <w:jc w:val="right"/>
              <w:rPr>
                <w:sz w:val="17"/>
              </w:rPr>
            </w:pPr>
            <w:r>
              <w:rPr>
                <w:sz w:val="17"/>
              </w:rPr>
              <w:t>0,103</w:t>
            </w:r>
          </w:p>
        </w:tc>
        <w:tc>
          <w:tcPr>
            <w:tcW w:w="990" w:type="dxa"/>
            <w:tcBorders>
              <w:top w:val="nil"/>
              <w:left w:val="nil"/>
              <w:bottom w:val="nil"/>
              <w:right w:val="nil"/>
            </w:tcBorders>
          </w:tcPr>
          <w:p w:rsidR="00000000" w:rsidRDefault="00000000">
            <w:pPr>
              <w:spacing w:after="120"/>
              <w:jc w:val="right"/>
              <w:rPr>
                <w:sz w:val="17"/>
              </w:rPr>
            </w:pPr>
            <w:r>
              <w:rPr>
                <w:sz w:val="17"/>
              </w:rPr>
              <w:t>0,100</w:t>
            </w:r>
          </w:p>
        </w:tc>
        <w:tc>
          <w:tcPr>
            <w:tcW w:w="1170" w:type="dxa"/>
            <w:tcBorders>
              <w:top w:val="nil"/>
              <w:left w:val="nil"/>
              <w:bottom w:val="nil"/>
              <w:right w:val="nil"/>
            </w:tcBorders>
          </w:tcPr>
          <w:p w:rsidR="00000000" w:rsidRDefault="00000000">
            <w:pPr>
              <w:spacing w:after="120"/>
              <w:jc w:val="right"/>
              <w:rPr>
                <w:sz w:val="17"/>
              </w:rPr>
            </w:pPr>
            <w:r>
              <w:rPr>
                <w:sz w:val="17"/>
              </w:rPr>
              <w:t>0,100</w:t>
            </w:r>
          </w:p>
        </w:tc>
        <w:tc>
          <w:tcPr>
            <w:tcW w:w="990" w:type="dxa"/>
            <w:tcBorders>
              <w:top w:val="nil"/>
              <w:left w:val="nil"/>
              <w:bottom w:val="nil"/>
              <w:right w:val="nil"/>
            </w:tcBorders>
          </w:tcPr>
          <w:p w:rsidR="00000000" w:rsidRDefault="00000000">
            <w:pPr>
              <w:spacing w:after="120"/>
              <w:jc w:val="right"/>
              <w:rPr>
                <w:sz w:val="17"/>
              </w:rPr>
            </w:pPr>
            <w:r>
              <w:rPr>
                <w:sz w:val="17"/>
              </w:rPr>
              <w:t>93,1</w:t>
            </w:r>
          </w:p>
        </w:tc>
        <w:tc>
          <w:tcPr>
            <w:tcW w:w="990" w:type="dxa"/>
            <w:tcBorders>
              <w:top w:val="nil"/>
              <w:left w:val="nil"/>
              <w:bottom w:val="nil"/>
              <w:right w:val="nil"/>
            </w:tcBorders>
          </w:tcPr>
          <w:p w:rsidR="00000000" w:rsidRDefault="00000000">
            <w:pPr>
              <w:spacing w:after="120"/>
              <w:jc w:val="right"/>
              <w:rPr>
                <w:sz w:val="17"/>
              </w:rPr>
            </w:pPr>
            <w:r>
              <w:rPr>
                <w:sz w:val="17"/>
              </w:rPr>
              <w:t>93</w:t>
            </w:r>
          </w:p>
        </w:tc>
        <w:tc>
          <w:tcPr>
            <w:tcW w:w="994" w:type="dxa"/>
            <w:tcBorders>
              <w:top w:val="nil"/>
              <w:left w:val="nil"/>
              <w:bottom w:val="nil"/>
              <w:right w:val="nil"/>
            </w:tcBorders>
          </w:tcPr>
          <w:p w:rsidR="00000000" w:rsidRDefault="00000000">
            <w:pPr>
              <w:spacing w:after="120"/>
              <w:jc w:val="right"/>
              <w:rPr>
                <w:sz w:val="17"/>
              </w:rPr>
            </w:pPr>
            <w:r>
              <w:rPr>
                <w:sz w:val="17"/>
              </w:rPr>
              <w:t>94,8</w:t>
            </w:r>
          </w:p>
        </w:tc>
      </w:tr>
      <w:tr w:rsidR="00000000">
        <w:tblPrEx>
          <w:tblCellMar>
            <w:top w:w="0" w:type="dxa"/>
            <w:left w:w="0" w:type="dxa"/>
            <w:bottom w:w="0" w:type="dxa"/>
            <w:right w:w="0" w:type="dxa"/>
          </w:tblCellMar>
        </w:tblPrEx>
        <w:tc>
          <w:tcPr>
            <w:tcW w:w="1242" w:type="dxa"/>
            <w:tcBorders>
              <w:top w:val="nil"/>
              <w:left w:val="nil"/>
              <w:bottom w:val="single" w:sz="12" w:space="0" w:color="auto"/>
              <w:right w:val="nil"/>
            </w:tcBorders>
          </w:tcPr>
          <w:p w:rsidR="00000000" w:rsidRDefault="00000000">
            <w:pPr>
              <w:spacing w:after="120"/>
              <w:rPr>
                <w:sz w:val="17"/>
              </w:rPr>
            </w:pPr>
            <w:r>
              <w:rPr>
                <w:sz w:val="17"/>
              </w:rPr>
              <w:t>Акушерство</w:t>
            </w:r>
          </w:p>
        </w:tc>
        <w:tc>
          <w:tcPr>
            <w:tcW w:w="990" w:type="dxa"/>
            <w:tcBorders>
              <w:top w:val="nil"/>
              <w:left w:val="nil"/>
              <w:bottom w:val="single" w:sz="12" w:space="0" w:color="auto"/>
              <w:right w:val="nil"/>
            </w:tcBorders>
          </w:tcPr>
          <w:p w:rsidR="00000000" w:rsidRDefault="00000000">
            <w:pPr>
              <w:spacing w:after="120"/>
              <w:jc w:val="right"/>
              <w:rPr>
                <w:sz w:val="17"/>
              </w:rPr>
            </w:pPr>
            <w:r>
              <w:rPr>
                <w:sz w:val="17"/>
              </w:rPr>
              <w:t>0,203</w:t>
            </w:r>
          </w:p>
        </w:tc>
        <w:tc>
          <w:tcPr>
            <w:tcW w:w="990" w:type="dxa"/>
            <w:tcBorders>
              <w:top w:val="nil"/>
              <w:left w:val="nil"/>
              <w:bottom w:val="single" w:sz="12" w:space="0" w:color="auto"/>
              <w:right w:val="nil"/>
            </w:tcBorders>
          </w:tcPr>
          <w:p w:rsidR="00000000" w:rsidRDefault="00000000">
            <w:pPr>
              <w:spacing w:after="120"/>
              <w:jc w:val="right"/>
              <w:rPr>
                <w:sz w:val="17"/>
              </w:rPr>
            </w:pPr>
            <w:r>
              <w:rPr>
                <w:sz w:val="17"/>
              </w:rPr>
              <w:t>0,203</w:t>
            </w:r>
          </w:p>
        </w:tc>
        <w:tc>
          <w:tcPr>
            <w:tcW w:w="1170" w:type="dxa"/>
            <w:tcBorders>
              <w:top w:val="nil"/>
              <w:left w:val="nil"/>
              <w:bottom w:val="single" w:sz="12" w:space="0" w:color="auto"/>
              <w:right w:val="nil"/>
            </w:tcBorders>
          </w:tcPr>
          <w:p w:rsidR="00000000" w:rsidRDefault="00000000">
            <w:pPr>
              <w:spacing w:after="120"/>
              <w:jc w:val="right"/>
              <w:rPr>
                <w:sz w:val="17"/>
              </w:rPr>
            </w:pPr>
            <w:r>
              <w:rPr>
                <w:sz w:val="17"/>
              </w:rPr>
              <w:t>0,198</w:t>
            </w:r>
          </w:p>
        </w:tc>
        <w:tc>
          <w:tcPr>
            <w:tcW w:w="990" w:type="dxa"/>
            <w:tcBorders>
              <w:top w:val="nil"/>
              <w:left w:val="nil"/>
              <w:bottom w:val="single" w:sz="12" w:space="0" w:color="auto"/>
              <w:right w:val="nil"/>
            </w:tcBorders>
          </w:tcPr>
          <w:p w:rsidR="00000000" w:rsidRDefault="00000000">
            <w:pPr>
              <w:spacing w:after="120"/>
              <w:jc w:val="right"/>
              <w:rPr>
                <w:sz w:val="17"/>
              </w:rPr>
            </w:pPr>
            <w:r>
              <w:rPr>
                <w:sz w:val="17"/>
              </w:rPr>
              <w:t>109,2</w:t>
            </w:r>
          </w:p>
        </w:tc>
        <w:tc>
          <w:tcPr>
            <w:tcW w:w="990" w:type="dxa"/>
            <w:tcBorders>
              <w:top w:val="nil"/>
              <w:left w:val="nil"/>
              <w:bottom w:val="single" w:sz="12" w:space="0" w:color="auto"/>
              <w:right w:val="nil"/>
            </w:tcBorders>
          </w:tcPr>
          <w:p w:rsidR="00000000" w:rsidRDefault="00000000">
            <w:pPr>
              <w:spacing w:after="120"/>
              <w:jc w:val="right"/>
              <w:rPr>
                <w:sz w:val="17"/>
              </w:rPr>
            </w:pPr>
            <w:r>
              <w:rPr>
                <w:sz w:val="17"/>
              </w:rPr>
              <w:t>112,7</w:t>
            </w:r>
          </w:p>
        </w:tc>
        <w:tc>
          <w:tcPr>
            <w:tcW w:w="994" w:type="dxa"/>
            <w:tcBorders>
              <w:top w:val="nil"/>
              <w:left w:val="nil"/>
              <w:bottom w:val="single" w:sz="12" w:space="0" w:color="auto"/>
              <w:right w:val="nil"/>
            </w:tcBorders>
          </w:tcPr>
          <w:p w:rsidR="00000000" w:rsidRDefault="00000000">
            <w:pPr>
              <w:spacing w:after="120"/>
              <w:jc w:val="right"/>
              <w:rPr>
                <w:sz w:val="17"/>
              </w:rPr>
            </w:pPr>
            <w:r>
              <w:rPr>
                <w:sz w:val="17"/>
              </w:rPr>
              <w:t>113,5</w:t>
            </w:r>
          </w:p>
        </w:tc>
      </w:tr>
    </w:tbl>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i/>
        </w:rPr>
      </w:pPr>
      <w:r>
        <w:rPr>
          <w:i/>
        </w:rPr>
        <w:t>Источник</w:t>
      </w:r>
      <w:r>
        <w:t>: Центральное статистическое бюро, 2004 год.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321.</w:t>
      </w:r>
      <w:r>
        <w:tab/>
        <w:t>Израиль обеспечивает профилактическим медицинским обслуживанием беременных женщин в рамках пунктов по уходу за матерью и ребенком ("Типат Халав") за определенную минимальную плату. Женщины с неудовлетворител</w:t>
      </w:r>
      <w:r>
        <w:t>ь</w:t>
      </w:r>
      <w:r>
        <w:t>ным финансовым положением могут быть освобождены от взимания этой пл</w:t>
      </w:r>
      <w:r>
        <w:t>а</w:t>
      </w:r>
      <w:r>
        <w:t xml:space="preserve">ты при определенных условиях.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322.</w:t>
      </w:r>
      <w:r>
        <w:tab/>
        <w:t>Большинство израильских больниц проводят обычные обследования о</w:t>
      </w:r>
      <w:r>
        <w:t>б</w:t>
      </w:r>
      <w:r>
        <w:t>щественного мнения, касающиеся уровня удовлетворенности услугами во всех палатах, включая палаты для беременных. Эти опросы свидетельствуют о в</w:t>
      </w:r>
      <w:r>
        <w:t>ы</w:t>
      </w:r>
      <w:r>
        <w:t>соком уровне удовлетворенности общей оказываемой помощью.</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5" w:right="1267" w:firstLine="172"/>
      </w:pPr>
      <w:r>
        <w:t xml:space="preserve">Центры по оказанию помощи женщинам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323.</w:t>
      </w:r>
      <w:r>
        <w:tab/>
        <w:t>Центры по оказанию помощи женщинам были созданы в ряде больниц и предлагают следующие услуги: родильные палаты, палаты для беременных, фертильное обслуживание (включая ИВФ), специализированные гинеколог</w:t>
      </w:r>
      <w:r>
        <w:t>и</w:t>
      </w:r>
      <w:r>
        <w:t>ческие палаты (колоскопия, онкология, медицина для несовершеннолетних, пременопауза, опасная беременность и т.д.). Большинство из этих особых п</w:t>
      </w:r>
      <w:r>
        <w:t>а</w:t>
      </w:r>
      <w:r>
        <w:t>лат им</w:t>
      </w:r>
      <w:r>
        <w:t>е</w:t>
      </w:r>
      <w:r>
        <w:t xml:space="preserve">ется во всех больницах.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324.</w:t>
      </w:r>
      <w:r>
        <w:tab/>
        <w:t>Центры по оказанию помощи женщинам также активно действуют в ра</w:t>
      </w:r>
      <w:r>
        <w:t>м</w:t>
      </w:r>
      <w:r>
        <w:t>ках общины в целях расширения прав и возможностей женщин, чтобы они имели возможность лучше использовать свой потенциал в области здравоохр</w:t>
      </w:r>
      <w:r>
        <w:t>а</w:t>
      </w:r>
      <w:r>
        <w:t>нения в рамках более здорового распорядка дня, обычных экзаменов и т.д.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5" w:right="1267" w:firstLine="172"/>
      </w:pPr>
      <w:r>
        <w:t>Остеопороз</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325.</w:t>
      </w:r>
      <w:r>
        <w:tab/>
        <w:t>В соответствии с профессиональными оценочными данными министерс</w:t>
      </w:r>
      <w:r>
        <w:t>т</w:t>
      </w:r>
      <w:r>
        <w:t>ва здравоохранения, 40 процентов женщин в возрасте 55 лет и старше должны пройти, как минимум, одну проверку на остеопороз. Израильский центр по контролю над заболеваниями, в рамках проекта, реализуемого по инициативе европейских обследований методом интервью (</w:t>
      </w:r>
      <w:r>
        <w:rPr>
          <w:lang w:val="en-US"/>
        </w:rPr>
        <w:t>EUROHIS</w:t>
      </w:r>
      <w:r>
        <w:t>), собрал данные, по которым 15,8 процента женщин в возрасте от 45 до 74 лет имели диагноз о</w:t>
      </w:r>
      <w:r>
        <w:t>с</w:t>
      </w:r>
      <w:r>
        <w:t>теопороз, тогда как 76,5 процента из них проходили медикаментозное лечение (значительное улучшение по сравнению с 50 процентами в 1998 году). Прове</w:t>
      </w:r>
      <w:r>
        <w:t>р</w:t>
      </w:r>
      <w:r>
        <w:t>ку на предмет плотности костной ткани проходят женщины в возрасте свыше 50 лет каждые 2-5 лет. Основная корзина услуг включает примерно около 10 различных препаратов для лечения остеопороза.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Планирование размеров семьи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326.</w:t>
      </w:r>
      <w:r>
        <w:tab/>
        <w:t>В 2003 году 21 220 заявок о прекращении беременности были предста</w:t>
      </w:r>
      <w:r>
        <w:t>в</w:t>
      </w:r>
      <w:r>
        <w:t>лены в комиссию по прекращению беременности, по 20 835 (98,1 процента) из которых были даны разрешения и 20 069 (94,5 процента) женщин действител</w:t>
      </w:r>
      <w:r>
        <w:t>ь</w:t>
      </w:r>
      <w:r>
        <w:t>но ими воспользовались. По состоянию на 2002 год большинство ходатайств в комиссию поступили от женщин-одиночек (ранее преимущественно от заму</w:t>
      </w:r>
      <w:r>
        <w:t>ж</w:t>
      </w:r>
      <w:r>
        <w:t>них женщин). 15 030 были еврейскими женщинами, 1 275 - мусульманскими и 679 - христианками. За последние годы основной причиной прерывания бер</w:t>
      </w:r>
      <w:r>
        <w:t>е</w:t>
      </w:r>
      <w:r>
        <w:t>менности была внебрачная беременность. Нижеследующие данные касаются случаев прерывания беременности в больницах.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56"/>
        <w:ind w:left="2477" w:right="1267" w:hanging="1210"/>
      </w:pPr>
      <w:r>
        <w:t>Таблица 14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Прерывание беременности в больницах (заявления, одобрение и реальные случаи прерывания беременности)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spacing w:after="0" w:line="120" w:lineRule="exact"/>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62"/>
        <w:gridCol w:w="1080"/>
        <w:gridCol w:w="1080"/>
        <w:gridCol w:w="1080"/>
        <w:gridCol w:w="1080"/>
      </w:tblGrid>
      <w:tr w:rsidR="00000000">
        <w:tblPrEx>
          <w:tblCellMar>
            <w:top w:w="0" w:type="dxa"/>
            <w:left w:w="0" w:type="dxa"/>
            <w:bottom w:w="0" w:type="dxa"/>
            <w:right w:w="0" w:type="dxa"/>
          </w:tblCellMar>
        </w:tblPrEx>
        <w:trPr>
          <w:tblHeader/>
        </w:trPr>
        <w:tc>
          <w:tcPr>
            <w:tcW w:w="2862" w:type="dxa"/>
            <w:tcBorders>
              <w:left w:val="nil"/>
              <w:bottom w:val="single" w:sz="12" w:space="0" w:color="auto"/>
              <w:right w:val="nil"/>
            </w:tcBorders>
            <w:vAlign w:val="center"/>
          </w:tcPr>
          <w:p w:rsidR="00000000" w:rsidRDefault="00000000">
            <w:pPr>
              <w:spacing w:after="120" w:line="240" w:lineRule="auto"/>
              <w:ind w:left="72"/>
              <w:jc w:val="both"/>
              <w:rPr>
                <w:i/>
                <w:sz w:val="14"/>
              </w:rPr>
            </w:pPr>
          </w:p>
        </w:tc>
        <w:tc>
          <w:tcPr>
            <w:tcW w:w="1080" w:type="dxa"/>
            <w:tcBorders>
              <w:left w:val="nil"/>
              <w:bottom w:val="single" w:sz="12" w:space="0" w:color="auto"/>
              <w:right w:val="nil"/>
            </w:tcBorders>
            <w:vAlign w:val="bottom"/>
          </w:tcPr>
          <w:p w:rsidR="00000000" w:rsidRDefault="00000000">
            <w:pPr>
              <w:pStyle w:val="DualTxt"/>
              <w:tabs>
                <w:tab w:val="clear" w:pos="480"/>
                <w:tab w:val="clear" w:pos="960"/>
              </w:tabs>
              <w:spacing w:line="240" w:lineRule="auto"/>
              <w:jc w:val="right"/>
              <w:rPr>
                <w:i/>
                <w:sz w:val="14"/>
              </w:rPr>
            </w:pPr>
            <w:r>
              <w:rPr>
                <w:i/>
                <w:sz w:val="14"/>
              </w:rPr>
              <w:t>2000 год</w:t>
            </w:r>
          </w:p>
        </w:tc>
        <w:tc>
          <w:tcPr>
            <w:tcW w:w="1080" w:type="dxa"/>
            <w:tcBorders>
              <w:left w:val="nil"/>
              <w:bottom w:val="single" w:sz="12" w:space="0" w:color="auto"/>
              <w:right w:val="nil"/>
            </w:tcBorders>
            <w:vAlign w:val="bottom"/>
          </w:tcPr>
          <w:p w:rsidR="00000000" w:rsidRDefault="00000000">
            <w:pPr>
              <w:pStyle w:val="DualTxt"/>
              <w:tabs>
                <w:tab w:val="clear" w:pos="480"/>
                <w:tab w:val="clear" w:pos="960"/>
              </w:tabs>
              <w:spacing w:line="240" w:lineRule="auto"/>
              <w:jc w:val="right"/>
              <w:rPr>
                <w:i/>
                <w:sz w:val="14"/>
              </w:rPr>
            </w:pPr>
            <w:r>
              <w:rPr>
                <w:i/>
                <w:sz w:val="14"/>
              </w:rPr>
              <w:t>2001 год</w:t>
            </w:r>
          </w:p>
        </w:tc>
        <w:tc>
          <w:tcPr>
            <w:tcW w:w="1080" w:type="dxa"/>
            <w:tcBorders>
              <w:left w:val="nil"/>
              <w:bottom w:val="single" w:sz="12" w:space="0" w:color="auto"/>
              <w:right w:val="nil"/>
            </w:tcBorders>
            <w:vAlign w:val="bottom"/>
          </w:tcPr>
          <w:p w:rsidR="00000000" w:rsidRDefault="00000000">
            <w:pPr>
              <w:pStyle w:val="DualTxt"/>
              <w:tabs>
                <w:tab w:val="clear" w:pos="480"/>
                <w:tab w:val="clear" w:pos="960"/>
              </w:tabs>
              <w:spacing w:line="240" w:lineRule="auto"/>
              <w:jc w:val="right"/>
              <w:rPr>
                <w:i/>
                <w:sz w:val="14"/>
              </w:rPr>
            </w:pPr>
            <w:r>
              <w:rPr>
                <w:i/>
                <w:sz w:val="14"/>
              </w:rPr>
              <w:t>2002 год</w:t>
            </w:r>
          </w:p>
        </w:tc>
        <w:tc>
          <w:tcPr>
            <w:tcW w:w="1080" w:type="dxa"/>
            <w:tcBorders>
              <w:left w:val="nil"/>
              <w:bottom w:val="single" w:sz="12" w:space="0" w:color="auto"/>
              <w:right w:val="nil"/>
            </w:tcBorders>
            <w:vAlign w:val="bottom"/>
          </w:tcPr>
          <w:p w:rsidR="00000000" w:rsidRDefault="00000000">
            <w:pPr>
              <w:pStyle w:val="DualTxt"/>
              <w:tabs>
                <w:tab w:val="clear" w:pos="480"/>
                <w:tab w:val="clear" w:pos="960"/>
              </w:tabs>
              <w:spacing w:line="240" w:lineRule="auto"/>
              <w:jc w:val="right"/>
              <w:rPr>
                <w:i/>
                <w:sz w:val="14"/>
              </w:rPr>
            </w:pPr>
            <w:r>
              <w:rPr>
                <w:i/>
                <w:sz w:val="14"/>
              </w:rPr>
              <w:t>2003 год</w:t>
            </w:r>
          </w:p>
        </w:tc>
      </w:tr>
      <w:tr w:rsidR="00000000">
        <w:tblPrEx>
          <w:tblCellMar>
            <w:top w:w="0" w:type="dxa"/>
            <w:left w:w="0" w:type="dxa"/>
            <w:bottom w:w="0" w:type="dxa"/>
            <w:right w:w="0" w:type="dxa"/>
          </w:tblCellMar>
        </w:tblPrEx>
        <w:trPr>
          <w:trHeight w:hRule="exact" w:val="115"/>
          <w:tblHeader/>
        </w:trPr>
        <w:tc>
          <w:tcPr>
            <w:tcW w:w="2862"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108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862" w:type="dxa"/>
            <w:tcBorders>
              <w:top w:val="nil"/>
              <w:left w:val="nil"/>
              <w:bottom w:val="nil"/>
              <w:right w:val="nil"/>
            </w:tcBorders>
            <w:vAlign w:val="center"/>
          </w:tcPr>
          <w:p w:rsidR="00000000" w:rsidRDefault="00000000">
            <w:pPr>
              <w:pStyle w:val="DualTxt"/>
              <w:tabs>
                <w:tab w:val="clear" w:pos="2880"/>
              </w:tabs>
              <w:spacing w:line="240" w:lineRule="auto"/>
              <w:jc w:val="left"/>
              <w:rPr>
                <w:sz w:val="17"/>
              </w:rPr>
            </w:pPr>
            <w:r>
              <w:rPr>
                <w:sz w:val="17"/>
              </w:rPr>
              <w:t>Заявления</w:t>
            </w:r>
          </w:p>
        </w:tc>
        <w:tc>
          <w:tcPr>
            <w:tcW w:w="108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20 278</w:t>
            </w:r>
          </w:p>
        </w:tc>
        <w:tc>
          <w:tcPr>
            <w:tcW w:w="108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21 505</w:t>
            </w:r>
          </w:p>
        </w:tc>
        <w:tc>
          <w:tcPr>
            <w:tcW w:w="108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21 025</w:t>
            </w:r>
          </w:p>
        </w:tc>
        <w:tc>
          <w:tcPr>
            <w:tcW w:w="108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21 220</w:t>
            </w:r>
          </w:p>
        </w:tc>
      </w:tr>
      <w:tr w:rsidR="00000000">
        <w:tblPrEx>
          <w:tblCellMar>
            <w:top w:w="0" w:type="dxa"/>
            <w:left w:w="0" w:type="dxa"/>
            <w:bottom w:w="0" w:type="dxa"/>
            <w:right w:w="0" w:type="dxa"/>
          </w:tblCellMar>
        </w:tblPrEx>
        <w:tc>
          <w:tcPr>
            <w:tcW w:w="2862" w:type="dxa"/>
            <w:tcBorders>
              <w:top w:val="nil"/>
              <w:left w:val="nil"/>
              <w:bottom w:val="nil"/>
              <w:right w:val="nil"/>
            </w:tcBorders>
            <w:vAlign w:val="center"/>
          </w:tcPr>
          <w:p w:rsidR="00000000" w:rsidRDefault="00000000">
            <w:pPr>
              <w:pStyle w:val="DualTxt"/>
              <w:tabs>
                <w:tab w:val="clear" w:pos="2880"/>
              </w:tabs>
              <w:spacing w:line="240" w:lineRule="auto"/>
              <w:jc w:val="left"/>
              <w:rPr>
                <w:sz w:val="17"/>
              </w:rPr>
            </w:pPr>
            <w:r>
              <w:rPr>
                <w:sz w:val="17"/>
              </w:rPr>
              <w:t>Положительные решения</w:t>
            </w:r>
          </w:p>
        </w:tc>
        <w:tc>
          <w:tcPr>
            <w:tcW w:w="108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19 880</w:t>
            </w:r>
          </w:p>
        </w:tc>
        <w:tc>
          <w:tcPr>
            <w:tcW w:w="108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21 198</w:t>
            </w:r>
          </w:p>
        </w:tc>
        <w:tc>
          <w:tcPr>
            <w:tcW w:w="108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20 684</w:t>
            </w:r>
          </w:p>
        </w:tc>
        <w:tc>
          <w:tcPr>
            <w:tcW w:w="108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20 835</w:t>
            </w:r>
          </w:p>
        </w:tc>
      </w:tr>
      <w:tr w:rsidR="00000000">
        <w:tblPrEx>
          <w:tblCellMar>
            <w:top w:w="0" w:type="dxa"/>
            <w:left w:w="0" w:type="dxa"/>
            <w:bottom w:w="0" w:type="dxa"/>
            <w:right w:w="0" w:type="dxa"/>
          </w:tblCellMar>
        </w:tblPrEx>
        <w:tc>
          <w:tcPr>
            <w:tcW w:w="2862" w:type="dxa"/>
            <w:tcBorders>
              <w:top w:val="nil"/>
              <w:left w:val="nil"/>
              <w:bottom w:val="nil"/>
              <w:right w:val="nil"/>
            </w:tcBorders>
            <w:vAlign w:val="center"/>
          </w:tcPr>
          <w:p w:rsidR="00000000" w:rsidRDefault="00000000">
            <w:pPr>
              <w:pStyle w:val="DualTxt"/>
              <w:tabs>
                <w:tab w:val="clear" w:pos="2880"/>
              </w:tabs>
              <w:suppressAutoHyphens/>
              <w:spacing w:line="240" w:lineRule="auto"/>
              <w:jc w:val="left"/>
              <w:rPr>
                <w:sz w:val="17"/>
              </w:rPr>
            </w:pPr>
            <w:r>
              <w:rPr>
                <w:sz w:val="17"/>
              </w:rPr>
              <w:t>Реальные случаи прерывания беременности - всего</w:t>
            </w:r>
          </w:p>
        </w:tc>
        <w:tc>
          <w:tcPr>
            <w:tcW w:w="108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19 405</w:t>
            </w:r>
          </w:p>
        </w:tc>
        <w:tc>
          <w:tcPr>
            <w:tcW w:w="108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20 332</w:t>
            </w:r>
          </w:p>
        </w:tc>
        <w:tc>
          <w:tcPr>
            <w:tcW w:w="108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19 796</w:t>
            </w:r>
          </w:p>
        </w:tc>
        <w:tc>
          <w:tcPr>
            <w:tcW w:w="108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20 069</w:t>
            </w:r>
          </w:p>
        </w:tc>
      </w:tr>
      <w:tr w:rsidR="00000000">
        <w:tblPrEx>
          <w:tblCellMar>
            <w:top w:w="0" w:type="dxa"/>
            <w:left w:w="0" w:type="dxa"/>
            <w:bottom w:w="0" w:type="dxa"/>
            <w:right w:w="0" w:type="dxa"/>
          </w:tblCellMar>
        </w:tblPrEx>
        <w:tc>
          <w:tcPr>
            <w:tcW w:w="2862" w:type="dxa"/>
            <w:tcBorders>
              <w:top w:val="nil"/>
              <w:left w:val="nil"/>
              <w:bottom w:val="nil"/>
              <w:right w:val="nil"/>
            </w:tcBorders>
            <w:vAlign w:val="center"/>
          </w:tcPr>
          <w:p w:rsidR="00000000" w:rsidRDefault="00000000">
            <w:pPr>
              <w:pStyle w:val="DualTxt"/>
              <w:tabs>
                <w:tab w:val="clear" w:pos="2880"/>
              </w:tabs>
              <w:spacing w:line="240" w:lineRule="auto"/>
              <w:jc w:val="left"/>
              <w:rPr>
                <w:sz w:val="17"/>
              </w:rPr>
            </w:pPr>
            <w:r>
              <w:rPr>
                <w:sz w:val="17"/>
              </w:rPr>
              <w:t>Причины одобрения:</w:t>
            </w:r>
          </w:p>
        </w:tc>
        <w:tc>
          <w:tcPr>
            <w:tcW w:w="108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p>
        </w:tc>
        <w:tc>
          <w:tcPr>
            <w:tcW w:w="108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p>
        </w:tc>
        <w:tc>
          <w:tcPr>
            <w:tcW w:w="108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p>
        </w:tc>
        <w:tc>
          <w:tcPr>
            <w:tcW w:w="108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p>
        </w:tc>
      </w:tr>
      <w:tr w:rsidR="00000000">
        <w:tblPrEx>
          <w:tblCellMar>
            <w:top w:w="0" w:type="dxa"/>
            <w:left w:w="0" w:type="dxa"/>
            <w:bottom w:w="0" w:type="dxa"/>
            <w:right w:w="0" w:type="dxa"/>
          </w:tblCellMar>
        </w:tblPrEx>
        <w:tc>
          <w:tcPr>
            <w:tcW w:w="2862" w:type="dxa"/>
            <w:tcBorders>
              <w:top w:val="nil"/>
              <w:left w:val="nil"/>
              <w:bottom w:val="nil"/>
              <w:right w:val="nil"/>
            </w:tcBorders>
            <w:vAlign w:val="center"/>
          </w:tcPr>
          <w:p w:rsidR="00000000" w:rsidRDefault="00000000">
            <w:pPr>
              <w:pStyle w:val="DualTxt"/>
              <w:tabs>
                <w:tab w:val="clear" w:pos="2880"/>
              </w:tabs>
              <w:spacing w:line="240" w:lineRule="auto"/>
              <w:ind w:left="144"/>
              <w:jc w:val="left"/>
              <w:rPr>
                <w:sz w:val="17"/>
              </w:rPr>
            </w:pPr>
            <w:r>
              <w:rPr>
                <w:sz w:val="17"/>
              </w:rPr>
              <w:t>Возраст женщины</w:t>
            </w:r>
          </w:p>
        </w:tc>
        <w:tc>
          <w:tcPr>
            <w:tcW w:w="108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2 010</w:t>
            </w:r>
          </w:p>
        </w:tc>
        <w:tc>
          <w:tcPr>
            <w:tcW w:w="108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2 211</w:t>
            </w:r>
          </w:p>
        </w:tc>
        <w:tc>
          <w:tcPr>
            <w:tcW w:w="108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2 168</w:t>
            </w:r>
          </w:p>
        </w:tc>
        <w:tc>
          <w:tcPr>
            <w:tcW w:w="108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2 119</w:t>
            </w:r>
          </w:p>
        </w:tc>
      </w:tr>
      <w:tr w:rsidR="00000000">
        <w:tblPrEx>
          <w:tblCellMar>
            <w:top w:w="0" w:type="dxa"/>
            <w:left w:w="0" w:type="dxa"/>
            <w:bottom w:w="0" w:type="dxa"/>
            <w:right w:w="0" w:type="dxa"/>
          </w:tblCellMar>
        </w:tblPrEx>
        <w:tc>
          <w:tcPr>
            <w:tcW w:w="2862" w:type="dxa"/>
            <w:tcBorders>
              <w:top w:val="nil"/>
              <w:left w:val="nil"/>
              <w:bottom w:val="nil"/>
              <w:right w:val="nil"/>
            </w:tcBorders>
            <w:vAlign w:val="center"/>
          </w:tcPr>
          <w:p w:rsidR="00000000" w:rsidRDefault="00000000">
            <w:pPr>
              <w:pStyle w:val="DualTxt"/>
              <w:tabs>
                <w:tab w:val="clear" w:pos="2880"/>
              </w:tabs>
              <w:spacing w:line="240" w:lineRule="auto"/>
              <w:ind w:left="144"/>
              <w:jc w:val="left"/>
              <w:rPr>
                <w:sz w:val="17"/>
              </w:rPr>
            </w:pPr>
            <w:r>
              <w:rPr>
                <w:sz w:val="17"/>
              </w:rPr>
              <w:t>Внебрачная бер</w:t>
            </w:r>
            <w:r>
              <w:rPr>
                <w:sz w:val="17"/>
              </w:rPr>
              <w:t>е</w:t>
            </w:r>
            <w:r>
              <w:rPr>
                <w:sz w:val="17"/>
              </w:rPr>
              <w:t>менность</w:t>
            </w:r>
          </w:p>
        </w:tc>
        <w:tc>
          <w:tcPr>
            <w:tcW w:w="108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10 452</w:t>
            </w:r>
          </w:p>
        </w:tc>
        <w:tc>
          <w:tcPr>
            <w:tcW w:w="108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10 924</w:t>
            </w:r>
          </w:p>
        </w:tc>
        <w:tc>
          <w:tcPr>
            <w:tcW w:w="108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10 661</w:t>
            </w:r>
          </w:p>
        </w:tc>
        <w:tc>
          <w:tcPr>
            <w:tcW w:w="108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10 773</w:t>
            </w:r>
          </w:p>
        </w:tc>
      </w:tr>
      <w:tr w:rsidR="00000000">
        <w:tblPrEx>
          <w:tblCellMar>
            <w:top w:w="0" w:type="dxa"/>
            <w:left w:w="0" w:type="dxa"/>
            <w:bottom w:w="0" w:type="dxa"/>
            <w:right w:w="0" w:type="dxa"/>
          </w:tblCellMar>
        </w:tblPrEx>
        <w:tc>
          <w:tcPr>
            <w:tcW w:w="2862" w:type="dxa"/>
            <w:tcBorders>
              <w:top w:val="nil"/>
              <w:left w:val="nil"/>
              <w:bottom w:val="nil"/>
              <w:right w:val="nil"/>
            </w:tcBorders>
            <w:vAlign w:val="center"/>
          </w:tcPr>
          <w:p w:rsidR="00000000" w:rsidRDefault="00000000">
            <w:pPr>
              <w:pStyle w:val="DualTxt"/>
              <w:tabs>
                <w:tab w:val="clear" w:pos="2880"/>
              </w:tabs>
              <w:spacing w:line="240" w:lineRule="auto"/>
              <w:ind w:left="144"/>
              <w:jc w:val="left"/>
              <w:rPr>
                <w:sz w:val="17"/>
              </w:rPr>
            </w:pPr>
            <w:r>
              <w:rPr>
                <w:sz w:val="17"/>
              </w:rPr>
              <w:t>Неудовлетворительное состояние пл</w:t>
            </w:r>
            <w:r>
              <w:rPr>
                <w:sz w:val="17"/>
              </w:rPr>
              <w:t>о</w:t>
            </w:r>
            <w:r>
              <w:rPr>
                <w:sz w:val="17"/>
              </w:rPr>
              <w:t>да</w:t>
            </w:r>
          </w:p>
        </w:tc>
        <w:tc>
          <w:tcPr>
            <w:tcW w:w="108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3 249</w:t>
            </w:r>
          </w:p>
        </w:tc>
        <w:tc>
          <w:tcPr>
            <w:tcW w:w="108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3 210</w:t>
            </w:r>
          </w:p>
        </w:tc>
        <w:tc>
          <w:tcPr>
            <w:tcW w:w="108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3 396</w:t>
            </w:r>
          </w:p>
        </w:tc>
        <w:tc>
          <w:tcPr>
            <w:tcW w:w="108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3 47-</w:t>
            </w:r>
          </w:p>
        </w:tc>
      </w:tr>
      <w:tr w:rsidR="00000000">
        <w:tblPrEx>
          <w:tblCellMar>
            <w:top w:w="0" w:type="dxa"/>
            <w:left w:w="0" w:type="dxa"/>
            <w:bottom w:w="0" w:type="dxa"/>
            <w:right w:w="0" w:type="dxa"/>
          </w:tblCellMar>
        </w:tblPrEx>
        <w:tc>
          <w:tcPr>
            <w:tcW w:w="2862" w:type="dxa"/>
            <w:tcBorders>
              <w:top w:val="nil"/>
              <w:left w:val="nil"/>
              <w:bottom w:val="single" w:sz="12" w:space="0" w:color="auto"/>
              <w:right w:val="nil"/>
            </w:tcBorders>
            <w:vAlign w:val="center"/>
          </w:tcPr>
          <w:p w:rsidR="00000000" w:rsidRDefault="00000000">
            <w:pPr>
              <w:pStyle w:val="DualTxt"/>
              <w:tabs>
                <w:tab w:val="clear" w:pos="2880"/>
              </w:tabs>
              <w:spacing w:line="240" w:lineRule="auto"/>
              <w:ind w:left="144"/>
              <w:jc w:val="left"/>
              <w:rPr>
                <w:sz w:val="17"/>
              </w:rPr>
            </w:pPr>
            <w:r>
              <w:rPr>
                <w:sz w:val="17"/>
              </w:rPr>
              <w:t>Угроза жизни же</w:t>
            </w:r>
            <w:r>
              <w:rPr>
                <w:sz w:val="17"/>
              </w:rPr>
              <w:t>н</w:t>
            </w:r>
            <w:r>
              <w:rPr>
                <w:sz w:val="17"/>
              </w:rPr>
              <w:t>щины</w:t>
            </w:r>
          </w:p>
        </w:tc>
        <w:tc>
          <w:tcPr>
            <w:tcW w:w="1080" w:type="dxa"/>
            <w:tcBorders>
              <w:top w:val="nil"/>
              <w:left w:val="nil"/>
              <w:bottom w:val="single" w:sz="12" w:space="0" w:color="auto"/>
              <w:right w:val="nil"/>
            </w:tcBorders>
            <w:vAlign w:val="center"/>
          </w:tcPr>
          <w:p w:rsidR="00000000" w:rsidRDefault="00000000">
            <w:pPr>
              <w:pStyle w:val="DualTxt"/>
              <w:tabs>
                <w:tab w:val="clear" w:pos="960"/>
              </w:tabs>
              <w:spacing w:line="240" w:lineRule="auto"/>
              <w:ind w:right="90"/>
              <w:jc w:val="right"/>
              <w:rPr>
                <w:sz w:val="17"/>
              </w:rPr>
            </w:pPr>
            <w:r>
              <w:rPr>
                <w:sz w:val="17"/>
              </w:rPr>
              <w:t>3 694</w:t>
            </w:r>
          </w:p>
        </w:tc>
        <w:tc>
          <w:tcPr>
            <w:tcW w:w="1080" w:type="dxa"/>
            <w:tcBorders>
              <w:top w:val="nil"/>
              <w:left w:val="nil"/>
              <w:bottom w:val="single" w:sz="12" w:space="0" w:color="auto"/>
              <w:right w:val="nil"/>
            </w:tcBorders>
            <w:vAlign w:val="center"/>
          </w:tcPr>
          <w:p w:rsidR="00000000" w:rsidRDefault="00000000">
            <w:pPr>
              <w:pStyle w:val="DualTxt"/>
              <w:tabs>
                <w:tab w:val="clear" w:pos="960"/>
              </w:tabs>
              <w:spacing w:line="240" w:lineRule="auto"/>
              <w:ind w:right="90"/>
              <w:jc w:val="right"/>
              <w:rPr>
                <w:sz w:val="17"/>
              </w:rPr>
            </w:pPr>
            <w:r>
              <w:rPr>
                <w:sz w:val="17"/>
              </w:rPr>
              <w:t>3 987</w:t>
            </w:r>
          </w:p>
        </w:tc>
        <w:tc>
          <w:tcPr>
            <w:tcW w:w="1080" w:type="dxa"/>
            <w:tcBorders>
              <w:top w:val="nil"/>
              <w:left w:val="nil"/>
              <w:bottom w:val="single" w:sz="12" w:space="0" w:color="auto"/>
              <w:right w:val="nil"/>
            </w:tcBorders>
            <w:vAlign w:val="center"/>
          </w:tcPr>
          <w:p w:rsidR="00000000" w:rsidRDefault="00000000">
            <w:pPr>
              <w:pStyle w:val="DualTxt"/>
              <w:tabs>
                <w:tab w:val="clear" w:pos="960"/>
              </w:tabs>
              <w:spacing w:line="240" w:lineRule="auto"/>
              <w:ind w:right="90"/>
              <w:jc w:val="right"/>
              <w:rPr>
                <w:sz w:val="17"/>
              </w:rPr>
            </w:pPr>
            <w:r>
              <w:rPr>
                <w:sz w:val="17"/>
              </w:rPr>
              <w:t>3 571</w:t>
            </w:r>
          </w:p>
        </w:tc>
        <w:tc>
          <w:tcPr>
            <w:tcW w:w="1080" w:type="dxa"/>
            <w:tcBorders>
              <w:top w:val="nil"/>
              <w:left w:val="nil"/>
              <w:bottom w:val="single" w:sz="12" w:space="0" w:color="auto"/>
              <w:right w:val="nil"/>
            </w:tcBorders>
            <w:vAlign w:val="center"/>
          </w:tcPr>
          <w:p w:rsidR="00000000" w:rsidRDefault="00000000">
            <w:pPr>
              <w:pStyle w:val="DualTxt"/>
              <w:tabs>
                <w:tab w:val="clear" w:pos="960"/>
              </w:tabs>
              <w:spacing w:line="240" w:lineRule="auto"/>
              <w:ind w:right="90"/>
              <w:jc w:val="right"/>
              <w:rPr>
                <w:sz w:val="17"/>
              </w:rPr>
            </w:pPr>
            <w:r>
              <w:rPr>
                <w:sz w:val="17"/>
              </w:rPr>
              <w:t>3 707</w:t>
            </w:r>
          </w:p>
        </w:tc>
      </w:tr>
    </w:tbl>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DualTxt"/>
        <w:spacing w:after="0"/>
        <w:ind w:left="1267"/>
        <w:rPr>
          <w:i/>
        </w:rPr>
      </w:pPr>
      <w:r>
        <w:rPr>
          <w:i/>
        </w:rPr>
        <w:t xml:space="preserve">Источник: </w:t>
      </w:r>
      <w:r>
        <w:t>Центральное статистическое бюро, 2004 год.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Коэффициенты рождаемости, лечение бесплодия и услуги в этой области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5" w:right="1267" w:firstLine="172"/>
        <w:rPr>
          <w:b w:val="0"/>
        </w:rPr>
      </w:pPr>
      <w:r>
        <w:rPr>
          <w:b w:val="0"/>
        </w:rPr>
        <w:t xml:space="preserve">Коэффициенты рождаемости и фертильности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327.</w:t>
      </w:r>
      <w:r>
        <w:tab/>
        <w:t xml:space="preserve">С начала 90-х годов </w:t>
      </w:r>
      <w:r>
        <w:rPr>
          <w:lang w:val="en-US"/>
        </w:rPr>
        <w:t>XX</w:t>
      </w:r>
      <w:r>
        <w:t xml:space="preserve"> века коэффициент фертильности в Израиле ост</w:t>
      </w:r>
      <w:r>
        <w:t>а</w:t>
      </w:r>
      <w:r>
        <w:t>вался на прежнем уровне, причем в среднем насчитывалось 2,95 рождений на одну женщину, что означает резкий спад по сравнению с 3,9 рождений в сре</w:t>
      </w:r>
      <w:r>
        <w:t>д</w:t>
      </w:r>
      <w:r>
        <w:t>нем в 60-х годах прошлого века.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328.</w:t>
      </w:r>
      <w:r>
        <w:tab/>
        <w:t>В 2003 году коэффициент фертильности среди всего населения равнялся 2,95 рождений на одну женщину. Применительно к еврейским женщинам к</w:t>
      </w:r>
      <w:r>
        <w:t>о</w:t>
      </w:r>
      <w:r>
        <w:t>эффициент равнялся 2,73, для мусульманских женщин - 4,5, для христианок - 2,31 и для представительниц общины друзов - 2,85.</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56"/>
        <w:ind w:left="2477" w:right="1267" w:hanging="1210"/>
      </w:pPr>
      <w:r>
        <w:t>Таблица 15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Коэффициенты рождаемости с разбивкой по религиозной принадлежности, 2001-2003 годы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spacing w:after="0" w:line="120" w:lineRule="exact"/>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132"/>
        <w:gridCol w:w="1166"/>
        <w:gridCol w:w="1166"/>
        <w:gridCol w:w="1166"/>
      </w:tblGrid>
      <w:tr w:rsidR="00000000">
        <w:tblPrEx>
          <w:tblCellMar>
            <w:top w:w="0" w:type="dxa"/>
            <w:left w:w="0" w:type="dxa"/>
            <w:bottom w:w="0" w:type="dxa"/>
            <w:right w:w="0" w:type="dxa"/>
          </w:tblCellMar>
        </w:tblPrEx>
        <w:trPr>
          <w:tblHeader/>
        </w:trPr>
        <w:tc>
          <w:tcPr>
            <w:tcW w:w="3132" w:type="dxa"/>
            <w:tcBorders>
              <w:left w:val="nil"/>
              <w:bottom w:val="single" w:sz="12" w:space="0" w:color="auto"/>
              <w:right w:val="nil"/>
            </w:tcBorders>
            <w:vAlign w:val="center"/>
          </w:tcPr>
          <w:p w:rsidR="00000000" w:rsidRDefault="00000000">
            <w:pPr>
              <w:spacing w:after="120" w:line="240" w:lineRule="auto"/>
              <w:ind w:left="72"/>
              <w:jc w:val="both"/>
              <w:rPr>
                <w:i/>
                <w:sz w:val="14"/>
              </w:rPr>
            </w:pPr>
          </w:p>
        </w:tc>
        <w:tc>
          <w:tcPr>
            <w:tcW w:w="1166" w:type="dxa"/>
            <w:tcBorders>
              <w:left w:val="nil"/>
              <w:bottom w:val="single" w:sz="12" w:space="0" w:color="auto"/>
              <w:right w:val="nil"/>
            </w:tcBorders>
            <w:vAlign w:val="bottom"/>
          </w:tcPr>
          <w:p w:rsidR="00000000" w:rsidRDefault="00000000">
            <w:pPr>
              <w:pStyle w:val="DualTxt"/>
              <w:tabs>
                <w:tab w:val="clear" w:pos="960"/>
              </w:tabs>
              <w:spacing w:line="240" w:lineRule="auto"/>
              <w:ind w:right="90"/>
              <w:jc w:val="right"/>
              <w:rPr>
                <w:i/>
                <w:sz w:val="14"/>
              </w:rPr>
            </w:pPr>
            <w:r>
              <w:rPr>
                <w:i/>
                <w:sz w:val="14"/>
              </w:rPr>
              <w:t>2001 год</w:t>
            </w:r>
          </w:p>
        </w:tc>
        <w:tc>
          <w:tcPr>
            <w:tcW w:w="1166" w:type="dxa"/>
            <w:tcBorders>
              <w:left w:val="nil"/>
              <w:bottom w:val="single" w:sz="12" w:space="0" w:color="auto"/>
              <w:right w:val="nil"/>
            </w:tcBorders>
            <w:vAlign w:val="bottom"/>
          </w:tcPr>
          <w:p w:rsidR="00000000" w:rsidRDefault="00000000">
            <w:pPr>
              <w:pStyle w:val="DualTxt"/>
              <w:tabs>
                <w:tab w:val="clear" w:pos="960"/>
              </w:tabs>
              <w:spacing w:line="240" w:lineRule="auto"/>
              <w:ind w:right="90"/>
              <w:jc w:val="right"/>
              <w:rPr>
                <w:i/>
                <w:sz w:val="14"/>
              </w:rPr>
            </w:pPr>
            <w:r>
              <w:rPr>
                <w:i/>
                <w:sz w:val="14"/>
              </w:rPr>
              <w:t>2002 год</w:t>
            </w:r>
          </w:p>
        </w:tc>
        <w:tc>
          <w:tcPr>
            <w:tcW w:w="1166" w:type="dxa"/>
            <w:tcBorders>
              <w:left w:val="nil"/>
              <w:bottom w:val="single" w:sz="12" w:space="0" w:color="auto"/>
              <w:right w:val="nil"/>
            </w:tcBorders>
            <w:vAlign w:val="bottom"/>
          </w:tcPr>
          <w:p w:rsidR="00000000" w:rsidRDefault="00000000">
            <w:pPr>
              <w:pStyle w:val="DualTxt"/>
              <w:tabs>
                <w:tab w:val="clear" w:pos="960"/>
              </w:tabs>
              <w:spacing w:line="240" w:lineRule="auto"/>
              <w:ind w:right="90"/>
              <w:jc w:val="right"/>
              <w:rPr>
                <w:i/>
                <w:sz w:val="14"/>
              </w:rPr>
            </w:pPr>
            <w:r>
              <w:rPr>
                <w:i/>
                <w:sz w:val="14"/>
              </w:rPr>
              <w:t>2003 год</w:t>
            </w:r>
          </w:p>
        </w:tc>
      </w:tr>
      <w:tr w:rsidR="00000000">
        <w:tblPrEx>
          <w:tblCellMar>
            <w:top w:w="0" w:type="dxa"/>
            <w:left w:w="0" w:type="dxa"/>
            <w:bottom w:w="0" w:type="dxa"/>
            <w:right w:w="0" w:type="dxa"/>
          </w:tblCellMar>
        </w:tblPrEx>
        <w:trPr>
          <w:trHeight w:hRule="exact" w:val="115"/>
          <w:tblHeader/>
        </w:trPr>
        <w:tc>
          <w:tcPr>
            <w:tcW w:w="3132"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1166"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166"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166"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132" w:type="dxa"/>
            <w:tcBorders>
              <w:top w:val="nil"/>
              <w:left w:val="nil"/>
              <w:bottom w:val="nil"/>
              <w:right w:val="nil"/>
            </w:tcBorders>
            <w:vAlign w:val="center"/>
          </w:tcPr>
          <w:p w:rsidR="00000000" w:rsidRDefault="00000000">
            <w:pPr>
              <w:pStyle w:val="DualTxt"/>
              <w:tabs>
                <w:tab w:val="clear" w:pos="2880"/>
              </w:tabs>
              <w:spacing w:line="240" w:lineRule="auto"/>
              <w:ind w:left="234" w:right="-72"/>
              <w:jc w:val="left"/>
              <w:rPr>
                <w:sz w:val="17"/>
              </w:rPr>
            </w:pPr>
            <w:r>
              <w:rPr>
                <w:sz w:val="17"/>
              </w:rPr>
              <w:t>Общий коэффициент фертильн</w:t>
            </w:r>
            <w:r>
              <w:rPr>
                <w:sz w:val="17"/>
              </w:rPr>
              <w:t>о</w:t>
            </w:r>
            <w:r>
              <w:rPr>
                <w:sz w:val="17"/>
              </w:rPr>
              <w:t>сти</w:t>
            </w:r>
          </w:p>
        </w:tc>
        <w:tc>
          <w:tcPr>
            <w:tcW w:w="1166" w:type="dxa"/>
            <w:tcBorders>
              <w:top w:val="nil"/>
              <w:left w:val="nil"/>
              <w:bottom w:val="nil"/>
              <w:right w:val="nil"/>
            </w:tcBorders>
            <w:vAlign w:val="center"/>
          </w:tcPr>
          <w:p w:rsidR="00000000" w:rsidRDefault="00000000">
            <w:pPr>
              <w:pStyle w:val="DualTxt"/>
              <w:tabs>
                <w:tab w:val="clear" w:pos="960"/>
              </w:tabs>
              <w:spacing w:line="240" w:lineRule="auto"/>
              <w:ind w:right="-117"/>
              <w:jc w:val="center"/>
              <w:rPr>
                <w:sz w:val="17"/>
              </w:rPr>
            </w:pPr>
          </w:p>
        </w:tc>
        <w:tc>
          <w:tcPr>
            <w:tcW w:w="1166" w:type="dxa"/>
            <w:tcBorders>
              <w:top w:val="nil"/>
              <w:left w:val="nil"/>
              <w:bottom w:val="nil"/>
              <w:right w:val="nil"/>
            </w:tcBorders>
            <w:vAlign w:val="center"/>
          </w:tcPr>
          <w:p w:rsidR="00000000" w:rsidRDefault="00000000">
            <w:pPr>
              <w:pStyle w:val="DualTxt"/>
              <w:tabs>
                <w:tab w:val="clear" w:pos="960"/>
              </w:tabs>
              <w:spacing w:line="240" w:lineRule="auto"/>
              <w:ind w:right="-117"/>
              <w:jc w:val="center"/>
              <w:rPr>
                <w:sz w:val="17"/>
              </w:rPr>
            </w:pPr>
          </w:p>
        </w:tc>
        <w:tc>
          <w:tcPr>
            <w:tcW w:w="1166" w:type="dxa"/>
            <w:tcBorders>
              <w:top w:val="nil"/>
              <w:left w:val="nil"/>
              <w:bottom w:val="nil"/>
              <w:right w:val="nil"/>
            </w:tcBorders>
            <w:vAlign w:val="center"/>
          </w:tcPr>
          <w:p w:rsidR="00000000" w:rsidRDefault="00000000">
            <w:pPr>
              <w:pStyle w:val="DualTxt"/>
              <w:tabs>
                <w:tab w:val="clear" w:pos="960"/>
              </w:tabs>
              <w:spacing w:line="240" w:lineRule="auto"/>
              <w:ind w:right="-117"/>
              <w:jc w:val="center"/>
              <w:rPr>
                <w:sz w:val="17"/>
              </w:rPr>
            </w:pPr>
          </w:p>
        </w:tc>
      </w:tr>
      <w:tr w:rsidR="00000000">
        <w:tblPrEx>
          <w:tblCellMar>
            <w:top w:w="0" w:type="dxa"/>
            <w:left w:w="0" w:type="dxa"/>
            <w:bottom w:w="0" w:type="dxa"/>
            <w:right w:w="0" w:type="dxa"/>
          </w:tblCellMar>
        </w:tblPrEx>
        <w:tc>
          <w:tcPr>
            <w:tcW w:w="3132" w:type="dxa"/>
            <w:tcBorders>
              <w:top w:val="nil"/>
              <w:left w:val="nil"/>
              <w:bottom w:val="nil"/>
              <w:right w:val="nil"/>
            </w:tcBorders>
            <w:vAlign w:val="center"/>
          </w:tcPr>
          <w:p w:rsidR="00000000" w:rsidRDefault="00000000">
            <w:pPr>
              <w:pStyle w:val="DualTxt"/>
              <w:tabs>
                <w:tab w:val="clear" w:pos="2880"/>
              </w:tabs>
              <w:spacing w:line="240" w:lineRule="auto"/>
              <w:ind w:right="-72"/>
              <w:jc w:val="left"/>
              <w:rPr>
                <w:sz w:val="17"/>
              </w:rPr>
            </w:pPr>
            <w:r>
              <w:rPr>
                <w:sz w:val="17"/>
              </w:rPr>
              <w:t>Все население</w:t>
            </w:r>
          </w:p>
        </w:tc>
        <w:tc>
          <w:tcPr>
            <w:tcW w:w="1166"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2,89</w:t>
            </w:r>
          </w:p>
        </w:tc>
        <w:tc>
          <w:tcPr>
            <w:tcW w:w="1166"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2,89</w:t>
            </w:r>
          </w:p>
        </w:tc>
        <w:tc>
          <w:tcPr>
            <w:tcW w:w="1166"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2,95</w:t>
            </w:r>
          </w:p>
        </w:tc>
      </w:tr>
      <w:tr w:rsidR="00000000">
        <w:tblPrEx>
          <w:tblCellMar>
            <w:top w:w="0" w:type="dxa"/>
            <w:left w:w="0" w:type="dxa"/>
            <w:bottom w:w="0" w:type="dxa"/>
            <w:right w:w="0" w:type="dxa"/>
          </w:tblCellMar>
        </w:tblPrEx>
        <w:tc>
          <w:tcPr>
            <w:tcW w:w="3132" w:type="dxa"/>
            <w:tcBorders>
              <w:top w:val="nil"/>
              <w:left w:val="nil"/>
              <w:bottom w:val="nil"/>
              <w:right w:val="nil"/>
            </w:tcBorders>
            <w:vAlign w:val="center"/>
          </w:tcPr>
          <w:p w:rsidR="00000000" w:rsidRDefault="00000000">
            <w:pPr>
              <w:pStyle w:val="DualTxt"/>
              <w:tabs>
                <w:tab w:val="clear" w:pos="2880"/>
              </w:tabs>
              <w:suppressAutoHyphens/>
              <w:spacing w:line="240" w:lineRule="auto"/>
              <w:ind w:right="-72"/>
              <w:jc w:val="left"/>
              <w:rPr>
                <w:sz w:val="17"/>
              </w:rPr>
            </w:pPr>
            <w:r>
              <w:rPr>
                <w:sz w:val="17"/>
              </w:rPr>
              <w:t>Евреи</w:t>
            </w:r>
          </w:p>
        </w:tc>
        <w:tc>
          <w:tcPr>
            <w:tcW w:w="1166"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2,59</w:t>
            </w:r>
          </w:p>
        </w:tc>
        <w:tc>
          <w:tcPr>
            <w:tcW w:w="1166"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2,64</w:t>
            </w:r>
          </w:p>
        </w:tc>
        <w:tc>
          <w:tcPr>
            <w:tcW w:w="1166"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2,73</w:t>
            </w:r>
          </w:p>
        </w:tc>
      </w:tr>
      <w:tr w:rsidR="00000000">
        <w:tblPrEx>
          <w:tblCellMar>
            <w:top w:w="0" w:type="dxa"/>
            <w:left w:w="0" w:type="dxa"/>
            <w:bottom w:w="0" w:type="dxa"/>
            <w:right w:w="0" w:type="dxa"/>
          </w:tblCellMar>
        </w:tblPrEx>
        <w:tc>
          <w:tcPr>
            <w:tcW w:w="3132" w:type="dxa"/>
            <w:tcBorders>
              <w:top w:val="nil"/>
              <w:left w:val="nil"/>
              <w:bottom w:val="nil"/>
              <w:right w:val="nil"/>
            </w:tcBorders>
            <w:vAlign w:val="center"/>
          </w:tcPr>
          <w:p w:rsidR="00000000" w:rsidRDefault="00000000">
            <w:pPr>
              <w:pStyle w:val="DualTxt"/>
              <w:tabs>
                <w:tab w:val="clear" w:pos="2880"/>
              </w:tabs>
              <w:spacing w:line="240" w:lineRule="auto"/>
              <w:ind w:right="-72"/>
              <w:jc w:val="left"/>
              <w:rPr>
                <w:sz w:val="17"/>
              </w:rPr>
            </w:pPr>
            <w:r>
              <w:rPr>
                <w:sz w:val="17"/>
              </w:rPr>
              <w:t>Мусульмане:</w:t>
            </w:r>
          </w:p>
        </w:tc>
        <w:tc>
          <w:tcPr>
            <w:tcW w:w="1166"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4,71</w:t>
            </w:r>
          </w:p>
        </w:tc>
        <w:tc>
          <w:tcPr>
            <w:tcW w:w="1166"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4,58</w:t>
            </w:r>
          </w:p>
        </w:tc>
        <w:tc>
          <w:tcPr>
            <w:tcW w:w="1166"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4,50</w:t>
            </w:r>
          </w:p>
        </w:tc>
      </w:tr>
      <w:tr w:rsidR="00000000">
        <w:tblPrEx>
          <w:tblCellMar>
            <w:top w:w="0" w:type="dxa"/>
            <w:left w:w="0" w:type="dxa"/>
            <w:bottom w:w="0" w:type="dxa"/>
            <w:right w:w="0" w:type="dxa"/>
          </w:tblCellMar>
        </w:tblPrEx>
        <w:tc>
          <w:tcPr>
            <w:tcW w:w="3132" w:type="dxa"/>
            <w:tcBorders>
              <w:top w:val="nil"/>
              <w:left w:val="nil"/>
              <w:bottom w:val="nil"/>
              <w:right w:val="nil"/>
            </w:tcBorders>
            <w:vAlign w:val="center"/>
          </w:tcPr>
          <w:p w:rsidR="00000000" w:rsidRDefault="00000000">
            <w:pPr>
              <w:pStyle w:val="DualTxt"/>
              <w:tabs>
                <w:tab w:val="clear" w:pos="2880"/>
              </w:tabs>
              <w:spacing w:line="240" w:lineRule="auto"/>
              <w:ind w:left="18" w:right="-72"/>
              <w:jc w:val="left"/>
              <w:rPr>
                <w:sz w:val="17"/>
              </w:rPr>
            </w:pPr>
            <w:r>
              <w:rPr>
                <w:sz w:val="17"/>
              </w:rPr>
              <w:t>Христиане</w:t>
            </w:r>
          </w:p>
        </w:tc>
        <w:tc>
          <w:tcPr>
            <w:tcW w:w="1166"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2,46</w:t>
            </w:r>
          </w:p>
        </w:tc>
        <w:tc>
          <w:tcPr>
            <w:tcW w:w="1166"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2,29</w:t>
            </w:r>
          </w:p>
        </w:tc>
        <w:tc>
          <w:tcPr>
            <w:tcW w:w="1166"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2,31</w:t>
            </w:r>
          </w:p>
        </w:tc>
      </w:tr>
      <w:tr w:rsidR="00000000">
        <w:tblPrEx>
          <w:tblCellMar>
            <w:top w:w="0" w:type="dxa"/>
            <w:left w:w="0" w:type="dxa"/>
            <w:bottom w:w="0" w:type="dxa"/>
            <w:right w:w="0" w:type="dxa"/>
          </w:tblCellMar>
        </w:tblPrEx>
        <w:tc>
          <w:tcPr>
            <w:tcW w:w="3132" w:type="dxa"/>
            <w:tcBorders>
              <w:top w:val="nil"/>
              <w:left w:val="nil"/>
              <w:bottom w:val="single" w:sz="12" w:space="0" w:color="auto"/>
              <w:right w:val="nil"/>
            </w:tcBorders>
            <w:vAlign w:val="center"/>
          </w:tcPr>
          <w:p w:rsidR="00000000" w:rsidRDefault="00000000">
            <w:pPr>
              <w:pStyle w:val="DualTxt"/>
              <w:tabs>
                <w:tab w:val="clear" w:pos="2880"/>
              </w:tabs>
              <w:spacing w:line="240" w:lineRule="auto"/>
              <w:ind w:left="18" w:right="-72"/>
              <w:jc w:val="left"/>
              <w:rPr>
                <w:sz w:val="17"/>
              </w:rPr>
            </w:pPr>
            <w:r>
              <w:rPr>
                <w:sz w:val="17"/>
              </w:rPr>
              <w:t>Друзы</w:t>
            </w:r>
          </w:p>
        </w:tc>
        <w:tc>
          <w:tcPr>
            <w:tcW w:w="1166" w:type="dxa"/>
            <w:tcBorders>
              <w:top w:val="nil"/>
              <w:left w:val="nil"/>
              <w:bottom w:val="single" w:sz="12" w:space="0" w:color="auto"/>
              <w:right w:val="nil"/>
            </w:tcBorders>
            <w:vAlign w:val="center"/>
          </w:tcPr>
          <w:p w:rsidR="00000000" w:rsidRDefault="00000000">
            <w:pPr>
              <w:pStyle w:val="DualTxt"/>
              <w:tabs>
                <w:tab w:val="clear" w:pos="960"/>
              </w:tabs>
              <w:spacing w:line="240" w:lineRule="auto"/>
              <w:ind w:right="90"/>
              <w:jc w:val="right"/>
              <w:rPr>
                <w:sz w:val="17"/>
              </w:rPr>
            </w:pPr>
            <w:r>
              <w:rPr>
                <w:sz w:val="17"/>
              </w:rPr>
              <w:t>3,02</w:t>
            </w:r>
          </w:p>
        </w:tc>
        <w:tc>
          <w:tcPr>
            <w:tcW w:w="1166" w:type="dxa"/>
            <w:tcBorders>
              <w:top w:val="nil"/>
              <w:left w:val="nil"/>
              <w:bottom w:val="single" w:sz="12" w:space="0" w:color="auto"/>
              <w:right w:val="nil"/>
            </w:tcBorders>
            <w:vAlign w:val="center"/>
          </w:tcPr>
          <w:p w:rsidR="00000000" w:rsidRDefault="00000000">
            <w:pPr>
              <w:pStyle w:val="DualTxt"/>
              <w:tabs>
                <w:tab w:val="clear" w:pos="960"/>
              </w:tabs>
              <w:spacing w:line="240" w:lineRule="auto"/>
              <w:ind w:right="90"/>
              <w:jc w:val="right"/>
              <w:rPr>
                <w:sz w:val="17"/>
              </w:rPr>
            </w:pPr>
            <w:r>
              <w:rPr>
                <w:sz w:val="17"/>
              </w:rPr>
              <w:t>2,77</w:t>
            </w:r>
          </w:p>
        </w:tc>
        <w:tc>
          <w:tcPr>
            <w:tcW w:w="1166" w:type="dxa"/>
            <w:tcBorders>
              <w:top w:val="nil"/>
              <w:left w:val="nil"/>
              <w:bottom w:val="single" w:sz="12" w:space="0" w:color="auto"/>
              <w:right w:val="nil"/>
            </w:tcBorders>
            <w:vAlign w:val="center"/>
          </w:tcPr>
          <w:p w:rsidR="00000000" w:rsidRDefault="00000000">
            <w:pPr>
              <w:pStyle w:val="DualTxt"/>
              <w:tabs>
                <w:tab w:val="clear" w:pos="960"/>
              </w:tabs>
              <w:spacing w:line="240" w:lineRule="auto"/>
              <w:ind w:right="90"/>
              <w:jc w:val="right"/>
              <w:rPr>
                <w:sz w:val="17"/>
              </w:rPr>
            </w:pPr>
            <w:r>
              <w:rPr>
                <w:sz w:val="17"/>
              </w:rPr>
              <w:t>2,85</w:t>
            </w:r>
          </w:p>
        </w:tc>
      </w:tr>
    </w:tbl>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DualTxt"/>
        <w:ind w:left="1267"/>
        <w:rPr>
          <w:i/>
        </w:rPr>
      </w:pPr>
      <w:r>
        <w:rPr>
          <w:i/>
        </w:rPr>
        <w:t xml:space="preserve">Источник: </w:t>
      </w:r>
      <w:r>
        <w:t>Центральное статистическое бюро, 2004 год.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329.</w:t>
      </w:r>
      <w:r>
        <w:tab/>
        <w:t>Другая заметная тенденция связана с увеличением возраста беременных женщин, прежде всего из-за увеличения возраста вступления в брак. В 80</w:t>
      </w:r>
      <w:r>
        <w:noBreakHyphen/>
        <w:t>х годах прошлого века средний возраст родящих женщин составлял 27,4 года, а в 2003 году этот возраст увеличился до 28,8 лет. Кроме того, се</w:t>
      </w:r>
      <w:r>
        <w:t>г</w:t>
      </w:r>
      <w:r>
        <w:t>мент беременных женщин в возрасте свыше 35 лет возрос с 9 процентов в 80-х годах прошлого века до 16 процентов в 2002-2003 годах, причем параллельно увеличилась доля беременных женщин в возрасте до 20 лет, с 6 процентов до 3 процентов в 2002-2003 годах. Ввиду относительно низких показателей сож</w:t>
      </w:r>
      <w:r>
        <w:t>и</w:t>
      </w:r>
      <w:r>
        <w:t>тельства и традиционных общественных отношений, имеется незначительное число детей, рожденных вне брака, составляющих примерно 3 процента евре</w:t>
      </w:r>
      <w:r>
        <w:t>й</w:t>
      </w:r>
      <w:r>
        <w:t>ских новорожденных детей.</w:t>
      </w:r>
    </w:p>
    <w:p w:rsidR="00000000" w:rsidRDefault="00000000">
      <w:pPr>
        <w:pStyle w:val="H1"/>
        <w:spacing w:line="300" w:lineRule="exact"/>
        <w:ind w:left="778" w:right="1267"/>
      </w:pPr>
      <w:r>
        <w:t>Лечение бесплодия и услуги в этой области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330.</w:t>
      </w:r>
      <w:r>
        <w:tab/>
        <w:t>Как подробно разъясняется в нашем предыдущем докладе, лечение бе</w:t>
      </w:r>
      <w:r>
        <w:t>с</w:t>
      </w:r>
      <w:r>
        <w:t>плодия в Израиле по-прежнему является высокоразвитой отраслью и хорошо субсидируется. Каждая женщина имеет право на лечение с помощью ИФ до тех пор, пока она не родит двух детей в рамках своего нынешнего брака, без учета детей от предыдущих браков. Это относится к незамужним женщинам, а также к незамужним женщинам. В Израиле в настоящее время имеется 24 клиники внутренней фертилизации (ИВФ). В 2002 году было осуществлено 20 886 циклов лечения ИВФ, причем некоторые женщины прошли более одн</w:t>
      </w:r>
      <w:r>
        <w:t>о</w:t>
      </w:r>
      <w:r>
        <w:t>го цикла лечения, что привело к 5 272 беременностям и 3 734 живорождений (4 792 ребенка).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r>
        <w:rPr>
          <w:sz w:val="10"/>
        </w:rPr>
        <w:br w:type="page"/>
      </w:r>
    </w:p>
    <w:p w:rsidR="00000000" w:rsidRDefault="00000000">
      <w:pPr>
        <w:pStyle w:val="H56"/>
        <w:ind w:left="2477" w:right="1267" w:hanging="1210"/>
      </w:pPr>
      <w:r>
        <w:t>Таблица 16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Внутренняя фертильность в Израиле, 2000-2002 годы</w:t>
      </w:r>
    </w:p>
    <w:p w:rsidR="00000000" w:rsidRDefault="00000000">
      <w:pPr>
        <w:pStyle w:val="SingleTxt"/>
        <w:spacing w:after="0" w:line="120" w:lineRule="exact"/>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132"/>
        <w:gridCol w:w="1170"/>
        <w:gridCol w:w="1166"/>
        <w:gridCol w:w="1166"/>
      </w:tblGrid>
      <w:tr w:rsidR="00000000">
        <w:tblPrEx>
          <w:tblCellMar>
            <w:top w:w="0" w:type="dxa"/>
            <w:left w:w="0" w:type="dxa"/>
            <w:bottom w:w="0" w:type="dxa"/>
            <w:right w:w="0" w:type="dxa"/>
          </w:tblCellMar>
        </w:tblPrEx>
        <w:trPr>
          <w:tblHeader/>
        </w:trPr>
        <w:tc>
          <w:tcPr>
            <w:tcW w:w="3132" w:type="dxa"/>
            <w:tcBorders>
              <w:left w:val="nil"/>
              <w:bottom w:val="single" w:sz="12" w:space="0" w:color="auto"/>
              <w:right w:val="nil"/>
            </w:tcBorders>
            <w:vAlign w:val="center"/>
          </w:tcPr>
          <w:p w:rsidR="00000000" w:rsidRDefault="00000000">
            <w:pPr>
              <w:spacing w:after="120" w:line="240" w:lineRule="auto"/>
              <w:ind w:left="72"/>
              <w:jc w:val="both"/>
              <w:rPr>
                <w:i/>
                <w:sz w:val="14"/>
              </w:rPr>
            </w:pPr>
          </w:p>
        </w:tc>
        <w:tc>
          <w:tcPr>
            <w:tcW w:w="1170" w:type="dxa"/>
            <w:tcBorders>
              <w:left w:val="nil"/>
              <w:bottom w:val="single" w:sz="12" w:space="0" w:color="auto"/>
              <w:right w:val="nil"/>
            </w:tcBorders>
            <w:vAlign w:val="bottom"/>
          </w:tcPr>
          <w:p w:rsidR="00000000" w:rsidRDefault="00000000">
            <w:pPr>
              <w:pStyle w:val="DualTxt"/>
              <w:tabs>
                <w:tab w:val="clear" w:pos="960"/>
              </w:tabs>
              <w:spacing w:line="240" w:lineRule="auto"/>
              <w:ind w:right="90"/>
              <w:jc w:val="right"/>
              <w:rPr>
                <w:i/>
                <w:sz w:val="14"/>
              </w:rPr>
            </w:pPr>
            <w:r>
              <w:rPr>
                <w:i/>
                <w:sz w:val="14"/>
              </w:rPr>
              <w:t>2000 год</w:t>
            </w:r>
          </w:p>
        </w:tc>
        <w:tc>
          <w:tcPr>
            <w:tcW w:w="1166" w:type="dxa"/>
            <w:tcBorders>
              <w:left w:val="nil"/>
              <w:bottom w:val="single" w:sz="12" w:space="0" w:color="auto"/>
              <w:right w:val="nil"/>
            </w:tcBorders>
            <w:vAlign w:val="bottom"/>
          </w:tcPr>
          <w:p w:rsidR="00000000" w:rsidRDefault="00000000">
            <w:pPr>
              <w:pStyle w:val="DualTxt"/>
              <w:tabs>
                <w:tab w:val="clear" w:pos="960"/>
              </w:tabs>
              <w:spacing w:line="240" w:lineRule="auto"/>
              <w:ind w:right="90"/>
              <w:jc w:val="right"/>
              <w:rPr>
                <w:i/>
                <w:sz w:val="14"/>
              </w:rPr>
            </w:pPr>
            <w:r>
              <w:rPr>
                <w:i/>
                <w:sz w:val="14"/>
              </w:rPr>
              <w:t>2001 год</w:t>
            </w:r>
          </w:p>
        </w:tc>
        <w:tc>
          <w:tcPr>
            <w:tcW w:w="1166" w:type="dxa"/>
            <w:tcBorders>
              <w:left w:val="nil"/>
              <w:bottom w:val="single" w:sz="12" w:space="0" w:color="auto"/>
              <w:right w:val="nil"/>
            </w:tcBorders>
            <w:vAlign w:val="bottom"/>
          </w:tcPr>
          <w:p w:rsidR="00000000" w:rsidRDefault="00000000">
            <w:pPr>
              <w:pStyle w:val="DualTxt"/>
              <w:tabs>
                <w:tab w:val="clear" w:pos="960"/>
              </w:tabs>
              <w:spacing w:line="240" w:lineRule="auto"/>
              <w:ind w:right="90"/>
              <w:jc w:val="right"/>
              <w:rPr>
                <w:i/>
                <w:sz w:val="14"/>
              </w:rPr>
            </w:pPr>
            <w:r>
              <w:rPr>
                <w:i/>
                <w:sz w:val="14"/>
              </w:rPr>
              <w:t>2002 год</w:t>
            </w:r>
          </w:p>
        </w:tc>
      </w:tr>
      <w:tr w:rsidR="00000000">
        <w:tblPrEx>
          <w:tblCellMar>
            <w:top w:w="0" w:type="dxa"/>
            <w:left w:w="0" w:type="dxa"/>
            <w:bottom w:w="0" w:type="dxa"/>
            <w:right w:w="0" w:type="dxa"/>
          </w:tblCellMar>
        </w:tblPrEx>
        <w:trPr>
          <w:trHeight w:hRule="exact" w:val="115"/>
          <w:tblHeader/>
        </w:trPr>
        <w:tc>
          <w:tcPr>
            <w:tcW w:w="3132"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117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166"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166"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132" w:type="dxa"/>
            <w:tcBorders>
              <w:top w:val="nil"/>
              <w:left w:val="nil"/>
              <w:bottom w:val="nil"/>
              <w:right w:val="nil"/>
            </w:tcBorders>
            <w:vAlign w:val="center"/>
          </w:tcPr>
          <w:p w:rsidR="00000000" w:rsidRDefault="00000000">
            <w:pPr>
              <w:pStyle w:val="DualTxt"/>
              <w:tabs>
                <w:tab w:val="clear" w:pos="2880"/>
              </w:tabs>
              <w:spacing w:line="240" w:lineRule="auto"/>
              <w:ind w:right="-72"/>
              <w:jc w:val="left"/>
              <w:rPr>
                <w:sz w:val="17"/>
              </w:rPr>
            </w:pPr>
            <w:r>
              <w:rPr>
                <w:sz w:val="17"/>
              </w:rPr>
              <w:t>Лечебные циклы</w:t>
            </w:r>
          </w:p>
        </w:tc>
        <w:tc>
          <w:tcPr>
            <w:tcW w:w="117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18 011</w:t>
            </w:r>
          </w:p>
        </w:tc>
        <w:tc>
          <w:tcPr>
            <w:tcW w:w="1166"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20 512</w:t>
            </w:r>
          </w:p>
        </w:tc>
        <w:tc>
          <w:tcPr>
            <w:tcW w:w="1166"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20 886</w:t>
            </w:r>
          </w:p>
        </w:tc>
      </w:tr>
      <w:tr w:rsidR="00000000">
        <w:tblPrEx>
          <w:tblCellMar>
            <w:top w:w="0" w:type="dxa"/>
            <w:left w:w="0" w:type="dxa"/>
            <w:bottom w:w="0" w:type="dxa"/>
            <w:right w:w="0" w:type="dxa"/>
          </w:tblCellMar>
        </w:tblPrEx>
        <w:tc>
          <w:tcPr>
            <w:tcW w:w="3132" w:type="dxa"/>
            <w:tcBorders>
              <w:top w:val="nil"/>
              <w:left w:val="nil"/>
              <w:bottom w:val="nil"/>
              <w:right w:val="nil"/>
            </w:tcBorders>
            <w:vAlign w:val="center"/>
          </w:tcPr>
          <w:p w:rsidR="00000000" w:rsidRDefault="00000000">
            <w:pPr>
              <w:pStyle w:val="DualTxt"/>
              <w:tabs>
                <w:tab w:val="clear" w:pos="2880"/>
              </w:tabs>
              <w:suppressAutoHyphens/>
              <w:spacing w:line="240" w:lineRule="auto"/>
              <w:ind w:right="-72"/>
              <w:jc w:val="left"/>
              <w:rPr>
                <w:sz w:val="17"/>
              </w:rPr>
            </w:pPr>
            <w:r>
              <w:rPr>
                <w:sz w:val="17"/>
              </w:rPr>
              <w:t>Беременности, вызванные переносом эмбриона</w:t>
            </w:r>
          </w:p>
        </w:tc>
        <w:tc>
          <w:tcPr>
            <w:tcW w:w="117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16 230</w:t>
            </w:r>
          </w:p>
        </w:tc>
        <w:tc>
          <w:tcPr>
            <w:tcW w:w="1166"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18 428</w:t>
            </w:r>
          </w:p>
        </w:tc>
        <w:tc>
          <w:tcPr>
            <w:tcW w:w="1166"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18 377</w:t>
            </w:r>
          </w:p>
        </w:tc>
      </w:tr>
      <w:tr w:rsidR="00000000">
        <w:tblPrEx>
          <w:tblCellMar>
            <w:top w:w="0" w:type="dxa"/>
            <w:left w:w="0" w:type="dxa"/>
            <w:bottom w:w="0" w:type="dxa"/>
            <w:right w:w="0" w:type="dxa"/>
          </w:tblCellMar>
        </w:tblPrEx>
        <w:tc>
          <w:tcPr>
            <w:tcW w:w="3132" w:type="dxa"/>
            <w:tcBorders>
              <w:top w:val="nil"/>
              <w:left w:val="nil"/>
              <w:bottom w:val="single" w:sz="12" w:space="0" w:color="auto"/>
              <w:right w:val="nil"/>
            </w:tcBorders>
            <w:vAlign w:val="center"/>
          </w:tcPr>
          <w:p w:rsidR="00000000" w:rsidRDefault="00000000">
            <w:pPr>
              <w:pStyle w:val="DualTxt"/>
              <w:tabs>
                <w:tab w:val="clear" w:pos="2880"/>
              </w:tabs>
              <w:spacing w:line="240" w:lineRule="auto"/>
              <w:ind w:right="-72"/>
              <w:jc w:val="left"/>
              <w:rPr>
                <w:sz w:val="17"/>
              </w:rPr>
            </w:pPr>
            <w:r>
              <w:rPr>
                <w:sz w:val="17"/>
              </w:rPr>
              <w:t>Роды, приведшие к живорождению</w:t>
            </w:r>
          </w:p>
        </w:tc>
        <w:tc>
          <w:tcPr>
            <w:tcW w:w="1170" w:type="dxa"/>
            <w:tcBorders>
              <w:top w:val="nil"/>
              <w:left w:val="nil"/>
              <w:bottom w:val="single" w:sz="12" w:space="0" w:color="auto"/>
              <w:right w:val="nil"/>
            </w:tcBorders>
            <w:vAlign w:val="center"/>
          </w:tcPr>
          <w:p w:rsidR="00000000" w:rsidRDefault="00000000">
            <w:pPr>
              <w:pStyle w:val="DualTxt"/>
              <w:tabs>
                <w:tab w:val="clear" w:pos="960"/>
              </w:tabs>
              <w:spacing w:line="240" w:lineRule="auto"/>
              <w:ind w:right="90"/>
              <w:jc w:val="right"/>
              <w:rPr>
                <w:sz w:val="17"/>
              </w:rPr>
            </w:pPr>
            <w:r>
              <w:rPr>
                <w:sz w:val="17"/>
              </w:rPr>
              <w:t>2 794</w:t>
            </w:r>
          </w:p>
        </w:tc>
        <w:tc>
          <w:tcPr>
            <w:tcW w:w="1166" w:type="dxa"/>
            <w:tcBorders>
              <w:top w:val="nil"/>
              <w:left w:val="nil"/>
              <w:bottom w:val="single" w:sz="12" w:space="0" w:color="auto"/>
              <w:right w:val="nil"/>
            </w:tcBorders>
            <w:vAlign w:val="center"/>
          </w:tcPr>
          <w:p w:rsidR="00000000" w:rsidRDefault="00000000">
            <w:pPr>
              <w:pStyle w:val="DualTxt"/>
              <w:tabs>
                <w:tab w:val="clear" w:pos="960"/>
              </w:tabs>
              <w:spacing w:line="240" w:lineRule="auto"/>
              <w:ind w:right="90"/>
              <w:jc w:val="right"/>
              <w:rPr>
                <w:sz w:val="17"/>
              </w:rPr>
            </w:pPr>
            <w:r>
              <w:rPr>
                <w:sz w:val="17"/>
              </w:rPr>
              <w:t>3 267</w:t>
            </w:r>
          </w:p>
        </w:tc>
        <w:tc>
          <w:tcPr>
            <w:tcW w:w="1166" w:type="dxa"/>
            <w:tcBorders>
              <w:top w:val="nil"/>
              <w:left w:val="nil"/>
              <w:bottom w:val="single" w:sz="12" w:space="0" w:color="auto"/>
              <w:right w:val="nil"/>
            </w:tcBorders>
            <w:vAlign w:val="center"/>
          </w:tcPr>
          <w:p w:rsidR="00000000" w:rsidRDefault="00000000">
            <w:pPr>
              <w:pStyle w:val="DualTxt"/>
              <w:tabs>
                <w:tab w:val="clear" w:pos="960"/>
              </w:tabs>
              <w:spacing w:line="240" w:lineRule="auto"/>
              <w:ind w:right="90"/>
              <w:jc w:val="right"/>
              <w:rPr>
                <w:sz w:val="17"/>
              </w:rPr>
            </w:pPr>
            <w:r>
              <w:rPr>
                <w:sz w:val="17"/>
              </w:rPr>
              <w:t>3 734</w:t>
            </w:r>
          </w:p>
        </w:tc>
      </w:tr>
    </w:tbl>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DualTxt"/>
        <w:ind w:left="1267"/>
        <w:rPr>
          <w:i/>
        </w:rPr>
      </w:pPr>
      <w:r>
        <w:rPr>
          <w:i/>
        </w:rPr>
        <w:t xml:space="preserve">Источник: </w:t>
      </w:r>
      <w:r>
        <w:t>Министерство здравоохранения, 2004 год.</w:t>
      </w:r>
    </w:p>
    <w:p w:rsidR="00000000" w:rsidRDefault="00000000">
      <w:pPr>
        <w:pStyle w:val="H1"/>
        <w:spacing w:line="300" w:lineRule="exact"/>
        <w:ind w:left="778" w:right="1267"/>
      </w:pPr>
      <w:r>
        <w:t>Исследования, касающиеся фертильности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331.</w:t>
      </w:r>
      <w:r>
        <w:tab/>
        <w:t>В нижеследующей таблице приводятся подробные данные о текущих и</w:t>
      </w:r>
      <w:r>
        <w:t>с</w:t>
      </w:r>
      <w:r>
        <w:t>следованиях, касающихся фертильности, проведенных в Израиле в период 2002-2003 годов: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56"/>
        <w:ind w:left="2477" w:right="1267" w:hanging="1210"/>
      </w:pPr>
      <w:r>
        <w:t>Таблица 17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Проекты, касающиеся исследований фертильности, 2002</w:t>
      </w:r>
      <w:r>
        <w:noBreakHyphen/>
        <w:t>2003 годы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keepNext/>
        <w:spacing w:after="0" w:line="240" w:lineRule="auto"/>
        <w:rPr>
          <w:sz w:val="10"/>
        </w:rPr>
      </w:pPr>
    </w:p>
    <w:tbl>
      <w:tblPr>
        <w:tblW w:w="0" w:type="auto"/>
        <w:tblInd w:w="1000" w:type="dxa"/>
        <w:tblLayout w:type="fixed"/>
        <w:tblCellMar>
          <w:left w:w="0" w:type="dxa"/>
          <w:right w:w="0" w:type="dxa"/>
        </w:tblCellMar>
        <w:tblLook w:val="0000" w:firstRow="0" w:lastRow="0" w:firstColumn="0" w:lastColumn="0" w:noHBand="0" w:noVBand="0"/>
      </w:tblPr>
      <w:tblGrid>
        <w:gridCol w:w="540"/>
        <w:gridCol w:w="1260"/>
        <w:gridCol w:w="990"/>
        <w:gridCol w:w="1440"/>
        <w:gridCol w:w="990"/>
        <w:gridCol w:w="1530"/>
        <w:gridCol w:w="1350"/>
      </w:tblGrid>
      <w:tr w:rsidR="00000000">
        <w:tblPrEx>
          <w:tblCellMar>
            <w:top w:w="0" w:type="dxa"/>
            <w:left w:w="0" w:type="dxa"/>
            <w:bottom w:w="0" w:type="dxa"/>
            <w:right w:w="0" w:type="dxa"/>
          </w:tblCellMar>
        </w:tblPrEx>
        <w:trPr>
          <w:cantSplit/>
          <w:tblHeader/>
        </w:trPr>
        <w:tc>
          <w:tcPr>
            <w:tcW w:w="540" w:type="dxa"/>
            <w:vMerge w:val="restart"/>
            <w:tcBorders>
              <w:top w:val="single" w:sz="4" w:space="0" w:color="auto"/>
              <w:bottom w:val="single" w:sz="12" w:space="0" w:color="auto"/>
            </w:tcBorders>
          </w:tcPr>
          <w:p w:rsidR="00000000" w:rsidRDefault="00000000">
            <w:pPr>
              <w:keepLines/>
              <w:suppressAutoHyphens/>
              <w:spacing w:before="120" w:after="120" w:line="240" w:lineRule="auto"/>
              <w:jc w:val="center"/>
              <w:rPr>
                <w:i/>
                <w:sz w:val="14"/>
              </w:rPr>
            </w:pPr>
            <w:r>
              <w:rPr>
                <w:i/>
                <w:sz w:val="14"/>
              </w:rPr>
              <w:t>Год</w:t>
            </w:r>
          </w:p>
        </w:tc>
        <w:tc>
          <w:tcPr>
            <w:tcW w:w="1260" w:type="dxa"/>
            <w:vMerge w:val="restart"/>
            <w:tcBorders>
              <w:top w:val="single" w:sz="4" w:space="0" w:color="auto"/>
              <w:bottom w:val="single" w:sz="12" w:space="0" w:color="auto"/>
            </w:tcBorders>
          </w:tcPr>
          <w:p w:rsidR="00000000" w:rsidRDefault="00000000">
            <w:pPr>
              <w:keepLines/>
              <w:suppressAutoHyphens/>
              <w:spacing w:before="120" w:after="120" w:line="240" w:lineRule="auto"/>
              <w:jc w:val="center"/>
              <w:rPr>
                <w:i/>
                <w:sz w:val="14"/>
              </w:rPr>
            </w:pPr>
            <w:r>
              <w:rPr>
                <w:i/>
                <w:sz w:val="14"/>
              </w:rPr>
              <w:t>Всего исследовательских предложений</w:t>
            </w:r>
          </w:p>
        </w:tc>
        <w:tc>
          <w:tcPr>
            <w:tcW w:w="2430" w:type="dxa"/>
            <w:gridSpan w:val="2"/>
            <w:tcBorders>
              <w:top w:val="single" w:sz="4" w:space="0" w:color="auto"/>
            </w:tcBorders>
          </w:tcPr>
          <w:p w:rsidR="00000000" w:rsidRDefault="00000000">
            <w:pPr>
              <w:suppressAutoHyphens/>
              <w:spacing w:after="120" w:line="240" w:lineRule="auto"/>
              <w:ind w:right="-108"/>
              <w:jc w:val="center"/>
              <w:rPr>
                <w:i/>
                <w:sz w:val="14"/>
              </w:rPr>
            </w:pPr>
            <w:r>
              <w:rPr>
                <w:i/>
                <w:sz w:val="14"/>
              </w:rPr>
              <w:t xml:space="preserve">Всего </w:t>
            </w:r>
            <w:r>
              <w:rPr>
                <w:i/>
                <w:sz w:val="14"/>
              </w:rPr>
              <w:br/>
              <w:t>исследовательских предложений, касающихся фертильности</w:t>
            </w:r>
          </w:p>
        </w:tc>
        <w:tc>
          <w:tcPr>
            <w:tcW w:w="3870" w:type="dxa"/>
            <w:gridSpan w:val="3"/>
            <w:tcBorders>
              <w:top w:val="single" w:sz="4" w:space="0" w:color="auto"/>
            </w:tcBorders>
          </w:tcPr>
          <w:p w:rsidR="00000000" w:rsidRDefault="00000000">
            <w:pPr>
              <w:spacing w:after="120" w:line="240" w:lineRule="auto"/>
              <w:ind w:right="-99"/>
              <w:jc w:val="center"/>
              <w:rPr>
                <w:i/>
                <w:sz w:val="14"/>
              </w:rPr>
            </w:pPr>
            <w:r>
              <w:rPr>
                <w:i/>
                <w:sz w:val="14"/>
              </w:rPr>
              <w:t xml:space="preserve">Предложения, </w:t>
            </w:r>
            <w:r>
              <w:rPr>
                <w:i/>
                <w:sz w:val="14"/>
              </w:rPr>
              <w:br/>
              <w:t>касающиеся исследований фертильности, утвержденные для финансиров</w:t>
            </w:r>
            <w:r>
              <w:rPr>
                <w:i/>
                <w:sz w:val="14"/>
              </w:rPr>
              <w:t>а</w:t>
            </w:r>
            <w:r>
              <w:rPr>
                <w:i/>
                <w:sz w:val="14"/>
              </w:rPr>
              <w:t>ния</w:t>
            </w:r>
          </w:p>
        </w:tc>
      </w:tr>
      <w:tr w:rsidR="00000000">
        <w:tblPrEx>
          <w:tblCellMar>
            <w:top w:w="0" w:type="dxa"/>
            <w:left w:w="0" w:type="dxa"/>
            <w:bottom w:w="0" w:type="dxa"/>
            <w:right w:w="0" w:type="dxa"/>
          </w:tblCellMar>
        </w:tblPrEx>
        <w:trPr>
          <w:cantSplit/>
          <w:tblHeader/>
        </w:trPr>
        <w:tc>
          <w:tcPr>
            <w:tcW w:w="540" w:type="dxa"/>
            <w:vMerge/>
            <w:tcBorders>
              <w:bottom w:val="single" w:sz="12" w:space="0" w:color="auto"/>
            </w:tcBorders>
          </w:tcPr>
          <w:p w:rsidR="00000000" w:rsidRDefault="00000000">
            <w:pPr>
              <w:keepNext/>
              <w:spacing w:after="120" w:line="240" w:lineRule="auto"/>
              <w:ind w:left="176"/>
              <w:jc w:val="right"/>
              <w:rPr>
                <w:i/>
                <w:color w:val="000000"/>
                <w:sz w:val="14"/>
                <w:lang w:val="fr-CA"/>
              </w:rPr>
            </w:pPr>
          </w:p>
        </w:tc>
        <w:tc>
          <w:tcPr>
            <w:tcW w:w="1260" w:type="dxa"/>
            <w:vMerge/>
            <w:tcBorders>
              <w:bottom w:val="single" w:sz="12" w:space="0" w:color="auto"/>
            </w:tcBorders>
          </w:tcPr>
          <w:p w:rsidR="00000000" w:rsidRDefault="00000000">
            <w:pPr>
              <w:keepNext/>
              <w:spacing w:after="120" w:line="240" w:lineRule="auto"/>
              <w:ind w:left="176"/>
              <w:jc w:val="right"/>
              <w:rPr>
                <w:i/>
                <w:color w:val="000000"/>
                <w:sz w:val="14"/>
                <w:lang w:val="fr-CA"/>
              </w:rPr>
            </w:pPr>
          </w:p>
        </w:tc>
        <w:tc>
          <w:tcPr>
            <w:tcW w:w="990" w:type="dxa"/>
            <w:tcBorders>
              <w:top w:val="single" w:sz="4" w:space="0" w:color="auto"/>
            </w:tcBorders>
            <w:vAlign w:val="center"/>
          </w:tcPr>
          <w:p w:rsidR="00000000" w:rsidRDefault="00000000">
            <w:pPr>
              <w:keepLines/>
              <w:spacing w:after="120" w:line="240" w:lineRule="auto"/>
              <w:jc w:val="right"/>
              <w:rPr>
                <w:i/>
                <w:sz w:val="14"/>
              </w:rPr>
            </w:pPr>
            <w:r>
              <w:rPr>
                <w:i/>
                <w:sz w:val="14"/>
              </w:rPr>
              <w:t>Число</w:t>
            </w:r>
            <w:r>
              <w:rPr>
                <w:i/>
                <w:sz w:val="14"/>
              </w:rPr>
              <w:br/>
              <w:t>предлож</w:t>
            </w:r>
            <w:r>
              <w:rPr>
                <w:i/>
                <w:sz w:val="14"/>
              </w:rPr>
              <w:t>е</w:t>
            </w:r>
            <w:r>
              <w:rPr>
                <w:i/>
                <w:sz w:val="14"/>
              </w:rPr>
              <w:t>ний</w:t>
            </w:r>
          </w:p>
        </w:tc>
        <w:tc>
          <w:tcPr>
            <w:tcW w:w="1440" w:type="dxa"/>
            <w:tcBorders>
              <w:top w:val="single" w:sz="4" w:space="0" w:color="auto"/>
            </w:tcBorders>
            <w:vAlign w:val="center"/>
          </w:tcPr>
          <w:p w:rsidR="00000000" w:rsidRDefault="00000000">
            <w:pPr>
              <w:keepLines/>
              <w:spacing w:after="120" w:line="240" w:lineRule="auto"/>
              <w:jc w:val="right"/>
              <w:rPr>
                <w:i/>
                <w:sz w:val="14"/>
              </w:rPr>
            </w:pPr>
            <w:r>
              <w:rPr>
                <w:i/>
                <w:sz w:val="14"/>
              </w:rPr>
              <w:t>Доля представленных предлож</w:t>
            </w:r>
            <w:r>
              <w:rPr>
                <w:i/>
                <w:sz w:val="14"/>
              </w:rPr>
              <w:t>е</w:t>
            </w:r>
            <w:r>
              <w:rPr>
                <w:i/>
                <w:sz w:val="14"/>
              </w:rPr>
              <w:t>ний %</w:t>
            </w:r>
          </w:p>
        </w:tc>
        <w:tc>
          <w:tcPr>
            <w:tcW w:w="990" w:type="dxa"/>
            <w:tcBorders>
              <w:top w:val="single" w:sz="4" w:space="0" w:color="auto"/>
            </w:tcBorders>
            <w:vAlign w:val="center"/>
          </w:tcPr>
          <w:p w:rsidR="00000000" w:rsidRDefault="00000000">
            <w:pPr>
              <w:keepLines/>
              <w:spacing w:after="120" w:line="240" w:lineRule="auto"/>
              <w:jc w:val="right"/>
              <w:rPr>
                <w:i/>
                <w:sz w:val="14"/>
              </w:rPr>
            </w:pPr>
            <w:r>
              <w:rPr>
                <w:i/>
                <w:sz w:val="14"/>
              </w:rPr>
              <w:t xml:space="preserve">Число </w:t>
            </w:r>
            <w:r>
              <w:rPr>
                <w:i/>
                <w:sz w:val="14"/>
              </w:rPr>
              <w:br/>
              <w:t>предлож</w:t>
            </w:r>
            <w:r>
              <w:rPr>
                <w:i/>
                <w:sz w:val="14"/>
              </w:rPr>
              <w:t>е</w:t>
            </w:r>
            <w:r>
              <w:rPr>
                <w:i/>
                <w:sz w:val="14"/>
              </w:rPr>
              <w:t>ний</w:t>
            </w:r>
          </w:p>
        </w:tc>
        <w:tc>
          <w:tcPr>
            <w:tcW w:w="1530" w:type="dxa"/>
            <w:tcBorders>
              <w:top w:val="single" w:sz="4" w:space="0" w:color="auto"/>
            </w:tcBorders>
            <w:vAlign w:val="center"/>
          </w:tcPr>
          <w:p w:rsidR="00000000" w:rsidRDefault="00000000">
            <w:pPr>
              <w:keepLines/>
              <w:spacing w:after="120" w:line="240" w:lineRule="auto"/>
              <w:jc w:val="right"/>
              <w:rPr>
                <w:i/>
                <w:sz w:val="14"/>
              </w:rPr>
            </w:pPr>
            <w:r>
              <w:rPr>
                <w:i/>
                <w:sz w:val="14"/>
              </w:rPr>
              <w:t>Доля представленных предлож</w:t>
            </w:r>
            <w:r>
              <w:rPr>
                <w:i/>
                <w:sz w:val="14"/>
              </w:rPr>
              <w:t>е</w:t>
            </w:r>
            <w:r>
              <w:rPr>
                <w:i/>
                <w:sz w:val="14"/>
              </w:rPr>
              <w:t>ний в %</w:t>
            </w:r>
          </w:p>
        </w:tc>
        <w:tc>
          <w:tcPr>
            <w:tcW w:w="1350" w:type="dxa"/>
            <w:tcBorders>
              <w:top w:val="single" w:sz="4" w:space="0" w:color="auto"/>
            </w:tcBorders>
            <w:vAlign w:val="center"/>
          </w:tcPr>
          <w:p w:rsidR="00000000" w:rsidRDefault="00000000">
            <w:pPr>
              <w:keepLines/>
              <w:spacing w:after="120" w:line="240" w:lineRule="auto"/>
              <w:jc w:val="right"/>
              <w:rPr>
                <w:i/>
                <w:sz w:val="14"/>
              </w:rPr>
            </w:pPr>
            <w:r>
              <w:rPr>
                <w:i/>
                <w:sz w:val="14"/>
              </w:rPr>
              <w:t>Доля представ. предложений отн. фертильн</w:t>
            </w:r>
            <w:r>
              <w:rPr>
                <w:i/>
                <w:sz w:val="14"/>
              </w:rPr>
              <w:t>о</w:t>
            </w:r>
            <w:r>
              <w:rPr>
                <w:i/>
                <w:sz w:val="14"/>
              </w:rPr>
              <w:t>сти в %</w:t>
            </w:r>
          </w:p>
        </w:tc>
      </w:tr>
      <w:tr w:rsidR="00000000">
        <w:tblPrEx>
          <w:tblCellMar>
            <w:top w:w="0" w:type="dxa"/>
            <w:left w:w="0" w:type="dxa"/>
            <w:bottom w:w="0" w:type="dxa"/>
            <w:right w:w="0" w:type="dxa"/>
          </w:tblCellMar>
        </w:tblPrEx>
        <w:trPr>
          <w:cantSplit/>
          <w:trHeight w:hRule="exact" w:val="115"/>
          <w:tblHeader/>
        </w:trPr>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ind w:right="40"/>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ind w:right="40"/>
              <w:jc w:val="right"/>
              <w:rPr>
                <w:sz w:val="17"/>
              </w:rPr>
            </w:pPr>
          </w:p>
        </w:tc>
        <w:tc>
          <w:tcPr>
            <w:tcW w:w="1440" w:type="dxa"/>
            <w:tcBorders>
              <w:top w:val="single" w:sz="12" w:space="0" w:color="auto"/>
            </w:tcBorders>
          </w:tcPr>
          <w:p w:rsidR="00000000" w:rsidRDefault="00000000">
            <w:pPr>
              <w:tabs>
                <w:tab w:val="left" w:pos="288"/>
                <w:tab w:val="left" w:pos="576"/>
                <w:tab w:val="left" w:pos="864"/>
                <w:tab w:val="left" w:pos="1152"/>
              </w:tabs>
              <w:spacing w:before="40" w:after="40"/>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ind w:right="40"/>
              <w:jc w:val="right"/>
              <w:rPr>
                <w:sz w:val="17"/>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ind w:right="40"/>
              <w:jc w:val="right"/>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ind w:right="40"/>
              <w:jc w:val="right"/>
              <w:rPr>
                <w:sz w:val="17"/>
              </w:rPr>
            </w:pPr>
          </w:p>
        </w:tc>
      </w:tr>
      <w:tr w:rsidR="00000000">
        <w:tblPrEx>
          <w:tblCellMar>
            <w:top w:w="0" w:type="dxa"/>
            <w:left w:w="0" w:type="dxa"/>
            <w:bottom w:w="0" w:type="dxa"/>
            <w:right w:w="0" w:type="dxa"/>
          </w:tblCellMar>
        </w:tblPrEx>
        <w:trPr>
          <w:cantSplit/>
        </w:trPr>
        <w:tc>
          <w:tcPr>
            <w:tcW w:w="540" w:type="dxa"/>
            <w:vAlign w:val="bottom"/>
          </w:tcPr>
          <w:p w:rsidR="00000000" w:rsidRDefault="00000000">
            <w:pPr>
              <w:spacing w:after="120" w:line="240" w:lineRule="auto"/>
              <w:rPr>
                <w:sz w:val="17"/>
              </w:rPr>
            </w:pPr>
            <w:r>
              <w:rPr>
                <w:sz w:val="17"/>
              </w:rPr>
              <w:t>2002</w:t>
            </w:r>
          </w:p>
        </w:tc>
        <w:tc>
          <w:tcPr>
            <w:tcW w:w="1260" w:type="dxa"/>
            <w:vAlign w:val="bottom"/>
          </w:tcPr>
          <w:p w:rsidR="00000000" w:rsidRDefault="00000000">
            <w:pPr>
              <w:spacing w:after="120" w:line="240" w:lineRule="auto"/>
              <w:jc w:val="right"/>
              <w:rPr>
                <w:sz w:val="17"/>
              </w:rPr>
            </w:pPr>
            <w:r>
              <w:rPr>
                <w:sz w:val="17"/>
              </w:rPr>
              <w:t>350</w:t>
            </w:r>
          </w:p>
        </w:tc>
        <w:tc>
          <w:tcPr>
            <w:tcW w:w="990" w:type="dxa"/>
            <w:vAlign w:val="bottom"/>
          </w:tcPr>
          <w:p w:rsidR="00000000" w:rsidRDefault="00000000">
            <w:pPr>
              <w:spacing w:after="120" w:line="240" w:lineRule="auto"/>
              <w:jc w:val="right"/>
              <w:rPr>
                <w:sz w:val="17"/>
              </w:rPr>
            </w:pPr>
            <w:r>
              <w:rPr>
                <w:sz w:val="17"/>
              </w:rPr>
              <w:t>14</w:t>
            </w:r>
          </w:p>
        </w:tc>
        <w:tc>
          <w:tcPr>
            <w:tcW w:w="1440" w:type="dxa"/>
            <w:vAlign w:val="bottom"/>
          </w:tcPr>
          <w:p w:rsidR="00000000" w:rsidRDefault="00000000">
            <w:pPr>
              <w:spacing w:after="120" w:line="240" w:lineRule="auto"/>
              <w:jc w:val="right"/>
              <w:rPr>
                <w:sz w:val="17"/>
              </w:rPr>
            </w:pPr>
            <w:r>
              <w:rPr>
                <w:sz w:val="17"/>
              </w:rPr>
              <w:t>40</w:t>
            </w:r>
          </w:p>
        </w:tc>
        <w:tc>
          <w:tcPr>
            <w:tcW w:w="990" w:type="dxa"/>
            <w:vAlign w:val="bottom"/>
          </w:tcPr>
          <w:p w:rsidR="00000000" w:rsidRDefault="00000000">
            <w:pPr>
              <w:spacing w:after="120" w:line="240" w:lineRule="auto"/>
              <w:jc w:val="right"/>
              <w:rPr>
                <w:sz w:val="17"/>
              </w:rPr>
            </w:pPr>
            <w:r>
              <w:rPr>
                <w:sz w:val="17"/>
              </w:rPr>
              <w:t>4</w:t>
            </w:r>
          </w:p>
        </w:tc>
        <w:tc>
          <w:tcPr>
            <w:tcW w:w="1530" w:type="dxa"/>
            <w:vAlign w:val="bottom"/>
          </w:tcPr>
          <w:p w:rsidR="00000000" w:rsidRDefault="00000000">
            <w:pPr>
              <w:spacing w:after="120" w:line="240" w:lineRule="auto"/>
              <w:jc w:val="right"/>
              <w:rPr>
                <w:sz w:val="17"/>
              </w:rPr>
            </w:pPr>
            <w:r>
              <w:rPr>
                <w:sz w:val="17"/>
              </w:rPr>
              <w:t>1,2</w:t>
            </w:r>
          </w:p>
        </w:tc>
        <w:tc>
          <w:tcPr>
            <w:tcW w:w="1350" w:type="dxa"/>
            <w:vAlign w:val="bottom"/>
          </w:tcPr>
          <w:p w:rsidR="00000000" w:rsidRDefault="00000000">
            <w:pPr>
              <w:spacing w:after="120" w:line="240" w:lineRule="auto"/>
              <w:jc w:val="right"/>
              <w:rPr>
                <w:sz w:val="17"/>
              </w:rPr>
            </w:pPr>
            <w:r>
              <w:rPr>
                <w:sz w:val="17"/>
              </w:rPr>
              <w:t>28,6</w:t>
            </w:r>
          </w:p>
        </w:tc>
      </w:tr>
      <w:tr w:rsidR="00000000">
        <w:tblPrEx>
          <w:tblCellMar>
            <w:top w:w="0" w:type="dxa"/>
            <w:left w:w="0" w:type="dxa"/>
            <w:bottom w:w="0" w:type="dxa"/>
            <w:right w:w="0" w:type="dxa"/>
          </w:tblCellMar>
        </w:tblPrEx>
        <w:trPr>
          <w:cantSplit/>
        </w:trPr>
        <w:tc>
          <w:tcPr>
            <w:tcW w:w="540" w:type="dxa"/>
            <w:tcBorders>
              <w:bottom w:val="single" w:sz="12" w:space="0" w:color="auto"/>
            </w:tcBorders>
            <w:vAlign w:val="bottom"/>
          </w:tcPr>
          <w:p w:rsidR="00000000" w:rsidRDefault="00000000">
            <w:pPr>
              <w:spacing w:after="120" w:line="240" w:lineRule="auto"/>
              <w:rPr>
                <w:sz w:val="17"/>
              </w:rPr>
            </w:pPr>
            <w:r>
              <w:rPr>
                <w:sz w:val="17"/>
              </w:rPr>
              <w:t>2003</w:t>
            </w:r>
          </w:p>
        </w:tc>
        <w:tc>
          <w:tcPr>
            <w:tcW w:w="1260" w:type="dxa"/>
            <w:tcBorders>
              <w:bottom w:val="single" w:sz="12" w:space="0" w:color="auto"/>
            </w:tcBorders>
            <w:vAlign w:val="bottom"/>
          </w:tcPr>
          <w:p w:rsidR="00000000" w:rsidRDefault="00000000">
            <w:pPr>
              <w:spacing w:after="120" w:line="240" w:lineRule="auto"/>
              <w:jc w:val="right"/>
              <w:rPr>
                <w:sz w:val="17"/>
              </w:rPr>
            </w:pPr>
            <w:r>
              <w:rPr>
                <w:sz w:val="17"/>
              </w:rPr>
              <w:t>230</w:t>
            </w:r>
          </w:p>
        </w:tc>
        <w:tc>
          <w:tcPr>
            <w:tcW w:w="990" w:type="dxa"/>
            <w:tcBorders>
              <w:bottom w:val="single" w:sz="12" w:space="0" w:color="auto"/>
            </w:tcBorders>
            <w:vAlign w:val="bottom"/>
          </w:tcPr>
          <w:p w:rsidR="00000000" w:rsidRDefault="00000000">
            <w:pPr>
              <w:spacing w:after="120" w:line="240" w:lineRule="auto"/>
              <w:jc w:val="right"/>
              <w:rPr>
                <w:sz w:val="17"/>
              </w:rPr>
            </w:pPr>
            <w:r>
              <w:rPr>
                <w:sz w:val="17"/>
              </w:rPr>
              <w:t>8</w:t>
            </w:r>
          </w:p>
        </w:tc>
        <w:tc>
          <w:tcPr>
            <w:tcW w:w="1440" w:type="dxa"/>
            <w:tcBorders>
              <w:bottom w:val="single" w:sz="12" w:space="0" w:color="auto"/>
            </w:tcBorders>
            <w:vAlign w:val="bottom"/>
          </w:tcPr>
          <w:p w:rsidR="00000000" w:rsidRDefault="00000000">
            <w:pPr>
              <w:spacing w:after="120" w:line="240" w:lineRule="auto"/>
              <w:jc w:val="right"/>
              <w:rPr>
                <w:sz w:val="17"/>
              </w:rPr>
            </w:pPr>
            <w:r>
              <w:rPr>
                <w:sz w:val="17"/>
              </w:rPr>
              <w:t>3,5</w:t>
            </w:r>
          </w:p>
        </w:tc>
        <w:tc>
          <w:tcPr>
            <w:tcW w:w="990" w:type="dxa"/>
            <w:tcBorders>
              <w:bottom w:val="single" w:sz="12" w:space="0" w:color="auto"/>
            </w:tcBorders>
            <w:vAlign w:val="bottom"/>
          </w:tcPr>
          <w:p w:rsidR="00000000" w:rsidRDefault="00000000">
            <w:pPr>
              <w:spacing w:after="120" w:line="240" w:lineRule="auto"/>
              <w:jc w:val="right"/>
              <w:rPr>
                <w:sz w:val="17"/>
              </w:rPr>
            </w:pPr>
            <w:r>
              <w:rPr>
                <w:sz w:val="17"/>
              </w:rPr>
              <w:t>2</w:t>
            </w:r>
          </w:p>
        </w:tc>
        <w:tc>
          <w:tcPr>
            <w:tcW w:w="1530" w:type="dxa"/>
            <w:tcBorders>
              <w:bottom w:val="single" w:sz="12" w:space="0" w:color="auto"/>
            </w:tcBorders>
            <w:vAlign w:val="bottom"/>
          </w:tcPr>
          <w:p w:rsidR="00000000" w:rsidRDefault="00000000">
            <w:pPr>
              <w:spacing w:after="120" w:line="240" w:lineRule="auto"/>
              <w:jc w:val="right"/>
              <w:rPr>
                <w:sz w:val="17"/>
              </w:rPr>
            </w:pPr>
            <w:r>
              <w:rPr>
                <w:sz w:val="17"/>
              </w:rPr>
              <w:t>0,9</w:t>
            </w:r>
          </w:p>
        </w:tc>
        <w:tc>
          <w:tcPr>
            <w:tcW w:w="1350" w:type="dxa"/>
            <w:tcBorders>
              <w:bottom w:val="single" w:sz="12" w:space="0" w:color="auto"/>
            </w:tcBorders>
            <w:vAlign w:val="bottom"/>
          </w:tcPr>
          <w:p w:rsidR="00000000" w:rsidRDefault="00000000">
            <w:pPr>
              <w:spacing w:after="120" w:line="240" w:lineRule="auto"/>
              <w:jc w:val="right"/>
              <w:rPr>
                <w:sz w:val="17"/>
              </w:rPr>
            </w:pPr>
            <w:r>
              <w:rPr>
                <w:sz w:val="17"/>
              </w:rPr>
              <w:t>25,0</w:t>
            </w:r>
          </w:p>
        </w:tc>
      </w:tr>
    </w:tbl>
    <w:p w:rsidR="00000000" w:rsidRDefault="00000000">
      <w:pPr>
        <w:pStyle w:val="SingleTxt"/>
        <w:spacing w:after="0" w:line="120" w:lineRule="exact"/>
        <w:rPr>
          <w:sz w:val="10"/>
        </w:rPr>
      </w:pPr>
    </w:p>
    <w:p w:rsidR="00000000" w:rsidRDefault="00000000">
      <w:pPr>
        <w:pStyle w:val="DualTxt"/>
        <w:ind w:left="1267"/>
      </w:pPr>
      <w:r>
        <w:rPr>
          <w:i/>
        </w:rPr>
        <w:t>Источник</w:t>
      </w:r>
      <w:r>
        <w:t>: Министерство здравоохранения, 2004 год.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Вероятная продолжительность жизни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332.</w:t>
      </w:r>
      <w:r>
        <w:tab/>
        <w:t>В 2002 году средняя продолжительность жизни для израильских женщин составляла 81,5 лет для женщин и 77,5 лет для мужчин. Пожилые люди (65 лет и старше) составляют 10 процентов населения по состоянию на 2004 год (лишь 3 процента в арабском секторе) и их доля, как ожидается, возрастет до 12 пр</w:t>
      </w:r>
      <w:r>
        <w:t>о</w:t>
      </w:r>
      <w:r>
        <w:t>центов в 2020 году. В 2003 году лица в возрасте старше 65 лет составляли 11,2 процента женского населения и 8,53 процента мужского населения.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333.</w:t>
      </w:r>
      <w:r>
        <w:tab/>
        <w:t>За последние два десятилетия (1981-2001 годы) продолжительность жи</w:t>
      </w:r>
      <w:r>
        <w:t>з</w:t>
      </w:r>
      <w:r>
        <w:t>ни израильских женщин возросла на 5,3 года, а израильских мужчин - на 4,6 года. Свыше половины пожилых женщин являются вдовами, причем вдовцами являются лишь 16 процентов мужчин того же возраста, прежде всего из</w:t>
      </w:r>
      <w:r>
        <w:noBreakHyphen/>
        <w:t>за б</w:t>
      </w:r>
      <w:r>
        <w:t>о</w:t>
      </w:r>
      <w:r>
        <w:t>лее высокой продолжительности жизни женщин и их стремления выходить з</w:t>
      </w:r>
      <w:r>
        <w:t>а</w:t>
      </w:r>
      <w:r>
        <w:t>муж за пожилых мужчин.</w:t>
      </w:r>
    </w:p>
    <w:p w:rsidR="00000000" w:rsidRDefault="00000000">
      <w:pPr>
        <w:pStyle w:val="H56"/>
        <w:spacing w:line="240" w:lineRule="auto"/>
        <w:ind w:left="1267" w:right="1267"/>
        <w:rPr>
          <w:sz w:val="10"/>
        </w:rPr>
      </w:pPr>
    </w:p>
    <w:p w:rsidR="00000000" w:rsidRDefault="00000000">
      <w:pPr>
        <w:pStyle w:val="H56"/>
        <w:spacing w:line="240" w:lineRule="auto"/>
        <w:ind w:left="1267" w:right="1267"/>
        <w:rPr>
          <w:sz w:val="10"/>
        </w:rPr>
      </w:pPr>
    </w:p>
    <w:p w:rsidR="00000000" w:rsidRDefault="00000000">
      <w:pPr>
        <w:pStyle w:val="H56"/>
        <w:ind w:left="1267" w:right="1267"/>
      </w:pPr>
      <w:r>
        <w:t>Таблица 18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Население, с разбивкой по группам в возрасте свыше 65 лет, религиозной принадлежности, полу и возрасту, 2003 год (в тысячах)</w:t>
      </w:r>
    </w:p>
    <w:p w:rsidR="00000000" w:rsidRDefault="00000000">
      <w:pPr>
        <w:pStyle w:val="H56"/>
        <w:spacing w:line="240" w:lineRule="auto"/>
        <w:ind w:left="1267" w:right="1267"/>
        <w:rPr>
          <w:sz w:val="10"/>
        </w:rPr>
      </w:pPr>
    </w:p>
    <w:p w:rsidR="00000000" w:rsidRDefault="00000000">
      <w:pPr>
        <w:pStyle w:val="H56"/>
        <w:spacing w:line="240" w:lineRule="auto"/>
        <w:ind w:left="1267" w:right="1267"/>
        <w:rPr>
          <w:sz w:val="10"/>
        </w:rPr>
      </w:pPr>
    </w:p>
    <w:tbl>
      <w:tblPr>
        <w:tblW w:w="0" w:type="auto"/>
        <w:tblInd w:w="1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2"/>
        <w:gridCol w:w="810"/>
        <w:gridCol w:w="810"/>
        <w:gridCol w:w="720"/>
        <w:gridCol w:w="810"/>
        <w:gridCol w:w="720"/>
        <w:gridCol w:w="675"/>
        <w:gridCol w:w="693"/>
        <w:gridCol w:w="684"/>
        <w:gridCol w:w="648"/>
      </w:tblGrid>
      <w:tr w:rsidR="00000000">
        <w:tblPrEx>
          <w:tblCellMar>
            <w:top w:w="0" w:type="dxa"/>
            <w:bottom w:w="0" w:type="dxa"/>
          </w:tblCellMar>
        </w:tblPrEx>
        <w:trPr>
          <w:cantSplit/>
          <w:trHeight w:val="330"/>
        </w:trPr>
        <w:tc>
          <w:tcPr>
            <w:tcW w:w="7362" w:type="dxa"/>
            <w:gridSpan w:val="10"/>
            <w:tcBorders>
              <w:left w:val="nil"/>
              <w:bottom w:val="single" w:sz="4" w:space="0" w:color="auto"/>
              <w:right w:val="nil"/>
            </w:tcBorders>
          </w:tcPr>
          <w:p w:rsidR="00000000" w:rsidRDefault="00000000">
            <w:pPr>
              <w:spacing w:line="240" w:lineRule="auto"/>
              <w:jc w:val="center"/>
              <w:rPr>
                <w:i/>
                <w:sz w:val="14"/>
              </w:rPr>
            </w:pPr>
            <w:r>
              <w:rPr>
                <w:i/>
                <w:sz w:val="14"/>
              </w:rPr>
              <w:t>Религиозная принадлежность</w:t>
            </w:r>
          </w:p>
        </w:tc>
      </w:tr>
      <w:tr w:rsidR="00000000">
        <w:tblPrEx>
          <w:tblCellMar>
            <w:top w:w="0" w:type="dxa"/>
            <w:bottom w:w="0" w:type="dxa"/>
          </w:tblCellMar>
        </w:tblPrEx>
        <w:trPr>
          <w:cantSplit/>
          <w:trHeight w:val="330"/>
        </w:trPr>
        <w:tc>
          <w:tcPr>
            <w:tcW w:w="792" w:type="dxa"/>
            <w:vMerge w:val="restart"/>
            <w:tcBorders>
              <w:left w:val="nil"/>
              <w:right w:val="nil"/>
            </w:tcBorders>
          </w:tcPr>
          <w:p w:rsidR="00000000" w:rsidRDefault="00000000">
            <w:pPr>
              <w:spacing w:line="240" w:lineRule="auto"/>
              <w:rPr>
                <w:i/>
                <w:sz w:val="14"/>
              </w:rPr>
            </w:pPr>
            <w:r>
              <w:rPr>
                <w:i/>
                <w:sz w:val="14"/>
              </w:rPr>
              <w:t>Во</w:t>
            </w:r>
            <w:r>
              <w:rPr>
                <w:i/>
                <w:sz w:val="14"/>
              </w:rPr>
              <w:t>з</w:t>
            </w:r>
            <w:r>
              <w:rPr>
                <w:i/>
                <w:sz w:val="14"/>
              </w:rPr>
              <w:t>раст</w:t>
            </w:r>
          </w:p>
        </w:tc>
        <w:tc>
          <w:tcPr>
            <w:tcW w:w="2340" w:type="dxa"/>
            <w:gridSpan w:val="3"/>
            <w:tcBorders>
              <w:left w:val="nil"/>
              <w:bottom w:val="single" w:sz="4" w:space="0" w:color="auto"/>
              <w:right w:val="nil"/>
            </w:tcBorders>
          </w:tcPr>
          <w:p w:rsidR="00000000" w:rsidRDefault="00000000">
            <w:pPr>
              <w:spacing w:line="240" w:lineRule="auto"/>
              <w:jc w:val="center"/>
              <w:rPr>
                <w:i/>
                <w:sz w:val="14"/>
              </w:rPr>
            </w:pPr>
            <w:r>
              <w:rPr>
                <w:i/>
                <w:sz w:val="14"/>
              </w:rPr>
              <w:t>Христиане - всего</w:t>
            </w:r>
          </w:p>
        </w:tc>
        <w:tc>
          <w:tcPr>
            <w:tcW w:w="2205" w:type="dxa"/>
            <w:gridSpan w:val="3"/>
            <w:tcBorders>
              <w:left w:val="nil"/>
              <w:bottom w:val="single" w:sz="4" w:space="0" w:color="auto"/>
              <w:right w:val="nil"/>
            </w:tcBorders>
          </w:tcPr>
          <w:p w:rsidR="00000000" w:rsidRDefault="00000000">
            <w:pPr>
              <w:spacing w:line="240" w:lineRule="auto"/>
              <w:jc w:val="center"/>
              <w:rPr>
                <w:i/>
                <w:sz w:val="14"/>
              </w:rPr>
            </w:pPr>
            <w:r>
              <w:rPr>
                <w:i/>
                <w:sz w:val="14"/>
              </w:rPr>
              <w:t>Мусульмане</w:t>
            </w:r>
          </w:p>
        </w:tc>
        <w:tc>
          <w:tcPr>
            <w:tcW w:w="2025" w:type="dxa"/>
            <w:gridSpan w:val="3"/>
            <w:tcBorders>
              <w:left w:val="nil"/>
              <w:bottom w:val="single" w:sz="4" w:space="0" w:color="auto"/>
              <w:right w:val="nil"/>
            </w:tcBorders>
          </w:tcPr>
          <w:p w:rsidR="00000000" w:rsidRDefault="00000000">
            <w:pPr>
              <w:spacing w:line="240" w:lineRule="auto"/>
              <w:jc w:val="center"/>
              <w:rPr>
                <w:i/>
                <w:sz w:val="14"/>
              </w:rPr>
            </w:pPr>
            <w:r>
              <w:rPr>
                <w:i/>
                <w:sz w:val="14"/>
              </w:rPr>
              <w:t>Евреи</w:t>
            </w:r>
          </w:p>
        </w:tc>
      </w:tr>
      <w:tr w:rsidR="00000000">
        <w:tblPrEx>
          <w:tblCellMar>
            <w:top w:w="0" w:type="dxa"/>
            <w:bottom w:w="0" w:type="dxa"/>
          </w:tblCellMar>
        </w:tblPrEx>
        <w:trPr>
          <w:cantSplit/>
          <w:trHeight w:val="330"/>
        </w:trPr>
        <w:tc>
          <w:tcPr>
            <w:tcW w:w="792" w:type="dxa"/>
            <w:vMerge/>
            <w:tcBorders>
              <w:left w:val="nil"/>
              <w:bottom w:val="single" w:sz="12" w:space="0" w:color="auto"/>
              <w:right w:val="nil"/>
            </w:tcBorders>
          </w:tcPr>
          <w:p w:rsidR="00000000" w:rsidRDefault="00000000">
            <w:pPr>
              <w:spacing w:line="240" w:lineRule="auto"/>
              <w:rPr>
                <w:sz w:val="17"/>
              </w:rPr>
            </w:pPr>
          </w:p>
        </w:tc>
        <w:tc>
          <w:tcPr>
            <w:tcW w:w="810" w:type="dxa"/>
            <w:tcBorders>
              <w:left w:val="nil"/>
              <w:bottom w:val="single" w:sz="12" w:space="0" w:color="auto"/>
              <w:right w:val="nil"/>
            </w:tcBorders>
          </w:tcPr>
          <w:p w:rsidR="00000000" w:rsidRDefault="00000000">
            <w:pPr>
              <w:spacing w:line="240" w:lineRule="auto"/>
              <w:jc w:val="right"/>
              <w:rPr>
                <w:i/>
                <w:sz w:val="14"/>
              </w:rPr>
            </w:pPr>
            <w:r>
              <w:rPr>
                <w:i/>
                <w:sz w:val="14"/>
              </w:rPr>
              <w:t>Жен.</w:t>
            </w:r>
          </w:p>
        </w:tc>
        <w:tc>
          <w:tcPr>
            <w:tcW w:w="810" w:type="dxa"/>
            <w:tcBorders>
              <w:left w:val="nil"/>
              <w:bottom w:val="single" w:sz="12" w:space="0" w:color="auto"/>
              <w:right w:val="nil"/>
            </w:tcBorders>
          </w:tcPr>
          <w:p w:rsidR="00000000" w:rsidRDefault="00000000">
            <w:pPr>
              <w:spacing w:line="240" w:lineRule="auto"/>
              <w:jc w:val="right"/>
              <w:rPr>
                <w:i/>
                <w:sz w:val="14"/>
              </w:rPr>
            </w:pPr>
            <w:r>
              <w:rPr>
                <w:i/>
                <w:sz w:val="14"/>
              </w:rPr>
              <w:t>Муж.</w:t>
            </w:r>
          </w:p>
        </w:tc>
        <w:tc>
          <w:tcPr>
            <w:tcW w:w="720" w:type="dxa"/>
            <w:tcBorders>
              <w:left w:val="nil"/>
              <w:bottom w:val="single" w:sz="12" w:space="0" w:color="auto"/>
              <w:right w:val="nil"/>
            </w:tcBorders>
          </w:tcPr>
          <w:p w:rsidR="00000000" w:rsidRDefault="00000000">
            <w:pPr>
              <w:spacing w:line="240" w:lineRule="auto"/>
              <w:jc w:val="right"/>
              <w:rPr>
                <w:i/>
                <w:sz w:val="14"/>
              </w:rPr>
            </w:pPr>
            <w:r>
              <w:rPr>
                <w:i/>
                <w:sz w:val="14"/>
              </w:rPr>
              <w:t>Всего</w:t>
            </w:r>
          </w:p>
        </w:tc>
        <w:tc>
          <w:tcPr>
            <w:tcW w:w="810" w:type="dxa"/>
            <w:tcBorders>
              <w:left w:val="nil"/>
              <w:bottom w:val="single" w:sz="12" w:space="0" w:color="auto"/>
              <w:right w:val="nil"/>
            </w:tcBorders>
          </w:tcPr>
          <w:p w:rsidR="00000000" w:rsidRDefault="00000000">
            <w:pPr>
              <w:spacing w:line="240" w:lineRule="auto"/>
              <w:jc w:val="right"/>
              <w:rPr>
                <w:i/>
                <w:sz w:val="14"/>
              </w:rPr>
            </w:pPr>
            <w:r>
              <w:rPr>
                <w:i/>
                <w:sz w:val="14"/>
              </w:rPr>
              <w:t>Жен.</w:t>
            </w:r>
          </w:p>
        </w:tc>
        <w:tc>
          <w:tcPr>
            <w:tcW w:w="720" w:type="dxa"/>
            <w:tcBorders>
              <w:left w:val="nil"/>
              <w:bottom w:val="single" w:sz="12" w:space="0" w:color="auto"/>
              <w:right w:val="nil"/>
            </w:tcBorders>
          </w:tcPr>
          <w:p w:rsidR="00000000" w:rsidRDefault="00000000">
            <w:pPr>
              <w:spacing w:line="240" w:lineRule="auto"/>
              <w:jc w:val="right"/>
              <w:rPr>
                <w:i/>
                <w:sz w:val="14"/>
              </w:rPr>
            </w:pPr>
            <w:r>
              <w:rPr>
                <w:i/>
                <w:sz w:val="14"/>
              </w:rPr>
              <w:t>Муж.</w:t>
            </w:r>
          </w:p>
        </w:tc>
        <w:tc>
          <w:tcPr>
            <w:tcW w:w="675" w:type="dxa"/>
            <w:tcBorders>
              <w:left w:val="nil"/>
              <w:bottom w:val="single" w:sz="12" w:space="0" w:color="auto"/>
              <w:right w:val="nil"/>
            </w:tcBorders>
          </w:tcPr>
          <w:p w:rsidR="00000000" w:rsidRDefault="00000000">
            <w:pPr>
              <w:spacing w:line="240" w:lineRule="auto"/>
              <w:jc w:val="right"/>
              <w:rPr>
                <w:i/>
                <w:sz w:val="14"/>
              </w:rPr>
            </w:pPr>
            <w:r>
              <w:rPr>
                <w:i/>
                <w:sz w:val="14"/>
              </w:rPr>
              <w:t>Всего</w:t>
            </w:r>
          </w:p>
        </w:tc>
        <w:tc>
          <w:tcPr>
            <w:tcW w:w="693" w:type="dxa"/>
            <w:tcBorders>
              <w:left w:val="nil"/>
              <w:bottom w:val="single" w:sz="12" w:space="0" w:color="auto"/>
              <w:right w:val="nil"/>
            </w:tcBorders>
          </w:tcPr>
          <w:p w:rsidR="00000000" w:rsidRDefault="00000000">
            <w:pPr>
              <w:spacing w:line="240" w:lineRule="auto"/>
              <w:jc w:val="right"/>
              <w:rPr>
                <w:i/>
                <w:sz w:val="14"/>
              </w:rPr>
            </w:pPr>
            <w:r>
              <w:rPr>
                <w:i/>
                <w:sz w:val="14"/>
              </w:rPr>
              <w:t>Же</w:t>
            </w:r>
            <w:r>
              <w:rPr>
                <w:i/>
                <w:sz w:val="14"/>
              </w:rPr>
              <w:t>н</w:t>
            </w:r>
            <w:r>
              <w:rPr>
                <w:i/>
                <w:sz w:val="14"/>
              </w:rPr>
              <w:t>.</w:t>
            </w:r>
          </w:p>
        </w:tc>
        <w:tc>
          <w:tcPr>
            <w:tcW w:w="684" w:type="dxa"/>
            <w:tcBorders>
              <w:left w:val="nil"/>
              <w:bottom w:val="single" w:sz="12" w:space="0" w:color="auto"/>
              <w:right w:val="nil"/>
            </w:tcBorders>
          </w:tcPr>
          <w:p w:rsidR="00000000" w:rsidRDefault="00000000">
            <w:pPr>
              <w:spacing w:line="240" w:lineRule="auto"/>
              <w:jc w:val="right"/>
              <w:rPr>
                <w:i/>
                <w:sz w:val="14"/>
              </w:rPr>
            </w:pPr>
            <w:r>
              <w:rPr>
                <w:i/>
                <w:sz w:val="14"/>
              </w:rPr>
              <w:t>Му</w:t>
            </w:r>
            <w:r>
              <w:rPr>
                <w:i/>
                <w:sz w:val="14"/>
              </w:rPr>
              <w:t>ж</w:t>
            </w:r>
            <w:r>
              <w:rPr>
                <w:i/>
                <w:sz w:val="14"/>
              </w:rPr>
              <w:t>.</w:t>
            </w:r>
          </w:p>
        </w:tc>
        <w:tc>
          <w:tcPr>
            <w:tcW w:w="648" w:type="dxa"/>
            <w:tcBorders>
              <w:left w:val="nil"/>
              <w:bottom w:val="single" w:sz="12" w:space="0" w:color="auto"/>
              <w:right w:val="nil"/>
            </w:tcBorders>
          </w:tcPr>
          <w:p w:rsidR="00000000" w:rsidRDefault="00000000">
            <w:pPr>
              <w:spacing w:line="240" w:lineRule="auto"/>
              <w:jc w:val="right"/>
              <w:rPr>
                <w:i/>
                <w:sz w:val="14"/>
              </w:rPr>
            </w:pPr>
            <w:r>
              <w:rPr>
                <w:i/>
                <w:sz w:val="14"/>
              </w:rPr>
              <w:t>Вс</w:t>
            </w:r>
            <w:r>
              <w:rPr>
                <w:i/>
                <w:sz w:val="14"/>
              </w:rPr>
              <w:t>е</w:t>
            </w:r>
            <w:r>
              <w:rPr>
                <w:i/>
                <w:sz w:val="14"/>
              </w:rPr>
              <w:t>го</w:t>
            </w:r>
          </w:p>
        </w:tc>
      </w:tr>
      <w:tr w:rsidR="00000000">
        <w:tblPrEx>
          <w:tblCellMar>
            <w:top w:w="0" w:type="dxa"/>
            <w:bottom w:w="0" w:type="dxa"/>
          </w:tblCellMar>
        </w:tblPrEx>
        <w:trPr>
          <w:trHeight w:val="330"/>
        </w:trPr>
        <w:tc>
          <w:tcPr>
            <w:tcW w:w="792" w:type="dxa"/>
            <w:tcBorders>
              <w:top w:val="single" w:sz="12" w:space="0" w:color="auto"/>
              <w:left w:val="nil"/>
              <w:right w:val="nil"/>
            </w:tcBorders>
          </w:tcPr>
          <w:p w:rsidR="00000000" w:rsidRDefault="00000000">
            <w:pPr>
              <w:spacing w:before="120" w:line="240" w:lineRule="auto"/>
              <w:rPr>
                <w:sz w:val="17"/>
              </w:rPr>
            </w:pPr>
            <w:r>
              <w:rPr>
                <w:sz w:val="17"/>
              </w:rPr>
              <w:t>65-69</w:t>
            </w:r>
          </w:p>
        </w:tc>
        <w:tc>
          <w:tcPr>
            <w:tcW w:w="810" w:type="dxa"/>
            <w:tcBorders>
              <w:top w:val="single" w:sz="12" w:space="0" w:color="auto"/>
              <w:left w:val="nil"/>
              <w:right w:val="nil"/>
            </w:tcBorders>
          </w:tcPr>
          <w:p w:rsidR="00000000" w:rsidRDefault="00000000">
            <w:pPr>
              <w:spacing w:before="120" w:line="240" w:lineRule="auto"/>
              <w:jc w:val="right"/>
              <w:rPr>
                <w:sz w:val="17"/>
              </w:rPr>
            </w:pPr>
            <w:r>
              <w:rPr>
                <w:sz w:val="17"/>
              </w:rPr>
              <w:t>2,4</w:t>
            </w:r>
          </w:p>
        </w:tc>
        <w:tc>
          <w:tcPr>
            <w:tcW w:w="810" w:type="dxa"/>
            <w:tcBorders>
              <w:top w:val="single" w:sz="12" w:space="0" w:color="auto"/>
              <w:left w:val="nil"/>
              <w:right w:val="nil"/>
            </w:tcBorders>
          </w:tcPr>
          <w:p w:rsidR="00000000" w:rsidRDefault="00000000">
            <w:pPr>
              <w:spacing w:before="120" w:line="240" w:lineRule="auto"/>
              <w:jc w:val="right"/>
              <w:rPr>
                <w:sz w:val="17"/>
              </w:rPr>
            </w:pPr>
            <w:r>
              <w:rPr>
                <w:sz w:val="17"/>
              </w:rPr>
              <w:t>1,8</w:t>
            </w:r>
          </w:p>
        </w:tc>
        <w:tc>
          <w:tcPr>
            <w:tcW w:w="720" w:type="dxa"/>
            <w:tcBorders>
              <w:top w:val="single" w:sz="12" w:space="0" w:color="auto"/>
              <w:left w:val="nil"/>
              <w:right w:val="nil"/>
            </w:tcBorders>
          </w:tcPr>
          <w:p w:rsidR="00000000" w:rsidRDefault="00000000">
            <w:pPr>
              <w:spacing w:before="120" w:line="240" w:lineRule="auto"/>
              <w:jc w:val="right"/>
              <w:rPr>
                <w:sz w:val="17"/>
              </w:rPr>
            </w:pPr>
            <w:r>
              <w:rPr>
                <w:sz w:val="17"/>
              </w:rPr>
              <w:t>4,3</w:t>
            </w:r>
          </w:p>
        </w:tc>
        <w:tc>
          <w:tcPr>
            <w:tcW w:w="810" w:type="dxa"/>
            <w:tcBorders>
              <w:top w:val="single" w:sz="12" w:space="0" w:color="auto"/>
              <w:left w:val="nil"/>
              <w:right w:val="nil"/>
            </w:tcBorders>
          </w:tcPr>
          <w:p w:rsidR="00000000" w:rsidRDefault="00000000">
            <w:pPr>
              <w:spacing w:before="120" w:line="240" w:lineRule="auto"/>
              <w:jc w:val="right"/>
              <w:rPr>
                <w:sz w:val="17"/>
              </w:rPr>
            </w:pPr>
            <w:r>
              <w:rPr>
                <w:sz w:val="17"/>
              </w:rPr>
              <w:t>6,1</w:t>
            </w:r>
          </w:p>
        </w:tc>
        <w:tc>
          <w:tcPr>
            <w:tcW w:w="720" w:type="dxa"/>
            <w:tcBorders>
              <w:top w:val="single" w:sz="12" w:space="0" w:color="auto"/>
              <w:left w:val="nil"/>
              <w:right w:val="nil"/>
            </w:tcBorders>
          </w:tcPr>
          <w:p w:rsidR="00000000" w:rsidRDefault="00000000">
            <w:pPr>
              <w:spacing w:before="120" w:line="240" w:lineRule="auto"/>
              <w:jc w:val="right"/>
              <w:rPr>
                <w:sz w:val="17"/>
              </w:rPr>
            </w:pPr>
            <w:r>
              <w:rPr>
                <w:sz w:val="17"/>
              </w:rPr>
              <w:t>5,5</w:t>
            </w:r>
          </w:p>
        </w:tc>
        <w:tc>
          <w:tcPr>
            <w:tcW w:w="675" w:type="dxa"/>
            <w:tcBorders>
              <w:top w:val="single" w:sz="12" w:space="0" w:color="auto"/>
              <w:left w:val="nil"/>
              <w:right w:val="nil"/>
            </w:tcBorders>
          </w:tcPr>
          <w:p w:rsidR="00000000" w:rsidRDefault="00000000">
            <w:pPr>
              <w:spacing w:before="120" w:line="240" w:lineRule="auto"/>
              <w:jc w:val="right"/>
              <w:rPr>
                <w:sz w:val="17"/>
              </w:rPr>
            </w:pPr>
            <w:r>
              <w:rPr>
                <w:sz w:val="17"/>
              </w:rPr>
              <w:t>11,6</w:t>
            </w:r>
          </w:p>
        </w:tc>
        <w:tc>
          <w:tcPr>
            <w:tcW w:w="693" w:type="dxa"/>
            <w:tcBorders>
              <w:top w:val="single" w:sz="12" w:space="0" w:color="auto"/>
              <w:left w:val="nil"/>
              <w:right w:val="nil"/>
            </w:tcBorders>
          </w:tcPr>
          <w:p w:rsidR="00000000" w:rsidRDefault="00000000">
            <w:pPr>
              <w:spacing w:before="120" w:line="240" w:lineRule="auto"/>
              <w:jc w:val="right"/>
              <w:rPr>
                <w:sz w:val="17"/>
              </w:rPr>
            </w:pPr>
            <w:r>
              <w:rPr>
                <w:sz w:val="17"/>
              </w:rPr>
              <w:t>95,3</w:t>
            </w:r>
          </w:p>
        </w:tc>
        <w:tc>
          <w:tcPr>
            <w:tcW w:w="684" w:type="dxa"/>
            <w:tcBorders>
              <w:top w:val="single" w:sz="12" w:space="0" w:color="auto"/>
              <w:left w:val="nil"/>
              <w:right w:val="nil"/>
            </w:tcBorders>
          </w:tcPr>
          <w:p w:rsidR="00000000" w:rsidRDefault="00000000">
            <w:pPr>
              <w:spacing w:before="120" w:line="240" w:lineRule="auto"/>
              <w:jc w:val="right"/>
              <w:rPr>
                <w:sz w:val="17"/>
              </w:rPr>
            </w:pPr>
            <w:r>
              <w:rPr>
                <w:sz w:val="17"/>
              </w:rPr>
              <w:t>79,3</w:t>
            </w:r>
          </w:p>
        </w:tc>
        <w:tc>
          <w:tcPr>
            <w:tcW w:w="648" w:type="dxa"/>
            <w:tcBorders>
              <w:top w:val="single" w:sz="12" w:space="0" w:color="auto"/>
              <w:left w:val="nil"/>
              <w:right w:val="nil"/>
            </w:tcBorders>
          </w:tcPr>
          <w:p w:rsidR="00000000" w:rsidRDefault="00000000">
            <w:pPr>
              <w:spacing w:before="120" w:line="240" w:lineRule="auto"/>
              <w:jc w:val="right"/>
              <w:rPr>
                <w:sz w:val="17"/>
              </w:rPr>
            </w:pPr>
            <w:r>
              <w:rPr>
                <w:sz w:val="17"/>
              </w:rPr>
              <w:t>174,6</w:t>
            </w:r>
          </w:p>
        </w:tc>
      </w:tr>
      <w:tr w:rsidR="00000000">
        <w:tblPrEx>
          <w:tblCellMar>
            <w:top w:w="0" w:type="dxa"/>
            <w:bottom w:w="0" w:type="dxa"/>
          </w:tblCellMar>
        </w:tblPrEx>
        <w:trPr>
          <w:trHeight w:val="330"/>
        </w:trPr>
        <w:tc>
          <w:tcPr>
            <w:tcW w:w="792" w:type="dxa"/>
            <w:tcBorders>
              <w:left w:val="nil"/>
              <w:right w:val="nil"/>
            </w:tcBorders>
          </w:tcPr>
          <w:p w:rsidR="00000000" w:rsidRDefault="00000000">
            <w:pPr>
              <w:spacing w:before="120" w:line="240" w:lineRule="auto"/>
              <w:rPr>
                <w:sz w:val="17"/>
              </w:rPr>
            </w:pPr>
            <w:r>
              <w:rPr>
                <w:sz w:val="17"/>
              </w:rPr>
              <w:t>70-74</w:t>
            </w:r>
          </w:p>
        </w:tc>
        <w:tc>
          <w:tcPr>
            <w:tcW w:w="810" w:type="dxa"/>
            <w:tcBorders>
              <w:left w:val="nil"/>
              <w:right w:val="nil"/>
            </w:tcBorders>
          </w:tcPr>
          <w:p w:rsidR="00000000" w:rsidRDefault="00000000">
            <w:pPr>
              <w:spacing w:before="120" w:line="240" w:lineRule="auto"/>
              <w:jc w:val="right"/>
              <w:rPr>
                <w:sz w:val="17"/>
              </w:rPr>
            </w:pPr>
            <w:r>
              <w:rPr>
                <w:sz w:val="17"/>
              </w:rPr>
              <w:t>1,9</w:t>
            </w:r>
          </w:p>
        </w:tc>
        <w:tc>
          <w:tcPr>
            <w:tcW w:w="810" w:type="dxa"/>
            <w:tcBorders>
              <w:left w:val="nil"/>
              <w:right w:val="nil"/>
            </w:tcBorders>
          </w:tcPr>
          <w:p w:rsidR="00000000" w:rsidRDefault="00000000">
            <w:pPr>
              <w:spacing w:before="120" w:line="240" w:lineRule="auto"/>
              <w:jc w:val="right"/>
              <w:rPr>
                <w:sz w:val="17"/>
              </w:rPr>
            </w:pPr>
            <w:r>
              <w:rPr>
                <w:sz w:val="17"/>
              </w:rPr>
              <w:t>1,3</w:t>
            </w:r>
          </w:p>
        </w:tc>
        <w:tc>
          <w:tcPr>
            <w:tcW w:w="720" w:type="dxa"/>
            <w:tcBorders>
              <w:left w:val="nil"/>
              <w:right w:val="nil"/>
            </w:tcBorders>
          </w:tcPr>
          <w:p w:rsidR="00000000" w:rsidRDefault="00000000">
            <w:pPr>
              <w:spacing w:before="120" w:line="240" w:lineRule="auto"/>
              <w:jc w:val="right"/>
              <w:rPr>
                <w:sz w:val="17"/>
              </w:rPr>
            </w:pPr>
            <w:r>
              <w:rPr>
                <w:sz w:val="17"/>
              </w:rPr>
              <w:t>3,2</w:t>
            </w:r>
          </w:p>
        </w:tc>
        <w:tc>
          <w:tcPr>
            <w:tcW w:w="810" w:type="dxa"/>
            <w:tcBorders>
              <w:left w:val="nil"/>
              <w:right w:val="nil"/>
            </w:tcBorders>
          </w:tcPr>
          <w:p w:rsidR="00000000" w:rsidRDefault="00000000">
            <w:pPr>
              <w:spacing w:before="120" w:line="240" w:lineRule="auto"/>
              <w:jc w:val="right"/>
              <w:rPr>
                <w:sz w:val="17"/>
              </w:rPr>
            </w:pPr>
            <w:r>
              <w:rPr>
                <w:sz w:val="17"/>
              </w:rPr>
              <w:t>4,2</w:t>
            </w:r>
          </w:p>
        </w:tc>
        <w:tc>
          <w:tcPr>
            <w:tcW w:w="720" w:type="dxa"/>
            <w:tcBorders>
              <w:left w:val="nil"/>
              <w:right w:val="nil"/>
            </w:tcBorders>
          </w:tcPr>
          <w:p w:rsidR="00000000" w:rsidRDefault="00000000">
            <w:pPr>
              <w:spacing w:before="120" w:line="240" w:lineRule="auto"/>
              <w:jc w:val="right"/>
              <w:rPr>
                <w:sz w:val="17"/>
              </w:rPr>
            </w:pPr>
            <w:r>
              <w:rPr>
                <w:sz w:val="17"/>
              </w:rPr>
              <w:t>3,3</w:t>
            </w:r>
          </w:p>
        </w:tc>
        <w:tc>
          <w:tcPr>
            <w:tcW w:w="675" w:type="dxa"/>
            <w:tcBorders>
              <w:left w:val="nil"/>
              <w:right w:val="nil"/>
            </w:tcBorders>
          </w:tcPr>
          <w:p w:rsidR="00000000" w:rsidRDefault="00000000">
            <w:pPr>
              <w:spacing w:before="120" w:line="240" w:lineRule="auto"/>
              <w:jc w:val="right"/>
              <w:rPr>
                <w:sz w:val="17"/>
              </w:rPr>
            </w:pPr>
            <w:r>
              <w:rPr>
                <w:sz w:val="17"/>
              </w:rPr>
              <w:t>7,5</w:t>
            </w:r>
          </w:p>
        </w:tc>
        <w:tc>
          <w:tcPr>
            <w:tcW w:w="693" w:type="dxa"/>
            <w:tcBorders>
              <w:left w:val="nil"/>
              <w:right w:val="nil"/>
            </w:tcBorders>
          </w:tcPr>
          <w:p w:rsidR="00000000" w:rsidRDefault="00000000">
            <w:pPr>
              <w:spacing w:before="120" w:line="240" w:lineRule="auto"/>
              <w:jc w:val="right"/>
              <w:rPr>
                <w:sz w:val="17"/>
              </w:rPr>
            </w:pPr>
            <w:r>
              <w:rPr>
                <w:sz w:val="17"/>
              </w:rPr>
              <w:t>85,0</w:t>
            </w:r>
          </w:p>
        </w:tc>
        <w:tc>
          <w:tcPr>
            <w:tcW w:w="684" w:type="dxa"/>
            <w:tcBorders>
              <w:left w:val="nil"/>
              <w:right w:val="nil"/>
            </w:tcBorders>
          </w:tcPr>
          <w:p w:rsidR="00000000" w:rsidRDefault="00000000">
            <w:pPr>
              <w:spacing w:before="120" w:line="240" w:lineRule="auto"/>
              <w:jc w:val="right"/>
              <w:rPr>
                <w:sz w:val="17"/>
              </w:rPr>
            </w:pPr>
            <w:r>
              <w:rPr>
                <w:sz w:val="17"/>
              </w:rPr>
              <w:t>65,7</w:t>
            </w:r>
          </w:p>
        </w:tc>
        <w:tc>
          <w:tcPr>
            <w:tcW w:w="648" w:type="dxa"/>
            <w:tcBorders>
              <w:left w:val="nil"/>
              <w:right w:val="nil"/>
            </w:tcBorders>
          </w:tcPr>
          <w:p w:rsidR="00000000" w:rsidRDefault="00000000">
            <w:pPr>
              <w:spacing w:before="120" w:line="240" w:lineRule="auto"/>
              <w:jc w:val="right"/>
              <w:rPr>
                <w:sz w:val="17"/>
              </w:rPr>
            </w:pPr>
            <w:r>
              <w:rPr>
                <w:sz w:val="17"/>
              </w:rPr>
              <w:t>150,7</w:t>
            </w:r>
          </w:p>
        </w:tc>
      </w:tr>
      <w:tr w:rsidR="00000000">
        <w:tblPrEx>
          <w:tblCellMar>
            <w:top w:w="0" w:type="dxa"/>
            <w:bottom w:w="0" w:type="dxa"/>
          </w:tblCellMar>
        </w:tblPrEx>
        <w:trPr>
          <w:trHeight w:val="330"/>
        </w:trPr>
        <w:tc>
          <w:tcPr>
            <w:tcW w:w="792" w:type="dxa"/>
            <w:tcBorders>
              <w:left w:val="nil"/>
              <w:right w:val="nil"/>
            </w:tcBorders>
          </w:tcPr>
          <w:p w:rsidR="00000000" w:rsidRDefault="00000000">
            <w:pPr>
              <w:spacing w:before="120" w:line="240" w:lineRule="auto"/>
              <w:rPr>
                <w:sz w:val="17"/>
              </w:rPr>
            </w:pPr>
            <w:r>
              <w:rPr>
                <w:sz w:val="17"/>
              </w:rPr>
              <w:t>75-79</w:t>
            </w:r>
          </w:p>
        </w:tc>
        <w:tc>
          <w:tcPr>
            <w:tcW w:w="810" w:type="dxa"/>
            <w:tcBorders>
              <w:left w:val="nil"/>
              <w:right w:val="nil"/>
            </w:tcBorders>
          </w:tcPr>
          <w:p w:rsidR="00000000" w:rsidRDefault="00000000">
            <w:pPr>
              <w:spacing w:before="120" w:line="240" w:lineRule="auto"/>
              <w:jc w:val="right"/>
              <w:rPr>
                <w:sz w:val="17"/>
              </w:rPr>
            </w:pPr>
            <w:r>
              <w:rPr>
                <w:sz w:val="17"/>
              </w:rPr>
              <w:t>1,4</w:t>
            </w:r>
          </w:p>
        </w:tc>
        <w:tc>
          <w:tcPr>
            <w:tcW w:w="810" w:type="dxa"/>
            <w:tcBorders>
              <w:left w:val="nil"/>
              <w:right w:val="nil"/>
            </w:tcBorders>
          </w:tcPr>
          <w:p w:rsidR="00000000" w:rsidRDefault="00000000">
            <w:pPr>
              <w:spacing w:before="120" w:line="240" w:lineRule="auto"/>
              <w:jc w:val="right"/>
              <w:rPr>
                <w:sz w:val="17"/>
              </w:rPr>
            </w:pPr>
            <w:r>
              <w:rPr>
                <w:sz w:val="17"/>
              </w:rPr>
              <w:t>0,8</w:t>
            </w:r>
          </w:p>
        </w:tc>
        <w:tc>
          <w:tcPr>
            <w:tcW w:w="720" w:type="dxa"/>
            <w:tcBorders>
              <w:left w:val="nil"/>
              <w:right w:val="nil"/>
            </w:tcBorders>
          </w:tcPr>
          <w:p w:rsidR="00000000" w:rsidRDefault="00000000">
            <w:pPr>
              <w:spacing w:before="120" w:line="240" w:lineRule="auto"/>
              <w:jc w:val="right"/>
              <w:rPr>
                <w:sz w:val="17"/>
              </w:rPr>
            </w:pPr>
            <w:r>
              <w:rPr>
                <w:sz w:val="17"/>
              </w:rPr>
              <w:t>2,2</w:t>
            </w:r>
          </w:p>
        </w:tc>
        <w:tc>
          <w:tcPr>
            <w:tcW w:w="810" w:type="dxa"/>
            <w:tcBorders>
              <w:left w:val="nil"/>
              <w:right w:val="nil"/>
            </w:tcBorders>
          </w:tcPr>
          <w:p w:rsidR="00000000" w:rsidRDefault="00000000">
            <w:pPr>
              <w:spacing w:before="120" w:line="240" w:lineRule="auto"/>
              <w:jc w:val="right"/>
              <w:rPr>
                <w:sz w:val="17"/>
              </w:rPr>
            </w:pPr>
            <w:r>
              <w:rPr>
                <w:sz w:val="17"/>
              </w:rPr>
              <w:t>2,6</w:t>
            </w:r>
          </w:p>
        </w:tc>
        <w:tc>
          <w:tcPr>
            <w:tcW w:w="720" w:type="dxa"/>
            <w:tcBorders>
              <w:left w:val="nil"/>
              <w:right w:val="nil"/>
            </w:tcBorders>
          </w:tcPr>
          <w:p w:rsidR="00000000" w:rsidRDefault="00000000">
            <w:pPr>
              <w:spacing w:before="120" w:line="240" w:lineRule="auto"/>
              <w:jc w:val="right"/>
              <w:rPr>
                <w:sz w:val="17"/>
              </w:rPr>
            </w:pPr>
            <w:r>
              <w:rPr>
                <w:sz w:val="17"/>
              </w:rPr>
              <w:t>1,9</w:t>
            </w:r>
          </w:p>
        </w:tc>
        <w:tc>
          <w:tcPr>
            <w:tcW w:w="675" w:type="dxa"/>
            <w:tcBorders>
              <w:left w:val="nil"/>
              <w:right w:val="nil"/>
            </w:tcBorders>
          </w:tcPr>
          <w:p w:rsidR="00000000" w:rsidRDefault="00000000">
            <w:pPr>
              <w:spacing w:before="120" w:line="240" w:lineRule="auto"/>
              <w:jc w:val="right"/>
              <w:rPr>
                <w:sz w:val="17"/>
              </w:rPr>
            </w:pPr>
            <w:r>
              <w:rPr>
                <w:sz w:val="17"/>
              </w:rPr>
              <w:t>4,5</w:t>
            </w:r>
          </w:p>
        </w:tc>
        <w:tc>
          <w:tcPr>
            <w:tcW w:w="693" w:type="dxa"/>
            <w:tcBorders>
              <w:left w:val="nil"/>
              <w:right w:val="nil"/>
            </w:tcBorders>
          </w:tcPr>
          <w:p w:rsidR="00000000" w:rsidRDefault="00000000">
            <w:pPr>
              <w:spacing w:before="120" w:line="240" w:lineRule="auto"/>
              <w:jc w:val="right"/>
              <w:rPr>
                <w:sz w:val="17"/>
              </w:rPr>
            </w:pPr>
            <w:r>
              <w:rPr>
                <w:sz w:val="17"/>
              </w:rPr>
              <w:t>78,8</w:t>
            </w:r>
          </w:p>
        </w:tc>
        <w:tc>
          <w:tcPr>
            <w:tcW w:w="684" w:type="dxa"/>
            <w:tcBorders>
              <w:left w:val="nil"/>
              <w:right w:val="nil"/>
            </w:tcBorders>
          </w:tcPr>
          <w:p w:rsidR="00000000" w:rsidRDefault="00000000">
            <w:pPr>
              <w:spacing w:before="120" w:line="240" w:lineRule="auto"/>
              <w:jc w:val="right"/>
              <w:rPr>
                <w:sz w:val="17"/>
              </w:rPr>
            </w:pPr>
            <w:r>
              <w:rPr>
                <w:sz w:val="17"/>
              </w:rPr>
              <w:t>53,6</w:t>
            </w:r>
          </w:p>
        </w:tc>
        <w:tc>
          <w:tcPr>
            <w:tcW w:w="648" w:type="dxa"/>
            <w:tcBorders>
              <w:left w:val="nil"/>
              <w:right w:val="nil"/>
            </w:tcBorders>
          </w:tcPr>
          <w:p w:rsidR="00000000" w:rsidRDefault="00000000">
            <w:pPr>
              <w:spacing w:before="120" w:line="240" w:lineRule="auto"/>
              <w:jc w:val="right"/>
              <w:rPr>
                <w:sz w:val="17"/>
              </w:rPr>
            </w:pPr>
            <w:r>
              <w:rPr>
                <w:sz w:val="17"/>
              </w:rPr>
              <w:t>132,5</w:t>
            </w:r>
          </w:p>
        </w:tc>
      </w:tr>
      <w:tr w:rsidR="00000000">
        <w:tblPrEx>
          <w:tblCellMar>
            <w:top w:w="0" w:type="dxa"/>
            <w:bottom w:w="0" w:type="dxa"/>
          </w:tblCellMar>
        </w:tblPrEx>
        <w:trPr>
          <w:trHeight w:val="330"/>
        </w:trPr>
        <w:tc>
          <w:tcPr>
            <w:tcW w:w="792" w:type="dxa"/>
            <w:tcBorders>
              <w:left w:val="nil"/>
              <w:right w:val="nil"/>
            </w:tcBorders>
          </w:tcPr>
          <w:p w:rsidR="00000000" w:rsidRDefault="00000000">
            <w:pPr>
              <w:spacing w:before="120" w:line="240" w:lineRule="auto"/>
              <w:rPr>
                <w:sz w:val="17"/>
              </w:rPr>
            </w:pPr>
            <w:r>
              <w:rPr>
                <w:sz w:val="17"/>
              </w:rPr>
              <w:t>80-84</w:t>
            </w:r>
          </w:p>
        </w:tc>
        <w:tc>
          <w:tcPr>
            <w:tcW w:w="810" w:type="dxa"/>
            <w:tcBorders>
              <w:left w:val="nil"/>
              <w:right w:val="nil"/>
            </w:tcBorders>
          </w:tcPr>
          <w:p w:rsidR="00000000" w:rsidRDefault="00000000">
            <w:pPr>
              <w:spacing w:before="120" w:line="240" w:lineRule="auto"/>
              <w:jc w:val="right"/>
              <w:rPr>
                <w:sz w:val="17"/>
              </w:rPr>
            </w:pPr>
            <w:r>
              <w:rPr>
                <w:sz w:val="17"/>
              </w:rPr>
              <w:t>0,7</w:t>
            </w:r>
          </w:p>
        </w:tc>
        <w:tc>
          <w:tcPr>
            <w:tcW w:w="810" w:type="dxa"/>
            <w:tcBorders>
              <w:left w:val="nil"/>
              <w:right w:val="nil"/>
            </w:tcBorders>
          </w:tcPr>
          <w:p w:rsidR="00000000" w:rsidRDefault="00000000">
            <w:pPr>
              <w:spacing w:before="120" w:line="240" w:lineRule="auto"/>
              <w:jc w:val="right"/>
              <w:rPr>
                <w:sz w:val="17"/>
              </w:rPr>
            </w:pPr>
            <w:r>
              <w:rPr>
                <w:sz w:val="17"/>
              </w:rPr>
              <w:t>0,4</w:t>
            </w:r>
          </w:p>
        </w:tc>
        <w:tc>
          <w:tcPr>
            <w:tcW w:w="720" w:type="dxa"/>
            <w:tcBorders>
              <w:left w:val="nil"/>
              <w:right w:val="nil"/>
            </w:tcBorders>
          </w:tcPr>
          <w:p w:rsidR="00000000" w:rsidRDefault="00000000">
            <w:pPr>
              <w:spacing w:before="120" w:line="240" w:lineRule="auto"/>
              <w:jc w:val="right"/>
              <w:rPr>
                <w:sz w:val="17"/>
              </w:rPr>
            </w:pPr>
            <w:r>
              <w:rPr>
                <w:sz w:val="17"/>
              </w:rPr>
              <w:t>1,2</w:t>
            </w:r>
          </w:p>
        </w:tc>
        <w:tc>
          <w:tcPr>
            <w:tcW w:w="810" w:type="dxa"/>
            <w:tcBorders>
              <w:left w:val="nil"/>
              <w:right w:val="nil"/>
            </w:tcBorders>
          </w:tcPr>
          <w:p w:rsidR="00000000" w:rsidRDefault="00000000">
            <w:pPr>
              <w:spacing w:before="120" w:line="240" w:lineRule="auto"/>
              <w:jc w:val="right"/>
              <w:rPr>
                <w:sz w:val="17"/>
              </w:rPr>
            </w:pPr>
            <w:r>
              <w:rPr>
                <w:sz w:val="17"/>
              </w:rPr>
              <w:t>1,3</w:t>
            </w:r>
          </w:p>
        </w:tc>
        <w:tc>
          <w:tcPr>
            <w:tcW w:w="720" w:type="dxa"/>
            <w:tcBorders>
              <w:left w:val="nil"/>
              <w:right w:val="nil"/>
            </w:tcBorders>
          </w:tcPr>
          <w:p w:rsidR="00000000" w:rsidRDefault="00000000">
            <w:pPr>
              <w:spacing w:before="120" w:line="240" w:lineRule="auto"/>
              <w:jc w:val="right"/>
              <w:rPr>
                <w:sz w:val="17"/>
              </w:rPr>
            </w:pPr>
            <w:r>
              <w:rPr>
                <w:sz w:val="17"/>
              </w:rPr>
              <w:t>1,1</w:t>
            </w:r>
          </w:p>
        </w:tc>
        <w:tc>
          <w:tcPr>
            <w:tcW w:w="675" w:type="dxa"/>
            <w:tcBorders>
              <w:left w:val="nil"/>
              <w:right w:val="nil"/>
            </w:tcBorders>
          </w:tcPr>
          <w:p w:rsidR="00000000" w:rsidRDefault="00000000">
            <w:pPr>
              <w:spacing w:before="120" w:line="240" w:lineRule="auto"/>
              <w:jc w:val="right"/>
              <w:rPr>
                <w:sz w:val="17"/>
              </w:rPr>
            </w:pPr>
            <w:r>
              <w:rPr>
                <w:sz w:val="17"/>
              </w:rPr>
              <w:t>2,4</w:t>
            </w:r>
          </w:p>
        </w:tc>
        <w:tc>
          <w:tcPr>
            <w:tcW w:w="693" w:type="dxa"/>
            <w:tcBorders>
              <w:left w:val="nil"/>
              <w:right w:val="nil"/>
            </w:tcBorders>
          </w:tcPr>
          <w:p w:rsidR="00000000" w:rsidRDefault="00000000">
            <w:pPr>
              <w:spacing w:before="120" w:line="240" w:lineRule="auto"/>
              <w:jc w:val="right"/>
              <w:rPr>
                <w:sz w:val="17"/>
              </w:rPr>
            </w:pPr>
            <w:r>
              <w:rPr>
                <w:sz w:val="17"/>
              </w:rPr>
              <w:t>50,7</w:t>
            </w:r>
          </w:p>
        </w:tc>
        <w:tc>
          <w:tcPr>
            <w:tcW w:w="684" w:type="dxa"/>
            <w:tcBorders>
              <w:left w:val="nil"/>
              <w:right w:val="nil"/>
            </w:tcBorders>
          </w:tcPr>
          <w:p w:rsidR="00000000" w:rsidRDefault="00000000">
            <w:pPr>
              <w:spacing w:before="120" w:line="240" w:lineRule="auto"/>
              <w:jc w:val="right"/>
              <w:rPr>
                <w:sz w:val="17"/>
              </w:rPr>
            </w:pPr>
            <w:r>
              <w:rPr>
                <w:sz w:val="17"/>
              </w:rPr>
              <w:t>363</w:t>
            </w:r>
          </w:p>
        </w:tc>
        <w:tc>
          <w:tcPr>
            <w:tcW w:w="648" w:type="dxa"/>
            <w:tcBorders>
              <w:left w:val="nil"/>
              <w:right w:val="nil"/>
            </w:tcBorders>
          </w:tcPr>
          <w:p w:rsidR="00000000" w:rsidRDefault="00000000">
            <w:pPr>
              <w:spacing w:before="120" w:line="240" w:lineRule="auto"/>
              <w:jc w:val="right"/>
              <w:rPr>
                <w:sz w:val="17"/>
              </w:rPr>
            </w:pPr>
            <w:r>
              <w:rPr>
                <w:sz w:val="17"/>
              </w:rPr>
              <w:t>87,0</w:t>
            </w:r>
          </w:p>
        </w:tc>
      </w:tr>
      <w:tr w:rsidR="00000000">
        <w:tblPrEx>
          <w:tblCellMar>
            <w:top w:w="0" w:type="dxa"/>
            <w:bottom w:w="0" w:type="dxa"/>
          </w:tblCellMar>
        </w:tblPrEx>
        <w:trPr>
          <w:trHeight w:val="330"/>
        </w:trPr>
        <w:tc>
          <w:tcPr>
            <w:tcW w:w="792" w:type="dxa"/>
            <w:tcBorders>
              <w:left w:val="nil"/>
              <w:bottom w:val="single" w:sz="4" w:space="0" w:color="auto"/>
              <w:right w:val="nil"/>
            </w:tcBorders>
          </w:tcPr>
          <w:p w:rsidR="00000000" w:rsidRDefault="00000000">
            <w:pPr>
              <w:spacing w:before="120" w:line="240" w:lineRule="auto"/>
              <w:rPr>
                <w:sz w:val="17"/>
              </w:rPr>
            </w:pPr>
            <w:r>
              <w:rPr>
                <w:sz w:val="17"/>
              </w:rPr>
              <w:t>85-89</w:t>
            </w:r>
          </w:p>
        </w:tc>
        <w:tc>
          <w:tcPr>
            <w:tcW w:w="810" w:type="dxa"/>
            <w:tcBorders>
              <w:left w:val="nil"/>
              <w:bottom w:val="single" w:sz="4" w:space="0" w:color="auto"/>
              <w:right w:val="nil"/>
            </w:tcBorders>
          </w:tcPr>
          <w:p w:rsidR="00000000" w:rsidRDefault="00000000">
            <w:pPr>
              <w:spacing w:before="120" w:line="240" w:lineRule="auto"/>
              <w:jc w:val="right"/>
              <w:rPr>
                <w:sz w:val="17"/>
              </w:rPr>
            </w:pPr>
            <w:r>
              <w:rPr>
                <w:sz w:val="17"/>
              </w:rPr>
              <w:t>0,3</w:t>
            </w:r>
          </w:p>
        </w:tc>
        <w:tc>
          <w:tcPr>
            <w:tcW w:w="810" w:type="dxa"/>
            <w:tcBorders>
              <w:left w:val="nil"/>
              <w:bottom w:val="single" w:sz="4" w:space="0" w:color="auto"/>
              <w:right w:val="nil"/>
            </w:tcBorders>
          </w:tcPr>
          <w:p w:rsidR="00000000" w:rsidRDefault="00000000">
            <w:pPr>
              <w:spacing w:before="120" w:line="240" w:lineRule="auto"/>
              <w:jc w:val="right"/>
              <w:rPr>
                <w:sz w:val="17"/>
              </w:rPr>
            </w:pPr>
            <w:r>
              <w:rPr>
                <w:sz w:val="17"/>
              </w:rPr>
              <w:t>0,2</w:t>
            </w:r>
          </w:p>
        </w:tc>
        <w:tc>
          <w:tcPr>
            <w:tcW w:w="720" w:type="dxa"/>
            <w:tcBorders>
              <w:left w:val="nil"/>
              <w:bottom w:val="single" w:sz="4" w:space="0" w:color="auto"/>
              <w:right w:val="nil"/>
            </w:tcBorders>
          </w:tcPr>
          <w:p w:rsidR="00000000" w:rsidRDefault="00000000">
            <w:pPr>
              <w:spacing w:before="120" w:line="240" w:lineRule="auto"/>
              <w:jc w:val="right"/>
              <w:rPr>
                <w:sz w:val="17"/>
              </w:rPr>
            </w:pPr>
            <w:r>
              <w:rPr>
                <w:sz w:val="17"/>
              </w:rPr>
              <w:t>0,4</w:t>
            </w:r>
          </w:p>
        </w:tc>
        <w:tc>
          <w:tcPr>
            <w:tcW w:w="810" w:type="dxa"/>
            <w:tcBorders>
              <w:left w:val="nil"/>
              <w:bottom w:val="single" w:sz="4" w:space="0" w:color="auto"/>
              <w:right w:val="nil"/>
            </w:tcBorders>
          </w:tcPr>
          <w:p w:rsidR="00000000" w:rsidRDefault="00000000">
            <w:pPr>
              <w:spacing w:before="120" w:line="240" w:lineRule="auto"/>
              <w:jc w:val="right"/>
              <w:rPr>
                <w:sz w:val="17"/>
              </w:rPr>
            </w:pPr>
            <w:r>
              <w:rPr>
                <w:sz w:val="17"/>
              </w:rPr>
              <w:t>0,6</w:t>
            </w:r>
          </w:p>
        </w:tc>
        <w:tc>
          <w:tcPr>
            <w:tcW w:w="720" w:type="dxa"/>
            <w:tcBorders>
              <w:left w:val="nil"/>
              <w:bottom w:val="single" w:sz="4" w:space="0" w:color="auto"/>
              <w:right w:val="nil"/>
            </w:tcBorders>
          </w:tcPr>
          <w:p w:rsidR="00000000" w:rsidRDefault="00000000">
            <w:pPr>
              <w:spacing w:before="120" w:line="240" w:lineRule="auto"/>
              <w:jc w:val="right"/>
              <w:rPr>
                <w:sz w:val="17"/>
              </w:rPr>
            </w:pPr>
            <w:r>
              <w:rPr>
                <w:sz w:val="17"/>
              </w:rPr>
              <w:t>0,7</w:t>
            </w:r>
          </w:p>
        </w:tc>
        <w:tc>
          <w:tcPr>
            <w:tcW w:w="675" w:type="dxa"/>
            <w:tcBorders>
              <w:left w:val="nil"/>
              <w:bottom w:val="single" w:sz="4" w:space="0" w:color="auto"/>
              <w:right w:val="nil"/>
            </w:tcBorders>
          </w:tcPr>
          <w:p w:rsidR="00000000" w:rsidRDefault="00000000">
            <w:pPr>
              <w:spacing w:before="120" w:line="240" w:lineRule="auto"/>
              <w:jc w:val="right"/>
              <w:rPr>
                <w:sz w:val="17"/>
              </w:rPr>
            </w:pPr>
            <w:r>
              <w:rPr>
                <w:sz w:val="17"/>
              </w:rPr>
              <w:t>1,2</w:t>
            </w:r>
          </w:p>
        </w:tc>
        <w:tc>
          <w:tcPr>
            <w:tcW w:w="693" w:type="dxa"/>
            <w:tcBorders>
              <w:left w:val="nil"/>
              <w:bottom w:val="single" w:sz="4" w:space="0" w:color="auto"/>
              <w:right w:val="nil"/>
            </w:tcBorders>
          </w:tcPr>
          <w:p w:rsidR="00000000" w:rsidRDefault="00000000">
            <w:pPr>
              <w:spacing w:before="120" w:line="240" w:lineRule="auto"/>
              <w:jc w:val="right"/>
              <w:rPr>
                <w:sz w:val="17"/>
              </w:rPr>
            </w:pPr>
            <w:r>
              <w:rPr>
                <w:sz w:val="17"/>
              </w:rPr>
              <w:t>24,3</w:t>
            </w:r>
          </w:p>
        </w:tc>
        <w:tc>
          <w:tcPr>
            <w:tcW w:w="684" w:type="dxa"/>
            <w:tcBorders>
              <w:left w:val="nil"/>
              <w:bottom w:val="single" w:sz="4" w:space="0" w:color="auto"/>
              <w:right w:val="nil"/>
            </w:tcBorders>
          </w:tcPr>
          <w:p w:rsidR="00000000" w:rsidRDefault="00000000">
            <w:pPr>
              <w:spacing w:before="120" w:line="240" w:lineRule="auto"/>
              <w:jc w:val="right"/>
              <w:rPr>
                <w:sz w:val="17"/>
              </w:rPr>
            </w:pPr>
            <w:r>
              <w:rPr>
                <w:sz w:val="17"/>
              </w:rPr>
              <w:t>14,7</w:t>
            </w:r>
          </w:p>
        </w:tc>
        <w:tc>
          <w:tcPr>
            <w:tcW w:w="648" w:type="dxa"/>
            <w:tcBorders>
              <w:left w:val="nil"/>
              <w:bottom w:val="single" w:sz="4" w:space="0" w:color="auto"/>
              <w:right w:val="nil"/>
            </w:tcBorders>
          </w:tcPr>
          <w:p w:rsidR="00000000" w:rsidRDefault="00000000">
            <w:pPr>
              <w:spacing w:before="120" w:line="240" w:lineRule="auto"/>
              <w:jc w:val="right"/>
              <w:rPr>
                <w:sz w:val="17"/>
              </w:rPr>
            </w:pPr>
            <w:r>
              <w:rPr>
                <w:sz w:val="17"/>
              </w:rPr>
              <w:t>39,0</w:t>
            </w:r>
          </w:p>
        </w:tc>
      </w:tr>
      <w:tr w:rsidR="00000000">
        <w:tblPrEx>
          <w:tblCellMar>
            <w:top w:w="0" w:type="dxa"/>
            <w:bottom w:w="0" w:type="dxa"/>
          </w:tblCellMar>
        </w:tblPrEx>
        <w:trPr>
          <w:trHeight w:val="330"/>
        </w:trPr>
        <w:tc>
          <w:tcPr>
            <w:tcW w:w="792" w:type="dxa"/>
            <w:tcBorders>
              <w:left w:val="nil"/>
              <w:bottom w:val="single" w:sz="12" w:space="0" w:color="auto"/>
              <w:right w:val="nil"/>
            </w:tcBorders>
          </w:tcPr>
          <w:p w:rsidR="00000000" w:rsidRDefault="00000000">
            <w:pPr>
              <w:spacing w:before="120" w:line="240" w:lineRule="auto"/>
              <w:rPr>
                <w:sz w:val="17"/>
              </w:rPr>
            </w:pPr>
            <w:r>
              <w:rPr>
                <w:sz w:val="17"/>
              </w:rPr>
              <w:t>90+</w:t>
            </w:r>
          </w:p>
        </w:tc>
        <w:tc>
          <w:tcPr>
            <w:tcW w:w="810" w:type="dxa"/>
            <w:tcBorders>
              <w:left w:val="nil"/>
              <w:bottom w:val="single" w:sz="12" w:space="0" w:color="auto"/>
              <w:right w:val="nil"/>
            </w:tcBorders>
          </w:tcPr>
          <w:p w:rsidR="00000000" w:rsidRDefault="00000000">
            <w:pPr>
              <w:spacing w:before="120" w:line="240" w:lineRule="auto"/>
              <w:jc w:val="right"/>
              <w:rPr>
                <w:sz w:val="17"/>
              </w:rPr>
            </w:pPr>
            <w:r>
              <w:rPr>
                <w:sz w:val="17"/>
              </w:rPr>
              <w:t>0,2</w:t>
            </w:r>
          </w:p>
        </w:tc>
        <w:tc>
          <w:tcPr>
            <w:tcW w:w="810" w:type="dxa"/>
            <w:tcBorders>
              <w:left w:val="nil"/>
              <w:bottom w:val="single" w:sz="12" w:space="0" w:color="auto"/>
              <w:right w:val="nil"/>
            </w:tcBorders>
          </w:tcPr>
          <w:p w:rsidR="00000000" w:rsidRDefault="00000000">
            <w:pPr>
              <w:spacing w:before="120" w:line="240" w:lineRule="auto"/>
              <w:jc w:val="right"/>
              <w:rPr>
                <w:sz w:val="17"/>
              </w:rPr>
            </w:pPr>
            <w:r>
              <w:rPr>
                <w:sz w:val="17"/>
              </w:rPr>
              <w:t>0,1</w:t>
            </w:r>
          </w:p>
        </w:tc>
        <w:tc>
          <w:tcPr>
            <w:tcW w:w="720" w:type="dxa"/>
            <w:tcBorders>
              <w:left w:val="nil"/>
              <w:bottom w:val="single" w:sz="12" w:space="0" w:color="auto"/>
              <w:right w:val="nil"/>
            </w:tcBorders>
          </w:tcPr>
          <w:p w:rsidR="00000000" w:rsidRDefault="00000000">
            <w:pPr>
              <w:spacing w:before="120" w:line="240" w:lineRule="auto"/>
              <w:jc w:val="right"/>
              <w:rPr>
                <w:sz w:val="17"/>
              </w:rPr>
            </w:pPr>
            <w:r>
              <w:rPr>
                <w:sz w:val="17"/>
              </w:rPr>
              <w:t>0,3</w:t>
            </w:r>
          </w:p>
        </w:tc>
        <w:tc>
          <w:tcPr>
            <w:tcW w:w="810" w:type="dxa"/>
            <w:tcBorders>
              <w:left w:val="nil"/>
              <w:bottom w:val="single" w:sz="12" w:space="0" w:color="auto"/>
              <w:right w:val="nil"/>
            </w:tcBorders>
          </w:tcPr>
          <w:p w:rsidR="00000000" w:rsidRDefault="00000000">
            <w:pPr>
              <w:spacing w:before="120" w:line="240" w:lineRule="auto"/>
              <w:jc w:val="right"/>
              <w:rPr>
                <w:sz w:val="17"/>
              </w:rPr>
            </w:pPr>
            <w:r>
              <w:rPr>
                <w:sz w:val="17"/>
              </w:rPr>
              <w:t>0,3</w:t>
            </w:r>
          </w:p>
        </w:tc>
        <w:tc>
          <w:tcPr>
            <w:tcW w:w="720" w:type="dxa"/>
            <w:tcBorders>
              <w:left w:val="nil"/>
              <w:bottom w:val="single" w:sz="12" w:space="0" w:color="auto"/>
              <w:right w:val="nil"/>
            </w:tcBorders>
          </w:tcPr>
          <w:p w:rsidR="00000000" w:rsidRDefault="00000000">
            <w:pPr>
              <w:spacing w:before="120" w:line="240" w:lineRule="auto"/>
              <w:jc w:val="right"/>
              <w:rPr>
                <w:sz w:val="17"/>
              </w:rPr>
            </w:pPr>
            <w:r>
              <w:rPr>
                <w:sz w:val="17"/>
              </w:rPr>
              <w:t>0,4</w:t>
            </w:r>
          </w:p>
        </w:tc>
        <w:tc>
          <w:tcPr>
            <w:tcW w:w="675" w:type="dxa"/>
            <w:tcBorders>
              <w:left w:val="nil"/>
              <w:bottom w:val="single" w:sz="12" w:space="0" w:color="auto"/>
              <w:right w:val="nil"/>
            </w:tcBorders>
          </w:tcPr>
          <w:p w:rsidR="00000000" w:rsidRDefault="00000000">
            <w:pPr>
              <w:spacing w:before="120" w:line="240" w:lineRule="auto"/>
              <w:jc w:val="right"/>
              <w:rPr>
                <w:sz w:val="17"/>
              </w:rPr>
            </w:pPr>
            <w:r>
              <w:rPr>
                <w:sz w:val="17"/>
              </w:rPr>
              <w:t>0,8</w:t>
            </w:r>
          </w:p>
        </w:tc>
        <w:tc>
          <w:tcPr>
            <w:tcW w:w="693" w:type="dxa"/>
            <w:tcBorders>
              <w:left w:val="nil"/>
              <w:bottom w:val="single" w:sz="12" w:space="0" w:color="auto"/>
              <w:right w:val="nil"/>
            </w:tcBorders>
          </w:tcPr>
          <w:p w:rsidR="00000000" w:rsidRDefault="00000000">
            <w:pPr>
              <w:spacing w:before="120" w:line="240" w:lineRule="auto"/>
              <w:jc w:val="right"/>
              <w:rPr>
                <w:sz w:val="17"/>
              </w:rPr>
            </w:pPr>
            <w:r>
              <w:rPr>
                <w:sz w:val="17"/>
              </w:rPr>
              <w:t>13,8</w:t>
            </w:r>
          </w:p>
        </w:tc>
        <w:tc>
          <w:tcPr>
            <w:tcW w:w="684" w:type="dxa"/>
            <w:tcBorders>
              <w:left w:val="nil"/>
              <w:bottom w:val="single" w:sz="12" w:space="0" w:color="auto"/>
              <w:right w:val="nil"/>
            </w:tcBorders>
          </w:tcPr>
          <w:p w:rsidR="00000000" w:rsidRDefault="00000000">
            <w:pPr>
              <w:spacing w:before="120" w:line="240" w:lineRule="auto"/>
              <w:jc w:val="right"/>
              <w:rPr>
                <w:sz w:val="17"/>
              </w:rPr>
            </w:pPr>
            <w:r>
              <w:rPr>
                <w:sz w:val="17"/>
              </w:rPr>
              <w:t>8,0</w:t>
            </w:r>
          </w:p>
        </w:tc>
        <w:tc>
          <w:tcPr>
            <w:tcW w:w="648" w:type="dxa"/>
            <w:tcBorders>
              <w:left w:val="nil"/>
              <w:bottom w:val="single" w:sz="12" w:space="0" w:color="auto"/>
              <w:right w:val="nil"/>
            </w:tcBorders>
          </w:tcPr>
          <w:p w:rsidR="00000000" w:rsidRDefault="00000000">
            <w:pPr>
              <w:spacing w:before="120" w:line="240" w:lineRule="auto"/>
              <w:jc w:val="right"/>
              <w:rPr>
                <w:sz w:val="17"/>
              </w:rPr>
            </w:pPr>
            <w:r>
              <w:rPr>
                <w:sz w:val="17"/>
              </w:rPr>
              <w:t>21,8</w:t>
            </w:r>
          </w:p>
        </w:tc>
      </w:tr>
    </w:tbl>
    <w:p w:rsidR="00000000" w:rsidRDefault="00000000">
      <w:pPr>
        <w:pStyle w:val="H56"/>
        <w:spacing w:after="120" w:line="240" w:lineRule="auto"/>
        <w:ind w:left="1267" w:right="1267"/>
        <w:rPr>
          <w:sz w:val="10"/>
        </w:rPr>
      </w:pPr>
    </w:p>
    <w:p w:rsidR="00000000" w:rsidRDefault="00000000">
      <w:pPr>
        <w:pStyle w:val="SingleTxt"/>
        <w:keepNext/>
        <w:spacing w:after="0" w:line="240" w:lineRule="auto"/>
        <w:rPr>
          <w:sz w:val="10"/>
        </w:rPr>
      </w:pPr>
    </w:p>
    <w:tbl>
      <w:tblPr>
        <w:tblW w:w="0" w:type="auto"/>
        <w:tblInd w:w="1262"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90"/>
        <w:gridCol w:w="990"/>
        <w:gridCol w:w="990"/>
        <w:gridCol w:w="1170"/>
        <w:gridCol w:w="1174"/>
        <w:gridCol w:w="994"/>
        <w:gridCol w:w="990"/>
      </w:tblGrid>
      <w:tr w:rsidR="00000000">
        <w:tblPrEx>
          <w:tblCellMar>
            <w:top w:w="0" w:type="dxa"/>
            <w:left w:w="0" w:type="dxa"/>
            <w:bottom w:w="0" w:type="dxa"/>
            <w:right w:w="0" w:type="dxa"/>
          </w:tblCellMar>
        </w:tblPrEx>
        <w:trPr>
          <w:cantSplit/>
          <w:trHeight w:val="336"/>
          <w:tblHeader/>
        </w:trPr>
        <w:tc>
          <w:tcPr>
            <w:tcW w:w="990" w:type="dxa"/>
            <w:vMerge w:val="restart"/>
            <w:tcBorders>
              <w:left w:val="nil"/>
              <w:right w:val="nil"/>
            </w:tcBorders>
          </w:tcPr>
          <w:p w:rsidR="00000000" w:rsidRDefault="00000000">
            <w:pPr>
              <w:keepNext/>
              <w:tabs>
                <w:tab w:val="left" w:pos="288"/>
                <w:tab w:val="left" w:pos="576"/>
                <w:tab w:val="left" w:pos="864"/>
                <w:tab w:val="left" w:pos="1152"/>
              </w:tabs>
              <w:spacing w:before="100" w:after="81" w:line="240" w:lineRule="atLeast"/>
              <w:ind w:right="43"/>
              <w:rPr>
                <w:i/>
                <w:sz w:val="14"/>
              </w:rPr>
            </w:pPr>
            <w:r>
              <w:rPr>
                <w:i/>
                <w:sz w:val="14"/>
              </w:rPr>
              <w:t>Возраст</w:t>
            </w:r>
          </w:p>
        </w:tc>
        <w:tc>
          <w:tcPr>
            <w:tcW w:w="3150" w:type="dxa"/>
            <w:gridSpan w:val="3"/>
            <w:tcBorders>
              <w:left w:val="nil"/>
              <w:bottom w:val="single" w:sz="4" w:space="0" w:color="auto"/>
              <w:right w:val="nil"/>
            </w:tcBorders>
          </w:tcPr>
          <w:p w:rsidR="00000000" w:rsidRDefault="00000000">
            <w:pPr>
              <w:keepNext/>
              <w:spacing w:line="240" w:lineRule="atLeast"/>
              <w:jc w:val="center"/>
              <w:rPr>
                <w:i/>
                <w:sz w:val="14"/>
              </w:rPr>
            </w:pPr>
            <w:r>
              <w:rPr>
                <w:i/>
                <w:sz w:val="14"/>
              </w:rPr>
              <w:t>Неопределенная религиозная принадле</w:t>
            </w:r>
            <w:r>
              <w:rPr>
                <w:i/>
                <w:sz w:val="14"/>
              </w:rPr>
              <w:t>ж</w:t>
            </w:r>
            <w:r>
              <w:rPr>
                <w:i/>
                <w:sz w:val="14"/>
              </w:rPr>
              <w:t>ность</w:t>
            </w:r>
          </w:p>
        </w:tc>
        <w:tc>
          <w:tcPr>
            <w:tcW w:w="3158" w:type="dxa"/>
            <w:gridSpan w:val="3"/>
            <w:tcBorders>
              <w:left w:val="nil"/>
              <w:bottom w:val="single" w:sz="4" w:space="0" w:color="auto"/>
              <w:right w:val="nil"/>
            </w:tcBorders>
          </w:tcPr>
          <w:p w:rsidR="00000000" w:rsidRDefault="00000000">
            <w:pPr>
              <w:keepNext/>
              <w:spacing w:line="240" w:lineRule="atLeast"/>
              <w:jc w:val="center"/>
              <w:rPr>
                <w:i/>
                <w:sz w:val="14"/>
              </w:rPr>
            </w:pPr>
            <w:r>
              <w:rPr>
                <w:i/>
                <w:sz w:val="14"/>
              </w:rPr>
              <w:t>Друзы</w:t>
            </w:r>
          </w:p>
        </w:tc>
      </w:tr>
      <w:tr w:rsidR="00000000">
        <w:tblPrEx>
          <w:tblCellMar>
            <w:top w:w="0" w:type="dxa"/>
            <w:left w:w="0" w:type="dxa"/>
            <w:bottom w:w="0" w:type="dxa"/>
            <w:right w:w="0" w:type="dxa"/>
          </w:tblCellMar>
        </w:tblPrEx>
        <w:trPr>
          <w:cantSplit/>
          <w:trHeight w:val="336"/>
          <w:tblHeader/>
        </w:trPr>
        <w:tc>
          <w:tcPr>
            <w:tcW w:w="990" w:type="dxa"/>
            <w:vMerge/>
            <w:tcBorders>
              <w:left w:val="nil"/>
              <w:bottom w:val="single" w:sz="12" w:space="0" w:color="auto"/>
              <w:right w:val="nil"/>
            </w:tcBorders>
            <w:vAlign w:val="bottom"/>
          </w:tcPr>
          <w:p w:rsidR="00000000" w:rsidRDefault="00000000">
            <w:pPr>
              <w:keepNext/>
              <w:tabs>
                <w:tab w:val="left" w:pos="288"/>
                <w:tab w:val="left" w:pos="576"/>
                <w:tab w:val="left" w:pos="864"/>
                <w:tab w:val="left" w:pos="1152"/>
              </w:tabs>
              <w:spacing w:before="100" w:after="81" w:line="240" w:lineRule="atLeast"/>
              <w:ind w:right="43"/>
              <w:rPr>
                <w:i/>
                <w:sz w:val="14"/>
              </w:rPr>
            </w:pPr>
          </w:p>
        </w:tc>
        <w:tc>
          <w:tcPr>
            <w:tcW w:w="990" w:type="dxa"/>
            <w:tcBorders>
              <w:top w:val="single" w:sz="4" w:space="0" w:color="auto"/>
              <w:left w:val="nil"/>
              <w:bottom w:val="single" w:sz="12" w:space="0" w:color="auto"/>
              <w:right w:val="nil"/>
            </w:tcBorders>
          </w:tcPr>
          <w:p w:rsidR="00000000" w:rsidRDefault="00000000">
            <w:pPr>
              <w:keepNext/>
              <w:spacing w:line="240" w:lineRule="atLeast"/>
              <w:jc w:val="right"/>
              <w:rPr>
                <w:i/>
                <w:sz w:val="14"/>
              </w:rPr>
            </w:pPr>
            <w:r>
              <w:rPr>
                <w:i/>
                <w:sz w:val="14"/>
              </w:rPr>
              <w:t>Же</w:t>
            </w:r>
            <w:r>
              <w:rPr>
                <w:i/>
                <w:sz w:val="14"/>
              </w:rPr>
              <w:t>н</w:t>
            </w:r>
            <w:r>
              <w:rPr>
                <w:i/>
                <w:sz w:val="14"/>
              </w:rPr>
              <w:t>щины</w:t>
            </w:r>
          </w:p>
        </w:tc>
        <w:tc>
          <w:tcPr>
            <w:tcW w:w="990" w:type="dxa"/>
            <w:tcBorders>
              <w:top w:val="single" w:sz="4" w:space="0" w:color="auto"/>
              <w:left w:val="nil"/>
              <w:bottom w:val="single" w:sz="12" w:space="0" w:color="auto"/>
              <w:right w:val="nil"/>
            </w:tcBorders>
          </w:tcPr>
          <w:p w:rsidR="00000000" w:rsidRDefault="00000000">
            <w:pPr>
              <w:keepNext/>
              <w:spacing w:line="240" w:lineRule="atLeast"/>
              <w:jc w:val="right"/>
              <w:rPr>
                <w:i/>
                <w:sz w:val="14"/>
              </w:rPr>
            </w:pPr>
            <w:r>
              <w:rPr>
                <w:i/>
                <w:sz w:val="14"/>
              </w:rPr>
              <w:t>Му</w:t>
            </w:r>
            <w:r>
              <w:rPr>
                <w:i/>
                <w:sz w:val="14"/>
              </w:rPr>
              <w:t>ж</w:t>
            </w:r>
            <w:r>
              <w:rPr>
                <w:i/>
                <w:sz w:val="14"/>
              </w:rPr>
              <w:t>чины</w:t>
            </w:r>
          </w:p>
        </w:tc>
        <w:tc>
          <w:tcPr>
            <w:tcW w:w="1170" w:type="dxa"/>
            <w:tcBorders>
              <w:top w:val="single" w:sz="4" w:space="0" w:color="auto"/>
              <w:left w:val="nil"/>
              <w:bottom w:val="single" w:sz="12" w:space="0" w:color="auto"/>
              <w:right w:val="nil"/>
            </w:tcBorders>
          </w:tcPr>
          <w:p w:rsidR="00000000" w:rsidRDefault="00000000">
            <w:pPr>
              <w:keepNext/>
              <w:spacing w:line="240" w:lineRule="atLeast"/>
              <w:jc w:val="right"/>
              <w:rPr>
                <w:i/>
                <w:sz w:val="14"/>
              </w:rPr>
            </w:pPr>
            <w:r>
              <w:rPr>
                <w:i/>
                <w:sz w:val="14"/>
              </w:rPr>
              <w:t>Всего</w:t>
            </w:r>
          </w:p>
        </w:tc>
        <w:tc>
          <w:tcPr>
            <w:tcW w:w="1174" w:type="dxa"/>
            <w:tcBorders>
              <w:top w:val="single" w:sz="4" w:space="0" w:color="auto"/>
              <w:left w:val="nil"/>
              <w:bottom w:val="single" w:sz="12" w:space="0" w:color="auto"/>
              <w:right w:val="nil"/>
            </w:tcBorders>
          </w:tcPr>
          <w:p w:rsidR="00000000" w:rsidRDefault="00000000">
            <w:pPr>
              <w:keepNext/>
              <w:spacing w:line="240" w:lineRule="atLeast"/>
              <w:jc w:val="right"/>
              <w:rPr>
                <w:i/>
                <w:sz w:val="14"/>
              </w:rPr>
            </w:pPr>
            <w:r>
              <w:rPr>
                <w:i/>
                <w:sz w:val="14"/>
              </w:rPr>
              <w:t>Женщ</w:t>
            </w:r>
            <w:r>
              <w:rPr>
                <w:i/>
                <w:sz w:val="14"/>
              </w:rPr>
              <w:t>и</w:t>
            </w:r>
            <w:r>
              <w:rPr>
                <w:i/>
                <w:sz w:val="14"/>
              </w:rPr>
              <w:t>ны</w:t>
            </w:r>
          </w:p>
        </w:tc>
        <w:tc>
          <w:tcPr>
            <w:tcW w:w="994" w:type="dxa"/>
            <w:tcBorders>
              <w:top w:val="single" w:sz="4" w:space="0" w:color="auto"/>
              <w:left w:val="nil"/>
              <w:bottom w:val="single" w:sz="12" w:space="0" w:color="auto"/>
              <w:right w:val="nil"/>
            </w:tcBorders>
          </w:tcPr>
          <w:p w:rsidR="00000000" w:rsidRDefault="00000000">
            <w:pPr>
              <w:keepNext/>
              <w:spacing w:line="240" w:lineRule="atLeast"/>
              <w:jc w:val="right"/>
              <w:rPr>
                <w:i/>
                <w:sz w:val="14"/>
              </w:rPr>
            </w:pPr>
            <w:r>
              <w:rPr>
                <w:i/>
                <w:sz w:val="14"/>
              </w:rPr>
              <w:t>Му</w:t>
            </w:r>
            <w:r>
              <w:rPr>
                <w:i/>
                <w:sz w:val="14"/>
              </w:rPr>
              <w:t>ж</w:t>
            </w:r>
            <w:r>
              <w:rPr>
                <w:i/>
                <w:sz w:val="14"/>
              </w:rPr>
              <w:t>чины</w:t>
            </w:r>
          </w:p>
        </w:tc>
        <w:tc>
          <w:tcPr>
            <w:tcW w:w="990" w:type="dxa"/>
            <w:tcBorders>
              <w:top w:val="single" w:sz="4" w:space="0" w:color="auto"/>
              <w:left w:val="nil"/>
              <w:bottom w:val="single" w:sz="12" w:space="0" w:color="auto"/>
              <w:right w:val="nil"/>
            </w:tcBorders>
          </w:tcPr>
          <w:p w:rsidR="00000000" w:rsidRDefault="00000000">
            <w:pPr>
              <w:keepNext/>
              <w:spacing w:line="240" w:lineRule="atLeast"/>
              <w:jc w:val="right"/>
              <w:rPr>
                <w:i/>
                <w:sz w:val="14"/>
              </w:rPr>
            </w:pPr>
            <w:r>
              <w:rPr>
                <w:i/>
                <w:sz w:val="14"/>
              </w:rPr>
              <w:t>Всего</w:t>
            </w:r>
          </w:p>
        </w:tc>
      </w:tr>
      <w:tr w:rsidR="00000000">
        <w:tblPrEx>
          <w:tblCellMar>
            <w:top w:w="0" w:type="dxa"/>
            <w:left w:w="0" w:type="dxa"/>
            <w:bottom w:w="0" w:type="dxa"/>
            <w:right w:w="0" w:type="dxa"/>
          </w:tblCellMar>
        </w:tblPrEx>
        <w:trPr>
          <w:trHeight w:val="240"/>
          <w:tblHeader/>
        </w:trPr>
        <w:tc>
          <w:tcPr>
            <w:tcW w:w="99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40" w:lineRule="atLeast"/>
              <w:ind w:right="40"/>
              <w:rPr>
                <w:sz w:val="17"/>
              </w:rPr>
            </w:pPr>
          </w:p>
        </w:tc>
        <w:tc>
          <w:tcPr>
            <w:tcW w:w="99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40" w:lineRule="atLeast"/>
              <w:ind w:right="40"/>
              <w:jc w:val="right"/>
              <w:rPr>
                <w:sz w:val="17"/>
              </w:rPr>
            </w:pPr>
          </w:p>
        </w:tc>
        <w:tc>
          <w:tcPr>
            <w:tcW w:w="99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40" w:lineRule="atLeast"/>
              <w:ind w:right="40"/>
              <w:jc w:val="right"/>
              <w:rPr>
                <w:sz w:val="17"/>
              </w:rPr>
            </w:pPr>
          </w:p>
        </w:tc>
        <w:tc>
          <w:tcPr>
            <w:tcW w:w="117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40" w:lineRule="atLeast"/>
              <w:ind w:right="40"/>
              <w:jc w:val="right"/>
              <w:rPr>
                <w:sz w:val="17"/>
              </w:rPr>
            </w:pPr>
          </w:p>
        </w:tc>
        <w:tc>
          <w:tcPr>
            <w:tcW w:w="1174"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40" w:after="40" w:line="240" w:lineRule="atLeast"/>
              <w:ind w:right="40"/>
              <w:jc w:val="right"/>
              <w:rPr>
                <w:sz w:val="17"/>
              </w:rPr>
            </w:pPr>
          </w:p>
        </w:tc>
        <w:tc>
          <w:tcPr>
            <w:tcW w:w="994"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40" w:after="40" w:line="240" w:lineRule="atLeast"/>
              <w:ind w:right="40"/>
              <w:jc w:val="right"/>
              <w:rPr>
                <w:sz w:val="17"/>
              </w:rPr>
            </w:pPr>
          </w:p>
        </w:tc>
        <w:tc>
          <w:tcPr>
            <w:tcW w:w="990"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40" w:after="40" w:line="240" w:lineRule="atLeast"/>
              <w:ind w:right="40"/>
              <w:jc w:val="right"/>
              <w:rPr>
                <w:sz w:val="17"/>
              </w:rPr>
            </w:pPr>
          </w:p>
        </w:tc>
      </w:tr>
      <w:tr w:rsidR="00000000">
        <w:tblPrEx>
          <w:tblCellMar>
            <w:top w:w="0" w:type="dxa"/>
            <w:left w:w="0" w:type="dxa"/>
            <w:bottom w:w="0" w:type="dxa"/>
            <w:right w:w="0" w:type="dxa"/>
          </w:tblCellMar>
        </w:tblPrEx>
        <w:trPr>
          <w:trHeight w:val="240"/>
        </w:trPr>
        <w:tc>
          <w:tcPr>
            <w:tcW w:w="990" w:type="dxa"/>
            <w:tcBorders>
              <w:top w:val="nil"/>
              <w:left w:val="nil"/>
              <w:bottom w:val="nil"/>
              <w:right w:val="nil"/>
            </w:tcBorders>
          </w:tcPr>
          <w:p w:rsidR="00000000" w:rsidRDefault="00000000">
            <w:pPr>
              <w:keepNext/>
              <w:spacing w:line="240" w:lineRule="atLeast"/>
              <w:rPr>
                <w:sz w:val="17"/>
              </w:rPr>
            </w:pPr>
            <w:r>
              <w:rPr>
                <w:sz w:val="17"/>
              </w:rPr>
              <w:t>65-69</w:t>
            </w:r>
          </w:p>
        </w:tc>
        <w:tc>
          <w:tcPr>
            <w:tcW w:w="990" w:type="dxa"/>
            <w:tcBorders>
              <w:top w:val="nil"/>
              <w:left w:val="nil"/>
              <w:bottom w:val="nil"/>
              <w:right w:val="nil"/>
            </w:tcBorders>
          </w:tcPr>
          <w:p w:rsidR="00000000" w:rsidRDefault="00000000">
            <w:pPr>
              <w:keepNext/>
              <w:spacing w:line="240" w:lineRule="atLeast"/>
              <w:jc w:val="right"/>
              <w:rPr>
                <w:sz w:val="17"/>
              </w:rPr>
            </w:pPr>
            <w:r>
              <w:rPr>
                <w:sz w:val="17"/>
              </w:rPr>
              <w:t>3,5</w:t>
            </w:r>
          </w:p>
        </w:tc>
        <w:tc>
          <w:tcPr>
            <w:tcW w:w="990" w:type="dxa"/>
            <w:tcBorders>
              <w:top w:val="nil"/>
              <w:left w:val="nil"/>
              <w:bottom w:val="nil"/>
              <w:right w:val="nil"/>
            </w:tcBorders>
          </w:tcPr>
          <w:p w:rsidR="00000000" w:rsidRDefault="00000000">
            <w:pPr>
              <w:keepNext/>
              <w:spacing w:line="240" w:lineRule="atLeast"/>
              <w:jc w:val="right"/>
              <w:rPr>
                <w:sz w:val="17"/>
              </w:rPr>
            </w:pPr>
            <w:r>
              <w:rPr>
                <w:sz w:val="17"/>
              </w:rPr>
              <w:t>2,4</w:t>
            </w:r>
          </w:p>
        </w:tc>
        <w:tc>
          <w:tcPr>
            <w:tcW w:w="1170" w:type="dxa"/>
            <w:tcBorders>
              <w:top w:val="nil"/>
              <w:left w:val="nil"/>
              <w:bottom w:val="nil"/>
              <w:right w:val="nil"/>
            </w:tcBorders>
          </w:tcPr>
          <w:p w:rsidR="00000000" w:rsidRDefault="00000000">
            <w:pPr>
              <w:keepNext/>
              <w:spacing w:line="240" w:lineRule="atLeast"/>
              <w:jc w:val="right"/>
              <w:rPr>
                <w:sz w:val="17"/>
              </w:rPr>
            </w:pPr>
            <w:r>
              <w:rPr>
                <w:sz w:val="17"/>
              </w:rPr>
              <w:t>5,9</w:t>
            </w:r>
          </w:p>
        </w:tc>
        <w:tc>
          <w:tcPr>
            <w:tcW w:w="1174" w:type="dxa"/>
            <w:tcBorders>
              <w:top w:val="nil"/>
              <w:left w:val="nil"/>
              <w:bottom w:val="nil"/>
              <w:right w:val="nil"/>
            </w:tcBorders>
          </w:tcPr>
          <w:p w:rsidR="00000000" w:rsidRDefault="00000000">
            <w:pPr>
              <w:keepNext/>
              <w:spacing w:line="240" w:lineRule="atLeast"/>
              <w:jc w:val="right"/>
              <w:rPr>
                <w:sz w:val="17"/>
              </w:rPr>
            </w:pPr>
            <w:r>
              <w:rPr>
                <w:sz w:val="17"/>
              </w:rPr>
              <w:t>0,9</w:t>
            </w:r>
          </w:p>
        </w:tc>
        <w:tc>
          <w:tcPr>
            <w:tcW w:w="994" w:type="dxa"/>
            <w:tcBorders>
              <w:top w:val="nil"/>
              <w:left w:val="nil"/>
              <w:bottom w:val="nil"/>
              <w:right w:val="nil"/>
            </w:tcBorders>
          </w:tcPr>
          <w:p w:rsidR="00000000" w:rsidRDefault="00000000">
            <w:pPr>
              <w:keepNext/>
              <w:spacing w:line="240" w:lineRule="atLeast"/>
              <w:jc w:val="right"/>
              <w:rPr>
                <w:sz w:val="17"/>
              </w:rPr>
            </w:pPr>
            <w:r>
              <w:rPr>
                <w:sz w:val="17"/>
              </w:rPr>
              <w:t>0,7</w:t>
            </w:r>
          </w:p>
        </w:tc>
        <w:tc>
          <w:tcPr>
            <w:tcW w:w="990" w:type="dxa"/>
            <w:tcBorders>
              <w:top w:val="nil"/>
              <w:left w:val="nil"/>
              <w:bottom w:val="nil"/>
              <w:right w:val="nil"/>
            </w:tcBorders>
          </w:tcPr>
          <w:p w:rsidR="00000000" w:rsidRDefault="00000000">
            <w:pPr>
              <w:keepNext/>
              <w:spacing w:line="240" w:lineRule="atLeast"/>
              <w:jc w:val="right"/>
              <w:rPr>
                <w:sz w:val="17"/>
              </w:rPr>
            </w:pPr>
            <w:r>
              <w:rPr>
                <w:sz w:val="17"/>
              </w:rPr>
              <w:t>1,6</w:t>
            </w:r>
          </w:p>
        </w:tc>
      </w:tr>
      <w:tr w:rsidR="00000000">
        <w:tblPrEx>
          <w:tblCellMar>
            <w:top w:w="0" w:type="dxa"/>
            <w:left w:w="0" w:type="dxa"/>
            <w:bottom w:w="0" w:type="dxa"/>
            <w:right w:w="0" w:type="dxa"/>
          </w:tblCellMar>
        </w:tblPrEx>
        <w:trPr>
          <w:trHeight w:val="240"/>
        </w:trPr>
        <w:tc>
          <w:tcPr>
            <w:tcW w:w="990" w:type="dxa"/>
            <w:tcBorders>
              <w:top w:val="nil"/>
              <w:left w:val="nil"/>
              <w:bottom w:val="nil"/>
              <w:right w:val="nil"/>
            </w:tcBorders>
          </w:tcPr>
          <w:p w:rsidR="00000000" w:rsidRDefault="00000000">
            <w:pPr>
              <w:keepNext/>
              <w:spacing w:line="240" w:lineRule="atLeast"/>
              <w:rPr>
                <w:sz w:val="17"/>
              </w:rPr>
            </w:pPr>
            <w:r>
              <w:rPr>
                <w:sz w:val="17"/>
              </w:rPr>
              <w:t>70-74</w:t>
            </w:r>
          </w:p>
        </w:tc>
        <w:tc>
          <w:tcPr>
            <w:tcW w:w="990" w:type="dxa"/>
            <w:tcBorders>
              <w:top w:val="nil"/>
              <w:left w:val="nil"/>
              <w:bottom w:val="nil"/>
              <w:right w:val="nil"/>
            </w:tcBorders>
          </w:tcPr>
          <w:p w:rsidR="00000000" w:rsidRDefault="00000000">
            <w:pPr>
              <w:keepNext/>
              <w:spacing w:line="240" w:lineRule="atLeast"/>
              <w:jc w:val="right"/>
              <w:rPr>
                <w:sz w:val="17"/>
              </w:rPr>
            </w:pPr>
            <w:r>
              <w:rPr>
                <w:sz w:val="17"/>
              </w:rPr>
              <w:t>1,8</w:t>
            </w:r>
          </w:p>
        </w:tc>
        <w:tc>
          <w:tcPr>
            <w:tcW w:w="990" w:type="dxa"/>
            <w:tcBorders>
              <w:top w:val="nil"/>
              <w:left w:val="nil"/>
              <w:bottom w:val="nil"/>
              <w:right w:val="nil"/>
            </w:tcBorders>
          </w:tcPr>
          <w:p w:rsidR="00000000" w:rsidRDefault="00000000">
            <w:pPr>
              <w:keepNext/>
              <w:spacing w:line="240" w:lineRule="atLeast"/>
              <w:jc w:val="right"/>
              <w:rPr>
                <w:sz w:val="17"/>
              </w:rPr>
            </w:pPr>
            <w:r>
              <w:rPr>
                <w:sz w:val="17"/>
              </w:rPr>
              <w:t>1,2</w:t>
            </w:r>
          </w:p>
        </w:tc>
        <w:tc>
          <w:tcPr>
            <w:tcW w:w="1170" w:type="dxa"/>
            <w:tcBorders>
              <w:top w:val="nil"/>
              <w:left w:val="nil"/>
              <w:bottom w:val="nil"/>
              <w:right w:val="nil"/>
            </w:tcBorders>
          </w:tcPr>
          <w:p w:rsidR="00000000" w:rsidRDefault="00000000">
            <w:pPr>
              <w:keepNext/>
              <w:spacing w:line="240" w:lineRule="atLeast"/>
              <w:jc w:val="right"/>
              <w:rPr>
                <w:sz w:val="17"/>
              </w:rPr>
            </w:pPr>
            <w:r>
              <w:rPr>
                <w:sz w:val="17"/>
              </w:rPr>
              <w:t>3,0</w:t>
            </w:r>
          </w:p>
        </w:tc>
        <w:tc>
          <w:tcPr>
            <w:tcW w:w="1174" w:type="dxa"/>
            <w:tcBorders>
              <w:top w:val="nil"/>
              <w:left w:val="nil"/>
              <w:bottom w:val="nil"/>
              <w:right w:val="nil"/>
            </w:tcBorders>
          </w:tcPr>
          <w:p w:rsidR="00000000" w:rsidRDefault="00000000">
            <w:pPr>
              <w:keepNext/>
              <w:spacing w:line="240" w:lineRule="atLeast"/>
              <w:jc w:val="right"/>
              <w:rPr>
                <w:sz w:val="17"/>
              </w:rPr>
            </w:pPr>
            <w:r>
              <w:rPr>
                <w:sz w:val="17"/>
              </w:rPr>
              <w:t>0,7</w:t>
            </w:r>
          </w:p>
        </w:tc>
        <w:tc>
          <w:tcPr>
            <w:tcW w:w="994" w:type="dxa"/>
            <w:tcBorders>
              <w:top w:val="nil"/>
              <w:left w:val="nil"/>
              <w:bottom w:val="nil"/>
              <w:right w:val="nil"/>
            </w:tcBorders>
          </w:tcPr>
          <w:p w:rsidR="00000000" w:rsidRDefault="00000000">
            <w:pPr>
              <w:keepNext/>
              <w:spacing w:line="240" w:lineRule="atLeast"/>
              <w:jc w:val="right"/>
              <w:rPr>
                <w:sz w:val="17"/>
              </w:rPr>
            </w:pPr>
            <w:r>
              <w:rPr>
                <w:sz w:val="17"/>
              </w:rPr>
              <w:t>0,6</w:t>
            </w:r>
          </w:p>
        </w:tc>
        <w:tc>
          <w:tcPr>
            <w:tcW w:w="990" w:type="dxa"/>
            <w:tcBorders>
              <w:top w:val="nil"/>
              <w:left w:val="nil"/>
              <w:bottom w:val="nil"/>
              <w:right w:val="nil"/>
            </w:tcBorders>
          </w:tcPr>
          <w:p w:rsidR="00000000" w:rsidRDefault="00000000">
            <w:pPr>
              <w:keepNext/>
              <w:spacing w:line="240" w:lineRule="atLeast"/>
              <w:jc w:val="right"/>
              <w:rPr>
                <w:sz w:val="17"/>
              </w:rPr>
            </w:pPr>
            <w:r>
              <w:rPr>
                <w:sz w:val="17"/>
              </w:rPr>
              <w:t>1,2</w:t>
            </w:r>
          </w:p>
        </w:tc>
      </w:tr>
      <w:tr w:rsidR="00000000">
        <w:tblPrEx>
          <w:tblCellMar>
            <w:top w:w="0" w:type="dxa"/>
            <w:left w:w="0" w:type="dxa"/>
            <w:bottom w:w="0" w:type="dxa"/>
            <w:right w:w="0" w:type="dxa"/>
          </w:tblCellMar>
        </w:tblPrEx>
        <w:trPr>
          <w:trHeight w:val="240"/>
        </w:trPr>
        <w:tc>
          <w:tcPr>
            <w:tcW w:w="990" w:type="dxa"/>
            <w:tcBorders>
              <w:top w:val="nil"/>
              <w:left w:val="nil"/>
              <w:bottom w:val="nil"/>
              <w:right w:val="nil"/>
            </w:tcBorders>
          </w:tcPr>
          <w:p w:rsidR="00000000" w:rsidRDefault="00000000">
            <w:pPr>
              <w:keepNext/>
              <w:spacing w:line="240" w:lineRule="atLeast"/>
              <w:rPr>
                <w:sz w:val="17"/>
              </w:rPr>
            </w:pPr>
            <w:r>
              <w:rPr>
                <w:sz w:val="17"/>
              </w:rPr>
              <w:t>75-79</w:t>
            </w:r>
          </w:p>
        </w:tc>
        <w:tc>
          <w:tcPr>
            <w:tcW w:w="990" w:type="dxa"/>
            <w:tcBorders>
              <w:top w:val="nil"/>
              <w:left w:val="nil"/>
              <w:bottom w:val="nil"/>
              <w:right w:val="nil"/>
            </w:tcBorders>
          </w:tcPr>
          <w:p w:rsidR="00000000" w:rsidRDefault="00000000">
            <w:pPr>
              <w:keepNext/>
              <w:spacing w:line="240" w:lineRule="atLeast"/>
              <w:jc w:val="right"/>
              <w:rPr>
                <w:sz w:val="17"/>
              </w:rPr>
            </w:pPr>
            <w:r>
              <w:rPr>
                <w:sz w:val="17"/>
              </w:rPr>
              <w:t>1,6</w:t>
            </w:r>
          </w:p>
        </w:tc>
        <w:tc>
          <w:tcPr>
            <w:tcW w:w="990" w:type="dxa"/>
            <w:tcBorders>
              <w:top w:val="nil"/>
              <w:left w:val="nil"/>
              <w:bottom w:val="nil"/>
              <w:right w:val="nil"/>
            </w:tcBorders>
          </w:tcPr>
          <w:p w:rsidR="00000000" w:rsidRDefault="00000000">
            <w:pPr>
              <w:keepNext/>
              <w:spacing w:line="240" w:lineRule="atLeast"/>
              <w:jc w:val="right"/>
              <w:rPr>
                <w:sz w:val="17"/>
              </w:rPr>
            </w:pPr>
            <w:r>
              <w:rPr>
                <w:sz w:val="17"/>
              </w:rPr>
              <w:t>0,7</w:t>
            </w:r>
          </w:p>
        </w:tc>
        <w:tc>
          <w:tcPr>
            <w:tcW w:w="1170" w:type="dxa"/>
            <w:tcBorders>
              <w:top w:val="nil"/>
              <w:left w:val="nil"/>
              <w:bottom w:val="nil"/>
              <w:right w:val="nil"/>
            </w:tcBorders>
          </w:tcPr>
          <w:p w:rsidR="00000000" w:rsidRDefault="00000000">
            <w:pPr>
              <w:keepNext/>
              <w:spacing w:line="240" w:lineRule="atLeast"/>
              <w:jc w:val="right"/>
              <w:rPr>
                <w:sz w:val="17"/>
              </w:rPr>
            </w:pPr>
            <w:r>
              <w:rPr>
                <w:sz w:val="17"/>
              </w:rPr>
              <w:t>2,3</w:t>
            </w:r>
          </w:p>
        </w:tc>
        <w:tc>
          <w:tcPr>
            <w:tcW w:w="1174" w:type="dxa"/>
            <w:tcBorders>
              <w:top w:val="nil"/>
              <w:left w:val="nil"/>
              <w:bottom w:val="nil"/>
              <w:right w:val="nil"/>
            </w:tcBorders>
          </w:tcPr>
          <w:p w:rsidR="00000000" w:rsidRDefault="00000000">
            <w:pPr>
              <w:keepNext/>
              <w:spacing w:line="240" w:lineRule="atLeast"/>
              <w:jc w:val="right"/>
              <w:rPr>
                <w:sz w:val="17"/>
              </w:rPr>
            </w:pPr>
            <w:r>
              <w:rPr>
                <w:sz w:val="17"/>
              </w:rPr>
              <w:t>0,4</w:t>
            </w:r>
          </w:p>
        </w:tc>
        <w:tc>
          <w:tcPr>
            <w:tcW w:w="994" w:type="dxa"/>
            <w:tcBorders>
              <w:top w:val="nil"/>
              <w:left w:val="nil"/>
              <w:bottom w:val="nil"/>
              <w:right w:val="nil"/>
            </w:tcBorders>
          </w:tcPr>
          <w:p w:rsidR="00000000" w:rsidRDefault="00000000">
            <w:pPr>
              <w:keepNext/>
              <w:spacing w:line="240" w:lineRule="atLeast"/>
              <w:jc w:val="right"/>
              <w:rPr>
                <w:sz w:val="17"/>
              </w:rPr>
            </w:pPr>
            <w:r>
              <w:rPr>
                <w:sz w:val="17"/>
              </w:rPr>
              <w:t>0,4</w:t>
            </w:r>
          </w:p>
        </w:tc>
        <w:tc>
          <w:tcPr>
            <w:tcW w:w="990" w:type="dxa"/>
            <w:tcBorders>
              <w:top w:val="nil"/>
              <w:left w:val="nil"/>
              <w:bottom w:val="nil"/>
              <w:right w:val="nil"/>
            </w:tcBorders>
          </w:tcPr>
          <w:p w:rsidR="00000000" w:rsidRDefault="00000000">
            <w:pPr>
              <w:keepNext/>
              <w:spacing w:line="240" w:lineRule="atLeast"/>
              <w:jc w:val="right"/>
              <w:rPr>
                <w:sz w:val="17"/>
              </w:rPr>
            </w:pPr>
            <w:r>
              <w:rPr>
                <w:sz w:val="17"/>
              </w:rPr>
              <w:t>0,8</w:t>
            </w:r>
          </w:p>
        </w:tc>
      </w:tr>
      <w:tr w:rsidR="00000000">
        <w:tblPrEx>
          <w:tblCellMar>
            <w:top w:w="0" w:type="dxa"/>
            <w:left w:w="0" w:type="dxa"/>
            <w:bottom w:w="0" w:type="dxa"/>
            <w:right w:w="0" w:type="dxa"/>
          </w:tblCellMar>
        </w:tblPrEx>
        <w:trPr>
          <w:trHeight w:val="240"/>
        </w:trPr>
        <w:tc>
          <w:tcPr>
            <w:tcW w:w="990" w:type="dxa"/>
            <w:tcBorders>
              <w:top w:val="nil"/>
              <w:left w:val="nil"/>
              <w:bottom w:val="single" w:sz="12" w:space="0" w:color="auto"/>
              <w:right w:val="nil"/>
            </w:tcBorders>
          </w:tcPr>
          <w:p w:rsidR="00000000" w:rsidRDefault="00000000">
            <w:pPr>
              <w:keepNext/>
              <w:spacing w:line="240" w:lineRule="atLeast"/>
              <w:rPr>
                <w:sz w:val="17"/>
              </w:rPr>
            </w:pPr>
            <w:r>
              <w:rPr>
                <w:sz w:val="17"/>
              </w:rPr>
              <w:t>80+</w:t>
            </w:r>
          </w:p>
        </w:tc>
        <w:tc>
          <w:tcPr>
            <w:tcW w:w="990" w:type="dxa"/>
            <w:tcBorders>
              <w:top w:val="nil"/>
              <w:left w:val="nil"/>
              <w:bottom w:val="single" w:sz="12" w:space="0" w:color="auto"/>
              <w:right w:val="nil"/>
            </w:tcBorders>
          </w:tcPr>
          <w:p w:rsidR="00000000" w:rsidRDefault="00000000">
            <w:pPr>
              <w:keepNext/>
              <w:spacing w:line="240" w:lineRule="atLeast"/>
              <w:jc w:val="right"/>
              <w:rPr>
                <w:sz w:val="17"/>
              </w:rPr>
            </w:pPr>
            <w:r>
              <w:rPr>
                <w:sz w:val="17"/>
              </w:rPr>
              <w:t>1,3</w:t>
            </w:r>
          </w:p>
        </w:tc>
        <w:tc>
          <w:tcPr>
            <w:tcW w:w="990" w:type="dxa"/>
            <w:tcBorders>
              <w:top w:val="nil"/>
              <w:left w:val="nil"/>
              <w:bottom w:val="single" w:sz="12" w:space="0" w:color="auto"/>
              <w:right w:val="nil"/>
            </w:tcBorders>
          </w:tcPr>
          <w:p w:rsidR="00000000" w:rsidRDefault="00000000">
            <w:pPr>
              <w:keepNext/>
              <w:spacing w:line="240" w:lineRule="atLeast"/>
              <w:jc w:val="right"/>
              <w:rPr>
                <w:sz w:val="17"/>
              </w:rPr>
            </w:pPr>
            <w:r>
              <w:rPr>
                <w:sz w:val="17"/>
              </w:rPr>
              <w:t>0,4</w:t>
            </w:r>
          </w:p>
        </w:tc>
        <w:tc>
          <w:tcPr>
            <w:tcW w:w="1170" w:type="dxa"/>
            <w:tcBorders>
              <w:top w:val="nil"/>
              <w:left w:val="nil"/>
              <w:bottom w:val="single" w:sz="12" w:space="0" w:color="auto"/>
              <w:right w:val="nil"/>
            </w:tcBorders>
          </w:tcPr>
          <w:p w:rsidR="00000000" w:rsidRDefault="00000000">
            <w:pPr>
              <w:keepNext/>
              <w:spacing w:line="240" w:lineRule="atLeast"/>
              <w:jc w:val="right"/>
              <w:rPr>
                <w:sz w:val="17"/>
              </w:rPr>
            </w:pPr>
            <w:r>
              <w:rPr>
                <w:sz w:val="17"/>
              </w:rPr>
              <w:t>1,6</w:t>
            </w:r>
          </w:p>
        </w:tc>
        <w:tc>
          <w:tcPr>
            <w:tcW w:w="1174" w:type="dxa"/>
            <w:tcBorders>
              <w:top w:val="nil"/>
              <w:left w:val="nil"/>
              <w:bottom w:val="single" w:sz="12" w:space="0" w:color="auto"/>
              <w:right w:val="nil"/>
            </w:tcBorders>
          </w:tcPr>
          <w:p w:rsidR="00000000" w:rsidRDefault="00000000">
            <w:pPr>
              <w:keepNext/>
              <w:spacing w:line="240" w:lineRule="atLeast"/>
              <w:jc w:val="right"/>
              <w:rPr>
                <w:sz w:val="17"/>
              </w:rPr>
            </w:pPr>
            <w:r>
              <w:rPr>
                <w:sz w:val="17"/>
              </w:rPr>
              <w:t>0,4</w:t>
            </w:r>
          </w:p>
        </w:tc>
        <w:tc>
          <w:tcPr>
            <w:tcW w:w="994" w:type="dxa"/>
            <w:tcBorders>
              <w:top w:val="nil"/>
              <w:left w:val="nil"/>
              <w:bottom w:val="single" w:sz="12" w:space="0" w:color="auto"/>
              <w:right w:val="nil"/>
            </w:tcBorders>
          </w:tcPr>
          <w:p w:rsidR="00000000" w:rsidRDefault="00000000">
            <w:pPr>
              <w:keepNext/>
              <w:spacing w:line="240" w:lineRule="atLeast"/>
              <w:jc w:val="right"/>
              <w:rPr>
                <w:sz w:val="17"/>
              </w:rPr>
            </w:pPr>
            <w:r>
              <w:rPr>
                <w:sz w:val="17"/>
              </w:rPr>
              <w:t>0,5</w:t>
            </w:r>
          </w:p>
        </w:tc>
        <w:tc>
          <w:tcPr>
            <w:tcW w:w="990" w:type="dxa"/>
            <w:tcBorders>
              <w:top w:val="nil"/>
              <w:left w:val="nil"/>
              <w:bottom w:val="single" w:sz="12" w:space="0" w:color="auto"/>
              <w:right w:val="nil"/>
            </w:tcBorders>
          </w:tcPr>
          <w:p w:rsidR="00000000" w:rsidRDefault="00000000">
            <w:pPr>
              <w:keepNext/>
              <w:spacing w:line="240" w:lineRule="atLeast"/>
              <w:jc w:val="right"/>
              <w:rPr>
                <w:sz w:val="17"/>
              </w:rPr>
            </w:pPr>
            <w:r>
              <w:rPr>
                <w:sz w:val="17"/>
              </w:rPr>
              <w:t>0,9</w:t>
            </w:r>
          </w:p>
        </w:tc>
      </w:tr>
    </w:tbl>
    <w:p w:rsidR="00000000" w:rsidRDefault="00000000">
      <w:pPr>
        <w:pStyle w:val="SingleTxt"/>
        <w:spacing w:after="0" w:line="120" w:lineRule="exact"/>
        <w:ind w:left="1264" w:right="1264"/>
        <w:jc w:val="left"/>
        <w:rPr>
          <w:sz w:val="10"/>
        </w:rPr>
      </w:pPr>
    </w:p>
    <w:p w:rsidR="00000000" w:rsidRDefault="00000000">
      <w:pPr>
        <w:pStyle w:val="H56"/>
        <w:spacing w:after="120" w:line="240" w:lineRule="auto"/>
        <w:ind w:left="1267" w:right="1267"/>
      </w:pPr>
      <w:r>
        <w:rPr>
          <w:i/>
        </w:rPr>
        <w:t>Источник</w:t>
      </w:r>
      <w:r>
        <w:t>: Центральное статистическое бюро, 2004 год.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5" w:right="1267" w:firstLine="172"/>
      </w:pPr>
      <w:r>
        <w:t>Коэффициенты смертности и причины смерти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334.</w:t>
      </w:r>
      <w:r>
        <w:tab/>
        <w:t>В 2003 году уровень смертности среди женщин был также ниже, чем ср</w:t>
      </w:r>
      <w:r>
        <w:t>е</w:t>
      </w:r>
      <w:r>
        <w:t>ди мужчин во всех возрастных группах: в возрасте от 20 до 24 лет - для му</w:t>
      </w:r>
      <w:r>
        <w:t>ж</w:t>
      </w:r>
      <w:r>
        <w:t>чин 1,2 на тысячу, для женщин - 0,4 на тысячу, в возрасте от 50 до 54 лет - 4,3 и 2,4, соответственно; в возрасте от 80 до 84 лет - 71,1, 65,4, соответственно.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335.</w:t>
      </w:r>
      <w:r>
        <w:tab/>
        <w:t xml:space="preserve">Уровень материнской смертности оставался в целом низким. В 2002 году уровень материнской смертности составлял 6 смертельных случаев на каждые 100 000 живорождений.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Рак груди и маммография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336.</w:t>
      </w:r>
      <w:r>
        <w:tab/>
        <w:t>Рак является второй причиной смертности женщин после кардиологич</w:t>
      </w:r>
      <w:r>
        <w:t>е</w:t>
      </w:r>
      <w:r>
        <w:t>ских заболеваний. Рак груди является наиболее распространенным видом зл</w:t>
      </w:r>
      <w:r>
        <w:t>о</w:t>
      </w:r>
      <w:r>
        <w:t>качественной опухоли, причем на него приходится 18 процентов всех случаев заболевания раком ежегодно и 30 процентов случаев заболеваемости раком среди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337.</w:t>
      </w:r>
      <w:r>
        <w:tab/>
        <w:t>По данным министерства здравоохранения, 3 400 новых случаев рака гр</w:t>
      </w:r>
      <w:r>
        <w:t>у</w:t>
      </w:r>
      <w:r>
        <w:t>ди устанавливаются ежегодно, при этом 70 процентов пациенток старше 50 лет и 400 ежегодных случаев связано с пациентками в возрасте от 22 до 40 лет. В возрастной группе от 45 до 64 лет средний коэффициент заболеваемости раком груди на 100 000 женщин составляет 281,1 в еврейском секторе и 118 в ара</w:t>
      </w:r>
      <w:r>
        <w:t>б</w:t>
      </w:r>
      <w:r>
        <w:t>ском секторе. Основное обслуживание дает право на получение свыше 70 ра</w:t>
      </w:r>
      <w:r>
        <w:t>з</w:t>
      </w:r>
      <w:r>
        <w:t>личных лекарств для лечения рака груди. Рак толстой кишки и прямой кишки являются вторыми разновидностями онкологических заболеваний среди же</w:t>
      </w:r>
      <w:r>
        <w:t>н</w:t>
      </w:r>
      <w:r>
        <w:t xml:space="preserve">щин (а также среди общего населения), с 68 заболевших на 100 000 человек в еврейском секторе и 37,6 человек на 100 000 в арабском секторе.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338.</w:t>
      </w:r>
      <w:r>
        <w:tab/>
        <w:t>Национальное обследование состояния здоровья женщин 2003 года, пр</w:t>
      </w:r>
      <w:r>
        <w:t>о</w:t>
      </w:r>
      <w:r>
        <w:t xml:space="preserve">веденное </w:t>
      </w:r>
      <w:r>
        <w:rPr>
          <w:lang w:val="en-US"/>
        </w:rPr>
        <w:t>JDC</w:t>
      </w:r>
      <w:r>
        <w:t xml:space="preserve"> - институтом Брукдэйла, показало, что 13 процентов женщин до 50 лет и 62 процента женщин в возрасте свыше 50 лет проходили маммограф</w:t>
      </w:r>
      <w:r>
        <w:t>и</w:t>
      </w:r>
      <w:r>
        <w:t>ческое обследование в течение двух лет до начала обследования. В рамках о</w:t>
      </w:r>
      <w:r>
        <w:t>б</w:t>
      </w:r>
      <w:r>
        <w:t>следования было также установлено, что процент женщин, проходивших ма</w:t>
      </w:r>
      <w:r>
        <w:t>м</w:t>
      </w:r>
      <w:r>
        <w:t>мографию, одинаков почти во всех секторах, составляя 62 процента в евре</w:t>
      </w:r>
      <w:r>
        <w:t>й</w:t>
      </w:r>
      <w:r>
        <w:t>ском секторе и 61 процент в арабском секторе (серьезное увеличение по сра</w:t>
      </w:r>
      <w:r>
        <w:t>в</w:t>
      </w:r>
      <w:r>
        <w:t>нению с 18 процентами в 1995 году).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Психическое здоровье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339.</w:t>
      </w:r>
      <w:r>
        <w:tab/>
        <w:t>По состоянию на конец 2002 года в психиатрических клиниках проходили лечение 47 660 пациентов, 25 380 мужчин (53,3 процента) и 22 280 (46,7 пр</w:t>
      </w:r>
      <w:r>
        <w:t>о</w:t>
      </w:r>
      <w:r>
        <w:t>цента) женщин. Доля женщин наиболее высока в возрастной группе от 45 до 64 лет и в возрастной группе старше 65 лет.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340.</w:t>
      </w:r>
      <w:r>
        <w:tab/>
        <w:t>В 2002 году 13 295 человек проходили лечение в стационаре и дневную госпитализацию, причем 5 565 (42,1 процента) из них были женщинами. Эти данные отражают прирост по сравнению с 2001 годом, когда 13 014 человек проходили лечение в стационаре и дневную госпитализацию, причем 5 490 (42,1 процента) из них были женщинами.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341.</w:t>
      </w:r>
      <w:r>
        <w:tab/>
        <w:t xml:space="preserve">Данные </w:t>
      </w:r>
      <w:r>
        <w:rPr>
          <w:lang w:val="en-US"/>
        </w:rPr>
        <w:t>EUROHIS</w:t>
      </w:r>
      <w:r>
        <w:t xml:space="preserve"> показывают, что женщины чаще страдают от депрессии и волнения, чем мужчины. В возрастной группе от 45 до 74 лет 4,7 процента женщин сообщили, что им был поставлен диагноз депрессия/беспокойство, по сравнению лишь с 3,8 процентами мужчин. В более младшей возрастной гру</w:t>
      </w:r>
      <w:r>
        <w:t>п</w:t>
      </w:r>
      <w:r>
        <w:t>пе от 21 года до 44 лет были получены примерно те же самые показатели, пр</w:t>
      </w:r>
      <w:r>
        <w:t>и</w:t>
      </w:r>
      <w:r>
        <w:t>чем доля женщин составила 1,7 процента, а мужчин - 1,5 процента.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СПИД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342.</w:t>
      </w:r>
      <w:r>
        <w:tab/>
        <w:t>Общее число заболевших СПИДом к 2004 году составило 924 человека (688 мужчин и 236 женщин). В 2004 году насчитывалось 2 959 известных сл</w:t>
      </w:r>
      <w:r>
        <w:t>у</w:t>
      </w:r>
      <w:r>
        <w:t>чаев заболевания ВИЧ (1 798 мужчин и 1 161 женщина). Доля женщин, у кот</w:t>
      </w:r>
      <w:r>
        <w:t>о</w:t>
      </w:r>
      <w:r>
        <w:t>рых был выявлен ВИЧ, возросла с 26 процентов 1995 до 39,2 процента к н</w:t>
      </w:r>
      <w:r>
        <w:t>а</w:t>
      </w:r>
      <w:r>
        <w:t>стоящему моменту. По оценкам службы общественного здравоохранения м</w:t>
      </w:r>
      <w:r>
        <w:t>и</w:t>
      </w:r>
      <w:r>
        <w:t>нистерства здравоохранения, по состоянию на декабрь 2003 года ВИЧ/СПИДом заражено в общей сложности 4 127 человек.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343.</w:t>
      </w:r>
      <w:r>
        <w:tab/>
        <w:t>Проверку на ВИЧ может пройти любое лицо в анонимном порядке и бе</w:t>
      </w:r>
      <w:r>
        <w:t>с</w:t>
      </w:r>
      <w:r>
        <w:t>платно. Каждый гражданин Израиля, заболевший ВИЧ, имеет право на практ</w:t>
      </w:r>
      <w:r>
        <w:t>и</w:t>
      </w:r>
      <w:r>
        <w:t xml:space="preserve">чески бесплатное лечение в одном из семи региональных центров лечения СПИДа. Беременные женщины и их дети, не являющиеся гражданами Израиля, имеют право на бесплатное лечение антиретровирусными препаратами.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344.</w:t>
      </w:r>
      <w:r>
        <w:tab/>
        <w:t>Министерство здравоохранения выступило с инициативой по осущест</w:t>
      </w:r>
      <w:r>
        <w:t>в</w:t>
      </w:r>
      <w:r>
        <w:t>лению различных проектов по повышению осведомленности о проблемах ВИЧ, в особенности среди населения, придерживающегося более традицио</w:t>
      </w:r>
      <w:r>
        <w:t>н</w:t>
      </w:r>
      <w:r>
        <w:t>ных взглядов, как, например, новые иммигранты из стран, расположенных к югу от Сахары. Министерство разработало программу с учетом потребностей этих групп населения, предусматривающую как санитарное просвещение по вопросам ВИЧ, так и индивидуальную поддержку и принятие последующих мер санитарными работниками в рамках одних и тех же обязательств. Другие программы ориентированы на молодежь, а также на военнослужащих, пред</w:t>
      </w:r>
      <w:r>
        <w:t>у</w:t>
      </w:r>
      <w:r>
        <w:t>сматривая ознакомление их с проблемами ВИЧ/СПИДа с помощью прямых р</w:t>
      </w:r>
      <w:r>
        <w:t>е</w:t>
      </w:r>
      <w:r>
        <w:t>к</w:t>
      </w:r>
      <w:r>
        <w:t>о</w:t>
      </w:r>
      <w:r>
        <w:t>мендаций, радио- и телевизионных передач.</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keepNext/>
        <w:spacing w:line="300" w:lineRule="exact"/>
        <w:ind w:left="778" w:right="1267"/>
      </w:pPr>
      <w:r>
        <w:t>Женщины в системе здравоохранения</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keepNext/>
        <w:spacing w:line="300" w:lineRule="exact"/>
        <w:ind w:left="1095" w:right="1267" w:firstLine="172"/>
      </w:pPr>
      <w:r>
        <w:t>Женщины в медицинских учебных заведениях</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345.</w:t>
      </w:r>
      <w:r>
        <w:tab/>
        <w:t>Женщины составляют более половины учащихся медицинских учебных заведений. В 2002-2003 учебном году медицину изучали 3 568 учащихся (пе</w:t>
      </w:r>
      <w:r>
        <w:t>р</w:t>
      </w:r>
      <w:r>
        <w:t>вого, второго и третьего курсов), из которых 1 867 (52,3 процента) были же</w:t>
      </w:r>
      <w:r>
        <w:t>н</w:t>
      </w:r>
      <w:r>
        <w:t>щинами.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5" w:right="1267" w:firstLine="172"/>
      </w:pPr>
      <w:r>
        <w:t>Женщины как медицинский персонал</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346.</w:t>
      </w:r>
      <w:r>
        <w:tab/>
        <w:t>Женщины составляют большинство медицинского персонала. В 2003 году в медицинских службах было занято 156 900 человек, 44 800 (28,6 процента) из которых были мужчинами, а 112 000 (71,4 процента) - женщинами. 58 500 женщин работали в больницах, а 35 800 - в клиниках и медицинских у</w:t>
      </w:r>
      <w:r>
        <w:t>ч</w:t>
      </w:r>
      <w:r>
        <w:t>реждениях. В том же самом году насчитывалось 104 000 женщин - наемных работников, по сравнению с 36 800 мужчинами.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56"/>
        <w:ind w:left="2477" w:right="1267" w:hanging="1210"/>
      </w:pPr>
      <w:r>
        <w:br w:type="page"/>
        <w:t>Таблица 19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Наемные работники в системе здравоохранения, с разбивкой по полу, 2003 год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tbl>
      <w:tblPr>
        <w:tblW w:w="0" w:type="auto"/>
        <w:tblInd w:w="1280"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682"/>
        <w:gridCol w:w="1170"/>
        <w:gridCol w:w="1080"/>
        <w:gridCol w:w="2520"/>
      </w:tblGrid>
      <w:tr w:rsidR="00000000">
        <w:tblPrEx>
          <w:tblCellMar>
            <w:top w:w="0" w:type="dxa"/>
            <w:left w:w="0" w:type="dxa"/>
            <w:bottom w:w="0" w:type="dxa"/>
            <w:right w:w="0" w:type="dxa"/>
          </w:tblCellMar>
        </w:tblPrEx>
        <w:trPr>
          <w:tblHeader/>
        </w:trPr>
        <w:tc>
          <w:tcPr>
            <w:tcW w:w="2682" w:type="dxa"/>
            <w:tcBorders>
              <w:left w:val="nil"/>
              <w:bottom w:val="single" w:sz="12" w:space="0" w:color="auto"/>
              <w:right w:val="nil"/>
            </w:tcBorders>
            <w:vAlign w:val="center"/>
          </w:tcPr>
          <w:p w:rsidR="00000000" w:rsidRDefault="00000000">
            <w:pPr>
              <w:spacing w:after="120" w:line="240" w:lineRule="auto"/>
              <w:ind w:left="72"/>
              <w:jc w:val="both"/>
              <w:rPr>
                <w:i/>
                <w:sz w:val="14"/>
              </w:rPr>
            </w:pPr>
          </w:p>
        </w:tc>
        <w:tc>
          <w:tcPr>
            <w:tcW w:w="1170" w:type="dxa"/>
            <w:tcBorders>
              <w:left w:val="nil"/>
              <w:bottom w:val="single" w:sz="12" w:space="0" w:color="auto"/>
              <w:right w:val="nil"/>
            </w:tcBorders>
            <w:vAlign w:val="bottom"/>
          </w:tcPr>
          <w:p w:rsidR="00000000" w:rsidRDefault="00000000">
            <w:pPr>
              <w:pStyle w:val="DualTxt"/>
              <w:tabs>
                <w:tab w:val="clear" w:pos="960"/>
              </w:tabs>
              <w:spacing w:line="240" w:lineRule="auto"/>
              <w:ind w:right="90"/>
              <w:jc w:val="right"/>
              <w:rPr>
                <w:i/>
                <w:sz w:val="14"/>
              </w:rPr>
            </w:pPr>
            <w:r>
              <w:rPr>
                <w:i/>
                <w:sz w:val="14"/>
              </w:rPr>
              <w:t>Всего</w:t>
            </w:r>
          </w:p>
        </w:tc>
        <w:tc>
          <w:tcPr>
            <w:tcW w:w="1080" w:type="dxa"/>
            <w:tcBorders>
              <w:left w:val="nil"/>
              <w:bottom w:val="single" w:sz="12" w:space="0" w:color="auto"/>
              <w:right w:val="nil"/>
            </w:tcBorders>
            <w:vAlign w:val="bottom"/>
          </w:tcPr>
          <w:p w:rsidR="00000000" w:rsidRDefault="00000000">
            <w:pPr>
              <w:pStyle w:val="DualTxt"/>
              <w:tabs>
                <w:tab w:val="clear" w:pos="960"/>
              </w:tabs>
              <w:spacing w:line="240" w:lineRule="auto"/>
              <w:ind w:right="90"/>
              <w:jc w:val="right"/>
              <w:rPr>
                <w:i/>
                <w:sz w:val="14"/>
              </w:rPr>
            </w:pPr>
            <w:r>
              <w:rPr>
                <w:i/>
                <w:sz w:val="14"/>
              </w:rPr>
              <w:t>Больницы</w:t>
            </w:r>
          </w:p>
        </w:tc>
        <w:tc>
          <w:tcPr>
            <w:tcW w:w="2520" w:type="dxa"/>
            <w:tcBorders>
              <w:left w:val="nil"/>
              <w:bottom w:val="single" w:sz="12" w:space="0" w:color="auto"/>
              <w:right w:val="nil"/>
            </w:tcBorders>
            <w:vAlign w:val="bottom"/>
          </w:tcPr>
          <w:p w:rsidR="00000000" w:rsidRDefault="00000000">
            <w:pPr>
              <w:pStyle w:val="DualTxt"/>
              <w:tabs>
                <w:tab w:val="clear" w:pos="960"/>
              </w:tabs>
              <w:spacing w:line="240" w:lineRule="auto"/>
              <w:ind w:right="90"/>
              <w:jc w:val="right"/>
              <w:rPr>
                <w:i/>
                <w:sz w:val="14"/>
              </w:rPr>
            </w:pPr>
            <w:r>
              <w:rPr>
                <w:i/>
                <w:sz w:val="14"/>
              </w:rPr>
              <w:t>Клиники и медицинские учрежд</w:t>
            </w:r>
            <w:r>
              <w:rPr>
                <w:i/>
                <w:sz w:val="14"/>
              </w:rPr>
              <w:t>е</w:t>
            </w:r>
            <w:r>
              <w:rPr>
                <w:i/>
                <w:sz w:val="14"/>
              </w:rPr>
              <w:t>ния</w:t>
            </w:r>
          </w:p>
        </w:tc>
      </w:tr>
      <w:tr w:rsidR="00000000">
        <w:tblPrEx>
          <w:tblCellMar>
            <w:top w:w="0" w:type="dxa"/>
            <w:left w:w="0" w:type="dxa"/>
            <w:bottom w:w="0" w:type="dxa"/>
            <w:right w:w="0" w:type="dxa"/>
          </w:tblCellMar>
        </w:tblPrEx>
        <w:trPr>
          <w:trHeight w:hRule="exact" w:val="115"/>
          <w:tblHeader/>
        </w:trPr>
        <w:tc>
          <w:tcPr>
            <w:tcW w:w="2682"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117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left w:val="nil"/>
              <w:bottom w:val="nil"/>
              <w:right w:val="nil"/>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2520" w:type="dxa"/>
            <w:tcBorders>
              <w:top w:val="single" w:sz="12" w:space="0" w:color="auto"/>
              <w:left w:val="nil"/>
              <w:bottom w:val="nil"/>
              <w:right w:val="nil"/>
            </w:tcBorders>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682" w:type="dxa"/>
            <w:tcBorders>
              <w:top w:val="nil"/>
              <w:left w:val="nil"/>
              <w:bottom w:val="nil"/>
              <w:right w:val="nil"/>
            </w:tcBorders>
            <w:vAlign w:val="center"/>
          </w:tcPr>
          <w:p w:rsidR="00000000" w:rsidRDefault="00000000">
            <w:pPr>
              <w:pStyle w:val="DualTxt"/>
              <w:tabs>
                <w:tab w:val="clear" w:pos="2880"/>
              </w:tabs>
              <w:spacing w:line="240" w:lineRule="auto"/>
              <w:ind w:right="-72"/>
              <w:jc w:val="left"/>
              <w:rPr>
                <w:sz w:val="17"/>
              </w:rPr>
            </w:pPr>
            <w:r>
              <w:rPr>
                <w:sz w:val="17"/>
              </w:rPr>
              <w:t>Занятые лица</w:t>
            </w:r>
          </w:p>
        </w:tc>
        <w:tc>
          <w:tcPr>
            <w:tcW w:w="1170" w:type="dxa"/>
            <w:tcBorders>
              <w:top w:val="nil"/>
              <w:left w:val="nil"/>
              <w:bottom w:val="nil"/>
              <w:right w:val="nil"/>
            </w:tcBorders>
            <w:vAlign w:val="center"/>
          </w:tcPr>
          <w:p w:rsidR="00000000" w:rsidRDefault="00000000">
            <w:pPr>
              <w:pStyle w:val="DualTxt"/>
              <w:tabs>
                <w:tab w:val="clear" w:pos="960"/>
              </w:tabs>
              <w:spacing w:line="240" w:lineRule="auto"/>
              <w:ind w:right="-117"/>
              <w:jc w:val="center"/>
              <w:rPr>
                <w:sz w:val="17"/>
              </w:rPr>
            </w:pPr>
          </w:p>
        </w:tc>
        <w:tc>
          <w:tcPr>
            <w:tcW w:w="1080" w:type="dxa"/>
            <w:tcBorders>
              <w:top w:val="nil"/>
              <w:left w:val="nil"/>
              <w:bottom w:val="nil"/>
              <w:right w:val="nil"/>
            </w:tcBorders>
            <w:vAlign w:val="center"/>
          </w:tcPr>
          <w:p w:rsidR="00000000" w:rsidRDefault="00000000">
            <w:pPr>
              <w:pStyle w:val="DualTxt"/>
              <w:tabs>
                <w:tab w:val="clear" w:pos="960"/>
              </w:tabs>
              <w:spacing w:line="240" w:lineRule="auto"/>
              <w:ind w:right="-117"/>
              <w:jc w:val="center"/>
              <w:rPr>
                <w:sz w:val="17"/>
              </w:rPr>
            </w:pPr>
          </w:p>
        </w:tc>
        <w:tc>
          <w:tcPr>
            <w:tcW w:w="2520" w:type="dxa"/>
            <w:tcBorders>
              <w:top w:val="nil"/>
              <w:left w:val="nil"/>
              <w:bottom w:val="nil"/>
              <w:right w:val="nil"/>
            </w:tcBorders>
            <w:vAlign w:val="center"/>
          </w:tcPr>
          <w:p w:rsidR="00000000" w:rsidRDefault="00000000">
            <w:pPr>
              <w:pStyle w:val="DualTxt"/>
              <w:tabs>
                <w:tab w:val="clear" w:pos="960"/>
              </w:tabs>
              <w:spacing w:line="240" w:lineRule="auto"/>
              <w:ind w:right="-117"/>
              <w:jc w:val="center"/>
              <w:rPr>
                <w:sz w:val="17"/>
              </w:rPr>
            </w:pPr>
          </w:p>
        </w:tc>
      </w:tr>
      <w:tr w:rsidR="00000000">
        <w:tblPrEx>
          <w:tblCellMar>
            <w:top w:w="0" w:type="dxa"/>
            <w:left w:w="0" w:type="dxa"/>
            <w:bottom w:w="0" w:type="dxa"/>
            <w:right w:w="0" w:type="dxa"/>
          </w:tblCellMar>
        </w:tblPrEx>
        <w:tc>
          <w:tcPr>
            <w:tcW w:w="2682" w:type="dxa"/>
            <w:tcBorders>
              <w:top w:val="nil"/>
              <w:left w:val="nil"/>
              <w:bottom w:val="nil"/>
              <w:right w:val="nil"/>
            </w:tcBorders>
            <w:vAlign w:val="center"/>
          </w:tcPr>
          <w:p w:rsidR="00000000" w:rsidRDefault="00000000">
            <w:pPr>
              <w:pStyle w:val="DualTxt"/>
              <w:tabs>
                <w:tab w:val="clear" w:pos="2880"/>
              </w:tabs>
              <w:suppressAutoHyphens/>
              <w:spacing w:line="240" w:lineRule="auto"/>
              <w:ind w:left="162" w:right="-72"/>
              <w:jc w:val="left"/>
              <w:rPr>
                <w:sz w:val="17"/>
              </w:rPr>
            </w:pPr>
            <w:r>
              <w:rPr>
                <w:sz w:val="17"/>
              </w:rPr>
              <w:t>2003 год - всего (в тысячах)</w:t>
            </w:r>
          </w:p>
        </w:tc>
        <w:tc>
          <w:tcPr>
            <w:tcW w:w="117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156,9</w:t>
            </w:r>
          </w:p>
        </w:tc>
        <w:tc>
          <w:tcPr>
            <w:tcW w:w="1080" w:type="dxa"/>
            <w:tcBorders>
              <w:top w:val="nil"/>
              <w:left w:val="nil"/>
              <w:bottom w:val="nil"/>
              <w:right w:val="nil"/>
            </w:tcBorders>
            <w:vAlign w:val="center"/>
          </w:tcPr>
          <w:p w:rsidR="00000000" w:rsidRDefault="00000000">
            <w:pPr>
              <w:pStyle w:val="DualTxt"/>
              <w:tabs>
                <w:tab w:val="clear" w:pos="960"/>
              </w:tabs>
              <w:spacing w:line="240" w:lineRule="auto"/>
              <w:ind w:right="86"/>
              <w:jc w:val="right"/>
              <w:rPr>
                <w:sz w:val="17"/>
              </w:rPr>
            </w:pPr>
            <w:r>
              <w:rPr>
                <w:sz w:val="17"/>
              </w:rPr>
              <w:t>82,7</w:t>
            </w:r>
          </w:p>
        </w:tc>
        <w:tc>
          <w:tcPr>
            <w:tcW w:w="252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48,1</w:t>
            </w:r>
          </w:p>
        </w:tc>
      </w:tr>
      <w:tr w:rsidR="00000000">
        <w:tblPrEx>
          <w:tblCellMar>
            <w:top w:w="0" w:type="dxa"/>
            <w:left w:w="0" w:type="dxa"/>
            <w:bottom w:w="0" w:type="dxa"/>
            <w:right w:w="0" w:type="dxa"/>
          </w:tblCellMar>
        </w:tblPrEx>
        <w:tc>
          <w:tcPr>
            <w:tcW w:w="2682" w:type="dxa"/>
            <w:tcBorders>
              <w:top w:val="nil"/>
              <w:left w:val="nil"/>
              <w:bottom w:val="nil"/>
              <w:right w:val="nil"/>
            </w:tcBorders>
            <w:vAlign w:val="center"/>
          </w:tcPr>
          <w:p w:rsidR="00000000" w:rsidRDefault="00000000">
            <w:pPr>
              <w:pStyle w:val="DualTxt"/>
              <w:tabs>
                <w:tab w:val="clear" w:pos="2880"/>
              </w:tabs>
              <w:spacing w:line="240" w:lineRule="auto"/>
              <w:ind w:left="162" w:right="-72"/>
              <w:jc w:val="left"/>
              <w:rPr>
                <w:sz w:val="17"/>
              </w:rPr>
            </w:pPr>
            <w:r>
              <w:rPr>
                <w:sz w:val="17"/>
              </w:rPr>
              <w:t>Мужчины</w:t>
            </w:r>
          </w:p>
        </w:tc>
        <w:tc>
          <w:tcPr>
            <w:tcW w:w="117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44,8</w:t>
            </w:r>
          </w:p>
        </w:tc>
        <w:tc>
          <w:tcPr>
            <w:tcW w:w="1080" w:type="dxa"/>
            <w:tcBorders>
              <w:top w:val="nil"/>
              <w:left w:val="nil"/>
              <w:bottom w:val="nil"/>
              <w:right w:val="nil"/>
            </w:tcBorders>
            <w:vAlign w:val="center"/>
          </w:tcPr>
          <w:p w:rsidR="00000000" w:rsidRDefault="00000000">
            <w:pPr>
              <w:pStyle w:val="DualTxt"/>
              <w:tabs>
                <w:tab w:val="clear" w:pos="960"/>
              </w:tabs>
              <w:spacing w:line="240" w:lineRule="auto"/>
              <w:ind w:right="86"/>
              <w:jc w:val="right"/>
              <w:rPr>
                <w:sz w:val="17"/>
              </w:rPr>
            </w:pPr>
            <w:r>
              <w:rPr>
                <w:sz w:val="17"/>
              </w:rPr>
              <w:t>24,1</w:t>
            </w:r>
          </w:p>
        </w:tc>
        <w:tc>
          <w:tcPr>
            <w:tcW w:w="252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12,4</w:t>
            </w:r>
          </w:p>
        </w:tc>
      </w:tr>
      <w:tr w:rsidR="00000000">
        <w:tblPrEx>
          <w:tblCellMar>
            <w:top w:w="0" w:type="dxa"/>
            <w:left w:w="0" w:type="dxa"/>
            <w:bottom w:w="0" w:type="dxa"/>
            <w:right w:w="0" w:type="dxa"/>
          </w:tblCellMar>
        </w:tblPrEx>
        <w:tc>
          <w:tcPr>
            <w:tcW w:w="2682" w:type="dxa"/>
            <w:tcBorders>
              <w:top w:val="nil"/>
              <w:left w:val="nil"/>
              <w:bottom w:val="nil"/>
              <w:right w:val="nil"/>
            </w:tcBorders>
            <w:vAlign w:val="center"/>
          </w:tcPr>
          <w:p w:rsidR="00000000" w:rsidRDefault="00000000">
            <w:pPr>
              <w:pStyle w:val="DualTxt"/>
              <w:tabs>
                <w:tab w:val="clear" w:pos="2880"/>
              </w:tabs>
              <w:spacing w:line="240" w:lineRule="auto"/>
              <w:ind w:left="162" w:right="-72"/>
              <w:jc w:val="left"/>
              <w:rPr>
                <w:sz w:val="17"/>
              </w:rPr>
            </w:pPr>
            <w:r>
              <w:rPr>
                <w:sz w:val="17"/>
              </w:rPr>
              <w:t>Женщины</w:t>
            </w:r>
          </w:p>
        </w:tc>
        <w:tc>
          <w:tcPr>
            <w:tcW w:w="117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112,0</w:t>
            </w:r>
          </w:p>
        </w:tc>
        <w:tc>
          <w:tcPr>
            <w:tcW w:w="1080" w:type="dxa"/>
            <w:tcBorders>
              <w:top w:val="nil"/>
              <w:left w:val="nil"/>
              <w:bottom w:val="nil"/>
              <w:right w:val="nil"/>
            </w:tcBorders>
            <w:vAlign w:val="center"/>
          </w:tcPr>
          <w:p w:rsidR="00000000" w:rsidRDefault="00000000">
            <w:pPr>
              <w:pStyle w:val="DualTxt"/>
              <w:tabs>
                <w:tab w:val="clear" w:pos="960"/>
              </w:tabs>
              <w:spacing w:line="240" w:lineRule="auto"/>
              <w:ind w:right="86"/>
              <w:jc w:val="right"/>
              <w:rPr>
                <w:sz w:val="17"/>
              </w:rPr>
            </w:pPr>
            <w:r>
              <w:rPr>
                <w:sz w:val="17"/>
              </w:rPr>
              <w:t>58,5</w:t>
            </w:r>
          </w:p>
        </w:tc>
        <w:tc>
          <w:tcPr>
            <w:tcW w:w="252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35,8</w:t>
            </w:r>
          </w:p>
        </w:tc>
      </w:tr>
      <w:tr w:rsidR="00000000">
        <w:tblPrEx>
          <w:tblCellMar>
            <w:top w:w="0" w:type="dxa"/>
            <w:left w:w="0" w:type="dxa"/>
            <w:bottom w:w="0" w:type="dxa"/>
            <w:right w:w="0" w:type="dxa"/>
          </w:tblCellMar>
        </w:tblPrEx>
        <w:tc>
          <w:tcPr>
            <w:tcW w:w="2682" w:type="dxa"/>
            <w:tcBorders>
              <w:top w:val="nil"/>
              <w:left w:val="nil"/>
              <w:bottom w:val="nil"/>
              <w:right w:val="nil"/>
            </w:tcBorders>
            <w:vAlign w:val="center"/>
          </w:tcPr>
          <w:p w:rsidR="00000000" w:rsidRDefault="00000000">
            <w:pPr>
              <w:pStyle w:val="DualTxt"/>
              <w:tabs>
                <w:tab w:val="clear" w:pos="2880"/>
              </w:tabs>
              <w:spacing w:line="240" w:lineRule="auto"/>
              <w:ind w:right="-72"/>
              <w:jc w:val="left"/>
              <w:rPr>
                <w:sz w:val="17"/>
              </w:rPr>
            </w:pPr>
            <w:r>
              <w:rPr>
                <w:sz w:val="17"/>
              </w:rPr>
              <w:t>Наемные работники</w:t>
            </w:r>
          </w:p>
        </w:tc>
        <w:tc>
          <w:tcPr>
            <w:tcW w:w="117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p>
        </w:tc>
        <w:tc>
          <w:tcPr>
            <w:tcW w:w="1080" w:type="dxa"/>
            <w:tcBorders>
              <w:top w:val="nil"/>
              <w:left w:val="nil"/>
              <w:bottom w:val="nil"/>
              <w:right w:val="nil"/>
            </w:tcBorders>
            <w:vAlign w:val="center"/>
          </w:tcPr>
          <w:p w:rsidR="00000000" w:rsidRDefault="00000000">
            <w:pPr>
              <w:pStyle w:val="DualTxt"/>
              <w:tabs>
                <w:tab w:val="clear" w:pos="960"/>
              </w:tabs>
              <w:spacing w:line="240" w:lineRule="auto"/>
              <w:ind w:right="86"/>
              <w:jc w:val="right"/>
              <w:rPr>
                <w:sz w:val="17"/>
              </w:rPr>
            </w:pPr>
          </w:p>
        </w:tc>
        <w:tc>
          <w:tcPr>
            <w:tcW w:w="252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p>
        </w:tc>
      </w:tr>
      <w:tr w:rsidR="00000000">
        <w:tblPrEx>
          <w:tblCellMar>
            <w:top w:w="0" w:type="dxa"/>
            <w:left w:w="0" w:type="dxa"/>
            <w:bottom w:w="0" w:type="dxa"/>
            <w:right w:w="0" w:type="dxa"/>
          </w:tblCellMar>
        </w:tblPrEx>
        <w:tc>
          <w:tcPr>
            <w:tcW w:w="2682" w:type="dxa"/>
            <w:tcBorders>
              <w:top w:val="nil"/>
              <w:left w:val="nil"/>
              <w:bottom w:val="nil"/>
              <w:right w:val="nil"/>
            </w:tcBorders>
            <w:vAlign w:val="center"/>
          </w:tcPr>
          <w:p w:rsidR="00000000" w:rsidRDefault="00000000">
            <w:pPr>
              <w:pStyle w:val="DualTxt"/>
              <w:tabs>
                <w:tab w:val="clear" w:pos="2880"/>
              </w:tabs>
              <w:suppressAutoHyphens/>
              <w:spacing w:line="240" w:lineRule="auto"/>
              <w:ind w:left="162" w:right="-72"/>
              <w:jc w:val="left"/>
              <w:rPr>
                <w:sz w:val="17"/>
              </w:rPr>
            </w:pPr>
            <w:r>
              <w:rPr>
                <w:sz w:val="17"/>
              </w:rPr>
              <w:t>2003 год - всего (в тысячах)</w:t>
            </w:r>
          </w:p>
        </w:tc>
        <w:tc>
          <w:tcPr>
            <w:tcW w:w="117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140,8</w:t>
            </w:r>
          </w:p>
        </w:tc>
        <w:tc>
          <w:tcPr>
            <w:tcW w:w="1080" w:type="dxa"/>
            <w:tcBorders>
              <w:top w:val="nil"/>
              <w:left w:val="nil"/>
              <w:bottom w:val="nil"/>
              <w:right w:val="nil"/>
            </w:tcBorders>
            <w:vAlign w:val="center"/>
          </w:tcPr>
          <w:p w:rsidR="00000000" w:rsidRDefault="00000000">
            <w:pPr>
              <w:pStyle w:val="DualTxt"/>
              <w:tabs>
                <w:tab w:val="clear" w:pos="960"/>
              </w:tabs>
              <w:spacing w:line="240" w:lineRule="auto"/>
              <w:ind w:right="86"/>
              <w:jc w:val="right"/>
              <w:rPr>
                <w:sz w:val="17"/>
              </w:rPr>
            </w:pPr>
            <w:r>
              <w:rPr>
                <w:sz w:val="17"/>
              </w:rPr>
              <w:t>82,2</w:t>
            </w:r>
          </w:p>
        </w:tc>
        <w:tc>
          <w:tcPr>
            <w:tcW w:w="252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43,7</w:t>
            </w:r>
          </w:p>
        </w:tc>
      </w:tr>
      <w:tr w:rsidR="00000000">
        <w:tblPrEx>
          <w:tblCellMar>
            <w:top w:w="0" w:type="dxa"/>
            <w:left w:w="0" w:type="dxa"/>
            <w:bottom w:w="0" w:type="dxa"/>
            <w:right w:w="0" w:type="dxa"/>
          </w:tblCellMar>
        </w:tblPrEx>
        <w:tc>
          <w:tcPr>
            <w:tcW w:w="2682" w:type="dxa"/>
            <w:tcBorders>
              <w:top w:val="nil"/>
              <w:left w:val="nil"/>
              <w:bottom w:val="nil"/>
              <w:right w:val="nil"/>
            </w:tcBorders>
            <w:vAlign w:val="center"/>
          </w:tcPr>
          <w:p w:rsidR="00000000" w:rsidRDefault="00000000">
            <w:pPr>
              <w:pStyle w:val="DualTxt"/>
              <w:tabs>
                <w:tab w:val="clear" w:pos="2880"/>
              </w:tabs>
              <w:spacing w:line="240" w:lineRule="auto"/>
              <w:ind w:left="162" w:right="-72"/>
              <w:jc w:val="left"/>
              <w:rPr>
                <w:sz w:val="17"/>
              </w:rPr>
            </w:pPr>
            <w:r>
              <w:rPr>
                <w:sz w:val="17"/>
              </w:rPr>
              <w:t>Мужчины</w:t>
            </w:r>
          </w:p>
        </w:tc>
        <w:tc>
          <w:tcPr>
            <w:tcW w:w="117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36.*</w:t>
            </w:r>
          </w:p>
        </w:tc>
        <w:tc>
          <w:tcPr>
            <w:tcW w:w="1080" w:type="dxa"/>
            <w:tcBorders>
              <w:top w:val="nil"/>
              <w:left w:val="nil"/>
              <w:bottom w:val="nil"/>
              <w:right w:val="nil"/>
            </w:tcBorders>
            <w:vAlign w:val="center"/>
          </w:tcPr>
          <w:p w:rsidR="00000000" w:rsidRDefault="00000000">
            <w:pPr>
              <w:pStyle w:val="DualTxt"/>
              <w:tabs>
                <w:tab w:val="clear" w:pos="960"/>
              </w:tabs>
              <w:spacing w:line="240" w:lineRule="auto"/>
              <w:ind w:right="86"/>
              <w:jc w:val="right"/>
              <w:rPr>
                <w:sz w:val="17"/>
              </w:rPr>
            </w:pPr>
            <w:r>
              <w:rPr>
                <w:sz w:val="17"/>
              </w:rPr>
              <w:t>23,9</w:t>
            </w:r>
          </w:p>
        </w:tc>
        <w:tc>
          <w:tcPr>
            <w:tcW w:w="2520" w:type="dxa"/>
            <w:tcBorders>
              <w:top w:val="nil"/>
              <w:left w:val="nil"/>
              <w:bottom w:val="nil"/>
              <w:right w:val="nil"/>
            </w:tcBorders>
            <w:vAlign w:val="center"/>
          </w:tcPr>
          <w:p w:rsidR="00000000" w:rsidRDefault="00000000">
            <w:pPr>
              <w:pStyle w:val="DualTxt"/>
              <w:tabs>
                <w:tab w:val="clear" w:pos="960"/>
              </w:tabs>
              <w:spacing w:line="240" w:lineRule="auto"/>
              <w:ind w:right="90"/>
              <w:jc w:val="right"/>
              <w:rPr>
                <w:sz w:val="17"/>
              </w:rPr>
            </w:pPr>
            <w:r>
              <w:rPr>
                <w:sz w:val="17"/>
              </w:rPr>
              <w:t>10,0</w:t>
            </w:r>
          </w:p>
        </w:tc>
      </w:tr>
      <w:tr w:rsidR="00000000">
        <w:tblPrEx>
          <w:tblCellMar>
            <w:top w:w="0" w:type="dxa"/>
            <w:left w:w="0" w:type="dxa"/>
            <w:bottom w:w="0" w:type="dxa"/>
            <w:right w:w="0" w:type="dxa"/>
          </w:tblCellMar>
        </w:tblPrEx>
        <w:tc>
          <w:tcPr>
            <w:tcW w:w="2682" w:type="dxa"/>
            <w:tcBorders>
              <w:top w:val="nil"/>
              <w:left w:val="nil"/>
              <w:bottom w:val="single" w:sz="12" w:space="0" w:color="auto"/>
              <w:right w:val="nil"/>
            </w:tcBorders>
            <w:vAlign w:val="center"/>
          </w:tcPr>
          <w:p w:rsidR="00000000" w:rsidRDefault="00000000">
            <w:pPr>
              <w:pStyle w:val="DualTxt"/>
              <w:tabs>
                <w:tab w:val="clear" w:pos="2880"/>
              </w:tabs>
              <w:spacing w:line="240" w:lineRule="auto"/>
              <w:ind w:left="162" w:right="-72"/>
              <w:jc w:val="left"/>
              <w:rPr>
                <w:sz w:val="17"/>
              </w:rPr>
            </w:pPr>
            <w:r>
              <w:rPr>
                <w:sz w:val="17"/>
              </w:rPr>
              <w:t>Женщины</w:t>
            </w:r>
          </w:p>
        </w:tc>
        <w:tc>
          <w:tcPr>
            <w:tcW w:w="1170" w:type="dxa"/>
            <w:tcBorders>
              <w:top w:val="nil"/>
              <w:left w:val="nil"/>
              <w:bottom w:val="single" w:sz="12" w:space="0" w:color="auto"/>
              <w:right w:val="nil"/>
            </w:tcBorders>
            <w:vAlign w:val="center"/>
          </w:tcPr>
          <w:p w:rsidR="00000000" w:rsidRDefault="00000000">
            <w:pPr>
              <w:pStyle w:val="DualTxt"/>
              <w:tabs>
                <w:tab w:val="clear" w:pos="960"/>
              </w:tabs>
              <w:spacing w:line="240" w:lineRule="auto"/>
              <w:ind w:right="90"/>
              <w:jc w:val="right"/>
              <w:rPr>
                <w:sz w:val="17"/>
              </w:rPr>
            </w:pPr>
            <w:r>
              <w:rPr>
                <w:sz w:val="17"/>
              </w:rPr>
              <w:t>104,0</w:t>
            </w:r>
          </w:p>
        </w:tc>
        <w:tc>
          <w:tcPr>
            <w:tcW w:w="1080" w:type="dxa"/>
            <w:tcBorders>
              <w:top w:val="nil"/>
              <w:left w:val="nil"/>
              <w:bottom w:val="single" w:sz="12" w:space="0" w:color="auto"/>
              <w:right w:val="nil"/>
            </w:tcBorders>
            <w:vAlign w:val="center"/>
          </w:tcPr>
          <w:p w:rsidR="00000000" w:rsidRDefault="00000000">
            <w:pPr>
              <w:pStyle w:val="DualTxt"/>
              <w:tabs>
                <w:tab w:val="clear" w:pos="960"/>
              </w:tabs>
              <w:spacing w:line="240" w:lineRule="auto"/>
              <w:ind w:right="86"/>
              <w:jc w:val="right"/>
              <w:rPr>
                <w:sz w:val="17"/>
              </w:rPr>
            </w:pPr>
            <w:r>
              <w:rPr>
                <w:sz w:val="17"/>
              </w:rPr>
              <w:t>58,2</w:t>
            </w:r>
          </w:p>
        </w:tc>
        <w:tc>
          <w:tcPr>
            <w:tcW w:w="2520" w:type="dxa"/>
            <w:tcBorders>
              <w:top w:val="nil"/>
              <w:left w:val="nil"/>
              <w:bottom w:val="single" w:sz="12" w:space="0" w:color="auto"/>
              <w:right w:val="nil"/>
            </w:tcBorders>
            <w:vAlign w:val="center"/>
          </w:tcPr>
          <w:p w:rsidR="00000000" w:rsidRDefault="00000000">
            <w:pPr>
              <w:pStyle w:val="DualTxt"/>
              <w:tabs>
                <w:tab w:val="clear" w:pos="960"/>
              </w:tabs>
              <w:spacing w:line="240" w:lineRule="auto"/>
              <w:ind w:right="90"/>
              <w:jc w:val="right"/>
              <w:rPr>
                <w:sz w:val="17"/>
              </w:rPr>
            </w:pPr>
            <w:r>
              <w:rPr>
                <w:sz w:val="17"/>
              </w:rPr>
              <w:t>33,7</w:t>
            </w:r>
          </w:p>
        </w:tc>
      </w:tr>
    </w:tbl>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DualTxt"/>
        <w:ind w:left="1267"/>
        <w:rPr>
          <w:i/>
        </w:rPr>
      </w:pPr>
      <w:r>
        <w:rPr>
          <w:i/>
        </w:rPr>
        <w:t xml:space="preserve">Источник: </w:t>
      </w:r>
      <w:r>
        <w:t>Центральное статистическое бюро, 2004 год.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347.</w:t>
      </w:r>
      <w:r>
        <w:tab/>
        <w:t>В 2003 году было выдано 734 разрешения на медицинскую практику, 49 процентов из них - женщинам и, кроме того, 169 новых разрешений на фа</w:t>
      </w:r>
      <w:r>
        <w:t>р</w:t>
      </w:r>
      <w:r>
        <w:t>мацевтическую деятельность, 63 процента из которых - женщинам.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278" w:right="1267"/>
      </w:pPr>
      <w:r>
        <w:t>Женщины - старшие должностные лица в системе здравоохранения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348.</w:t>
      </w:r>
      <w:r>
        <w:tab/>
        <w:t>Женщины составляют большинство (5 из 7) среди окружных врачей м</w:t>
      </w:r>
      <w:r>
        <w:t>и</w:t>
      </w:r>
      <w:r>
        <w:t>нистерства здравоохранения. Женщины возглавляют также пять крупных д</w:t>
      </w:r>
      <w:r>
        <w:t>е</w:t>
      </w:r>
      <w:r>
        <w:t>партаментов министерства, а две женщины занимают должности заместителей генеральных директоров. В национальном совете по медицинскому страхов</w:t>
      </w:r>
      <w:r>
        <w:t>а</w:t>
      </w:r>
      <w:r>
        <w:t>нию работает 12 женщин (26 процентов).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5" w:right="1267" w:firstLine="172"/>
      </w:pPr>
      <w:r>
        <w:t>Отношение к женщинам в рамках системы здравоохранения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b/>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349.</w:t>
      </w:r>
      <w:r>
        <w:tab/>
        <w:t>Последние данные показывают, что ни одна из жалоб, поданных в связи с медицинским лечением и поведением медицинского/среднего медицинского персонала, не была связана с дискриминацией в отношении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5" w:right="1267" w:firstLine="172"/>
      </w:pPr>
      <w:r>
        <w:t>Улучшение положения женщин в системе здравоохранения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350.</w:t>
      </w:r>
      <w:r>
        <w:tab/>
        <w:t>Министерство здравоохранения ежегодно проводит семинар для женщин по проблема, их касающимся, и, в частности. связанным с сексуальными дом</w:t>
      </w:r>
      <w:r>
        <w:t>о</w:t>
      </w:r>
      <w:r>
        <w:t>гательствами.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351.</w:t>
      </w:r>
      <w:r>
        <w:tab/>
        <w:t>Должностное лицо по наблюдению за положением женщин в министерс</w:t>
      </w:r>
      <w:r>
        <w:t>т</w:t>
      </w:r>
      <w:r>
        <w:t>ве поощряет женщин к тому, чтобы обращаться с просьбами о назначении на руководящие должности, и активно занимается такими вопросами, как секс</w:t>
      </w:r>
      <w:r>
        <w:t>у</w:t>
      </w:r>
      <w:r>
        <w:t>альные домогательства, насилие в семье и т.д.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352.</w:t>
      </w:r>
      <w:r>
        <w:tab/>
        <w:t>Ежегодно десятки женщин представляют министерство здравоохранения в составе делегаций на международных конференциях и семинарах в зарубе</w:t>
      </w:r>
      <w:r>
        <w:t>ж</w:t>
      </w:r>
      <w:r>
        <w:t>ных странах.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Ch"/>
        <w:ind w:left="778" w:right="1210"/>
      </w:pPr>
      <w:r>
        <w:t>Статья 13. Социальные и экономические пособия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Изменения в законодательной сфере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353.</w:t>
      </w:r>
      <w:r>
        <w:tab/>
        <w:t xml:space="preserve">Основным изменением в правовой сфере стало расширение в 2004 году </w:t>
      </w:r>
      <w:r>
        <w:rPr>
          <w:i/>
        </w:rPr>
        <w:t>Закона о занятости женщин (временные положения 1998 года</w:t>
      </w:r>
      <w:r>
        <w:t>), в соответс</w:t>
      </w:r>
      <w:r>
        <w:t>т</w:t>
      </w:r>
      <w:r>
        <w:t>вии с которыми мужчинам было предоставлено право брать часть отпуска по беременности и родам своих жен и получать пособие в связи с рождением р</w:t>
      </w:r>
      <w:r>
        <w:t>е</w:t>
      </w:r>
      <w:r>
        <w:t>бенка, при условии, что жена отказывается от права на оставшуюся часть о</w:t>
      </w:r>
      <w:r>
        <w:t>т</w:t>
      </w:r>
      <w:r>
        <w:t>пуска по беременности и родам и возвращается на работу. Эта поправка неда</w:t>
      </w:r>
      <w:r>
        <w:t>в</w:t>
      </w:r>
      <w:r>
        <w:t>но была расширена и остается в силе до конца апреля 2007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354.</w:t>
      </w:r>
      <w:r>
        <w:tab/>
        <w:t xml:space="preserve">В </w:t>
      </w:r>
      <w:r>
        <w:rPr>
          <w:i/>
        </w:rPr>
        <w:t>Закон о занятости женщин</w:t>
      </w:r>
      <w:r>
        <w:t xml:space="preserve"> были внесены значительные изменения п</w:t>
      </w:r>
      <w:r>
        <w:t>о</w:t>
      </w:r>
      <w:r>
        <w:t>сле представления нашего предыдущего доклада, которые подробно описаны ниже.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355.</w:t>
      </w:r>
      <w:r>
        <w:tab/>
      </w:r>
      <w:r>
        <w:rPr>
          <w:i/>
        </w:rPr>
        <w:t>Поправка № 20</w:t>
      </w:r>
      <w:r>
        <w:t xml:space="preserve"> лишает наемного работника права на отпуск по береме</w:t>
      </w:r>
      <w:r>
        <w:t>н</w:t>
      </w:r>
      <w:r>
        <w:t>ности и родам и на отпуск в течение 45 последующих дней с даты получения уведомления об увольнении, таким образом работодатель может уволить р</w:t>
      </w:r>
      <w:r>
        <w:t>а</w:t>
      </w:r>
      <w:r>
        <w:t xml:space="preserve">ботника по истечении лишь 45 дней. </w:t>
      </w:r>
      <w:r>
        <w:rPr>
          <w:i/>
        </w:rPr>
        <w:t>Поправка № 21</w:t>
      </w:r>
      <w:r>
        <w:t xml:space="preserve"> предусматривает защиту для наемного работника (мужчин и женщин), проходящих ИВХ и лечение от бесплодия, до появления их первого или второго ребенка, в период их отсутс</w:t>
      </w:r>
      <w:r>
        <w:t>т</w:t>
      </w:r>
      <w:r>
        <w:t xml:space="preserve">вия и в течение последующих 150 дней. </w:t>
      </w:r>
      <w:r>
        <w:rPr>
          <w:i/>
        </w:rPr>
        <w:t>Поправка № 22</w:t>
      </w:r>
      <w:r>
        <w:t xml:space="preserve"> предусматривает, что отсутствие наемного работника ввиду отпуска по беременности и родам не должно влиять на выплату социальных пособий, зависящих от старшинства. </w:t>
      </w:r>
      <w:r>
        <w:rPr>
          <w:i/>
        </w:rPr>
        <w:t>Поправка № 24</w:t>
      </w:r>
      <w:r>
        <w:t xml:space="preserve"> предусматривает обязанность работодателя продолжать выпл</w:t>
      </w:r>
      <w:r>
        <w:t>а</w:t>
      </w:r>
      <w:r>
        <w:t>чивать определенную долю пенсии работника в пенсионный фонд или страх</w:t>
      </w:r>
      <w:r>
        <w:t>о</w:t>
      </w:r>
      <w:r>
        <w:t>вой план директоров или план сбережений в период беременности, при усл</w:t>
      </w:r>
      <w:r>
        <w:t>о</w:t>
      </w:r>
      <w:r>
        <w:t>вии, что наемный работник продолжает уплачивать свою долю. Кроме того, р</w:t>
      </w:r>
      <w:r>
        <w:t>а</w:t>
      </w:r>
      <w:r>
        <w:t xml:space="preserve">ботодатель обязан продолжать уплачивать свою долю в пенсионный фонд или в программу директорского страхования в период отпуска по беременности и родам. </w:t>
      </w:r>
      <w:r>
        <w:rPr>
          <w:i/>
        </w:rPr>
        <w:t>Поправка № 25</w:t>
      </w:r>
      <w:r>
        <w:t xml:space="preserve"> предусматривает, что женщина может продлить срок своего отпуска по беременности и родам, когда новорожденный помещается в стационар на период свыше 12 недель. Такое продление не совпадает с оста</w:t>
      </w:r>
      <w:r>
        <w:t>в</w:t>
      </w:r>
      <w:r>
        <w:t>шимися периодами продления максимум до четырех недель.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356.</w:t>
      </w:r>
      <w:r>
        <w:tab/>
        <w:t>Поправка № 26 ограничивает возможность министерства промышленн</w:t>
      </w:r>
      <w:r>
        <w:t>о</w:t>
      </w:r>
      <w:r>
        <w:t>сти, торговли и труда по предоставлению работодателю ретроактивного разр</w:t>
      </w:r>
      <w:r>
        <w:t>е</w:t>
      </w:r>
      <w:r>
        <w:t>шения на увольнение беременной сотрудницы. Исключения, дающие право на такое ретроактивное увольнение, включают: отсутствие информации о бер</w:t>
      </w:r>
      <w:r>
        <w:t>е</w:t>
      </w:r>
      <w:r>
        <w:t>менности в момент увольнения, доказанные тяжелые обстоятельства, банкро</w:t>
      </w:r>
      <w:r>
        <w:t>т</w:t>
      </w:r>
      <w:r>
        <w:t>ство или ликвидацию, либо прекращение деятельности в силу непредвиденных обсто</w:t>
      </w:r>
      <w:r>
        <w:t>я</w:t>
      </w:r>
      <w:r>
        <w:t>тельств.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r>
        <w:rPr>
          <w:sz w:val="10"/>
        </w:rPr>
        <w:br w:type="page"/>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Социальные пособия и государство всеобщего благосостояния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5" w:right="1267" w:firstLine="172"/>
      </w:pPr>
      <w:r>
        <w:t>Социальные пособия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357.</w:t>
      </w:r>
      <w:r>
        <w:tab/>
        <w:t>В Израиле имеется передовая система социального страхования, защ</w:t>
      </w:r>
      <w:r>
        <w:t>и</w:t>
      </w:r>
      <w:r>
        <w:t>щающая от основных случаев утраты дохода, чаще всего возникающих в с</w:t>
      </w:r>
      <w:r>
        <w:t>о</w:t>
      </w:r>
      <w:r>
        <w:t>временном обществе. Это предусматривает долгосрочные платежи, гарантир</w:t>
      </w:r>
      <w:r>
        <w:t>о</w:t>
      </w:r>
      <w:r>
        <w:t>ванные выплаты тем, кто не может никак найти работу в силу своего возраста или инвалидности, иждивенцам и семьям, вынужденным терпеть экономич</w:t>
      </w:r>
      <w:r>
        <w:t>е</w:t>
      </w:r>
      <w:r>
        <w:t>ские лишения из-за необходимости воспитывать детей, а также краткосрочные платежи, заменяющие заработную плату для временно безработных (по прич</w:t>
      </w:r>
      <w:r>
        <w:t>и</w:t>
      </w:r>
      <w:r>
        <w:t>не увольнения, получения увечья на рабочем месте, воспитания детей или службы в резервных войсках). Национальный институт страхования (НИС) я</w:t>
      </w:r>
      <w:r>
        <w:t>в</w:t>
      </w:r>
      <w:r>
        <w:t>ляется правительственных органом, который несет ответственность за упра</w:t>
      </w:r>
      <w:r>
        <w:t>в</w:t>
      </w:r>
      <w:r>
        <w:t>ление программами социального страхования.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358.</w:t>
      </w:r>
      <w:r>
        <w:tab/>
        <w:t>Женщины в Израиле получают значительное число социальных пособий; этот показатель соответствует в большинстве случаев более высокой продо</w:t>
      </w:r>
      <w:r>
        <w:t>л</w:t>
      </w:r>
      <w:r>
        <w:t>жительности жизни женщин и их моделям занятости.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359.</w:t>
      </w:r>
      <w:r>
        <w:tab/>
        <w:t>Далее излагаются изменения, касающиеся социальных пособий и затр</w:t>
      </w:r>
      <w:r>
        <w:t>а</w:t>
      </w:r>
      <w:r>
        <w:t>гивающие женщин, которые произошли после представления нашего пред</w:t>
      </w:r>
      <w:r>
        <w:t>ы</w:t>
      </w:r>
      <w:r>
        <w:t>дущ</w:t>
      </w:r>
      <w:r>
        <w:t>е</w:t>
      </w:r>
      <w:r>
        <w:t>го доклада.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5" w:right="1267" w:firstLine="172"/>
      </w:pPr>
      <w:r>
        <w:t>Страхование матерей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360.</w:t>
      </w:r>
      <w:r>
        <w:tab/>
        <w:t>Женщины имеют право на получение страховки по материнству, которая включая субсидию на госпитализацию, субсидию в связи с материнством, п</w:t>
      </w:r>
      <w:r>
        <w:t>о</w:t>
      </w:r>
      <w:r>
        <w:t>собие на рождение ребенка и отпускные в связи с рождением ребенка. До июля 2002 года коэффициент субсидий по причине беременности составлял 20 пр</w:t>
      </w:r>
      <w:r>
        <w:t>о</w:t>
      </w:r>
      <w:r>
        <w:t>центов от средней заработной платы, независимо от числа предыдущих дет</w:t>
      </w:r>
      <w:r>
        <w:t>о</w:t>
      </w:r>
      <w:r>
        <w:t>рождений. В августе 2003 года изменилась сумма выплат в связи с беременн</w:t>
      </w:r>
      <w:r>
        <w:t>о</w:t>
      </w:r>
      <w:r>
        <w:t>стью из-за рождения второго ребенка и т.д., и была установлена в размере 6 процентов средней заработной платы. В январе 2004 года субсидии, подлеж</w:t>
      </w:r>
      <w:r>
        <w:t>а</w:t>
      </w:r>
      <w:r>
        <w:t>щие уплате в связи с рождением второго ребенка, в среднем возросли лишь на 9 пр</w:t>
      </w:r>
      <w:r>
        <w:t>о</w:t>
      </w:r>
      <w:r>
        <w:t>центов.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361.</w:t>
      </w:r>
      <w:r>
        <w:tab/>
        <w:t>В 2003 году 42 000 женщин получали пособия в связи с рождением р</w:t>
      </w:r>
      <w:r>
        <w:t>е</w:t>
      </w:r>
      <w:r>
        <w:t>бенка, т.е. на 6 процентов больше по сравнению с 2002 годом. За последние г</w:t>
      </w:r>
      <w:r>
        <w:t>о</w:t>
      </w:r>
      <w:r>
        <w:t>ды доля женщин, получающих этот платеж, незначительно снизилась, прежде всего из-за изменений в доле женщин в составе трудовых ресурсов в пределах их фертильного этапа. Следует отметить, что средний возраст женщин, пол</w:t>
      </w:r>
      <w:r>
        <w:t>у</w:t>
      </w:r>
      <w:r>
        <w:t>чавших пособие в связи с отпуском по беременности и родам, в 2002</w:t>
      </w:r>
      <w:r>
        <w:noBreakHyphen/>
        <w:t>2003 годах составил 30 лет. Кроме того, 95,5 процента этих женщин явл</w:t>
      </w:r>
      <w:r>
        <w:t>я</w:t>
      </w:r>
      <w:r>
        <w:t>лись наемными работниками, причем этот показатель связан с характером уч</w:t>
      </w:r>
      <w:r>
        <w:t>а</w:t>
      </w:r>
      <w:r>
        <w:t>стия женщин в функционировании рынка труда. В 2003 году доля страховых платежей для матерей среди всех платежей по национальному страхованию с</w:t>
      </w:r>
      <w:r>
        <w:t>о</w:t>
      </w:r>
      <w:r>
        <w:t>ста</w:t>
      </w:r>
      <w:r>
        <w:t>в</w:t>
      </w:r>
      <w:r>
        <w:t>ляло 61,1 процента, по сравнению с 5,9 процента в 2001</w:t>
      </w:r>
      <w:r>
        <w:noBreakHyphen/>
        <w:t>2002 годах.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267" w:right="1267"/>
      </w:pPr>
      <w:r>
        <w:t>Пособия в связи с достижением пожилого возраста и пособия на дожитие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362.</w:t>
      </w:r>
      <w:r>
        <w:tab/>
        <w:t>В 2003 году примерно 604 000 женщин получали пособия в связи с до</w:t>
      </w:r>
      <w:r>
        <w:t>с</w:t>
      </w:r>
      <w:r>
        <w:t>тижением пенсионного возраста и пособия на дожитие, при наличии 104 000 лиц, получавших этих пособия ежемесячно. Пособия, которые пол</w:t>
      </w:r>
      <w:r>
        <w:t>у</w:t>
      </w:r>
      <w:r>
        <w:t>чают достигшие пенсионного возраста лица и иждивенцы, составляют на</w:t>
      </w:r>
      <w:r>
        <w:t>и</w:t>
      </w:r>
      <w:r>
        <w:t>большую часть пособий по страхованию в рамках СНС и их число растет, при условии увеличения на 3,8 процента числа тех, кто получает пенсию по ст</w:t>
      </w:r>
      <w:r>
        <w:t>а</w:t>
      </w:r>
      <w:r>
        <w:t>рости. Это представляет собой незначительное уменьшение числа выживших лиц, получающих пособия (-0,1 процента). Эти изменения, в основном, отр</w:t>
      </w:r>
      <w:r>
        <w:t>а</w:t>
      </w:r>
      <w:r>
        <w:t>жают рост числа пожилых людей в составе населения.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363.</w:t>
      </w:r>
      <w:r>
        <w:tab/>
        <w:t xml:space="preserve">По состоянию на декабрь 2003 года большинство тех, кто </w:t>
      </w:r>
      <w:r>
        <w:rPr>
          <w:u w:val="single"/>
        </w:rPr>
        <w:t>и в</w:t>
      </w:r>
      <w:r>
        <w:t xml:space="preserve"> пожилом возрасте, и в возрасте получения пособий по старости, являлись женщинами - 95 процентов из 76 597, имеющих право на получение двух пособий. Высокий уровень представительства женщин прежде всего вызван тем, что мужчины обеспечены страховкой таким образом, что их жены получают пособия для выживших, а женщины обычно выходят замуж за более старших по возрасту мужчин и имеют более длительную продолжительность жизни. Имеется разл</w:t>
      </w:r>
      <w:r>
        <w:t>и</w:t>
      </w:r>
      <w:r>
        <w:t>чие между мужчинами и женщинами с точки зрения получения двух пособий: средний уровень пособий, на которые имеют право мужчины, выше, из-за к</w:t>
      </w:r>
      <w:r>
        <w:t>о</w:t>
      </w:r>
      <w:r>
        <w:t>эффициентов по старшинству и отложенных отпускных периодов. В конце 2002 года 166 000 вдов получали пособия на дожитие: 95 000 из них получали это пособие в одиночку, а другая 71 000 получала объединенные пособия. Имелось лишь 7 000 вдов, получающих пособие на дожитие, причем половина из них получала обычное пособие, а вторая половина - объединенное пособие.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364.</w:t>
      </w:r>
      <w:r>
        <w:tab/>
        <w:t>В 2002 году правительство приняло рекомендации общественного ком</w:t>
      </w:r>
      <w:r>
        <w:t>и</w:t>
      </w:r>
      <w:r>
        <w:t>тета, который рассмотрел вопрос о возрасте выхода на пенсию. В своем закл</w:t>
      </w:r>
      <w:r>
        <w:t>ю</w:t>
      </w:r>
      <w:r>
        <w:t>чительном докладе комитет рекомендовал установить один и тот же возраст выхода на пенсию для женщин и мужчин, который предоставляет право на п</w:t>
      </w:r>
      <w:r>
        <w:t>о</w:t>
      </w:r>
      <w:r>
        <w:t>лучение пенсии по старости в возрасте 67 лет. Возраст выхода на пенсию для женщин и мужчин будет постепенно повышаться с 60 и 65 лет, соответственно, до 67 лет. Другая рекомендация связана с созданием комитета для осуществл</w:t>
      </w:r>
      <w:r>
        <w:t>е</w:t>
      </w:r>
      <w:r>
        <w:t>ния наблюдения за процессом изучения того, какие успехи были достигнуты в улучшения положения женщин на рынке труда, с точки зрения уровня занят</w:t>
      </w:r>
      <w:r>
        <w:t>о</w:t>
      </w:r>
      <w:r>
        <w:t xml:space="preserve">сти и заработной платы. В рамках этого процесса, на различных его этапах, комитет рассмотрит последствия этих преобразований для положения женщин. Таким образом, кнессет принял </w:t>
      </w:r>
      <w:r>
        <w:rPr>
          <w:i/>
        </w:rPr>
        <w:t>Закон о возрасте выхода на пенсию</w:t>
      </w:r>
      <w:r>
        <w:t>, 5763-2004 ("</w:t>
      </w:r>
      <w:r>
        <w:rPr>
          <w:i/>
        </w:rPr>
        <w:t>Закон о возрасте выхода на пенсию</w:t>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5" w:right="1267" w:firstLine="172"/>
      </w:pPr>
      <w:r>
        <w:t>Алиментные платежи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365.</w:t>
      </w:r>
      <w:r>
        <w:tab/>
        <w:t>В 2003 году 26 000 женщин ежемесячно получали алиментные платежи от НИС, что представляет собой прирост на 8 процентов по сравнению с пред</w:t>
      </w:r>
      <w:r>
        <w:t>ы</w:t>
      </w:r>
      <w:r>
        <w:t>дущим годом. В период 1998-2002 годов доля женщин, получающих алимен</w:t>
      </w:r>
      <w:r>
        <w:t>т</w:t>
      </w:r>
      <w:r>
        <w:t>ные платежи от НИС, возросла на 7,5 процента. Как правило, этот прирост был вызван увеличением числа разводов и повышением уровня безработицы. Н</w:t>
      </w:r>
      <w:r>
        <w:t>е</w:t>
      </w:r>
      <w:r>
        <w:t xml:space="preserve">давние снижения вызваны поправками </w:t>
      </w:r>
      <w:r>
        <w:rPr>
          <w:i/>
        </w:rPr>
        <w:t>Закону о страховании доходов</w:t>
      </w:r>
      <w:r>
        <w:t>, 5741</w:t>
      </w:r>
      <w:r>
        <w:noBreakHyphen/>
        <w:t>1980 ("</w:t>
      </w:r>
      <w:r>
        <w:rPr>
          <w:i/>
        </w:rPr>
        <w:t>Закон о страховании доходов</w:t>
      </w:r>
      <w:r>
        <w:t xml:space="preserve">") и </w:t>
      </w:r>
      <w:r>
        <w:rPr>
          <w:i/>
        </w:rPr>
        <w:t>Закону об алиментах (обеспеч</w:t>
      </w:r>
      <w:r>
        <w:rPr>
          <w:i/>
        </w:rPr>
        <w:t>е</w:t>
      </w:r>
      <w:r>
        <w:rPr>
          <w:i/>
        </w:rPr>
        <w:t>ние платежей),</w:t>
      </w:r>
      <w:r>
        <w:t xml:space="preserve"> 5732-1972 ("</w:t>
      </w:r>
      <w:r>
        <w:rPr>
          <w:i/>
        </w:rPr>
        <w:t>Закон об алиментах (обеспечение платежей</w:t>
      </w:r>
      <w:r>
        <w:t>"), к</w:t>
      </w:r>
      <w:r>
        <w:t>о</w:t>
      </w:r>
      <w:r>
        <w:t>торый предусматривает, что алименты можно получать в тех случаях, когда кредитор не проживает совместно с истцом.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490" w:right="1267" w:firstLine="173"/>
      </w:pPr>
      <w:r>
        <w:t>Семьи с одним родителем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366.</w:t>
      </w:r>
      <w:r>
        <w:tab/>
        <w:t>Число семей с одним родителем в Израиле постоянно увеличивается за последние годы, прежде всего из-за изменений в семейных структурах и ув</w:t>
      </w:r>
      <w:r>
        <w:t>е</w:t>
      </w:r>
      <w:r>
        <w:t>личения коэффициента разводов. В 2003 году семьи с одним родителем соста</w:t>
      </w:r>
      <w:r>
        <w:t>в</w:t>
      </w:r>
      <w:r>
        <w:t>ляли примерно 12 процентов всех семей с детьми, по сравнению с 9,3 процента в 1995 году. Женщины возглавляют 97 процентов таких семей и тесно связаны с одной третью из них, причем родитель в них является новым иммигрантом. Следует отметить, что семьи с одним родителем также составляют 36 процентов всех лиц, получающих гарантированные доходы.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367.</w:t>
      </w:r>
      <w:r>
        <w:tab/>
        <w:t>Хотя правительство недавно сократило ряд привилегий, предоставляемых семьям с родителем-одиночкой, министерство промышленности, торговли и труда разработало специальную программу, нацеленную на их вовлечение в рынок труда, в частности тех, кто получает гарантированный доход и алимен</w:t>
      </w:r>
      <w:r>
        <w:t>т</w:t>
      </w:r>
      <w:r>
        <w:t>ные платежи. Эта программа нацелена на расширение возможности родителей-одиночек в области получения средств, при одновременном повышении их квалификации в сфере занятости. Программа гарантирует ее участникам сл</w:t>
      </w:r>
      <w:r>
        <w:t>е</w:t>
      </w:r>
      <w:r>
        <w:t>дующие пособия: субсидию в размере 9 600 новых шекелей для тех, кто пов</w:t>
      </w:r>
      <w:r>
        <w:t>ы</w:t>
      </w:r>
      <w:r>
        <w:t>сил свой доход до, по крайней мере, 1 200 новых шекелей по сравнению с д</w:t>
      </w:r>
      <w:r>
        <w:t>о</w:t>
      </w:r>
      <w:r>
        <w:t>ходом в мае-июле 2003 года; родители-одиночки, занятые полный рабочий день, имеют право на финансовую субсидию в размере до 12 000 новых шек</w:t>
      </w:r>
      <w:r>
        <w:t>е</w:t>
      </w:r>
      <w:r>
        <w:t>лей, возмещение путевых расходов, расходов на профессионально-техническое обучение и возмещение части платы на содержание детей в детских садах и центрах дневного ухода. Осуществление программы началось в августе 2003 года и к марту 2004 года 30 000 родителей-одиночек обратились в различные бюро, а 13 000 из них получили соответствующие должности и 5 100 из них были устроены соответствующим образом. Коэффициент отсева составил пр</w:t>
      </w:r>
      <w:r>
        <w:t>и</w:t>
      </w:r>
      <w:r>
        <w:t>мерно 30 процентов. Кроме того, 630 родителей-одиночек в настоящее время посещают курсы профессионально-технической подготовки, а 372 из них ус</w:t>
      </w:r>
      <w:r>
        <w:t>т</w:t>
      </w:r>
      <w:r>
        <w:t>роили своих детей в центры по уходу в рабочее время.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Финансовый кредит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368.</w:t>
      </w:r>
      <w:r>
        <w:tab/>
        <w:t>Женщины в Израиле пользуются банковскими ссудами, ипотечными кр</w:t>
      </w:r>
      <w:r>
        <w:t>е</w:t>
      </w:r>
      <w:r>
        <w:t xml:space="preserve">дитами и другими формами финансового кредита тем же самым образом, что и мужчины.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Отдых и развлечения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369.</w:t>
      </w:r>
      <w:r>
        <w:tab/>
        <w:t>Женщины участвуют во всех видах рекреационной деятельности, включая спорт и культурную жизнь, как это подробно описано в разделе, посвященном статье 10, выше.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Ch"/>
        <w:ind w:left="792" w:right="1210"/>
      </w:pPr>
      <w:r>
        <w:t>Статья 14. Женщины в сельской местности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Общие положения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370.</w:t>
      </w:r>
      <w:r>
        <w:tab/>
        <w:t>Достаточно высокая процентная доля израильского населения проживает в городах - 91,5 процента. Сельское население составляет 8,5 процента общего населения. Большинство этого населения проживает в "мосшавимах" (коопер</w:t>
      </w:r>
      <w:r>
        <w:t>а</w:t>
      </w:r>
      <w:r>
        <w:t>тивных поселениях) (39,2 процента), кибуцах (общинных поселениях) (29,9 процента), а также институциональных поселениях (15,5 процента), что в общей сложности составляет 75,7 процента сельского населения. В вышеук</w:t>
      </w:r>
      <w:r>
        <w:t>а</w:t>
      </w:r>
      <w:r>
        <w:t>занных поселениях 99,6 процента жителей - это евреи. Остальная часть сел</w:t>
      </w:r>
      <w:r>
        <w:t>ь</w:t>
      </w:r>
      <w:r>
        <w:t>ского населения - это мусульмане, христиане, бедуины, друзы и черкесы, ж</w:t>
      </w:r>
      <w:r>
        <w:t>и</w:t>
      </w:r>
      <w:r>
        <w:t>вущие в различных сельских населенных пунктах. В разделе, посвященном н</w:t>
      </w:r>
      <w:r>
        <w:t>а</w:t>
      </w:r>
      <w:r>
        <w:t>стоящей статье, особое внимание будет уделяться женщинам из группы беду</w:t>
      </w:r>
      <w:r>
        <w:t>и</w:t>
      </w:r>
      <w:r>
        <w:t>нов.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Женщины из группы бедуинов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371.</w:t>
      </w:r>
      <w:r>
        <w:tab/>
        <w:t>Нижеследующие данные касаются преимущественно общины бедуинов в южных районах израильской пустыни Негев. В пустыне Негев проживает пр</w:t>
      </w:r>
      <w:r>
        <w:t>и</w:t>
      </w:r>
      <w:r>
        <w:t>мерно 145 000 бедуинов, причем около 83 000 из них живет в семи бедуинских городах, остальная часть - в незаконных поселениях по всех территории пу</w:t>
      </w:r>
      <w:r>
        <w:t>с</w:t>
      </w:r>
      <w:r>
        <w:t>тыни Негев.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5" w:right="1267" w:firstLine="172"/>
      </w:pPr>
      <w:r>
        <w:t>Образование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372.</w:t>
      </w:r>
      <w:r>
        <w:tab/>
        <w:t>Бедуины пользуются всеми правами и возможностями, предоставленными израильским гражданам, включая право получать официальное образование на всех уровнях в соответствии с законодательством Израиля.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373.</w:t>
      </w:r>
      <w:r>
        <w:tab/>
        <w:t>За последние годы отмечалось значительное увеличение процентной доли учащихся в бедуинском секторе, сдающих вступительные экзамены (с 19,7 процента в 1998 году до 53,8 процента в 2002 году), а также значител</w:t>
      </w:r>
      <w:r>
        <w:t>ь</w:t>
      </w:r>
      <w:r>
        <w:t>ное увеличение процентной доли учащихся, имеющих право на получение а</w:t>
      </w:r>
      <w:r>
        <w:t>т</w:t>
      </w:r>
      <w:r>
        <w:t>тест</w:t>
      </w:r>
      <w:r>
        <w:t>а</w:t>
      </w:r>
      <w:r>
        <w:t>та зрелости (с 15,5 процента в 1998 году до 42,8 процента в 2002 году).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374.</w:t>
      </w:r>
      <w:r>
        <w:tab/>
        <w:t>Уровень отсева в средней школе в секторе бедуинов составляет 11,58 пр</w:t>
      </w:r>
      <w:r>
        <w:t>о</w:t>
      </w:r>
      <w:r>
        <w:t>центов (по сравнению с 4,53 процентов в еврейском секторе). Наивысший ур</w:t>
      </w:r>
      <w:r>
        <w:t>о</w:t>
      </w:r>
      <w:r>
        <w:t>вень отсева среди девочек в незаконных деревнях вызван прежде всего ранним вступлением в брак и желанием защитить семейную честь. Следует отметить, что дело обстоит совершенно иным образом в бедуинских городах, где девочки оканчивают 12 классов средней школы, как правило, продолжая получение высшего образования, как это описано ниже.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375.</w:t>
      </w:r>
      <w:r>
        <w:tab/>
        <w:t>В рамках исследования, недавно проведенного иерусалимским инстит</w:t>
      </w:r>
      <w:r>
        <w:t>у</w:t>
      </w:r>
      <w:r>
        <w:t>том Ван Леера, был изучен вопрос об уровне отсева девочек из группы беду</w:t>
      </w:r>
      <w:r>
        <w:t>и</w:t>
      </w:r>
      <w:r>
        <w:t>нов и был сделан вывод о том, что образовательная система должна учитывать конкретные потребности традиционного бедуинского общества. Основные н</w:t>
      </w:r>
      <w:r>
        <w:t>е</w:t>
      </w:r>
      <w:r>
        <w:t xml:space="preserve">обходимые корректировки касаются введения отдельных школ/классов для мальчиков и девочек, в соответствии с системой религиозных еврейских школ, а также адаптации учебной программы с учетом культурных знаний учащихся-бедуинов.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5" w:right="1267" w:firstLine="172"/>
      </w:pPr>
      <w:r>
        <w:t>Высшее образование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376.</w:t>
      </w:r>
      <w:r>
        <w:tab/>
        <w:t>Что касается высшего образования, то в настоящее время на получение первой научной степени претендует больше бедуинских женщин, чем мужчин. Статистические данные свидетельствуют о том, что большинство бедуинских женщин, которые стремятся к получению высшего/академического образов</w:t>
      </w:r>
      <w:r>
        <w:t>а</w:t>
      </w:r>
      <w:r>
        <w:t>ния, незамужние. После замужества они могут отказаться от идеи продолжать свое обучение.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377.</w:t>
      </w:r>
      <w:r>
        <w:tab/>
        <w:t>В Беэр Шеве имеется три колледжа, в которых большинство студентов с</w:t>
      </w:r>
      <w:r>
        <w:t>о</w:t>
      </w:r>
      <w:r>
        <w:t>ставляют бедуины. Большинство учащихся-женщин не замужем. Замужние женщины учатся, например, в колледже Негева, где имеются отдельные кла</w:t>
      </w:r>
      <w:r>
        <w:t>с</w:t>
      </w:r>
      <w:r>
        <w:t>сы, и в университете Бенгуриона, где имеется ассоциация студентов, которая оказывает помощь студентам из числа бедуинских женщин. Кроме того, ф</w:t>
      </w:r>
      <w:r>
        <w:t>а</w:t>
      </w:r>
      <w:r>
        <w:t>культет медицины принимает, на экспериментальной основе, определенное число имеющих надлежащую квалификацию бедуинских женщин, которые не сдали официальные вступительные экзамены.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378.</w:t>
      </w:r>
      <w:r>
        <w:tab/>
        <w:t>Министерство образования, культуры и спорта недавно выделило 18 ст</w:t>
      </w:r>
      <w:r>
        <w:t>у</w:t>
      </w:r>
      <w:r>
        <w:t>дентам-бедуинам полные стипендии с тем, чтобы они могли продолжать пол</w:t>
      </w:r>
      <w:r>
        <w:t>у</w:t>
      </w:r>
      <w:r>
        <w:t>чать высшее образование в университете Бенгуриона в 2004/05 учебном году. Стипендии распределялись на основе успехов в учебе и финансового полож</w:t>
      </w:r>
      <w:r>
        <w:t>е</w:t>
      </w:r>
      <w:r>
        <w:t>ния. Среди 18 студентов, получивших стипендии, 12 были женщинами. Допо</w:t>
      </w:r>
      <w:r>
        <w:t>л</w:t>
      </w:r>
      <w:r>
        <w:t>н</w:t>
      </w:r>
      <w:r>
        <w:t>и</w:t>
      </w:r>
      <w:r>
        <w:t>тельные стипендии распределялись различными НПО.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keepNext/>
        <w:spacing w:line="300" w:lineRule="exact"/>
        <w:ind w:left="1095" w:right="1267" w:firstLine="172"/>
      </w:pPr>
      <w:r>
        <w:t>Занятость и благосостояние</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379.</w:t>
      </w:r>
      <w:r>
        <w:tab/>
        <w:t>В составе бедуинского населения отмечается высокий уровень безработ</w:t>
      </w:r>
      <w:r>
        <w:t>и</w:t>
      </w:r>
      <w:r>
        <w:t>цы и неблагоприятное социально-экономическое положение. В настоящее вр</w:t>
      </w:r>
      <w:r>
        <w:t>е</w:t>
      </w:r>
      <w:r>
        <w:t>мя принимается ряд мер с тем, чтобы переломить эту ситуацию. Один из пр</w:t>
      </w:r>
      <w:r>
        <w:t>и</w:t>
      </w:r>
      <w:r>
        <w:t>меров связан с проведением курса предпринимательства для бедуинских же</w:t>
      </w:r>
      <w:r>
        <w:t>н</w:t>
      </w:r>
      <w:r>
        <w:t>щин в сотрудничестве с центром по развитию предпринимательства и органам по улу</w:t>
      </w:r>
      <w:r>
        <w:t>ч</w:t>
      </w:r>
      <w:r>
        <w:t xml:space="preserve">шению положения женщин.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380.</w:t>
      </w:r>
      <w:r>
        <w:tab/>
        <w:t>В центре Беэр Шева был недавно создан центр по обеспечению благосо</w:t>
      </w:r>
      <w:r>
        <w:t>с</w:t>
      </w:r>
      <w:r>
        <w:t>тояния бедуинских семей, укомплектованный специализированными социал</w:t>
      </w:r>
      <w:r>
        <w:t>ь</w:t>
      </w:r>
      <w:r>
        <w:t>ными работниками. Этот центр служит для разрешения конфликтов и в качес</w:t>
      </w:r>
      <w:r>
        <w:t>т</w:t>
      </w:r>
      <w:r>
        <w:t>ве места транзита для бедуинских женщин, стремящихся найти убежище из-за того, что они подвергаются насилию в семье.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r>
        <w:rPr>
          <w:sz w:val="10"/>
        </w:rPr>
        <w:br w:type="page"/>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5" w:right="1267" w:firstLine="172"/>
      </w:pPr>
      <w:r>
        <w:t>Здравоохранение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b/>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b/>
          <w:sz w:val="10"/>
        </w:rPr>
      </w:pPr>
    </w:p>
    <w:p w:rsidR="00000000" w:rsidRDefault="00000000">
      <w:pPr>
        <w:pStyle w:val="H1"/>
        <w:spacing w:line="300" w:lineRule="exact"/>
        <w:ind w:left="1095" w:right="1267" w:firstLine="172"/>
        <w:rPr>
          <w:b w:val="0"/>
        </w:rPr>
      </w:pPr>
      <w:r>
        <w:t>Младенческая смертность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381.</w:t>
      </w:r>
      <w:r>
        <w:tab/>
        <w:t>В 2003 году общий уровень младенческой смертности составлял 5,1 (по сравнению с 5,5 в 2001 году). По сравнению с конкретными данными за 2002 года этот показатель составил 4,0 в еврейском секторе, 9,1 среди мусул</w:t>
      </w:r>
      <w:r>
        <w:t>ь</w:t>
      </w:r>
      <w:r>
        <w:t>ман, 2,8 среди христиан и 7,0 в общине друзов.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382.</w:t>
      </w:r>
      <w:r>
        <w:tab/>
        <w:t>Отмечалось значительное снижение на 81 процент уровня детской смер</w:t>
      </w:r>
      <w:r>
        <w:t>т</w:t>
      </w:r>
      <w:r>
        <w:t>ности среди бедуинского населения в течение трех последних десятилетий, с 33,9 на 1 000 жителей против нынешних 15,3 на 1 000 жителей. Тем не менее, уровень смертности остается высоким. Это вызвано суровыми условиями жи</w:t>
      </w:r>
      <w:r>
        <w:t>з</w:t>
      </w:r>
      <w:r>
        <w:t>ни в нелегальных деревнях и высокими показателями внезапного вступления в брак (60 процентов целом, причем 40 процентов из них имеют первую ученую степень). Другой элемент, касающийся уровня смертности, связан с религио</w:t>
      </w:r>
      <w:r>
        <w:t>з</w:t>
      </w:r>
      <w:r>
        <w:t>ным запретом на аборты среди мусульман, даже при наличии медицинских р</w:t>
      </w:r>
      <w:r>
        <w:t>е</w:t>
      </w:r>
      <w:r>
        <w:t>комендаций, а также при высоких уровнях рождаемости среди пожилых же</w:t>
      </w:r>
      <w:r>
        <w:t>н</w:t>
      </w:r>
      <w:r>
        <w:t>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383.</w:t>
      </w:r>
      <w:r>
        <w:tab/>
        <w:t>Служба общественного здравоохранения министерства здравоохранения выступило с инициативой о реализации проекта по сокращению младенческой смертности в секторе бедуинов. Этот проект осуществляется с помощью ар</w:t>
      </w:r>
      <w:r>
        <w:t>а</w:t>
      </w:r>
      <w:r>
        <w:t>бо-язычных женщин-инструкторов, которые информируют будущих матерей о том, насколько важными являются регулярные посещения врача в период б</w:t>
      </w:r>
      <w:r>
        <w:t>е</w:t>
      </w:r>
      <w:r>
        <w:t>ременности. Эти инструкторы учитывают важную роль медицинских осмотров для определения родовых осложнений в период беременности, а также пов</w:t>
      </w:r>
      <w:r>
        <w:t>ы</w:t>
      </w:r>
      <w:r>
        <w:t>шения осведомленности о последствиях внезапно заключаемого брака.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5" w:right="1267" w:firstLine="172"/>
      </w:pPr>
      <w:r>
        <w:t>Прочие показатели состояния здоровья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384.</w:t>
      </w:r>
      <w:r>
        <w:tab/>
        <w:t xml:space="preserve">Бедуины, как и все остальные израильские граждане и резиденты, имеют право на медицинское страхование в соответствии с </w:t>
      </w:r>
      <w:r>
        <w:rPr>
          <w:i/>
        </w:rPr>
        <w:t>Законом о национальном медицинском страховании</w:t>
      </w:r>
      <w:r>
        <w:t>. Все бедуины имеют полноценные полисы, незав</w:t>
      </w:r>
      <w:r>
        <w:t>и</w:t>
      </w:r>
      <w:r>
        <w:t>симо от их проживание в бедуинских городах или незаконных поселениях. Различные фонды здравоохранения (например, частные поставщики медици</w:t>
      </w:r>
      <w:r>
        <w:t>н</w:t>
      </w:r>
      <w:r>
        <w:t xml:space="preserve">ской помощи, субсидируемые правительством) учреждают общинные клиники в постоянных городах, а также в незаконных деревнях, и руководят их работой (на основании решения Верховного суда по делу </w:t>
      </w:r>
      <w:r>
        <w:rPr>
          <w:lang w:val="en-US"/>
        </w:rPr>
        <w:t>H</w:t>
      </w:r>
      <w:r>
        <w:t>.</w:t>
      </w:r>
      <w:r>
        <w:rPr>
          <w:lang w:val="en-US"/>
        </w:rPr>
        <w:t>C</w:t>
      </w:r>
      <w:r>
        <w:t>.</w:t>
      </w:r>
      <w:r>
        <w:rPr>
          <w:lang w:val="en-US"/>
        </w:rPr>
        <w:t>J</w:t>
      </w:r>
      <w:r>
        <w:t xml:space="preserve">. 4540/00 </w:t>
      </w:r>
      <w:r>
        <w:rPr>
          <w:i/>
        </w:rPr>
        <w:t>Абу Апаш пр</w:t>
      </w:r>
      <w:r>
        <w:rPr>
          <w:i/>
        </w:rPr>
        <w:t>о</w:t>
      </w:r>
      <w:r>
        <w:rPr>
          <w:i/>
        </w:rPr>
        <w:t>тив министра здравоохранения</w:t>
      </w:r>
      <w:r>
        <w:t>, с заявлением относительно клиник в незако</w:t>
      </w:r>
      <w:r>
        <w:t>н</w:t>
      </w:r>
      <w:r>
        <w:t>ных дере</w:t>
      </w:r>
      <w:r>
        <w:t>в</w:t>
      </w:r>
      <w:r>
        <w:t>нях).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385.</w:t>
      </w:r>
      <w:r>
        <w:tab/>
        <w:t>Продолжается относительное улучшение показателей состояния здоровья членов общины бедуинов, однако определенные трудности сохраняются, в особенности среди тех, кто живет в незаконным деревнях. Это вызвано прежде всего физическими условиями жизни в этих деревнях.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386.</w:t>
      </w:r>
      <w:r>
        <w:tab/>
        <w:t>Кроме того, незаконные деревни обеспечены услугами и клиниками по охране здоровья матери и ребенка (типат халав), медицинскими клиниками фонда здравоохранения, мобильными бригадами семейной помощи, мобил</w:t>
      </w:r>
      <w:r>
        <w:t>ь</w:t>
      </w:r>
      <w:r>
        <w:t>ными бригадами иммунизации, а также особым мобильным подразделением по оказанию чрезвычайной помощи. Последние данные показывают, что число прошедших вакцинацию (для детей в возрасте до 2 лет) в секторе бедуинов с</w:t>
      </w:r>
      <w:r>
        <w:t>о</w:t>
      </w:r>
      <w:r>
        <w:t>ставляет 90 процентов, т.е. почти соответствует показателю в еврейском сект</w:t>
      </w:r>
      <w:r>
        <w:t>о</w:t>
      </w:r>
      <w:r>
        <w:t>ре (93 процента).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267" w:right="1267"/>
      </w:pPr>
      <w:r>
        <w:t>Ритуальные операции на женских половых органах (обрезание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387.</w:t>
      </w:r>
      <w:r>
        <w:tab/>
        <w:t>Последние данные показывают, что в течение последних нескольких лет не поступало сведений о женщинах, которые в Израиле подверглись калеч</w:t>
      </w:r>
      <w:r>
        <w:t>а</w:t>
      </w:r>
      <w:r>
        <w:t>щим операциям на половых органах.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1095" w:right="1267" w:firstLine="172"/>
      </w:pPr>
      <w:r>
        <w:t>Семейное положение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388.</w:t>
      </w:r>
      <w:r>
        <w:tab/>
        <w:t>В общине бедуинов имеется высокая доля замужних женщин, которая свидетельствует о важной роли этого института. Положение, связанное с сож</w:t>
      </w:r>
      <w:r>
        <w:t>и</w:t>
      </w:r>
      <w:r>
        <w:t>тельством, также преобладало из-за запрета на полигамию в соответствии с и</w:t>
      </w:r>
      <w:r>
        <w:t>з</w:t>
      </w:r>
      <w:r>
        <w:t>раильским законодательством.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Ch"/>
        <w:ind w:left="2232" w:right="1210" w:hanging="1440"/>
      </w:pPr>
      <w:r>
        <w:t>Статья 15. Равенство перед законом и в гражданских вопросах</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Общие положения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389.</w:t>
      </w:r>
      <w:r>
        <w:tab/>
        <w:t xml:space="preserve">Израильские судебные органы предусматривают равенство прав мужчин и женщин во всех областях законодательства, включая все аспекты гражданских правоотношений, которые подробно описаны в настоящем докладе.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390.</w:t>
      </w:r>
      <w:r>
        <w:tab/>
        <w:t>Что касается гражданских вопросов, то женщины пользуются теми же с</w:t>
      </w:r>
      <w:r>
        <w:t>а</w:t>
      </w:r>
      <w:r>
        <w:t>мыми правами, что и мужчины, включая право заключать договора, управлять имуществом и право на равное обращение на всех этапах судопроизводства. Кроме того, женщины пользуются теми же самыми преимуществами в отн</w:t>
      </w:r>
      <w:r>
        <w:t>о</w:t>
      </w:r>
      <w:r>
        <w:t>шении передвижения лиц и свободы выбора своего места жительства, как это ук</w:t>
      </w:r>
      <w:r>
        <w:t>а</w:t>
      </w:r>
      <w:r>
        <w:t>зано разделе, касающемся статьи 9, выше.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Религиозные суды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391.</w:t>
      </w:r>
      <w:r>
        <w:tab/>
        <w:t>В целом религиозные суды обладают исключительной юрисдикцией в о</w:t>
      </w:r>
      <w:r>
        <w:t>т</w:t>
      </w:r>
      <w:r>
        <w:t>ношении всех вопросов брака и развода, за исключением тех случаев, когда супружеская пара не принадлежит ни к одной религии, либо принадлежит к различным вероисповеданиям. Что касается этих исключений, в вопросах о разводе, то юрисдикцию имеют суды по семейным спорам или религиозные суды по решению председателя Верховного суда. По вопросам, касающимся алиментов на женщин и детей, имущества, содержания детей, опекунства, н</w:t>
      </w:r>
      <w:r>
        <w:t>а</w:t>
      </w:r>
      <w:r>
        <w:t>силия и если речь идет о мусульманах, а также и вопросах родительских прав, семейные суды и религиозные суды обладают параллельной юрисдикцией, с определенными различиями в том, что касается различных религиозных о</w:t>
      </w:r>
      <w:r>
        <w:t>б</w:t>
      </w:r>
      <w:r>
        <w:t xml:space="preserve">щин.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392.</w:t>
      </w:r>
      <w:r>
        <w:tab/>
        <w:t>Наследование и усыновление, удочерение - суды по семейным делам о</w:t>
      </w:r>
      <w:r>
        <w:t>б</w:t>
      </w:r>
      <w:r>
        <w:t>ладают основной юрисдикцией, причем юрисдикция религиозных судов огр</w:t>
      </w:r>
      <w:r>
        <w:t>а</w:t>
      </w:r>
      <w:r>
        <w:t>ничена получением согласия всех соответствующих сторон и соблюдением о</w:t>
      </w:r>
      <w:r>
        <w:t>п</w:t>
      </w:r>
      <w:r>
        <w:t xml:space="preserve">ределенных ограничений, предусмотренных законодательством. Похищение детей, одобрение брака в соответствии </w:t>
      </w:r>
      <w:r>
        <w:rPr>
          <w:i/>
        </w:rPr>
        <w:t>Законом о возрасте вступления в брак</w:t>
      </w:r>
      <w:r>
        <w:t>, изменения имени, определение возраста, суррогатное материнство, исполнение родительских обязанностей (кроме, как в случаях с мусульманами) и другие споры между членами семьи по вопросам, не указанным выше, относятся к сфере исключительной юрисдикции судов по семейным делам.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393.</w:t>
      </w:r>
      <w:r>
        <w:tab/>
        <w:t>Что касается определенных аспектов законов о личном статусе, то Изр</w:t>
      </w:r>
      <w:r>
        <w:t>а</w:t>
      </w:r>
      <w:r>
        <w:t>иль сделал оговорку в отношении обязательств о соблюдении различных рел</w:t>
      </w:r>
      <w:r>
        <w:t>и</w:t>
      </w:r>
      <w:r>
        <w:t>гиозных норм в Израиле. Более подробная информация об этой оговорке пр</w:t>
      </w:r>
      <w:r>
        <w:t>и</w:t>
      </w:r>
      <w:r>
        <w:t>водится в разделе, касающемся статьи 16, ниже.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Ch"/>
        <w:ind w:left="778" w:right="1267"/>
      </w:pPr>
      <w:r>
        <w:t>Статья 16. Равенство в браке и в вопросах семейной жизни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Общие положения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394.</w:t>
      </w:r>
      <w:r>
        <w:tab/>
        <w:t>Израиль не отказывается от своей оговорки в отношении статьи 16, к</w:t>
      </w:r>
      <w:r>
        <w:t>а</w:t>
      </w:r>
      <w:r>
        <w:t>сающейся законов о личном положении, в силу своей приверженности собл</w:t>
      </w:r>
      <w:r>
        <w:t>ю</w:t>
      </w:r>
      <w:r>
        <w:t>дению религиозных обязательств. Эта оговорка проистекает из конституцио</w:t>
      </w:r>
      <w:r>
        <w:t>н</w:t>
      </w:r>
      <w:r>
        <w:t>ной системы Израиля и уважения принципов религиозного плюрализма, а та</w:t>
      </w:r>
      <w:r>
        <w:t>к</w:t>
      </w:r>
      <w:r>
        <w:t>же предоставления автономии религиозным общинам в вопросах личного ст</w:t>
      </w:r>
      <w:r>
        <w:t>а</w:t>
      </w:r>
      <w:r>
        <w:t>туса.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395.</w:t>
      </w:r>
      <w:r>
        <w:tab/>
        <w:t xml:space="preserve">Индивидуальные религиозные законы ограничивают право на вступление в брак для определенного числа групп в Израиле. Кроме того, определенные супружеские пары предпочитают отказаться от навязываемого им религиозного брака, поскольку он противоречит их представлениям о браке и замужестве за рубежом. </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keepNext/>
        <w:spacing w:line="300" w:lineRule="exact"/>
        <w:ind w:left="778" w:right="1267"/>
      </w:pPr>
      <w:r>
        <w:t>Изменения в законодательной сфере</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396.</w:t>
      </w:r>
      <w:r>
        <w:tab/>
        <w:t>Законодатель недавно расширил полномочия, предоставленные суду ра</w:t>
      </w:r>
      <w:r>
        <w:t>в</w:t>
      </w:r>
      <w:r>
        <w:t xml:space="preserve">винов при рассмотрении вопроса о том, что муж не готов предоставить "отказ" своей жене (постановление о разводе), не давая таким образом ей возможности вновь выйти замуж. </w:t>
      </w:r>
      <w:r>
        <w:rPr>
          <w:i/>
        </w:rPr>
        <w:t xml:space="preserve">Закон о судах раввинов (постановление об утверждении разводов), 5755-1995 </w:t>
      </w:r>
      <w:r>
        <w:t>(</w:t>
      </w:r>
      <w:r>
        <w:rPr>
          <w:i/>
        </w:rPr>
        <w:t>"Закон о судах раввинов (постановление об утвержд</w:t>
      </w:r>
      <w:r>
        <w:rPr>
          <w:i/>
        </w:rPr>
        <w:t>е</w:t>
      </w:r>
      <w:r>
        <w:rPr>
          <w:i/>
        </w:rPr>
        <w:t>нии разводов)</w:t>
      </w:r>
      <w:r>
        <w:t>") (поправка № 5 от 2004 года) позволяет суду предписать мужу, не принимающему решение, оставаться в изоляции в течение исходного пери</w:t>
      </w:r>
      <w:r>
        <w:t>о</w:t>
      </w:r>
      <w:r>
        <w:t>да в 14 дней (ранее 5 дней) и в течение дальнейших последовательных пери</w:t>
      </w:r>
      <w:r>
        <w:t>о</w:t>
      </w:r>
      <w:r>
        <w:t>дов, в соответствии с определенными ограничениями.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r>
        <w:rPr>
          <w:sz w:val="10"/>
        </w:rPr>
        <w:br w:type="page"/>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 xml:space="preserve">Семья в Израиле: некоторые демографические данные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397.</w:t>
      </w:r>
      <w:r>
        <w:tab/>
        <w:t>Как разъясняется в наших предыдущих докладах, Израиль представляет собой общество, ориентированное на семейные ценности. По данным Це</w:t>
      </w:r>
      <w:r>
        <w:t>н</w:t>
      </w:r>
      <w:r>
        <w:t>трального статистического бюро, в 2002 году лишь 3 процента израильских супружеских пар (35 000) сожительствовали в период брака. Примерно 60 пр</w:t>
      </w:r>
      <w:r>
        <w:t>о</w:t>
      </w:r>
      <w:r>
        <w:t>центов из тех, кто сожительствовал, являются холостыми, 25 процентов - ра</w:t>
      </w:r>
      <w:r>
        <w:t>з</w:t>
      </w:r>
      <w:r>
        <w:t>веденными, 12 процентов - вдовами и вдовцами, а 3 процента - состоят в браке (с другими).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Брачные отношения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120"/>
      </w:pPr>
      <w:r>
        <w:t>398.</w:t>
      </w:r>
      <w:r>
        <w:tab/>
        <w:t>Доля вступающих в брак достаточно высока и почти каждый взрослый житель Израиля женится по крайней мере один раз, что характерно для 97 пр</w:t>
      </w:r>
      <w:r>
        <w:t>о</w:t>
      </w:r>
      <w:r>
        <w:t>центов мужчин и 95 процентов женщин среди населения в возрасте свыше 45 лет. Положение тех, кто вступил в брак, проиллюстрировано в следующей та</w:t>
      </w:r>
      <w:r>
        <w:t>б</w:t>
      </w:r>
      <w:r>
        <w:t>лице: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56"/>
        <w:spacing w:line="240" w:lineRule="auto"/>
        <w:ind w:left="2477" w:right="1267" w:hanging="1210"/>
      </w:pPr>
      <w:r>
        <w:t>Таблица 20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Лица, вступившие в брак, с разбивкой по возрасту, предыдущему семейному положению и религиозной принадлежности, 2002 год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tbl>
      <w:tblPr>
        <w:tblW w:w="0" w:type="auto"/>
        <w:tblInd w:w="1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7"/>
        <w:gridCol w:w="1017"/>
        <w:gridCol w:w="711"/>
        <w:gridCol w:w="1071"/>
        <w:gridCol w:w="666"/>
        <w:gridCol w:w="1098"/>
        <w:gridCol w:w="666"/>
        <w:gridCol w:w="18"/>
        <w:gridCol w:w="909"/>
        <w:gridCol w:w="90"/>
        <w:gridCol w:w="900"/>
      </w:tblGrid>
      <w:tr w:rsidR="00000000">
        <w:tblPrEx>
          <w:tblCellMar>
            <w:top w:w="0" w:type="dxa"/>
            <w:bottom w:w="0" w:type="dxa"/>
          </w:tblCellMar>
        </w:tblPrEx>
        <w:trPr>
          <w:cantSplit/>
        </w:trPr>
        <w:tc>
          <w:tcPr>
            <w:tcW w:w="477" w:type="dxa"/>
            <w:vMerge w:val="restart"/>
            <w:tcBorders>
              <w:left w:val="nil"/>
              <w:bottom w:val="single" w:sz="12" w:space="0" w:color="auto"/>
              <w:right w:val="nil"/>
            </w:tcBorders>
          </w:tcPr>
          <w:p w:rsidR="00000000" w:rsidRDefault="00000000">
            <w:pPr>
              <w:keepNext/>
              <w:spacing w:after="120" w:line="240" w:lineRule="auto"/>
              <w:rPr>
                <w:i/>
                <w:sz w:val="14"/>
              </w:rPr>
            </w:pPr>
          </w:p>
        </w:tc>
        <w:tc>
          <w:tcPr>
            <w:tcW w:w="1728" w:type="dxa"/>
            <w:gridSpan w:val="2"/>
            <w:tcBorders>
              <w:left w:val="nil"/>
              <w:right w:val="nil"/>
            </w:tcBorders>
          </w:tcPr>
          <w:p w:rsidR="00000000" w:rsidRDefault="00000000">
            <w:pPr>
              <w:keepNext/>
              <w:spacing w:after="120" w:line="240" w:lineRule="auto"/>
              <w:jc w:val="center"/>
              <w:rPr>
                <w:i/>
                <w:sz w:val="14"/>
              </w:rPr>
            </w:pPr>
            <w:r>
              <w:rPr>
                <w:i/>
                <w:sz w:val="14"/>
              </w:rPr>
              <w:t>Друзы</w:t>
            </w:r>
          </w:p>
        </w:tc>
        <w:tc>
          <w:tcPr>
            <w:tcW w:w="1737" w:type="dxa"/>
            <w:gridSpan w:val="2"/>
            <w:tcBorders>
              <w:left w:val="nil"/>
              <w:right w:val="nil"/>
            </w:tcBorders>
          </w:tcPr>
          <w:p w:rsidR="00000000" w:rsidRDefault="00000000">
            <w:pPr>
              <w:keepNext/>
              <w:spacing w:after="120" w:line="240" w:lineRule="auto"/>
              <w:jc w:val="center"/>
              <w:rPr>
                <w:i/>
                <w:sz w:val="14"/>
              </w:rPr>
            </w:pPr>
            <w:r>
              <w:rPr>
                <w:i/>
                <w:sz w:val="14"/>
              </w:rPr>
              <w:t>Христиане</w:t>
            </w:r>
          </w:p>
        </w:tc>
        <w:tc>
          <w:tcPr>
            <w:tcW w:w="1764" w:type="dxa"/>
            <w:gridSpan w:val="2"/>
            <w:tcBorders>
              <w:left w:val="nil"/>
              <w:right w:val="nil"/>
            </w:tcBorders>
          </w:tcPr>
          <w:p w:rsidR="00000000" w:rsidRDefault="00000000">
            <w:pPr>
              <w:keepNext/>
              <w:spacing w:after="120" w:line="240" w:lineRule="auto"/>
              <w:jc w:val="center"/>
              <w:rPr>
                <w:i/>
                <w:sz w:val="14"/>
              </w:rPr>
            </w:pPr>
            <w:r>
              <w:rPr>
                <w:i/>
                <w:sz w:val="14"/>
              </w:rPr>
              <w:t>Мусульмане</w:t>
            </w:r>
          </w:p>
        </w:tc>
        <w:tc>
          <w:tcPr>
            <w:tcW w:w="1917" w:type="dxa"/>
            <w:gridSpan w:val="4"/>
            <w:tcBorders>
              <w:left w:val="nil"/>
              <w:right w:val="nil"/>
            </w:tcBorders>
          </w:tcPr>
          <w:p w:rsidR="00000000" w:rsidRDefault="00000000">
            <w:pPr>
              <w:keepNext/>
              <w:spacing w:after="120" w:line="240" w:lineRule="auto"/>
              <w:jc w:val="center"/>
              <w:rPr>
                <w:i/>
                <w:sz w:val="14"/>
              </w:rPr>
            </w:pPr>
            <w:r>
              <w:rPr>
                <w:i/>
                <w:sz w:val="14"/>
              </w:rPr>
              <w:t>Евреи</w:t>
            </w:r>
          </w:p>
        </w:tc>
      </w:tr>
      <w:tr w:rsidR="00000000">
        <w:tblPrEx>
          <w:tblCellMar>
            <w:top w:w="0" w:type="dxa"/>
            <w:bottom w:w="0" w:type="dxa"/>
          </w:tblCellMar>
        </w:tblPrEx>
        <w:trPr>
          <w:cantSplit/>
        </w:trPr>
        <w:tc>
          <w:tcPr>
            <w:tcW w:w="477" w:type="dxa"/>
            <w:vMerge/>
            <w:tcBorders>
              <w:left w:val="nil"/>
              <w:bottom w:val="single" w:sz="12" w:space="0" w:color="auto"/>
              <w:right w:val="nil"/>
            </w:tcBorders>
          </w:tcPr>
          <w:p w:rsidR="00000000" w:rsidRDefault="00000000">
            <w:pPr>
              <w:keepNext/>
              <w:spacing w:after="120" w:line="240" w:lineRule="auto"/>
              <w:rPr>
                <w:i/>
                <w:sz w:val="14"/>
              </w:rPr>
            </w:pPr>
          </w:p>
        </w:tc>
        <w:tc>
          <w:tcPr>
            <w:tcW w:w="1017" w:type="dxa"/>
            <w:tcBorders>
              <w:left w:val="nil"/>
              <w:bottom w:val="single" w:sz="12" w:space="0" w:color="auto"/>
              <w:right w:val="nil"/>
            </w:tcBorders>
          </w:tcPr>
          <w:p w:rsidR="00000000" w:rsidRDefault="00000000">
            <w:pPr>
              <w:keepNext/>
              <w:spacing w:line="240" w:lineRule="auto"/>
              <w:jc w:val="right"/>
              <w:rPr>
                <w:i/>
                <w:sz w:val="14"/>
              </w:rPr>
            </w:pPr>
            <w:r>
              <w:rPr>
                <w:i/>
                <w:sz w:val="14"/>
              </w:rPr>
              <w:t>Никогда не вступали в брак</w:t>
            </w:r>
          </w:p>
        </w:tc>
        <w:tc>
          <w:tcPr>
            <w:tcW w:w="711" w:type="dxa"/>
            <w:tcBorders>
              <w:left w:val="nil"/>
              <w:bottom w:val="single" w:sz="12" w:space="0" w:color="auto"/>
              <w:right w:val="nil"/>
            </w:tcBorders>
          </w:tcPr>
          <w:p w:rsidR="00000000" w:rsidRDefault="00000000">
            <w:pPr>
              <w:keepNext/>
              <w:spacing w:line="240" w:lineRule="auto"/>
              <w:jc w:val="right"/>
              <w:rPr>
                <w:i/>
                <w:sz w:val="14"/>
              </w:rPr>
            </w:pPr>
            <w:r>
              <w:rPr>
                <w:i/>
                <w:sz w:val="14"/>
              </w:rPr>
              <w:t>Вс</w:t>
            </w:r>
            <w:r>
              <w:rPr>
                <w:i/>
                <w:sz w:val="14"/>
              </w:rPr>
              <w:t>е</w:t>
            </w:r>
            <w:r>
              <w:rPr>
                <w:i/>
                <w:sz w:val="14"/>
              </w:rPr>
              <w:t>го</w:t>
            </w:r>
          </w:p>
        </w:tc>
        <w:tc>
          <w:tcPr>
            <w:tcW w:w="1071" w:type="dxa"/>
            <w:tcBorders>
              <w:left w:val="nil"/>
              <w:bottom w:val="single" w:sz="12" w:space="0" w:color="auto"/>
              <w:right w:val="nil"/>
            </w:tcBorders>
          </w:tcPr>
          <w:p w:rsidR="00000000" w:rsidRDefault="00000000">
            <w:pPr>
              <w:keepNext/>
              <w:spacing w:line="240" w:lineRule="auto"/>
              <w:jc w:val="right"/>
              <w:rPr>
                <w:i/>
                <w:sz w:val="14"/>
              </w:rPr>
            </w:pPr>
            <w:r>
              <w:rPr>
                <w:i/>
                <w:sz w:val="14"/>
              </w:rPr>
              <w:t>Никогда не вступали в брак</w:t>
            </w:r>
          </w:p>
        </w:tc>
        <w:tc>
          <w:tcPr>
            <w:tcW w:w="666" w:type="dxa"/>
            <w:tcBorders>
              <w:left w:val="nil"/>
              <w:bottom w:val="single" w:sz="12" w:space="0" w:color="auto"/>
              <w:right w:val="nil"/>
            </w:tcBorders>
          </w:tcPr>
          <w:p w:rsidR="00000000" w:rsidRDefault="00000000">
            <w:pPr>
              <w:keepNext/>
              <w:spacing w:line="240" w:lineRule="auto"/>
              <w:jc w:val="right"/>
              <w:rPr>
                <w:i/>
                <w:sz w:val="14"/>
              </w:rPr>
            </w:pPr>
            <w:r>
              <w:rPr>
                <w:i/>
                <w:sz w:val="14"/>
              </w:rPr>
              <w:t>Вс</w:t>
            </w:r>
            <w:r>
              <w:rPr>
                <w:i/>
                <w:sz w:val="14"/>
              </w:rPr>
              <w:t>е</w:t>
            </w:r>
            <w:r>
              <w:rPr>
                <w:i/>
                <w:sz w:val="14"/>
              </w:rPr>
              <w:t>го</w:t>
            </w:r>
          </w:p>
        </w:tc>
        <w:tc>
          <w:tcPr>
            <w:tcW w:w="1098" w:type="dxa"/>
            <w:tcBorders>
              <w:left w:val="nil"/>
              <w:bottom w:val="single" w:sz="12" w:space="0" w:color="auto"/>
              <w:right w:val="nil"/>
            </w:tcBorders>
          </w:tcPr>
          <w:p w:rsidR="00000000" w:rsidRDefault="00000000">
            <w:pPr>
              <w:keepNext/>
              <w:spacing w:line="240" w:lineRule="auto"/>
              <w:jc w:val="right"/>
              <w:rPr>
                <w:i/>
                <w:sz w:val="14"/>
              </w:rPr>
            </w:pPr>
            <w:r>
              <w:rPr>
                <w:i/>
                <w:sz w:val="14"/>
              </w:rPr>
              <w:t>Никогда не вступали в брак</w:t>
            </w:r>
          </w:p>
        </w:tc>
        <w:tc>
          <w:tcPr>
            <w:tcW w:w="666" w:type="dxa"/>
            <w:tcBorders>
              <w:left w:val="nil"/>
              <w:bottom w:val="single" w:sz="12" w:space="0" w:color="auto"/>
              <w:right w:val="nil"/>
            </w:tcBorders>
          </w:tcPr>
          <w:p w:rsidR="00000000" w:rsidRDefault="00000000">
            <w:pPr>
              <w:keepNext/>
              <w:spacing w:line="240" w:lineRule="auto"/>
              <w:jc w:val="right"/>
              <w:rPr>
                <w:i/>
                <w:sz w:val="14"/>
              </w:rPr>
            </w:pPr>
            <w:r>
              <w:rPr>
                <w:i/>
                <w:sz w:val="14"/>
              </w:rPr>
              <w:t>Вс</w:t>
            </w:r>
            <w:r>
              <w:rPr>
                <w:i/>
                <w:sz w:val="14"/>
              </w:rPr>
              <w:t>е</w:t>
            </w:r>
            <w:r>
              <w:rPr>
                <w:i/>
                <w:sz w:val="14"/>
              </w:rPr>
              <w:t>го</w:t>
            </w:r>
          </w:p>
        </w:tc>
        <w:tc>
          <w:tcPr>
            <w:tcW w:w="1017" w:type="dxa"/>
            <w:gridSpan w:val="3"/>
            <w:tcBorders>
              <w:left w:val="nil"/>
              <w:bottom w:val="single" w:sz="12" w:space="0" w:color="auto"/>
              <w:right w:val="nil"/>
            </w:tcBorders>
          </w:tcPr>
          <w:p w:rsidR="00000000" w:rsidRDefault="00000000">
            <w:pPr>
              <w:keepNext/>
              <w:spacing w:line="240" w:lineRule="auto"/>
              <w:jc w:val="right"/>
              <w:rPr>
                <w:i/>
                <w:sz w:val="14"/>
              </w:rPr>
            </w:pPr>
            <w:r>
              <w:rPr>
                <w:i/>
                <w:sz w:val="14"/>
              </w:rPr>
              <w:t>Никогда не вступали в брак</w:t>
            </w:r>
          </w:p>
        </w:tc>
        <w:tc>
          <w:tcPr>
            <w:tcW w:w="900" w:type="dxa"/>
            <w:tcBorders>
              <w:left w:val="nil"/>
              <w:bottom w:val="single" w:sz="12" w:space="0" w:color="auto"/>
              <w:right w:val="nil"/>
            </w:tcBorders>
          </w:tcPr>
          <w:p w:rsidR="00000000" w:rsidRDefault="00000000">
            <w:pPr>
              <w:keepNext/>
              <w:spacing w:line="240" w:lineRule="auto"/>
              <w:jc w:val="right"/>
              <w:rPr>
                <w:i/>
                <w:sz w:val="14"/>
              </w:rPr>
            </w:pPr>
            <w:r>
              <w:rPr>
                <w:i/>
                <w:sz w:val="14"/>
              </w:rPr>
              <w:t>Вс</w:t>
            </w:r>
            <w:r>
              <w:rPr>
                <w:i/>
                <w:sz w:val="14"/>
              </w:rPr>
              <w:t>е</w:t>
            </w:r>
            <w:r>
              <w:rPr>
                <w:i/>
                <w:sz w:val="14"/>
              </w:rPr>
              <w:t>го</w:t>
            </w:r>
          </w:p>
        </w:tc>
      </w:tr>
      <w:tr w:rsidR="00000000">
        <w:tblPrEx>
          <w:tblCellMar>
            <w:top w:w="0" w:type="dxa"/>
            <w:bottom w:w="0" w:type="dxa"/>
          </w:tblCellMar>
        </w:tblPrEx>
        <w:trPr>
          <w:cantSplit/>
        </w:trPr>
        <w:tc>
          <w:tcPr>
            <w:tcW w:w="7623" w:type="dxa"/>
            <w:gridSpan w:val="11"/>
            <w:tcBorders>
              <w:top w:val="single" w:sz="12" w:space="0" w:color="auto"/>
              <w:left w:val="nil"/>
              <w:bottom w:val="nil"/>
              <w:right w:val="nil"/>
            </w:tcBorders>
          </w:tcPr>
          <w:p w:rsidR="00000000" w:rsidRDefault="00000000">
            <w:pPr>
              <w:spacing w:after="120" w:line="240" w:lineRule="auto"/>
              <w:rPr>
                <w:sz w:val="17"/>
              </w:rPr>
            </w:pPr>
            <w:r>
              <w:rPr>
                <w:b/>
                <w:sz w:val="17"/>
              </w:rPr>
              <w:t>Мужчины</w:t>
            </w:r>
            <w:r>
              <w:rPr>
                <w:sz w:val="17"/>
              </w:rPr>
              <w:t xml:space="preserve"> - всего</w:t>
            </w:r>
          </w:p>
        </w:tc>
      </w:tr>
      <w:tr w:rsidR="00000000">
        <w:tblPrEx>
          <w:tblCellMar>
            <w:top w:w="0" w:type="dxa"/>
            <w:bottom w:w="0" w:type="dxa"/>
          </w:tblCellMar>
        </w:tblPrEx>
        <w:tc>
          <w:tcPr>
            <w:tcW w:w="477" w:type="dxa"/>
            <w:tcBorders>
              <w:top w:val="nil"/>
              <w:left w:val="nil"/>
              <w:bottom w:val="nil"/>
              <w:right w:val="nil"/>
            </w:tcBorders>
          </w:tcPr>
          <w:p w:rsidR="00000000" w:rsidRDefault="00000000">
            <w:pPr>
              <w:spacing w:after="120" w:line="240" w:lineRule="auto"/>
              <w:rPr>
                <w:sz w:val="17"/>
              </w:rPr>
            </w:pPr>
          </w:p>
        </w:tc>
        <w:tc>
          <w:tcPr>
            <w:tcW w:w="1017" w:type="dxa"/>
            <w:tcBorders>
              <w:top w:val="nil"/>
              <w:left w:val="nil"/>
              <w:bottom w:val="nil"/>
              <w:right w:val="nil"/>
            </w:tcBorders>
          </w:tcPr>
          <w:p w:rsidR="00000000" w:rsidRDefault="00000000">
            <w:pPr>
              <w:spacing w:after="120" w:line="240" w:lineRule="auto"/>
              <w:jc w:val="right"/>
              <w:rPr>
                <w:sz w:val="17"/>
              </w:rPr>
            </w:pPr>
            <w:r>
              <w:rPr>
                <w:sz w:val="17"/>
              </w:rPr>
              <w:t>738</w:t>
            </w:r>
          </w:p>
        </w:tc>
        <w:tc>
          <w:tcPr>
            <w:tcW w:w="711" w:type="dxa"/>
            <w:tcBorders>
              <w:top w:val="nil"/>
              <w:left w:val="nil"/>
              <w:bottom w:val="nil"/>
              <w:right w:val="nil"/>
            </w:tcBorders>
          </w:tcPr>
          <w:p w:rsidR="00000000" w:rsidRDefault="00000000">
            <w:pPr>
              <w:spacing w:after="120" w:line="240" w:lineRule="auto"/>
              <w:jc w:val="right"/>
              <w:rPr>
                <w:sz w:val="17"/>
              </w:rPr>
            </w:pPr>
            <w:r>
              <w:rPr>
                <w:sz w:val="17"/>
              </w:rPr>
              <w:t>833</w:t>
            </w:r>
          </w:p>
        </w:tc>
        <w:tc>
          <w:tcPr>
            <w:tcW w:w="1071" w:type="dxa"/>
            <w:tcBorders>
              <w:top w:val="nil"/>
              <w:left w:val="nil"/>
              <w:bottom w:val="nil"/>
              <w:right w:val="nil"/>
            </w:tcBorders>
          </w:tcPr>
          <w:p w:rsidR="00000000" w:rsidRDefault="00000000">
            <w:pPr>
              <w:spacing w:after="120" w:line="240" w:lineRule="auto"/>
              <w:jc w:val="right"/>
              <w:rPr>
                <w:sz w:val="17"/>
              </w:rPr>
            </w:pPr>
            <w:r>
              <w:rPr>
                <w:sz w:val="17"/>
              </w:rPr>
              <w:t>713</w:t>
            </w:r>
          </w:p>
        </w:tc>
        <w:tc>
          <w:tcPr>
            <w:tcW w:w="666" w:type="dxa"/>
            <w:tcBorders>
              <w:top w:val="nil"/>
              <w:left w:val="nil"/>
              <w:bottom w:val="nil"/>
              <w:right w:val="nil"/>
            </w:tcBorders>
          </w:tcPr>
          <w:p w:rsidR="00000000" w:rsidRDefault="00000000">
            <w:pPr>
              <w:spacing w:after="120" w:line="240" w:lineRule="auto"/>
              <w:jc w:val="right"/>
              <w:rPr>
                <w:sz w:val="17"/>
              </w:rPr>
            </w:pPr>
            <w:r>
              <w:rPr>
                <w:sz w:val="17"/>
              </w:rPr>
              <w:t>745</w:t>
            </w:r>
          </w:p>
        </w:tc>
        <w:tc>
          <w:tcPr>
            <w:tcW w:w="1098" w:type="dxa"/>
            <w:tcBorders>
              <w:top w:val="nil"/>
              <w:left w:val="nil"/>
              <w:bottom w:val="nil"/>
              <w:right w:val="nil"/>
            </w:tcBorders>
          </w:tcPr>
          <w:p w:rsidR="00000000" w:rsidRDefault="00000000">
            <w:pPr>
              <w:spacing w:after="120" w:line="240" w:lineRule="auto"/>
              <w:jc w:val="right"/>
              <w:rPr>
                <w:sz w:val="17"/>
              </w:rPr>
            </w:pPr>
            <w:r>
              <w:rPr>
                <w:sz w:val="17"/>
              </w:rPr>
              <w:t>7 979</w:t>
            </w:r>
          </w:p>
        </w:tc>
        <w:tc>
          <w:tcPr>
            <w:tcW w:w="666" w:type="dxa"/>
            <w:tcBorders>
              <w:top w:val="nil"/>
              <w:left w:val="nil"/>
              <w:bottom w:val="nil"/>
              <w:right w:val="nil"/>
            </w:tcBorders>
          </w:tcPr>
          <w:p w:rsidR="00000000" w:rsidRDefault="00000000">
            <w:pPr>
              <w:spacing w:after="120" w:line="240" w:lineRule="auto"/>
              <w:jc w:val="right"/>
              <w:rPr>
                <w:sz w:val="17"/>
              </w:rPr>
            </w:pPr>
            <w:r>
              <w:rPr>
                <w:sz w:val="17"/>
              </w:rPr>
              <w:t>8 455</w:t>
            </w:r>
          </w:p>
        </w:tc>
        <w:tc>
          <w:tcPr>
            <w:tcW w:w="1017" w:type="dxa"/>
            <w:gridSpan w:val="3"/>
            <w:tcBorders>
              <w:top w:val="nil"/>
              <w:left w:val="nil"/>
              <w:bottom w:val="nil"/>
              <w:right w:val="nil"/>
            </w:tcBorders>
          </w:tcPr>
          <w:p w:rsidR="00000000" w:rsidRDefault="00000000">
            <w:pPr>
              <w:spacing w:after="120" w:line="240" w:lineRule="auto"/>
              <w:jc w:val="right"/>
              <w:rPr>
                <w:sz w:val="17"/>
              </w:rPr>
            </w:pPr>
            <w:r>
              <w:rPr>
                <w:sz w:val="17"/>
              </w:rPr>
              <w:t>27 511</w:t>
            </w:r>
          </w:p>
        </w:tc>
        <w:tc>
          <w:tcPr>
            <w:tcW w:w="900" w:type="dxa"/>
            <w:tcBorders>
              <w:top w:val="nil"/>
              <w:left w:val="nil"/>
              <w:bottom w:val="nil"/>
              <w:right w:val="nil"/>
            </w:tcBorders>
          </w:tcPr>
          <w:p w:rsidR="00000000" w:rsidRDefault="00000000">
            <w:pPr>
              <w:spacing w:after="120" w:line="240" w:lineRule="auto"/>
              <w:jc w:val="right"/>
              <w:rPr>
                <w:sz w:val="17"/>
              </w:rPr>
            </w:pPr>
            <w:r>
              <w:rPr>
                <w:sz w:val="17"/>
              </w:rPr>
              <w:t>29 695</w:t>
            </w:r>
          </w:p>
        </w:tc>
      </w:tr>
      <w:tr w:rsidR="00000000">
        <w:tblPrEx>
          <w:tblCellMar>
            <w:top w:w="0" w:type="dxa"/>
            <w:bottom w:w="0" w:type="dxa"/>
          </w:tblCellMar>
        </w:tblPrEx>
        <w:trPr>
          <w:cantSplit/>
        </w:trPr>
        <w:tc>
          <w:tcPr>
            <w:tcW w:w="7623" w:type="dxa"/>
            <w:gridSpan w:val="11"/>
            <w:tcBorders>
              <w:top w:val="nil"/>
              <w:left w:val="nil"/>
              <w:bottom w:val="nil"/>
              <w:right w:val="nil"/>
            </w:tcBorders>
          </w:tcPr>
          <w:p w:rsidR="00000000" w:rsidRDefault="00000000">
            <w:pPr>
              <w:spacing w:after="120" w:line="240" w:lineRule="auto"/>
              <w:rPr>
                <w:sz w:val="17"/>
              </w:rPr>
            </w:pPr>
            <w:r>
              <w:rPr>
                <w:sz w:val="17"/>
              </w:rPr>
              <w:t>Средний возраст</w:t>
            </w:r>
          </w:p>
        </w:tc>
      </w:tr>
      <w:tr w:rsidR="00000000">
        <w:tblPrEx>
          <w:tblCellMar>
            <w:top w:w="0" w:type="dxa"/>
            <w:bottom w:w="0" w:type="dxa"/>
          </w:tblCellMar>
        </w:tblPrEx>
        <w:tc>
          <w:tcPr>
            <w:tcW w:w="477" w:type="dxa"/>
            <w:tcBorders>
              <w:top w:val="nil"/>
              <w:left w:val="nil"/>
              <w:bottom w:val="nil"/>
              <w:right w:val="nil"/>
            </w:tcBorders>
          </w:tcPr>
          <w:p w:rsidR="00000000" w:rsidRDefault="00000000">
            <w:pPr>
              <w:spacing w:after="120" w:line="240" w:lineRule="auto"/>
              <w:rPr>
                <w:sz w:val="17"/>
              </w:rPr>
            </w:pPr>
          </w:p>
        </w:tc>
        <w:tc>
          <w:tcPr>
            <w:tcW w:w="1017" w:type="dxa"/>
            <w:tcBorders>
              <w:top w:val="nil"/>
              <w:left w:val="nil"/>
              <w:bottom w:val="nil"/>
              <w:right w:val="nil"/>
            </w:tcBorders>
          </w:tcPr>
          <w:p w:rsidR="00000000" w:rsidRDefault="00000000">
            <w:pPr>
              <w:spacing w:after="120" w:line="240" w:lineRule="auto"/>
              <w:jc w:val="right"/>
              <w:rPr>
                <w:sz w:val="17"/>
              </w:rPr>
            </w:pPr>
            <w:r>
              <w:rPr>
                <w:sz w:val="17"/>
              </w:rPr>
              <w:t>27,4</w:t>
            </w:r>
          </w:p>
        </w:tc>
        <w:tc>
          <w:tcPr>
            <w:tcW w:w="711" w:type="dxa"/>
            <w:tcBorders>
              <w:top w:val="nil"/>
              <w:left w:val="nil"/>
              <w:bottom w:val="nil"/>
              <w:right w:val="nil"/>
            </w:tcBorders>
          </w:tcPr>
          <w:p w:rsidR="00000000" w:rsidRDefault="00000000">
            <w:pPr>
              <w:spacing w:after="120" w:line="240" w:lineRule="auto"/>
              <w:jc w:val="right"/>
              <w:rPr>
                <w:sz w:val="17"/>
              </w:rPr>
            </w:pPr>
            <w:r>
              <w:rPr>
                <w:sz w:val="17"/>
              </w:rPr>
              <w:t>27,4</w:t>
            </w:r>
          </w:p>
        </w:tc>
        <w:tc>
          <w:tcPr>
            <w:tcW w:w="1071" w:type="dxa"/>
            <w:tcBorders>
              <w:top w:val="nil"/>
              <w:left w:val="nil"/>
              <w:bottom w:val="nil"/>
              <w:right w:val="nil"/>
            </w:tcBorders>
          </w:tcPr>
          <w:p w:rsidR="00000000" w:rsidRDefault="00000000">
            <w:pPr>
              <w:spacing w:after="120" w:line="240" w:lineRule="auto"/>
              <w:jc w:val="right"/>
              <w:rPr>
                <w:sz w:val="17"/>
              </w:rPr>
            </w:pPr>
            <w:r>
              <w:rPr>
                <w:sz w:val="17"/>
              </w:rPr>
              <w:t>29,1</w:t>
            </w:r>
          </w:p>
        </w:tc>
        <w:tc>
          <w:tcPr>
            <w:tcW w:w="666" w:type="dxa"/>
            <w:tcBorders>
              <w:top w:val="nil"/>
              <w:left w:val="nil"/>
              <w:bottom w:val="nil"/>
              <w:right w:val="nil"/>
            </w:tcBorders>
          </w:tcPr>
          <w:p w:rsidR="00000000" w:rsidRDefault="00000000">
            <w:pPr>
              <w:spacing w:after="120" w:line="240" w:lineRule="auto"/>
              <w:jc w:val="right"/>
              <w:rPr>
                <w:sz w:val="17"/>
              </w:rPr>
            </w:pPr>
            <w:r>
              <w:rPr>
                <w:sz w:val="17"/>
              </w:rPr>
              <w:t>29,5</w:t>
            </w:r>
          </w:p>
        </w:tc>
        <w:tc>
          <w:tcPr>
            <w:tcW w:w="1098" w:type="dxa"/>
            <w:tcBorders>
              <w:top w:val="nil"/>
              <w:left w:val="nil"/>
              <w:bottom w:val="nil"/>
              <w:right w:val="nil"/>
            </w:tcBorders>
          </w:tcPr>
          <w:p w:rsidR="00000000" w:rsidRDefault="00000000">
            <w:pPr>
              <w:spacing w:after="120" w:line="240" w:lineRule="auto"/>
              <w:jc w:val="right"/>
              <w:rPr>
                <w:sz w:val="17"/>
              </w:rPr>
            </w:pPr>
            <w:r>
              <w:rPr>
                <w:sz w:val="17"/>
              </w:rPr>
              <w:t>26,4</w:t>
            </w:r>
          </w:p>
        </w:tc>
        <w:tc>
          <w:tcPr>
            <w:tcW w:w="666" w:type="dxa"/>
            <w:tcBorders>
              <w:top w:val="nil"/>
              <w:left w:val="nil"/>
              <w:bottom w:val="nil"/>
              <w:right w:val="nil"/>
            </w:tcBorders>
          </w:tcPr>
          <w:p w:rsidR="00000000" w:rsidRDefault="00000000">
            <w:pPr>
              <w:spacing w:after="120" w:line="240" w:lineRule="auto"/>
              <w:jc w:val="right"/>
              <w:rPr>
                <w:sz w:val="17"/>
              </w:rPr>
            </w:pPr>
            <w:r>
              <w:rPr>
                <w:sz w:val="17"/>
              </w:rPr>
              <w:t>27,0</w:t>
            </w:r>
          </w:p>
        </w:tc>
        <w:tc>
          <w:tcPr>
            <w:tcW w:w="927" w:type="dxa"/>
            <w:gridSpan w:val="2"/>
            <w:tcBorders>
              <w:top w:val="nil"/>
              <w:left w:val="nil"/>
              <w:bottom w:val="nil"/>
              <w:right w:val="nil"/>
            </w:tcBorders>
          </w:tcPr>
          <w:p w:rsidR="00000000" w:rsidRDefault="00000000">
            <w:pPr>
              <w:spacing w:after="120" w:line="240" w:lineRule="auto"/>
              <w:jc w:val="right"/>
              <w:rPr>
                <w:sz w:val="17"/>
              </w:rPr>
            </w:pPr>
            <w:r>
              <w:rPr>
                <w:sz w:val="17"/>
              </w:rPr>
              <w:t>27,3</w:t>
            </w:r>
          </w:p>
        </w:tc>
        <w:tc>
          <w:tcPr>
            <w:tcW w:w="990" w:type="dxa"/>
            <w:gridSpan w:val="2"/>
            <w:tcBorders>
              <w:top w:val="nil"/>
              <w:left w:val="nil"/>
              <w:bottom w:val="nil"/>
              <w:right w:val="nil"/>
            </w:tcBorders>
          </w:tcPr>
          <w:p w:rsidR="00000000" w:rsidRDefault="00000000">
            <w:pPr>
              <w:spacing w:after="120" w:line="240" w:lineRule="auto"/>
              <w:jc w:val="right"/>
              <w:rPr>
                <w:sz w:val="17"/>
              </w:rPr>
            </w:pPr>
            <w:r>
              <w:rPr>
                <w:sz w:val="17"/>
              </w:rPr>
              <w:t>28,8</w:t>
            </w:r>
          </w:p>
        </w:tc>
      </w:tr>
      <w:tr w:rsidR="00000000">
        <w:tblPrEx>
          <w:tblCellMar>
            <w:top w:w="0" w:type="dxa"/>
            <w:bottom w:w="0" w:type="dxa"/>
          </w:tblCellMar>
        </w:tblPrEx>
        <w:trPr>
          <w:cantSplit/>
        </w:trPr>
        <w:tc>
          <w:tcPr>
            <w:tcW w:w="7623" w:type="dxa"/>
            <w:gridSpan w:val="11"/>
            <w:tcBorders>
              <w:top w:val="nil"/>
              <w:left w:val="nil"/>
              <w:bottom w:val="nil"/>
              <w:right w:val="nil"/>
            </w:tcBorders>
          </w:tcPr>
          <w:p w:rsidR="00000000" w:rsidRDefault="00000000">
            <w:pPr>
              <w:spacing w:after="120" w:line="240" w:lineRule="auto"/>
              <w:rPr>
                <w:sz w:val="17"/>
              </w:rPr>
            </w:pPr>
            <w:r>
              <w:rPr>
                <w:sz w:val="17"/>
              </w:rPr>
              <w:t>Женщины - всего</w:t>
            </w:r>
          </w:p>
        </w:tc>
      </w:tr>
      <w:tr w:rsidR="00000000">
        <w:tblPrEx>
          <w:tblCellMar>
            <w:top w:w="0" w:type="dxa"/>
            <w:bottom w:w="0" w:type="dxa"/>
          </w:tblCellMar>
        </w:tblPrEx>
        <w:tc>
          <w:tcPr>
            <w:tcW w:w="477" w:type="dxa"/>
            <w:tcBorders>
              <w:top w:val="nil"/>
              <w:left w:val="nil"/>
              <w:bottom w:val="nil"/>
              <w:right w:val="nil"/>
            </w:tcBorders>
          </w:tcPr>
          <w:p w:rsidR="00000000" w:rsidRDefault="00000000">
            <w:pPr>
              <w:spacing w:after="120" w:line="240" w:lineRule="auto"/>
              <w:rPr>
                <w:sz w:val="17"/>
              </w:rPr>
            </w:pPr>
          </w:p>
        </w:tc>
        <w:tc>
          <w:tcPr>
            <w:tcW w:w="1017" w:type="dxa"/>
            <w:tcBorders>
              <w:top w:val="nil"/>
              <w:left w:val="nil"/>
              <w:bottom w:val="nil"/>
              <w:right w:val="nil"/>
            </w:tcBorders>
          </w:tcPr>
          <w:p w:rsidR="00000000" w:rsidRDefault="00000000">
            <w:pPr>
              <w:spacing w:after="120" w:line="240" w:lineRule="auto"/>
              <w:jc w:val="right"/>
              <w:rPr>
                <w:sz w:val="17"/>
              </w:rPr>
            </w:pPr>
            <w:r>
              <w:rPr>
                <w:sz w:val="17"/>
              </w:rPr>
              <w:t>787</w:t>
            </w:r>
          </w:p>
        </w:tc>
        <w:tc>
          <w:tcPr>
            <w:tcW w:w="711" w:type="dxa"/>
            <w:tcBorders>
              <w:top w:val="nil"/>
              <w:left w:val="nil"/>
              <w:bottom w:val="nil"/>
              <w:right w:val="nil"/>
            </w:tcBorders>
          </w:tcPr>
          <w:p w:rsidR="00000000" w:rsidRDefault="00000000">
            <w:pPr>
              <w:spacing w:after="120" w:line="240" w:lineRule="auto"/>
              <w:jc w:val="right"/>
              <w:rPr>
                <w:sz w:val="17"/>
              </w:rPr>
            </w:pPr>
            <w:r>
              <w:rPr>
                <w:sz w:val="17"/>
              </w:rPr>
              <w:t>833</w:t>
            </w:r>
          </w:p>
        </w:tc>
        <w:tc>
          <w:tcPr>
            <w:tcW w:w="1071" w:type="dxa"/>
            <w:tcBorders>
              <w:top w:val="nil"/>
              <w:left w:val="nil"/>
              <w:bottom w:val="nil"/>
              <w:right w:val="nil"/>
            </w:tcBorders>
          </w:tcPr>
          <w:p w:rsidR="00000000" w:rsidRDefault="00000000">
            <w:pPr>
              <w:spacing w:after="120" w:line="240" w:lineRule="auto"/>
              <w:jc w:val="right"/>
              <w:rPr>
                <w:sz w:val="17"/>
              </w:rPr>
            </w:pPr>
            <w:r>
              <w:rPr>
                <w:sz w:val="17"/>
              </w:rPr>
              <w:t>737</w:t>
            </w:r>
          </w:p>
        </w:tc>
        <w:tc>
          <w:tcPr>
            <w:tcW w:w="666" w:type="dxa"/>
            <w:tcBorders>
              <w:top w:val="nil"/>
              <w:left w:val="nil"/>
              <w:bottom w:val="nil"/>
              <w:right w:val="nil"/>
            </w:tcBorders>
          </w:tcPr>
          <w:p w:rsidR="00000000" w:rsidRDefault="00000000">
            <w:pPr>
              <w:spacing w:after="120" w:line="240" w:lineRule="auto"/>
              <w:jc w:val="right"/>
              <w:rPr>
                <w:sz w:val="17"/>
              </w:rPr>
            </w:pPr>
            <w:r>
              <w:rPr>
                <w:sz w:val="17"/>
              </w:rPr>
              <w:t>745</w:t>
            </w:r>
          </w:p>
        </w:tc>
        <w:tc>
          <w:tcPr>
            <w:tcW w:w="1098" w:type="dxa"/>
            <w:tcBorders>
              <w:top w:val="nil"/>
              <w:left w:val="nil"/>
              <w:bottom w:val="nil"/>
              <w:right w:val="nil"/>
            </w:tcBorders>
          </w:tcPr>
          <w:p w:rsidR="00000000" w:rsidRDefault="00000000">
            <w:pPr>
              <w:spacing w:after="120" w:line="240" w:lineRule="auto"/>
              <w:jc w:val="right"/>
              <w:rPr>
                <w:sz w:val="17"/>
              </w:rPr>
            </w:pPr>
            <w:r>
              <w:rPr>
                <w:sz w:val="17"/>
              </w:rPr>
              <w:t>8 235</w:t>
            </w:r>
          </w:p>
        </w:tc>
        <w:tc>
          <w:tcPr>
            <w:tcW w:w="666" w:type="dxa"/>
            <w:tcBorders>
              <w:top w:val="nil"/>
              <w:left w:val="nil"/>
              <w:bottom w:val="nil"/>
              <w:right w:val="nil"/>
            </w:tcBorders>
          </w:tcPr>
          <w:p w:rsidR="00000000" w:rsidRDefault="00000000">
            <w:pPr>
              <w:spacing w:after="120" w:line="240" w:lineRule="auto"/>
              <w:jc w:val="right"/>
              <w:rPr>
                <w:sz w:val="17"/>
              </w:rPr>
            </w:pPr>
            <w:r>
              <w:rPr>
                <w:sz w:val="17"/>
              </w:rPr>
              <w:t>8 455</w:t>
            </w:r>
          </w:p>
        </w:tc>
        <w:tc>
          <w:tcPr>
            <w:tcW w:w="927" w:type="dxa"/>
            <w:gridSpan w:val="2"/>
            <w:tcBorders>
              <w:top w:val="nil"/>
              <w:left w:val="nil"/>
              <w:bottom w:val="nil"/>
              <w:right w:val="nil"/>
            </w:tcBorders>
          </w:tcPr>
          <w:p w:rsidR="00000000" w:rsidRDefault="00000000">
            <w:pPr>
              <w:spacing w:after="120" w:line="240" w:lineRule="auto"/>
              <w:jc w:val="right"/>
              <w:rPr>
                <w:sz w:val="17"/>
              </w:rPr>
            </w:pPr>
            <w:r>
              <w:rPr>
                <w:sz w:val="17"/>
              </w:rPr>
              <w:t>27 113</w:t>
            </w:r>
          </w:p>
        </w:tc>
        <w:tc>
          <w:tcPr>
            <w:tcW w:w="990" w:type="dxa"/>
            <w:gridSpan w:val="2"/>
            <w:tcBorders>
              <w:top w:val="nil"/>
              <w:left w:val="nil"/>
              <w:bottom w:val="nil"/>
              <w:right w:val="nil"/>
            </w:tcBorders>
          </w:tcPr>
          <w:p w:rsidR="00000000" w:rsidRDefault="00000000">
            <w:pPr>
              <w:spacing w:after="120" w:line="240" w:lineRule="auto"/>
              <w:jc w:val="right"/>
              <w:rPr>
                <w:sz w:val="17"/>
              </w:rPr>
            </w:pPr>
            <w:r>
              <w:rPr>
                <w:sz w:val="17"/>
              </w:rPr>
              <w:t>26 695</w:t>
            </w:r>
          </w:p>
        </w:tc>
      </w:tr>
      <w:tr w:rsidR="00000000">
        <w:tblPrEx>
          <w:tblCellMar>
            <w:top w:w="0" w:type="dxa"/>
            <w:bottom w:w="0" w:type="dxa"/>
          </w:tblCellMar>
        </w:tblPrEx>
        <w:trPr>
          <w:cantSplit/>
        </w:trPr>
        <w:tc>
          <w:tcPr>
            <w:tcW w:w="7623" w:type="dxa"/>
            <w:gridSpan w:val="11"/>
            <w:tcBorders>
              <w:top w:val="nil"/>
              <w:left w:val="nil"/>
              <w:bottom w:val="nil"/>
              <w:right w:val="nil"/>
            </w:tcBorders>
          </w:tcPr>
          <w:p w:rsidR="00000000" w:rsidRDefault="00000000">
            <w:pPr>
              <w:spacing w:after="120" w:line="240" w:lineRule="auto"/>
              <w:rPr>
                <w:sz w:val="17"/>
              </w:rPr>
            </w:pPr>
            <w:r>
              <w:rPr>
                <w:sz w:val="17"/>
              </w:rPr>
              <w:t>Средний возраст</w:t>
            </w:r>
          </w:p>
        </w:tc>
      </w:tr>
      <w:tr w:rsidR="00000000">
        <w:tblPrEx>
          <w:tblCellMar>
            <w:top w:w="0" w:type="dxa"/>
            <w:bottom w:w="0" w:type="dxa"/>
          </w:tblCellMar>
        </w:tblPrEx>
        <w:tc>
          <w:tcPr>
            <w:tcW w:w="477" w:type="dxa"/>
            <w:tcBorders>
              <w:top w:val="nil"/>
              <w:left w:val="nil"/>
              <w:bottom w:val="single" w:sz="12" w:space="0" w:color="auto"/>
              <w:right w:val="nil"/>
            </w:tcBorders>
          </w:tcPr>
          <w:p w:rsidR="00000000" w:rsidRDefault="00000000">
            <w:pPr>
              <w:spacing w:after="120" w:line="240" w:lineRule="auto"/>
              <w:rPr>
                <w:sz w:val="17"/>
              </w:rPr>
            </w:pPr>
          </w:p>
        </w:tc>
        <w:tc>
          <w:tcPr>
            <w:tcW w:w="1017" w:type="dxa"/>
            <w:tcBorders>
              <w:top w:val="nil"/>
              <w:left w:val="nil"/>
              <w:bottom w:val="single" w:sz="12" w:space="0" w:color="auto"/>
              <w:right w:val="nil"/>
            </w:tcBorders>
          </w:tcPr>
          <w:p w:rsidR="00000000" w:rsidRDefault="00000000">
            <w:pPr>
              <w:spacing w:after="120" w:line="240" w:lineRule="auto"/>
              <w:jc w:val="right"/>
              <w:rPr>
                <w:sz w:val="17"/>
              </w:rPr>
            </w:pPr>
            <w:r>
              <w:rPr>
                <w:sz w:val="17"/>
              </w:rPr>
              <w:t>21,8</w:t>
            </w:r>
          </w:p>
        </w:tc>
        <w:tc>
          <w:tcPr>
            <w:tcW w:w="711" w:type="dxa"/>
            <w:tcBorders>
              <w:top w:val="nil"/>
              <w:left w:val="nil"/>
              <w:bottom w:val="single" w:sz="12" w:space="0" w:color="auto"/>
              <w:right w:val="nil"/>
            </w:tcBorders>
          </w:tcPr>
          <w:p w:rsidR="00000000" w:rsidRDefault="00000000">
            <w:pPr>
              <w:spacing w:after="120" w:line="240" w:lineRule="auto"/>
              <w:jc w:val="right"/>
              <w:rPr>
                <w:sz w:val="17"/>
              </w:rPr>
            </w:pPr>
            <w:r>
              <w:rPr>
                <w:sz w:val="17"/>
              </w:rPr>
              <w:t>22,3</w:t>
            </w:r>
          </w:p>
        </w:tc>
        <w:tc>
          <w:tcPr>
            <w:tcW w:w="1071" w:type="dxa"/>
            <w:tcBorders>
              <w:top w:val="nil"/>
              <w:left w:val="nil"/>
              <w:bottom w:val="single" w:sz="12" w:space="0" w:color="auto"/>
              <w:right w:val="nil"/>
            </w:tcBorders>
          </w:tcPr>
          <w:p w:rsidR="00000000" w:rsidRDefault="00000000">
            <w:pPr>
              <w:spacing w:after="120" w:line="240" w:lineRule="auto"/>
              <w:jc w:val="right"/>
              <w:rPr>
                <w:sz w:val="17"/>
              </w:rPr>
            </w:pPr>
            <w:r>
              <w:rPr>
                <w:sz w:val="17"/>
              </w:rPr>
              <w:t>24,2</w:t>
            </w:r>
          </w:p>
        </w:tc>
        <w:tc>
          <w:tcPr>
            <w:tcW w:w="666" w:type="dxa"/>
            <w:tcBorders>
              <w:top w:val="nil"/>
              <w:left w:val="nil"/>
              <w:bottom w:val="single" w:sz="12" w:space="0" w:color="auto"/>
              <w:right w:val="nil"/>
            </w:tcBorders>
          </w:tcPr>
          <w:p w:rsidR="00000000" w:rsidRDefault="00000000">
            <w:pPr>
              <w:spacing w:after="120" w:line="240" w:lineRule="auto"/>
              <w:jc w:val="right"/>
              <w:rPr>
                <w:sz w:val="17"/>
              </w:rPr>
            </w:pPr>
            <w:r>
              <w:rPr>
                <w:sz w:val="17"/>
              </w:rPr>
              <w:t>24,3</w:t>
            </w:r>
          </w:p>
        </w:tc>
        <w:tc>
          <w:tcPr>
            <w:tcW w:w="1098" w:type="dxa"/>
            <w:tcBorders>
              <w:top w:val="nil"/>
              <w:left w:val="nil"/>
              <w:bottom w:val="single" w:sz="12" w:space="0" w:color="auto"/>
              <w:right w:val="nil"/>
            </w:tcBorders>
          </w:tcPr>
          <w:p w:rsidR="00000000" w:rsidRDefault="00000000">
            <w:pPr>
              <w:spacing w:after="120" w:line="240" w:lineRule="auto"/>
              <w:jc w:val="right"/>
              <w:rPr>
                <w:sz w:val="17"/>
              </w:rPr>
            </w:pPr>
            <w:r>
              <w:rPr>
                <w:sz w:val="17"/>
              </w:rPr>
              <w:t>21,7</w:t>
            </w:r>
          </w:p>
        </w:tc>
        <w:tc>
          <w:tcPr>
            <w:tcW w:w="684" w:type="dxa"/>
            <w:gridSpan w:val="2"/>
            <w:tcBorders>
              <w:top w:val="nil"/>
              <w:left w:val="nil"/>
              <w:bottom w:val="single" w:sz="12" w:space="0" w:color="auto"/>
              <w:right w:val="nil"/>
            </w:tcBorders>
          </w:tcPr>
          <w:p w:rsidR="00000000" w:rsidRDefault="00000000">
            <w:pPr>
              <w:spacing w:after="120" w:line="240" w:lineRule="auto"/>
              <w:jc w:val="right"/>
              <w:rPr>
                <w:sz w:val="17"/>
              </w:rPr>
            </w:pPr>
            <w:r>
              <w:rPr>
                <w:sz w:val="17"/>
              </w:rPr>
              <w:t>21,9</w:t>
            </w:r>
          </w:p>
        </w:tc>
        <w:tc>
          <w:tcPr>
            <w:tcW w:w="909" w:type="dxa"/>
            <w:tcBorders>
              <w:top w:val="nil"/>
              <w:left w:val="nil"/>
              <w:bottom w:val="single" w:sz="12" w:space="0" w:color="auto"/>
              <w:right w:val="nil"/>
            </w:tcBorders>
          </w:tcPr>
          <w:p w:rsidR="00000000" w:rsidRDefault="00000000">
            <w:pPr>
              <w:spacing w:after="120" w:line="240" w:lineRule="auto"/>
              <w:jc w:val="right"/>
              <w:rPr>
                <w:sz w:val="17"/>
              </w:rPr>
            </w:pPr>
            <w:r>
              <w:rPr>
                <w:sz w:val="17"/>
              </w:rPr>
              <w:t>25,0</w:t>
            </w:r>
          </w:p>
        </w:tc>
        <w:tc>
          <w:tcPr>
            <w:tcW w:w="990" w:type="dxa"/>
            <w:gridSpan w:val="2"/>
            <w:tcBorders>
              <w:top w:val="nil"/>
              <w:left w:val="nil"/>
              <w:bottom w:val="single" w:sz="12" w:space="0" w:color="auto"/>
              <w:right w:val="nil"/>
            </w:tcBorders>
          </w:tcPr>
          <w:p w:rsidR="00000000" w:rsidRDefault="00000000">
            <w:pPr>
              <w:spacing w:after="120" w:line="240" w:lineRule="auto"/>
              <w:jc w:val="right"/>
              <w:rPr>
                <w:sz w:val="17"/>
              </w:rPr>
            </w:pPr>
            <w:r>
              <w:rPr>
                <w:sz w:val="17"/>
              </w:rPr>
              <w:t>26,0</w:t>
            </w:r>
          </w:p>
        </w:tc>
      </w:tr>
    </w:tbl>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430" w:hanging="1163"/>
        <w:rPr>
          <w:i/>
        </w:rPr>
      </w:pPr>
      <w:r>
        <w:rPr>
          <w:i/>
        </w:rPr>
        <w:t>Источник:</w:t>
      </w:r>
      <w:r>
        <w:rPr>
          <w:i/>
        </w:rPr>
        <w:tab/>
      </w:r>
      <w:r>
        <w:t>Центральное статистическое бюро, статистическое данные об И</w:t>
      </w:r>
      <w:r>
        <w:t>з</w:t>
      </w:r>
      <w:r>
        <w:t>раиле за 2004 год</w:t>
      </w:r>
      <w:r>
        <w:rPr>
          <w:i/>
        </w:rP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399.</w:t>
      </w:r>
      <w:r>
        <w:tab/>
        <w:t>В 2002 году средний возраст лиц, вступавших впервые в брак в Израиле, составил 27,3 года для еврейских мужчин, 26,4 года для мусульманских му</w:t>
      </w:r>
      <w:r>
        <w:t>ж</w:t>
      </w:r>
      <w:r>
        <w:t>чин, 25,0 года для еврейских женщин и 21,7 года для мусульманских женщин. Следует отметить, что после 1970 года средний возраст вступления в брак ув</w:t>
      </w:r>
      <w:r>
        <w:t>е</w:t>
      </w:r>
      <w:r>
        <w:t xml:space="preserve">личился на 3 года, прежде всего из-за увеличения масштабов сожительства и роли женщин на рынке труда и в системе высшего образования.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400.</w:t>
      </w:r>
      <w:r>
        <w:tab/>
        <w:t>Последние данные, предоставленные израильской полицией, свидетел</w:t>
      </w:r>
      <w:r>
        <w:t>ь</w:t>
      </w:r>
      <w:r>
        <w:t>ствую о крайне незначительном числе полигамных браков - 10 в 2003 и 15 в 2004 году.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Разводы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401.</w:t>
      </w:r>
      <w:r>
        <w:tab/>
        <w:t>Доля регистрируемых в Израиле разводов возросла за последние годы, о чем свидетельствуют данные в нижеследующей таблице: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56"/>
        <w:spacing w:line="240" w:lineRule="auto"/>
        <w:ind w:left="2477" w:right="1267" w:hanging="1210"/>
      </w:pPr>
      <w:r>
        <w:t>Таблица 21</w:t>
      </w:r>
    </w:p>
    <w:p w:rsidR="00000000" w:rsidRDefault="00000000">
      <w:pPr>
        <w:pStyle w:val="H56"/>
        <w:spacing w:after="120" w:line="240" w:lineRule="auto"/>
        <w:ind w:left="1260" w:right="1267" w:firstLine="7"/>
        <w:rPr>
          <w:b/>
        </w:rPr>
      </w:pPr>
      <w:r>
        <w:rPr>
          <w:b/>
        </w:rPr>
        <w:t>Лица, прибегающие к разводу, в возрасте от 15 лет и старше, с разбивкой по полу и религиозной принадлежности, 2002 год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tbl>
      <w:tblPr>
        <w:tblW w:w="0" w:type="auto"/>
        <w:tblInd w:w="1262" w:type="dxa"/>
        <w:tblBorders>
          <w:top w:val="single" w:sz="4" w:space="0" w:color="auto"/>
          <w:bottom w:val="single" w:sz="4" w:space="0" w:color="auto"/>
        </w:tblBorders>
        <w:tblLayout w:type="fixed"/>
        <w:tblLook w:val="0000" w:firstRow="0" w:lastRow="0" w:firstColumn="0" w:lastColumn="0" w:noHBand="0" w:noVBand="0"/>
      </w:tblPr>
      <w:tblGrid>
        <w:gridCol w:w="1710"/>
        <w:gridCol w:w="1890"/>
        <w:gridCol w:w="1890"/>
        <w:gridCol w:w="1710"/>
      </w:tblGrid>
      <w:tr w:rsidR="00000000">
        <w:tblPrEx>
          <w:tblCellMar>
            <w:top w:w="0" w:type="dxa"/>
            <w:bottom w:w="0" w:type="dxa"/>
          </w:tblCellMar>
        </w:tblPrEx>
        <w:trPr>
          <w:cantSplit/>
        </w:trPr>
        <w:tc>
          <w:tcPr>
            <w:tcW w:w="3600" w:type="dxa"/>
            <w:gridSpan w:val="2"/>
            <w:tcBorders>
              <w:top w:val="single" w:sz="4" w:space="0" w:color="auto"/>
              <w:bottom w:val="single" w:sz="4"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right="-108"/>
              <w:jc w:val="center"/>
              <w:rPr>
                <w:i/>
                <w:sz w:val="14"/>
              </w:rPr>
            </w:pPr>
            <w:r>
              <w:rPr>
                <w:i/>
                <w:sz w:val="14"/>
              </w:rPr>
              <w:t>Все население</w:t>
            </w:r>
          </w:p>
        </w:tc>
        <w:tc>
          <w:tcPr>
            <w:tcW w:w="3600" w:type="dxa"/>
            <w:gridSpan w:val="2"/>
            <w:tcBorders>
              <w:top w:val="single" w:sz="4" w:space="0" w:color="auto"/>
              <w:bottom w:val="single" w:sz="4" w:space="0" w:color="auto"/>
            </w:tcBorders>
          </w:tcPr>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0" w:right="-90"/>
              <w:jc w:val="center"/>
              <w:rPr>
                <w:i/>
                <w:sz w:val="14"/>
              </w:rPr>
            </w:pPr>
            <w:r>
              <w:rPr>
                <w:i/>
                <w:sz w:val="14"/>
              </w:rPr>
              <w:t>Показатели (на 2001 год)</w:t>
            </w:r>
          </w:p>
        </w:tc>
      </w:tr>
      <w:tr w:rsidR="00000000">
        <w:tblPrEx>
          <w:tblCellMar>
            <w:top w:w="0" w:type="dxa"/>
            <w:bottom w:w="0" w:type="dxa"/>
          </w:tblCellMar>
        </w:tblPrEx>
        <w:tc>
          <w:tcPr>
            <w:tcW w:w="1710" w:type="dxa"/>
            <w:tcBorders>
              <w:top w:val="single" w:sz="4" w:space="0" w:color="auto"/>
              <w:bottom w:val="single" w:sz="12" w:space="0" w:color="auto"/>
            </w:tcBorders>
          </w:tcPr>
          <w:p w:rsidR="00000000" w:rsidRDefault="00000000">
            <w:pPr>
              <w:jc w:val="right"/>
              <w:rPr>
                <w:i/>
                <w:sz w:val="14"/>
              </w:rPr>
            </w:pPr>
            <w:r>
              <w:rPr>
                <w:i/>
                <w:sz w:val="14"/>
              </w:rPr>
              <w:t>Женщины</w:t>
            </w:r>
          </w:p>
        </w:tc>
        <w:tc>
          <w:tcPr>
            <w:tcW w:w="1890" w:type="dxa"/>
            <w:tcBorders>
              <w:top w:val="single" w:sz="4" w:space="0" w:color="auto"/>
              <w:bottom w:val="single" w:sz="12" w:space="0" w:color="auto"/>
            </w:tcBorders>
          </w:tcPr>
          <w:p w:rsidR="00000000" w:rsidRDefault="00000000">
            <w:pPr>
              <w:jc w:val="right"/>
              <w:rPr>
                <w:i/>
                <w:sz w:val="14"/>
              </w:rPr>
            </w:pPr>
            <w:r>
              <w:rPr>
                <w:i/>
                <w:sz w:val="14"/>
              </w:rPr>
              <w:t>Мужчины</w:t>
            </w:r>
          </w:p>
        </w:tc>
        <w:tc>
          <w:tcPr>
            <w:tcW w:w="1890" w:type="dxa"/>
            <w:tcBorders>
              <w:top w:val="single" w:sz="4" w:space="0" w:color="auto"/>
              <w:bottom w:val="single" w:sz="12" w:space="0" w:color="auto"/>
            </w:tcBorders>
          </w:tcPr>
          <w:p w:rsidR="00000000" w:rsidRDefault="00000000">
            <w:pPr>
              <w:jc w:val="right"/>
              <w:rPr>
                <w:i/>
                <w:sz w:val="14"/>
              </w:rPr>
            </w:pPr>
            <w:r>
              <w:rPr>
                <w:i/>
                <w:sz w:val="14"/>
              </w:rPr>
              <w:t>Женщины</w:t>
            </w:r>
          </w:p>
        </w:tc>
        <w:tc>
          <w:tcPr>
            <w:tcW w:w="1710" w:type="dxa"/>
            <w:tcBorders>
              <w:top w:val="single" w:sz="4" w:space="0" w:color="auto"/>
              <w:bottom w:val="single" w:sz="12" w:space="0" w:color="auto"/>
            </w:tcBorders>
          </w:tcPr>
          <w:p w:rsidR="00000000" w:rsidRDefault="00000000">
            <w:pPr>
              <w:jc w:val="right"/>
              <w:rPr>
                <w:i/>
                <w:sz w:val="14"/>
              </w:rPr>
            </w:pPr>
            <w:r>
              <w:rPr>
                <w:i/>
                <w:sz w:val="14"/>
              </w:rPr>
              <w:t>Мужчины</w:t>
            </w:r>
          </w:p>
        </w:tc>
      </w:tr>
      <w:tr w:rsidR="00000000">
        <w:tblPrEx>
          <w:tblCellMar>
            <w:top w:w="0" w:type="dxa"/>
            <w:bottom w:w="0" w:type="dxa"/>
          </w:tblCellMar>
        </w:tblPrEx>
        <w:tc>
          <w:tcPr>
            <w:tcW w:w="1710" w:type="dxa"/>
            <w:tcBorders>
              <w:top w:val="single" w:sz="12" w:space="0" w:color="auto"/>
            </w:tcBorders>
          </w:tcPr>
          <w:p w:rsidR="00000000" w:rsidRDefault="00000000">
            <w:pPr>
              <w:jc w:val="right"/>
              <w:rPr>
                <w:sz w:val="17"/>
              </w:rPr>
            </w:pPr>
            <w:r>
              <w:rPr>
                <w:sz w:val="17"/>
              </w:rPr>
              <w:t>10 939</w:t>
            </w:r>
          </w:p>
        </w:tc>
        <w:tc>
          <w:tcPr>
            <w:tcW w:w="1890" w:type="dxa"/>
            <w:tcBorders>
              <w:top w:val="single" w:sz="12" w:space="0" w:color="auto"/>
            </w:tcBorders>
          </w:tcPr>
          <w:p w:rsidR="00000000" w:rsidRDefault="00000000">
            <w:pPr>
              <w:jc w:val="right"/>
              <w:rPr>
                <w:sz w:val="17"/>
              </w:rPr>
            </w:pPr>
            <w:r>
              <w:rPr>
                <w:sz w:val="17"/>
              </w:rPr>
              <w:t>10 939</w:t>
            </w:r>
          </w:p>
        </w:tc>
        <w:tc>
          <w:tcPr>
            <w:tcW w:w="1890" w:type="dxa"/>
            <w:tcBorders>
              <w:top w:val="single" w:sz="12" w:space="0" w:color="auto"/>
            </w:tcBorders>
          </w:tcPr>
          <w:p w:rsidR="00000000" w:rsidRDefault="00000000">
            <w:pPr>
              <w:jc w:val="right"/>
              <w:rPr>
                <w:sz w:val="17"/>
              </w:rPr>
            </w:pPr>
            <w:r>
              <w:rPr>
                <w:sz w:val="17"/>
              </w:rPr>
              <w:t>8,8</w:t>
            </w:r>
          </w:p>
        </w:tc>
        <w:tc>
          <w:tcPr>
            <w:tcW w:w="1710" w:type="dxa"/>
            <w:tcBorders>
              <w:top w:val="single" w:sz="12" w:space="0" w:color="auto"/>
            </w:tcBorders>
          </w:tcPr>
          <w:p w:rsidR="00000000" w:rsidRDefault="00000000">
            <w:pPr>
              <w:jc w:val="right"/>
              <w:rPr>
                <w:sz w:val="17"/>
              </w:rPr>
            </w:pPr>
            <w:r>
              <w:rPr>
                <w:sz w:val="17"/>
              </w:rPr>
              <w:t>8,7</w:t>
            </w:r>
          </w:p>
        </w:tc>
      </w:tr>
      <w:tr w:rsidR="00000000">
        <w:tblPrEx>
          <w:tblCellMar>
            <w:top w:w="0" w:type="dxa"/>
            <w:bottom w:w="0" w:type="dxa"/>
          </w:tblCellMar>
        </w:tblPrEx>
        <w:trPr>
          <w:cantSplit/>
        </w:trPr>
        <w:tc>
          <w:tcPr>
            <w:tcW w:w="3600" w:type="dxa"/>
            <w:gridSpan w:val="2"/>
          </w:tcPr>
          <w:p w:rsidR="00000000" w:rsidRDefault="00000000">
            <w:pPr>
              <w:rPr>
                <w:sz w:val="17"/>
              </w:rPr>
            </w:pPr>
            <w:r>
              <w:rPr>
                <w:sz w:val="17"/>
              </w:rPr>
              <w:t>Из них: евреи</w:t>
            </w:r>
          </w:p>
        </w:tc>
        <w:tc>
          <w:tcPr>
            <w:tcW w:w="3600" w:type="dxa"/>
            <w:gridSpan w:val="2"/>
          </w:tcPr>
          <w:p w:rsidR="00000000" w:rsidRDefault="00000000">
            <w:pPr>
              <w:jc w:val="center"/>
              <w:rPr>
                <w:sz w:val="17"/>
              </w:rPr>
            </w:pPr>
          </w:p>
        </w:tc>
      </w:tr>
      <w:tr w:rsidR="00000000">
        <w:tblPrEx>
          <w:tblCellMar>
            <w:top w:w="0" w:type="dxa"/>
            <w:bottom w:w="0" w:type="dxa"/>
          </w:tblCellMar>
        </w:tblPrEx>
        <w:tc>
          <w:tcPr>
            <w:tcW w:w="1710" w:type="dxa"/>
          </w:tcPr>
          <w:p w:rsidR="00000000" w:rsidRDefault="00000000">
            <w:pPr>
              <w:jc w:val="right"/>
              <w:rPr>
                <w:sz w:val="17"/>
              </w:rPr>
            </w:pPr>
            <w:r>
              <w:rPr>
                <w:sz w:val="17"/>
              </w:rPr>
              <w:t>9 686</w:t>
            </w:r>
          </w:p>
        </w:tc>
        <w:tc>
          <w:tcPr>
            <w:tcW w:w="1890" w:type="dxa"/>
          </w:tcPr>
          <w:p w:rsidR="00000000" w:rsidRDefault="00000000">
            <w:pPr>
              <w:jc w:val="right"/>
              <w:rPr>
                <w:sz w:val="17"/>
              </w:rPr>
            </w:pPr>
            <w:r>
              <w:rPr>
                <w:sz w:val="17"/>
              </w:rPr>
              <w:t>9 686</w:t>
            </w:r>
          </w:p>
        </w:tc>
        <w:tc>
          <w:tcPr>
            <w:tcW w:w="1890" w:type="dxa"/>
          </w:tcPr>
          <w:p w:rsidR="00000000" w:rsidRDefault="00000000">
            <w:pPr>
              <w:jc w:val="right"/>
              <w:rPr>
                <w:sz w:val="17"/>
              </w:rPr>
            </w:pPr>
            <w:r>
              <w:rPr>
                <w:sz w:val="17"/>
              </w:rPr>
              <w:t>9,5</w:t>
            </w:r>
          </w:p>
        </w:tc>
        <w:tc>
          <w:tcPr>
            <w:tcW w:w="1710" w:type="dxa"/>
          </w:tcPr>
          <w:p w:rsidR="00000000" w:rsidRDefault="00000000">
            <w:pPr>
              <w:jc w:val="right"/>
              <w:rPr>
                <w:sz w:val="17"/>
              </w:rPr>
            </w:pPr>
            <w:r>
              <w:rPr>
                <w:sz w:val="17"/>
              </w:rPr>
              <w:t>9,3</w:t>
            </w:r>
          </w:p>
        </w:tc>
      </w:tr>
      <w:tr w:rsidR="00000000">
        <w:tblPrEx>
          <w:tblCellMar>
            <w:top w:w="0" w:type="dxa"/>
            <w:bottom w:w="0" w:type="dxa"/>
          </w:tblCellMar>
        </w:tblPrEx>
        <w:trPr>
          <w:cantSplit/>
        </w:trPr>
        <w:tc>
          <w:tcPr>
            <w:tcW w:w="7200" w:type="dxa"/>
            <w:gridSpan w:val="4"/>
            <w:tcBorders>
              <w:bottom w:val="nil"/>
            </w:tcBorders>
          </w:tcPr>
          <w:p w:rsidR="00000000" w:rsidRDefault="00000000">
            <w:pPr>
              <w:rPr>
                <w:sz w:val="17"/>
              </w:rPr>
            </w:pPr>
            <w:r>
              <w:rPr>
                <w:sz w:val="17"/>
              </w:rPr>
              <w:t>Из них: мусул</w:t>
            </w:r>
            <w:r>
              <w:rPr>
                <w:sz w:val="17"/>
              </w:rPr>
              <w:t>ь</w:t>
            </w:r>
            <w:r>
              <w:rPr>
                <w:sz w:val="17"/>
              </w:rPr>
              <w:t>мане</w:t>
            </w:r>
          </w:p>
        </w:tc>
      </w:tr>
      <w:tr w:rsidR="00000000">
        <w:tblPrEx>
          <w:tblCellMar>
            <w:top w:w="0" w:type="dxa"/>
            <w:bottom w:w="0" w:type="dxa"/>
          </w:tblCellMar>
        </w:tblPrEx>
        <w:tc>
          <w:tcPr>
            <w:tcW w:w="1710" w:type="dxa"/>
            <w:tcBorders>
              <w:top w:val="nil"/>
              <w:bottom w:val="single" w:sz="12" w:space="0" w:color="auto"/>
            </w:tcBorders>
          </w:tcPr>
          <w:p w:rsidR="00000000" w:rsidRDefault="00000000">
            <w:pPr>
              <w:jc w:val="right"/>
              <w:rPr>
                <w:sz w:val="17"/>
              </w:rPr>
            </w:pPr>
            <w:r>
              <w:rPr>
                <w:sz w:val="17"/>
              </w:rPr>
              <w:t>1 136</w:t>
            </w:r>
          </w:p>
        </w:tc>
        <w:tc>
          <w:tcPr>
            <w:tcW w:w="1890" w:type="dxa"/>
            <w:tcBorders>
              <w:top w:val="nil"/>
              <w:bottom w:val="single" w:sz="12" w:space="0" w:color="auto"/>
            </w:tcBorders>
          </w:tcPr>
          <w:p w:rsidR="00000000" w:rsidRDefault="00000000">
            <w:pPr>
              <w:jc w:val="right"/>
              <w:rPr>
                <w:sz w:val="17"/>
              </w:rPr>
            </w:pPr>
            <w:r>
              <w:rPr>
                <w:sz w:val="17"/>
              </w:rPr>
              <w:t>1 136</w:t>
            </w:r>
          </w:p>
        </w:tc>
        <w:tc>
          <w:tcPr>
            <w:tcW w:w="1890" w:type="dxa"/>
            <w:tcBorders>
              <w:top w:val="nil"/>
              <w:bottom w:val="single" w:sz="12" w:space="0" w:color="auto"/>
            </w:tcBorders>
          </w:tcPr>
          <w:p w:rsidR="00000000" w:rsidRDefault="00000000">
            <w:pPr>
              <w:jc w:val="right"/>
              <w:rPr>
                <w:sz w:val="17"/>
              </w:rPr>
            </w:pPr>
            <w:r>
              <w:rPr>
                <w:sz w:val="17"/>
              </w:rPr>
              <w:t>6,5</w:t>
            </w:r>
          </w:p>
        </w:tc>
        <w:tc>
          <w:tcPr>
            <w:tcW w:w="1710" w:type="dxa"/>
            <w:tcBorders>
              <w:top w:val="nil"/>
              <w:bottom w:val="single" w:sz="12" w:space="0" w:color="auto"/>
            </w:tcBorders>
          </w:tcPr>
          <w:p w:rsidR="00000000" w:rsidRDefault="00000000">
            <w:pPr>
              <w:jc w:val="right"/>
              <w:rPr>
                <w:sz w:val="17"/>
              </w:rPr>
            </w:pPr>
            <w:r>
              <w:rPr>
                <w:sz w:val="17"/>
              </w:rPr>
              <w:t>6,5</w:t>
            </w:r>
          </w:p>
        </w:tc>
      </w:tr>
    </w:tbl>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340" w:hanging="1073"/>
        <w:jc w:val="left"/>
        <w:rPr>
          <w:i/>
        </w:rPr>
      </w:pPr>
      <w:r>
        <w:rPr>
          <w:i/>
        </w:rPr>
        <w:t>Источник:</w:t>
      </w:r>
      <w:r>
        <w:rPr>
          <w:i/>
        </w:rPr>
        <w:tab/>
      </w:r>
      <w:r>
        <w:t>Центральное статистическое бюро, краткие статистические данные об Израиле за 2004 год.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Минимальный возраст вступления в брак</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402.</w:t>
      </w:r>
      <w:r>
        <w:tab/>
        <w:t>Незамужних девушек значительно больше, чем неженатых молодых л</w:t>
      </w:r>
      <w:r>
        <w:t>ю</w:t>
      </w:r>
      <w:r>
        <w:t>дей, в особенности в определенных слоях населения, как, например, ультрао</w:t>
      </w:r>
      <w:r>
        <w:t>р</w:t>
      </w:r>
      <w:r>
        <w:t>тодоксальные евреи, грузинские евреи, мусульмане, друзы и бедуины.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403.</w:t>
      </w:r>
      <w:r>
        <w:tab/>
        <w:t>Научно-исследовательский информационный центр кнессета в своем и</w:t>
      </w:r>
      <w:r>
        <w:t>с</w:t>
      </w:r>
      <w:r>
        <w:t xml:space="preserve">следовании, проведенном в конце июня 2004 года, пришел к выводу, что сотни девушек ежегодно выходят замуж в Израиле. По данным обследования, </w:t>
      </w:r>
      <w:r>
        <w:rPr>
          <w:i/>
        </w:rPr>
        <w:t>Закон о брачном возрасте</w:t>
      </w:r>
      <w:r>
        <w:t xml:space="preserve"> редко применяется на практике и при поступлении заявл</w:t>
      </w:r>
      <w:r>
        <w:t>е</w:t>
      </w:r>
      <w:r>
        <w:t>ния о вступлении в брак в несовершеннолетнем возрасте разрешение чаще вс</w:t>
      </w:r>
      <w:r>
        <w:t>е</w:t>
      </w:r>
      <w:r>
        <w:t>го выдается на основании того факта, что эти браки зачастую заключаются среди тех слоев населения, которые переживают реформы и лишь недавно пр</w:t>
      </w:r>
      <w:r>
        <w:t>и</w:t>
      </w:r>
      <w:r>
        <w:t>выкли к новой общественной ситуации, по-иному воспринимая нормы общес</w:t>
      </w:r>
      <w:r>
        <w:t>т</w:t>
      </w:r>
      <w:r>
        <w:t>венной политики. В 2001 году 15 евреев и 20 мусульман в возрасте до 17 лет вступили в зарегистрированный брак, а также 24 еврейских и 113 мусульма</w:t>
      </w:r>
      <w:r>
        <w:t>н</w:t>
      </w:r>
      <w:r>
        <w:t>ских невест в возрасте до 16 лет.</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r>
        <w:rPr>
          <w:sz w:val="10"/>
        </w:rPr>
        <w:br w:type="page"/>
      </w:r>
    </w:p>
    <w:p w:rsidR="00000000" w:rsidRDefault="00000000">
      <w:pPr>
        <w:pStyle w:val="H56"/>
        <w:spacing w:line="240" w:lineRule="auto"/>
        <w:ind w:left="2477" w:right="1267" w:hanging="1210"/>
      </w:pPr>
      <w:r>
        <w:t>Таблица 22</w:t>
      </w:r>
    </w:p>
    <w:p w:rsidR="00000000" w:rsidRDefault="00000000">
      <w:pPr>
        <w:pStyle w:val="H56"/>
        <w:spacing w:after="120" w:line="240" w:lineRule="auto"/>
        <w:ind w:left="2477" w:right="1267" w:hanging="1210"/>
        <w:rPr>
          <w:b/>
        </w:rPr>
      </w:pPr>
      <w:r>
        <w:rPr>
          <w:b/>
        </w:rPr>
        <w:t>Вступление в брак молодых людей в возрасте до 19 лет, 2002 год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tbl>
      <w:tblPr>
        <w:tblW w:w="0" w:type="auto"/>
        <w:tblInd w:w="1285" w:type="dxa"/>
        <w:tblLayout w:type="fixed"/>
        <w:tblCellMar>
          <w:left w:w="0" w:type="dxa"/>
          <w:right w:w="0" w:type="dxa"/>
        </w:tblCellMar>
        <w:tblLook w:val="0000" w:firstRow="0" w:lastRow="0" w:firstColumn="0" w:lastColumn="0" w:noHBand="0" w:noVBand="0"/>
      </w:tblPr>
      <w:tblGrid>
        <w:gridCol w:w="846"/>
        <w:gridCol w:w="27"/>
        <w:gridCol w:w="597"/>
        <w:gridCol w:w="820"/>
        <w:gridCol w:w="54"/>
        <w:gridCol w:w="592"/>
        <w:gridCol w:w="5"/>
        <w:gridCol w:w="826"/>
        <w:gridCol w:w="27"/>
        <w:gridCol w:w="603"/>
        <w:gridCol w:w="6"/>
        <w:gridCol w:w="8"/>
        <w:gridCol w:w="670"/>
        <w:gridCol w:w="55"/>
        <w:gridCol w:w="733"/>
        <w:gridCol w:w="49"/>
        <w:gridCol w:w="720"/>
        <w:gridCol w:w="9"/>
        <w:gridCol w:w="688"/>
        <w:gridCol w:w="23"/>
      </w:tblGrid>
      <w:tr w:rsidR="00000000">
        <w:tblPrEx>
          <w:tblCellMar>
            <w:top w:w="0" w:type="dxa"/>
            <w:left w:w="0" w:type="dxa"/>
            <w:bottom w:w="0" w:type="dxa"/>
            <w:right w:w="0" w:type="dxa"/>
          </w:tblCellMar>
        </w:tblPrEx>
        <w:trPr>
          <w:trHeight w:val="169"/>
        </w:trPr>
        <w:tc>
          <w:tcPr>
            <w:tcW w:w="1470" w:type="dxa"/>
            <w:gridSpan w:val="3"/>
            <w:tcBorders>
              <w:top w:val="single" w:sz="4" w:space="0" w:color="auto"/>
              <w:bottom w:val="single" w:sz="4" w:space="0" w:color="auto"/>
            </w:tcBorders>
            <w:shd w:val="clear" w:color="auto" w:fill="FFFFFF"/>
            <w:vAlign w:val="center"/>
          </w:tcPr>
          <w:p w:rsidR="00000000" w:rsidRDefault="00000000">
            <w:pPr>
              <w:keepLines/>
              <w:spacing w:after="120" w:line="240" w:lineRule="auto"/>
              <w:jc w:val="center"/>
              <w:rPr>
                <w:rFonts w:eastAsia="Arial Unicode MS"/>
                <w:i/>
                <w:sz w:val="14"/>
              </w:rPr>
            </w:pPr>
            <w:r>
              <w:rPr>
                <w:i/>
                <w:sz w:val="14"/>
              </w:rPr>
              <w:t>Друзы</w:t>
            </w:r>
          </w:p>
        </w:tc>
        <w:tc>
          <w:tcPr>
            <w:tcW w:w="1471" w:type="dxa"/>
            <w:gridSpan w:val="4"/>
            <w:tcBorders>
              <w:top w:val="single" w:sz="4" w:space="0" w:color="auto"/>
              <w:bottom w:val="single" w:sz="4" w:space="0" w:color="auto"/>
            </w:tcBorders>
            <w:shd w:val="clear" w:color="auto" w:fill="FFFFFF"/>
            <w:vAlign w:val="center"/>
          </w:tcPr>
          <w:p w:rsidR="00000000" w:rsidRDefault="00000000">
            <w:pPr>
              <w:keepLines/>
              <w:spacing w:after="120" w:line="240" w:lineRule="auto"/>
              <w:jc w:val="center"/>
              <w:rPr>
                <w:rFonts w:eastAsia="Arial Unicode MS"/>
                <w:i/>
                <w:sz w:val="14"/>
              </w:rPr>
            </w:pPr>
            <w:r>
              <w:rPr>
                <w:i/>
                <w:sz w:val="14"/>
              </w:rPr>
              <w:t>Христиане</w:t>
            </w:r>
          </w:p>
        </w:tc>
        <w:tc>
          <w:tcPr>
            <w:tcW w:w="1470" w:type="dxa"/>
            <w:gridSpan w:val="5"/>
            <w:tcBorders>
              <w:top w:val="single" w:sz="4" w:space="0" w:color="auto"/>
              <w:bottom w:val="single" w:sz="4" w:space="0" w:color="auto"/>
            </w:tcBorders>
            <w:shd w:val="clear" w:color="auto" w:fill="FFFFFF"/>
            <w:vAlign w:val="center"/>
          </w:tcPr>
          <w:p w:rsidR="00000000" w:rsidRDefault="00000000">
            <w:pPr>
              <w:keepLines/>
              <w:spacing w:after="120" w:line="240" w:lineRule="auto"/>
              <w:jc w:val="center"/>
              <w:rPr>
                <w:rFonts w:eastAsia="Arial Unicode MS"/>
                <w:i/>
                <w:sz w:val="14"/>
              </w:rPr>
            </w:pPr>
            <w:r>
              <w:rPr>
                <w:i/>
                <w:sz w:val="14"/>
              </w:rPr>
              <w:t>Мусульмане</w:t>
            </w:r>
          </w:p>
        </w:tc>
        <w:tc>
          <w:tcPr>
            <w:tcW w:w="2236" w:type="dxa"/>
            <w:gridSpan w:val="6"/>
            <w:tcBorders>
              <w:top w:val="single" w:sz="4" w:space="0" w:color="auto"/>
              <w:bottom w:val="single" w:sz="4" w:space="0" w:color="auto"/>
            </w:tcBorders>
            <w:shd w:val="clear" w:color="auto" w:fill="FFFFFF"/>
            <w:vAlign w:val="center"/>
          </w:tcPr>
          <w:p w:rsidR="00000000" w:rsidRDefault="00000000">
            <w:pPr>
              <w:keepLines/>
              <w:spacing w:after="120" w:line="240" w:lineRule="auto"/>
              <w:jc w:val="center"/>
              <w:rPr>
                <w:rFonts w:eastAsia="Arial Unicode MS"/>
                <w:i/>
                <w:sz w:val="14"/>
              </w:rPr>
            </w:pPr>
            <w:r>
              <w:rPr>
                <w:i/>
                <w:sz w:val="14"/>
              </w:rPr>
              <w:t>Евреи</w:t>
            </w:r>
          </w:p>
        </w:tc>
        <w:tc>
          <w:tcPr>
            <w:tcW w:w="711" w:type="dxa"/>
            <w:gridSpan w:val="2"/>
            <w:tcBorders>
              <w:top w:val="single" w:sz="4" w:space="0" w:color="auto"/>
              <w:bottom w:val="single" w:sz="4" w:space="0" w:color="auto"/>
            </w:tcBorders>
            <w:shd w:val="clear" w:color="auto" w:fill="FFFFFF"/>
            <w:vAlign w:val="center"/>
          </w:tcPr>
          <w:p w:rsidR="00000000" w:rsidRDefault="00000000">
            <w:pPr>
              <w:keepLines/>
              <w:spacing w:after="120" w:line="240" w:lineRule="auto"/>
              <w:rPr>
                <w:rFonts w:eastAsia="Arial Unicode MS"/>
                <w:i/>
                <w:sz w:val="14"/>
              </w:rPr>
            </w:pPr>
          </w:p>
        </w:tc>
      </w:tr>
      <w:tr w:rsidR="00000000">
        <w:tblPrEx>
          <w:tblCellMar>
            <w:top w:w="0" w:type="dxa"/>
            <w:left w:w="0" w:type="dxa"/>
            <w:bottom w:w="0" w:type="dxa"/>
            <w:right w:w="0" w:type="dxa"/>
          </w:tblCellMar>
        </w:tblPrEx>
        <w:trPr>
          <w:cantSplit/>
          <w:trHeight w:val="985"/>
        </w:trPr>
        <w:tc>
          <w:tcPr>
            <w:tcW w:w="873" w:type="dxa"/>
            <w:gridSpan w:val="2"/>
            <w:tcBorders>
              <w:top w:val="single" w:sz="4" w:space="0" w:color="auto"/>
              <w:bottom w:val="single" w:sz="12" w:space="0" w:color="auto"/>
            </w:tcBorders>
            <w:shd w:val="clear" w:color="auto" w:fill="FFFFFF"/>
            <w:vAlign w:val="center"/>
          </w:tcPr>
          <w:p w:rsidR="00000000" w:rsidRDefault="00000000">
            <w:pPr>
              <w:keepLines/>
              <w:spacing w:line="240" w:lineRule="auto"/>
              <w:jc w:val="right"/>
              <w:rPr>
                <w:rFonts w:eastAsia="Arial Unicode MS"/>
                <w:i/>
                <w:sz w:val="14"/>
              </w:rPr>
            </w:pPr>
            <w:r>
              <w:rPr>
                <w:i/>
                <w:sz w:val="14"/>
              </w:rPr>
              <w:t>Из них:</w:t>
            </w:r>
            <w:r>
              <w:rPr>
                <w:rFonts w:eastAsia="Arial Unicode MS"/>
                <w:i/>
                <w:sz w:val="14"/>
              </w:rPr>
              <w:t xml:space="preserve"> </w:t>
            </w:r>
            <w:r>
              <w:rPr>
                <w:i/>
                <w:sz w:val="14"/>
              </w:rPr>
              <w:t>н</w:t>
            </w:r>
            <w:r>
              <w:rPr>
                <w:i/>
                <w:sz w:val="14"/>
              </w:rPr>
              <w:t>и</w:t>
            </w:r>
            <w:r>
              <w:rPr>
                <w:i/>
                <w:sz w:val="14"/>
              </w:rPr>
              <w:t>когда не вступавших в брак</w:t>
            </w:r>
          </w:p>
        </w:tc>
        <w:tc>
          <w:tcPr>
            <w:tcW w:w="597" w:type="dxa"/>
            <w:tcBorders>
              <w:top w:val="single" w:sz="4" w:space="0" w:color="auto"/>
              <w:bottom w:val="single" w:sz="12" w:space="0" w:color="auto"/>
            </w:tcBorders>
            <w:shd w:val="clear" w:color="auto" w:fill="FFFFFF"/>
            <w:vAlign w:val="center"/>
          </w:tcPr>
          <w:p w:rsidR="00000000" w:rsidRDefault="00000000">
            <w:pPr>
              <w:keepLines/>
              <w:spacing w:line="240" w:lineRule="auto"/>
              <w:jc w:val="right"/>
              <w:rPr>
                <w:rFonts w:eastAsia="Arial Unicode MS"/>
                <w:i/>
                <w:sz w:val="14"/>
              </w:rPr>
            </w:pPr>
            <w:r>
              <w:rPr>
                <w:rFonts w:eastAsia="Arial Unicode MS"/>
                <w:i/>
                <w:sz w:val="14"/>
              </w:rPr>
              <w:t>Всего</w:t>
            </w:r>
          </w:p>
        </w:tc>
        <w:tc>
          <w:tcPr>
            <w:tcW w:w="874" w:type="dxa"/>
            <w:gridSpan w:val="2"/>
            <w:tcBorders>
              <w:top w:val="single" w:sz="4" w:space="0" w:color="auto"/>
              <w:bottom w:val="single" w:sz="12" w:space="0" w:color="auto"/>
            </w:tcBorders>
            <w:shd w:val="clear" w:color="auto" w:fill="FFFFFF"/>
            <w:vAlign w:val="center"/>
          </w:tcPr>
          <w:p w:rsidR="00000000" w:rsidRDefault="00000000">
            <w:pPr>
              <w:keepLines/>
              <w:spacing w:line="240" w:lineRule="auto"/>
              <w:jc w:val="right"/>
              <w:rPr>
                <w:rFonts w:eastAsia="Arial Unicode MS"/>
                <w:i/>
                <w:sz w:val="14"/>
              </w:rPr>
            </w:pPr>
            <w:r>
              <w:rPr>
                <w:i/>
                <w:sz w:val="14"/>
              </w:rPr>
              <w:t>Из них:</w:t>
            </w:r>
            <w:r>
              <w:rPr>
                <w:rFonts w:eastAsia="Arial Unicode MS"/>
                <w:i/>
                <w:sz w:val="14"/>
              </w:rPr>
              <w:t xml:space="preserve"> </w:t>
            </w:r>
            <w:r>
              <w:rPr>
                <w:i/>
                <w:sz w:val="14"/>
              </w:rPr>
              <w:t>н</w:t>
            </w:r>
            <w:r>
              <w:rPr>
                <w:i/>
                <w:sz w:val="14"/>
              </w:rPr>
              <w:t>и</w:t>
            </w:r>
            <w:r>
              <w:rPr>
                <w:i/>
                <w:sz w:val="14"/>
              </w:rPr>
              <w:t>когда не вступавших в брак</w:t>
            </w:r>
          </w:p>
        </w:tc>
        <w:tc>
          <w:tcPr>
            <w:tcW w:w="592" w:type="dxa"/>
            <w:tcBorders>
              <w:top w:val="single" w:sz="4" w:space="0" w:color="auto"/>
              <w:bottom w:val="single" w:sz="12" w:space="0" w:color="auto"/>
            </w:tcBorders>
            <w:shd w:val="clear" w:color="auto" w:fill="FFFFFF"/>
            <w:vAlign w:val="center"/>
          </w:tcPr>
          <w:p w:rsidR="00000000" w:rsidRDefault="00000000">
            <w:pPr>
              <w:keepLines/>
              <w:spacing w:line="240" w:lineRule="auto"/>
              <w:jc w:val="right"/>
              <w:rPr>
                <w:rFonts w:eastAsia="Arial Unicode MS"/>
                <w:i/>
                <w:sz w:val="14"/>
              </w:rPr>
            </w:pPr>
            <w:r>
              <w:rPr>
                <w:i/>
                <w:sz w:val="14"/>
              </w:rPr>
              <w:t>Всего</w:t>
            </w:r>
          </w:p>
        </w:tc>
        <w:tc>
          <w:tcPr>
            <w:tcW w:w="858" w:type="dxa"/>
            <w:gridSpan w:val="3"/>
            <w:tcBorders>
              <w:top w:val="single" w:sz="4" w:space="0" w:color="auto"/>
              <w:bottom w:val="single" w:sz="12" w:space="0" w:color="auto"/>
            </w:tcBorders>
            <w:shd w:val="clear" w:color="auto" w:fill="FFFFFF"/>
            <w:vAlign w:val="center"/>
          </w:tcPr>
          <w:p w:rsidR="00000000" w:rsidRDefault="00000000">
            <w:pPr>
              <w:keepLines/>
              <w:spacing w:line="240" w:lineRule="auto"/>
              <w:jc w:val="right"/>
              <w:rPr>
                <w:rFonts w:eastAsia="Arial Unicode MS"/>
                <w:i/>
                <w:sz w:val="14"/>
              </w:rPr>
            </w:pPr>
            <w:r>
              <w:rPr>
                <w:i/>
                <w:sz w:val="14"/>
              </w:rPr>
              <w:t>Из них:</w:t>
            </w:r>
            <w:r>
              <w:rPr>
                <w:rFonts w:eastAsia="Arial Unicode MS"/>
                <w:i/>
                <w:sz w:val="14"/>
              </w:rPr>
              <w:t xml:space="preserve"> </w:t>
            </w:r>
            <w:r>
              <w:rPr>
                <w:i/>
                <w:sz w:val="14"/>
              </w:rPr>
              <w:t>н</w:t>
            </w:r>
            <w:r>
              <w:rPr>
                <w:i/>
                <w:sz w:val="14"/>
              </w:rPr>
              <w:t>и</w:t>
            </w:r>
            <w:r>
              <w:rPr>
                <w:i/>
                <w:sz w:val="14"/>
              </w:rPr>
              <w:t>когда не вступавших в брак</w:t>
            </w:r>
          </w:p>
        </w:tc>
        <w:tc>
          <w:tcPr>
            <w:tcW w:w="603" w:type="dxa"/>
            <w:tcBorders>
              <w:top w:val="single" w:sz="4" w:space="0" w:color="auto"/>
              <w:bottom w:val="single" w:sz="12" w:space="0" w:color="auto"/>
            </w:tcBorders>
            <w:shd w:val="clear" w:color="auto" w:fill="FFFFFF"/>
            <w:vAlign w:val="center"/>
          </w:tcPr>
          <w:p w:rsidR="00000000" w:rsidRDefault="00000000">
            <w:pPr>
              <w:keepLines/>
              <w:spacing w:line="240" w:lineRule="auto"/>
              <w:jc w:val="right"/>
              <w:rPr>
                <w:rFonts w:eastAsia="Arial Unicode MS"/>
                <w:i/>
                <w:sz w:val="14"/>
              </w:rPr>
            </w:pPr>
            <w:r>
              <w:rPr>
                <w:i/>
                <w:sz w:val="14"/>
              </w:rPr>
              <w:t>Всего</w:t>
            </w:r>
          </w:p>
        </w:tc>
        <w:tc>
          <w:tcPr>
            <w:tcW w:w="684" w:type="dxa"/>
            <w:gridSpan w:val="3"/>
            <w:tcBorders>
              <w:top w:val="single" w:sz="4" w:space="0" w:color="auto"/>
              <w:bottom w:val="single" w:sz="12" w:space="0" w:color="auto"/>
            </w:tcBorders>
            <w:shd w:val="clear" w:color="auto" w:fill="FFFFFF"/>
            <w:vAlign w:val="center"/>
          </w:tcPr>
          <w:p w:rsidR="00000000" w:rsidRDefault="00000000">
            <w:pPr>
              <w:keepLines/>
              <w:spacing w:line="240" w:lineRule="auto"/>
              <w:jc w:val="right"/>
              <w:rPr>
                <w:rFonts w:eastAsia="Arial Unicode MS"/>
                <w:i/>
                <w:sz w:val="14"/>
              </w:rPr>
            </w:pPr>
            <w:r>
              <w:rPr>
                <w:i/>
                <w:sz w:val="14"/>
              </w:rPr>
              <w:t>Разведе</w:t>
            </w:r>
            <w:r>
              <w:rPr>
                <w:i/>
                <w:sz w:val="14"/>
              </w:rPr>
              <w:t>н</w:t>
            </w:r>
            <w:r>
              <w:rPr>
                <w:i/>
                <w:sz w:val="14"/>
              </w:rPr>
              <w:t>ные</w:t>
            </w:r>
          </w:p>
        </w:tc>
        <w:tc>
          <w:tcPr>
            <w:tcW w:w="837" w:type="dxa"/>
            <w:gridSpan w:val="3"/>
            <w:tcBorders>
              <w:top w:val="single" w:sz="4" w:space="0" w:color="auto"/>
              <w:bottom w:val="single" w:sz="12" w:space="0" w:color="auto"/>
            </w:tcBorders>
            <w:shd w:val="clear" w:color="auto" w:fill="FFFFFF"/>
            <w:vAlign w:val="center"/>
          </w:tcPr>
          <w:p w:rsidR="00000000" w:rsidRDefault="00000000">
            <w:pPr>
              <w:keepLines/>
              <w:spacing w:line="240" w:lineRule="auto"/>
              <w:jc w:val="right"/>
              <w:rPr>
                <w:rFonts w:eastAsia="Arial Unicode MS"/>
                <w:i/>
                <w:sz w:val="14"/>
              </w:rPr>
            </w:pPr>
            <w:r>
              <w:rPr>
                <w:i/>
                <w:sz w:val="14"/>
              </w:rPr>
              <w:t>Из них:</w:t>
            </w:r>
            <w:r>
              <w:rPr>
                <w:rFonts w:eastAsia="Arial Unicode MS"/>
                <w:i/>
                <w:sz w:val="14"/>
              </w:rPr>
              <w:t xml:space="preserve"> </w:t>
            </w:r>
            <w:r>
              <w:rPr>
                <w:i/>
                <w:sz w:val="14"/>
              </w:rPr>
              <w:t>н</w:t>
            </w:r>
            <w:r>
              <w:rPr>
                <w:i/>
                <w:sz w:val="14"/>
              </w:rPr>
              <w:t>и</w:t>
            </w:r>
            <w:r>
              <w:rPr>
                <w:i/>
                <w:sz w:val="14"/>
              </w:rPr>
              <w:t>когда не вступавших в брак</w:t>
            </w:r>
          </w:p>
        </w:tc>
        <w:tc>
          <w:tcPr>
            <w:tcW w:w="729" w:type="dxa"/>
            <w:gridSpan w:val="2"/>
            <w:tcBorders>
              <w:top w:val="single" w:sz="4" w:space="0" w:color="auto"/>
              <w:bottom w:val="single" w:sz="12" w:space="0" w:color="auto"/>
            </w:tcBorders>
            <w:shd w:val="clear" w:color="auto" w:fill="FFFFFF"/>
            <w:vAlign w:val="center"/>
          </w:tcPr>
          <w:p w:rsidR="00000000" w:rsidRDefault="00000000">
            <w:pPr>
              <w:keepLines/>
              <w:spacing w:line="240" w:lineRule="auto"/>
              <w:jc w:val="right"/>
              <w:rPr>
                <w:rFonts w:eastAsia="Arial Unicode MS"/>
                <w:i/>
                <w:sz w:val="14"/>
              </w:rPr>
            </w:pPr>
            <w:r>
              <w:rPr>
                <w:i/>
                <w:sz w:val="14"/>
              </w:rPr>
              <w:t>Всего (1)</w:t>
            </w:r>
          </w:p>
        </w:tc>
        <w:tc>
          <w:tcPr>
            <w:tcW w:w="711" w:type="dxa"/>
            <w:gridSpan w:val="2"/>
            <w:tcBorders>
              <w:top w:val="single" w:sz="4" w:space="0" w:color="auto"/>
              <w:bottom w:val="single" w:sz="12" w:space="0" w:color="auto"/>
            </w:tcBorders>
            <w:shd w:val="clear" w:color="auto" w:fill="FFFFFF"/>
            <w:vAlign w:val="center"/>
          </w:tcPr>
          <w:p w:rsidR="00000000" w:rsidRDefault="00000000">
            <w:pPr>
              <w:keepLines/>
              <w:spacing w:line="240" w:lineRule="auto"/>
              <w:jc w:val="right"/>
              <w:rPr>
                <w:rFonts w:eastAsia="Arial Unicode MS"/>
                <w:i/>
                <w:sz w:val="14"/>
              </w:rPr>
            </w:pPr>
            <w:r>
              <w:rPr>
                <w:rFonts w:eastAsia="Arial Unicode MS"/>
                <w:i/>
                <w:sz w:val="14"/>
              </w:rPr>
              <w:t xml:space="preserve">Возраст  </w:t>
            </w:r>
          </w:p>
        </w:tc>
      </w:tr>
      <w:tr w:rsidR="00000000">
        <w:tblPrEx>
          <w:tblCellMar>
            <w:top w:w="0" w:type="dxa"/>
            <w:left w:w="0" w:type="dxa"/>
            <w:bottom w:w="0" w:type="dxa"/>
            <w:right w:w="0" w:type="dxa"/>
          </w:tblCellMar>
        </w:tblPrEx>
        <w:trPr>
          <w:cantSplit/>
          <w:trHeight w:val="210"/>
        </w:trPr>
        <w:tc>
          <w:tcPr>
            <w:tcW w:w="7358" w:type="dxa"/>
            <w:gridSpan w:val="20"/>
            <w:tcBorders>
              <w:top w:val="single" w:sz="12" w:space="0" w:color="auto"/>
            </w:tcBorders>
            <w:vAlign w:val="center"/>
          </w:tcPr>
          <w:p w:rsidR="00000000" w:rsidRDefault="00000000">
            <w:pPr>
              <w:keepLines/>
              <w:spacing w:after="120" w:line="240" w:lineRule="auto"/>
              <w:rPr>
                <w:sz w:val="17"/>
              </w:rPr>
            </w:pPr>
            <w:r>
              <w:rPr>
                <w:b/>
                <w:sz w:val="17"/>
              </w:rPr>
              <w:t>Мужчины</w:t>
            </w:r>
          </w:p>
        </w:tc>
      </w:tr>
      <w:tr w:rsidR="00000000">
        <w:tblPrEx>
          <w:tblCellMar>
            <w:top w:w="0" w:type="dxa"/>
            <w:left w:w="0" w:type="dxa"/>
            <w:bottom w:w="0" w:type="dxa"/>
            <w:right w:w="0" w:type="dxa"/>
          </w:tblCellMar>
        </w:tblPrEx>
        <w:trPr>
          <w:trHeight w:val="210"/>
        </w:trPr>
        <w:tc>
          <w:tcPr>
            <w:tcW w:w="846" w:type="dxa"/>
            <w:vAlign w:val="center"/>
          </w:tcPr>
          <w:p w:rsidR="00000000" w:rsidRDefault="00000000">
            <w:pPr>
              <w:keepLines/>
              <w:spacing w:after="120" w:line="240" w:lineRule="auto"/>
              <w:jc w:val="right"/>
              <w:rPr>
                <w:rFonts w:eastAsia="Arial Unicode MS"/>
                <w:sz w:val="17"/>
              </w:rPr>
            </w:pPr>
            <w:r>
              <w:rPr>
                <w:sz w:val="17"/>
              </w:rPr>
              <w:t>738</w:t>
            </w:r>
          </w:p>
        </w:tc>
        <w:tc>
          <w:tcPr>
            <w:tcW w:w="624" w:type="dxa"/>
            <w:gridSpan w:val="2"/>
            <w:vAlign w:val="center"/>
          </w:tcPr>
          <w:p w:rsidR="00000000" w:rsidRDefault="00000000">
            <w:pPr>
              <w:keepLines/>
              <w:spacing w:after="120" w:line="240" w:lineRule="auto"/>
              <w:jc w:val="right"/>
              <w:rPr>
                <w:rFonts w:eastAsia="Arial Unicode MS"/>
                <w:sz w:val="17"/>
              </w:rPr>
            </w:pPr>
            <w:r>
              <w:rPr>
                <w:sz w:val="17"/>
              </w:rPr>
              <w:t>833</w:t>
            </w:r>
          </w:p>
        </w:tc>
        <w:tc>
          <w:tcPr>
            <w:tcW w:w="820" w:type="dxa"/>
            <w:vAlign w:val="center"/>
          </w:tcPr>
          <w:p w:rsidR="00000000" w:rsidRDefault="00000000">
            <w:pPr>
              <w:keepLines/>
              <w:spacing w:after="120" w:line="240" w:lineRule="auto"/>
              <w:jc w:val="right"/>
              <w:rPr>
                <w:rFonts w:eastAsia="Arial Unicode MS"/>
                <w:sz w:val="17"/>
              </w:rPr>
            </w:pPr>
            <w:r>
              <w:rPr>
                <w:sz w:val="17"/>
              </w:rPr>
              <w:t>713</w:t>
            </w:r>
          </w:p>
        </w:tc>
        <w:tc>
          <w:tcPr>
            <w:tcW w:w="646" w:type="dxa"/>
            <w:gridSpan w:val="2"/>
            <w:vAlign w:val="center"/>
          </w:tcPr>
          <w:p w:rsidR="00000000" w:rsidRDefault="00000000">
            <w:pPr>
              <w:keepLines/>
              <w:spacing w:after="120" w:line="240" w:lineRule="auto"/>
              <w:jc w:val="right"/>
              <w:rPr>
                <w:rFonts w:eastAsia="Arial Unicode MS"/>
                <w:sz w:val="17"/>
              </w:rPr>
            </w:pPr>
            <w:r>
              <w:rPr>
                <w:sz w:val="17"/>
              </w:rPr>
              <w:t>745</w:t>
            </w:r>
          </w:p>
        </w:tc>
        <w:tc>
          <w:tcPr>
            <w:tcW w:w="831" w:type="dxa"/>
            <w:gridSpan w:val="2"/>
            <w:vAlign w:val="center"/>
          </w:tcPr>
          <w:p w:rsidR="00000000" w:rsidRDefault="00000000">
            <w:pPr>
              <w:keepLines/>
              <w:spacing w:after="120" w:line="240" w:lineRule="auto"/>
              <w:jc w:val="right"/>
              <w:rPr>
                <w:rFonts w:eastAsia="Arial Unicode MS"/>
                <w:sz w:val="17"/>
              </w:rPr>
            </w:pPr>
            <w:r>
              <w:rPr>
                <w:sz w:val="17"/>
              </w:rPr>
              <w:t>7 979</w:t>
            </w:r>
          </w:p>
        </w:tc>
        <w:tc>
          <w:tcPr>
            <w:tcW w:w="636" w:type="dxa"/>
            <w:gridSpan w:val="3"/>
            <w:vAlign w:val="center"/>
          </w:tcPr>
          <w:p w:rsidR="00000000" w:rsidRDefault="00000000">
            <w:pPr>
              <w:keepLines/>
              <w:spacing w:after="120" w:line="240" w:lineRule="auto"/>
              <w:jc w:val="right"/>
              <w:rPr>
                <w:rFonts w:eastAsia="Arial Unicode MS"/>
                <w:sz w:val="17"/>
              </w:rPr>
            </w:pPr>
            <w:r>
              <w:rPr>
                <w:sz w:val="17"/>
              </w:rPr>
              <w:t>8 445</w:t>
            </w:r>
          </w:p>
        </w:tc>
        <w:tc>
          <w:tcPr>
            <w:tcW w:w="733" w:type="dxa"/>
            <w:gridSpan w:val="3"/>
            <w:vAlign w:val="center"/>
          </w:tcPr>
          <w:p w:rsidR="00000000" w:rsidRDefault="00000000">
            <w:pPr>
              <w:keepLines/>
              <w:spacing w:after="120" w:line="240" w:lineRule="auto"/>
              <w:jc w:val="right"/>
              <w:rPr>
                <w:rFonts w:eastAsia="Arial Unicode MS"/>
                <w:sz w:val="17"/>
              </w:rPr>
            </w:pPr>
            <w:r>
              <w:rPr>
                <w:sz w:val="17"/>
              </w:rPr>
              <w:t>2 916</w:t>
            </w:r>
          </w:p>
        </w:tc>
        <w:tc>
          <w:tcPr>
            <w:tcW w:w="733" w:type="dxa"/>
            <w:vAlign w:val="center"/>
          </w:tcPr>
          <w:p w:rsidR="00000000" w:rsidRDefault="00000000">
            <w:pPr>
              <w:keepLines/>
              <w:spacing w:after="120" w:line="240" w:lineRule="auto"/>
              <w:jc w:val="right"/>
              <w:rPr>
                <w:rFonts w:eastAsia="Arial Unicode MS"/>
                <w:sz w:val="17"/>
              </w:rPr>
            </w:pPr>
            <w:r>
              <w:rPr>
                <w:sz w:val="17"/>
              </w:rPr>
              <w:t>27 511</w:t>
            </w:r>
          </w:p>
        </w:tc>
        <w:tc>
          <w:tcPr>
            <w:tcW w:w="769" w:type="dxa"/>
            <w:gridSpan w:val="2"/>
            <w:vAlign w:val="center"/>
          </w:tcPr>
          <w:p w:rsidR="00000000" w:rsidRDefault="00000000">
            <w:pPr>
              <w:keepLines/>
              <w:spacing w:after="120" w:line="240" w:lineRule="auto"/>
              <w:jc w:val="right"/>
              <w:rPr>
                <w:rFonts w:eastAsia="Arial Unicode MS"/>
                <w:sz w:val="17"/>
              </w:rPr>
            </w:pPr>
            <w:r>
              <w:rPr>
                <w:sz w:val="17"/>
              </w:rPr>
              <w:t>29 695</w:t>
            </w:r>
          </w:p>
        </w:tc>
        <w:tc>
          <w:tcPr>
            <w:tcW w:w="720" w:type="dxa"/>
            <w:gridSpan w:val="3"/>
            <w:vAlign w:val="center"/>
          </w:tcPr>
          <w:p w:rsidR="00000000" w:rsidRDefault="00000000">
            <w:pPr>
              <w:keepLines/>
              <w:spacing w:after="120" w:line="240" w:lineRule="auto"/>
              <w:jc w:val="right"/>
              <w:rPr>
                <w:rFonts w:eastAsia="Arial Unicode MS"/>
                <w:sz w:val="17"/>
              </w:rPr>
            </w:pPr>
            <w:r>
              <w:rPr>
                <w:sz w:val="17"/>
              </w:rPr>
              <w:t>Всего</w:t>
            </w:r>
          </w:p>
        </w:tc>
      </w:tr>
      <w:tr w:rsidR="00000000">
        <w:tblPrEx>
          <w:tblCellMar>
            <w:top w:w="0" w:type="dxa"/>
            <w:left w:w="0" w:type="dxa"/>
            <w:bottom w:w="0" w:type="dxa"/>
            <w:right w:w="0" w:type="dxa"/>
          </w:tblCellMar>
        </w:tblPrEx>
        <w:trPr>
          <w:trHeight w:val="180"/>
        </w:trPr>
        <w:tc>
          <w:tcPr>
            <w:tcW w:w="846" w:type="dxa"/>
            <w:vAlign w:val="center"/>
          </w:tcPr>
          <w:p w:rsidR="00000000" w:rsidRDefault="00000000">
            <w:pPr>
              <w:keepLines/>
              <w:spacing w:after="120" w:line="240" w:lineRule="auto"/>
              <w:jc w:val="right"/>
              <w:rPr>
                <w:rFonts w:eastAsia="Arial Unicode MS"/>
                <w:i/>
                <w:sz w:val="17"/>
              </w:rPr>
            </w:pPr>
            <w:r>
              <w:rPr>
                <w:i/>
                <w:sz w:val="17"/>
              </w:rPr>
              <w:t>40</w:t>
            </w:r>
          </w:p>
        </w:tc>
        <w:tc>
          <w:tcPr>
            <w:tcW w:w="624" w:type="dxa"/>
            <w:gridSpan w:val="2"/>
            <w:vAlign w:val="center"/>
          </w:tcPr>
          <w:p w:rsidR="00000000" w:rsidRDefault="00000000">
            <w:pPr>
              <w:keepLines/>
              <w:spacing w:after="120" w:line="240" w:lineRule="auto"/>
              <w:jc w:val="right"/>
              <w:rPr>
                <w:rFonts w:eastAsia="Arial Unicode MS"/>
                <w:sz w:val="17"/>
              </w:rPr>
            </w:pPr>
            <w:r>
              <w:rPr>
                <w:sz w:val="17"/>
              </w:rPr>
              <w:t>41</w:t>
            </w:r>
          </w:p>
        </w:tc>
        <w:tc>
          <w:tcPr>
            <w:tcW w:w="820" w:type="dxa"/>
            <w:vAlign w:val="center"/>
          </w:tcPr>
          <w:p w:rsidR="00000000" w:rsidRDefault="00000000">
            <w:pPr>
              <w:keepLines/>
              <w:spacing w:after="120" w:line="240" w:lineRule="auto"/>
              <w:jc w:val="right"/>
              <w:rPr>
                <w:rFonts w:eastAsia="Arial Unicode MS"/>
                <w:sz w:val="17"/>
              </w:rPr>
            </w:pPr>
            <w:r>
              <w:rPr>
                <w:sz w:val="17"/>
              </w:rPr>
              <w:t>2</w:t>
            </w:r>
          </w:p>
        </w:tc>
        <w:tc>
          <w:tcPr>
            <w:tcW w:w="646" w:type="dxa"/>
            <w:gridSpan w:val="2"/>
            <w:vAlign w:val="center"/>
          </w:tcPr>
          <w:p w:rsidR="00000000" w:rsidRDefault="00000000">
            <w:pPr>
              <w:keepLines/>
              <w:spacing w:after="120" w:line="240" w:lineRule="auto"/>
              <w:jc w:val="right"/>
              <w:rPr>
                <w:rFonts w:eastAsia="Arial Unicode MS"/>
                <w:sz w:val="17"/>
              </w:rPr>
            </w:pPr>
            <w:r>
              <w:rPr>
                <w:sz w:val="17"/>
              </w:rPr>
              <w:t>2</w:t>
            </w:r>
          </w:p>
        </w:tc>
        <w:tc>
          <w:tcPr>
            <w:tcW w:w="831" w:type="dxa"/>
            <w:gridSpan w:val="2"/>
            <w:vAlign w:val="center"/>
          </w:tcPr>
          <w:p w:rsidR="00000000" w:rsidRDefault="00000000">
            <w:pPr>
              <w:keepLines/>
              <w:spacing w:after="120" w:line="240" w:lineRule="auto"/>
              <w:jc w:val="right"/>
              <w:rPr>
                <w:rFonts w:eastAsia="Arial Unicode MS"/>
                <w:sz w:val="17"/>
              </w:rPr>
            </w:pPr>
            <w:r>
              <w:rPr>
                <w:sz w:val="17"/>
              </w:rPr>
              <w:t>316</w:t>
            </w:r>
          </w:p>
        </w:tc>
        <w:tc>
          <w:tcPr>
            <w:tcW w:w="636" w:type="dxa"/>
            <w:gridSpan w:val="3"/>
            <w:vAlign w:val="center"/>
          </w:tcPr>
          <w:p w:rsidR="00000000" w:rsidRDefault="00000000">
            <w:pPr>
              <w:keepLines/>
              <w:spacing w:after="120" w:line="240" w:lineRule="auto"/>
              <w:jc w:val="right"/>
              <w:rPr>
                <w:rFonts w:eastAsia="Arial Unicode MS"/>
                <w:sz w:val="17"/>
              </w:rPr>
            </w:pPr>
            <w:r>
              <w:rPr>
                <w:sz w:val="17"/>
              </w:rPr>
              <w:t>316</w:t>
            </w:r>
          </w:p>
        </w:tc>
        <w:tc>
          <w:tcPr>
            <w:tcW w:w="733" w:type="dxa"/>
            <w:gridSpan w:val="3"/>
            <w:vAlign w:val="center"/>
          </w:tcPr>
          <w:p w:rsidR="00000000" w:rsidRDefault="00000000">
            <w:pPr>
              <w:keepLines/>
              <w:spacing w:after="120" w:line="240" w:lineRule="auto"/>
              <w:jc w:val="right"/>
              <w:rPr>
                <w:rFonts w:eastAsia="Arial Unicode MS"/>
                <w:sz w:val="17"/>
              </w:rPr>
            </w:pPr>
            <w:r>
              <w:rPr>
                <w:sz w:val="17"/>
              </w:rPr>
              <w:t>1</w:t>
            </w:r>
          </w:p>
        </w:tc>
        <w:tc>
          <w:tcPr>
            <w:tcW w:w="733" w:type="dxa"/>
            <w:vAlign w:val="center"/>
          </w:tcPr>
          <w:p w:rsidR="00000000" w:rsidRDefault="00000000">
            <w:pPr>
              <w:keepLines/>
              <w:spacing w:after="120" w:line="240" w:lineRule="auto"/>
              <w:jc w:val="right"/>
              <w:rPr>
                <w:rFonts w:eastAsia="Arial Unicode MS"/>
                <w:sz w:val="17"/>
              </w:rPr>
            </w:pPr>
            <w:r>
              <w:rPr>
                <w:sz w:val="17"/>
              </w:rPr>
              <w:t>987</w:t>
            </w:r>
          </w:p>
        </w:tc>
        <w:tc>
          <w:tcPr>
            <w:tcW w:w="769" w:type="dxa"/>
            <w:gridSpan w:val="2"/>
            <w:vAlign w:val="center"/>
          </w:tcPr>
          <w:p w:rsidR="00000000" w:rsidRDefault="00000000">
            <w:pPr>
              <w:keepLines/>
              <w:spacing w:after="120" w:line="240" w:lineRule="auto"/>
              <w:jc w:val="right"/>
              <w:rPr>
                <w:rFonts w:eastAsia="Arial Unicode MS"/>
                <w:sz w:val="17"/>
              </w:rPr>
            </w:pPr>
            <w:r>
              <w:rPr>
                <w:sz w:val="17"/>
              </w:rPr>
              <w:t>988</w:t>
            </w:r>
          </w:p>
        </w:tc>
        <w:tc>
          <w:tcPr>
            <w:tcW w:w="720" w:type="dxa"/>
            <w:gridSpan w:val="3"/>
            <w:vAlign w:val="center"/>
          </w:tcPr>
          <w:p w:rsidR="00000000" w:rsidRDefault="00000000">
            <w:pPr>
              <w:keepLines/>
              <w:spacing w:after="120" w:line="240" w:lineRule="auto"/>
              <w:jc w:val="right"/>
              <w:rPr>
                <w:rFonts w:eastAsia="Arial Unicode MS"/>
                <w:sz w:val="17"/>
              </w:rPr>
            </w:pPr>
            <w:r>
              <w:rPr>
                <w:sz w:val="17"/>
              </w:rPr>
              <w:t>до 19</w:t>
            </w:r>
          </w:p>
        </w:tc>
      </w:tr>
      <w:tr w:rsidR="00000000">
        <w:tblPrEx>
          <w:tblCellMar>
            <w:top w:w="0" w:type="dxa"/>
            <w:left w:w="0" w:type="dxa"/>
            <w:bottom w:w="0" w:type="dxa"/>
            <w:right w:w="0" w:type="dxa"/>
          </w:tblCellMar>
        </w:tblPrEx>
        <w:trPr>
          <w:trHeight w:val="180"/>
        </w:trPr>
        <w:tc>
          <w:tcPr>
            <w:tcW w:w="846" w:type="dxa"/>
            <w:vAlign w:val="center"/>
          </w:tcPr>
          <w:p w:rsidR="00000000" w:rsidRDefault="00000000">
            <w:pPr>
              <w:keepLines/>
              <w:spacing w:after="120" w:line="240" w:lineRule="auto"/>
              <w:jc w:val="right"/>
              <w:rPr>
                <w:rFonts w:eastAsia="Arial Unicode MS"/>
                <w:i/>
                <w:sz w:val="17"/>
              </w:rPr>
            </w:pPr>
            <w:r>
              <w:rPr>
                <w:i/>
                <w:sz w:val="17"/>
              </w:rPr>
              <w:t>-</w:t>
            </w:r>
          </w:p>
        </w:tc>
        <w:tc>
          <w:tcPr>
            <w:tcW w:w="624" w:type="dxa"/>
            <w:gridSpan w:val="2"/>
            <w:vAlign w:val="center"/>
          </w:tcPr>
          <w:p w:rsidR="00000000" w:rsidRDefault="00000000">
            <w:pPr>
              <w:keepLines/>
              <w:spacing w:after="120" w:line="240" w:lineRule="auto"/>
              <w:jc w:val="right"/>
              <w:rPr>
                <w:rFonts w:eastAsia="Arial Unicode MS"/>
                <w:sz w:val="17"/>
              </w:rPr>
            </w:pPr>
            <w:r>
              <w:rPr>
                <w:sz w:val="17"/>
              </w:rPr>
              <w:t>-</w:t>
            </w:r>
          </w:p>
        </w:tc>
        <w:tc>
          <w:tcPr>
            <w:tcW w:w="820" w:type="dxa"/>
            <w:vAlign w:val="center"/>
          </w:tcPr>
          <w:p w:rsidR="00000000" w:rsidRDefault="00000000">
            <w:pPr>
              <w:keepLines/>
              <w:spacing w:after="120" w:line="240" w:lineRule="auto"/>
              <w:jc w:val="right"/>
              <w:rPr>
                <w:rFonts w:eastAsia="Arial Unicode MS"/>
                <w:sz w:val="17"/>
              </w:rPr>
            </w:pPr>
            <w:r>
              <w:rPr>
                <w:sz w:val="17"/>
              </w:rPr>
              <w:t>-</w:t>
            </w:r>
          </w:p>
        </w:tc>
        <w:tc>
          <w:tcPr>
            <w:tcW w:w="646" w:type="dxa"/>
            <w:gridSpan w:val="2"/>
            <w:vAlign w:val="center"/>
          </w:tcPr>
          <w:p w:rsidR="00000000" w:rsidRDefault="00000000">
            <w:pPr>
              <w:keepLines/>
              <w:spacing w:after="120" w:line="240" w:lineRule="auto"/>
              <w:jc w:val="right"/>
              <w:rPr>
                <w:rFonts w:eastAsia="Arial Unicode MS"/>
                <w:sz w:val="17"/>
              </w:rPr>
            </w:pPr>
            <w:r>
              <w:rPr>
                <w:sz w:val="17"/>
              </w:rPr>
              <w:t>-</w:t>
            </w:r>
          </w:p>
        </w:tc>
        <w:tc>
          <w:tcPr>
            <w:tcW w:w="831" w:type="dxa"/>
            <w:gridSpan w:val="2"/>
            <w:vAlign w:val="center"/>
          </w:tcPr>
          <w:p w:rsidR="00000000" w:rsidRDefault="00000000">
            <w:pPr>
              <w:keepLines/>
              <w:spacing w:after="120" w:line="240" w:lineRule="auto"/>
              <w:jc w:val="right"/>
              <w:rPr>
                <w:rFonts w:eastAsia="Arial Unicode MS"/>
                <w:sz w:val="17"/>
              </w:rPr>
            </w:pPr>
            <w:r>
              <w:rPr>
                <w:sz w:val="17"/>
              </w:rPr>
              <w:t>17</w:t>
            </w:r>
          </w:p>
        </w:tc>
        <w:tc>
          <w:tcPr>
            <w:tcW w:w="636" w:type="dxa"/>
            <w:gridSpan w:val="3"/>
            <w:vAlign w:val="center"/>
          </w:tcPr>
          <w:p w:rsidR="00000000" w:rsidRDefault="00000000">
            <w:pPr>
              <w:keepLines/>
              <w:spacing w:after="120" w:line="240" w:lineRule="auto"/>
              <w:jc w:val="right"/>
              <w:rPr>
                <w:rFonts w:eastAsia="Arial Unicode MS"/>
                <w:sz w:val="17"/>
              </w:rPr>
            </w:pPr>
            <w:r>
              <w:rPr>
                <w:sz w:val="17"/>
              </w:rPr>
              <w:t>17</w:t>
            </w:r>
          </w:p>
        </w:tc>
        <w:tc>
          <w:tcPr>
            <w:tcW w:w="733" w:type="dxa"/>
            <w:gridSpan w:val="3"/>
            <w:vAlign w:val="center"/>
          </w:tcPr>
          <w:p w:rsidR="00000000" w:rsidRDefault="00000000">
            <w:pPr>
              <w:keepLines/>
              <w:spacing w:after="120" w:line="240" w:lineRule="auto"/>
              <w:jc w:val="right"/>
              <w:rPr>
                <w:rFonts w:eastAsia="Arial Unicode MS"/>
                <w:sz w:val="17"/>
              </w:rPr>
            </w:pPr>
            <w:r>
              <w:rPr>
                <w:sz w:val="17"/>
              </w:rPr>
              <w:t>-</w:t>
            </w:r>
          </w:p>
        </w:tc>
        <w:tc>
          <w:tcPr>
            <w:tcW w:w="733" w:type="dxa"/>
            <w:vAlign w:val="center"/>
          </w:tcPr>
          <w:p w:rsidR="00000000" w:rsidRDefault="00000000">
            <w:pPr>
              <w:keepLines/>
              <w:spacing w:after="120" w:line="240" w:lineRule="auto"/>
              <w:jc w:val="right"/>
              <w:rPr>
                <w:rFonts w:eastAsia="Arial Unicode MS"/>
                <w:sz w:val="17"/>
              </w:rPr>
            </w:pPr>
            <w:r>
              <w:rPr>
                <w:sz w:val="17"/>
              </w:rPr>
              <w:t>30</w:t>
            </w:r>
          </w:p>
        </w:tc>
        <w:tc>
          <w:tcPr>
            <w:tcW w:w="769" w:type="dxa"/>
            <w:gridSpan w:val="2"/>
            <w:vAlign w:val="center"/>
          </w:tcPr>
          <w:p w:rsidR="00000000" w:rsidRDefault="00000000">
            <w:pPr>
              <w:keepLines/>
              <w:spacing w:after="120" w:line="240" w:lineRule="auto"/>
              <w:jc w:val="right"/>
              <w:rPr>
                <w:rFonts w:eastAsia="Arial Unicode MS"/>
                <w:sz w:val="17"/>
              </w:rPr>
            </w:pPr>
            <w:r>
              <w:rPr>
                <w:sz w:val="17"/>
              </w:rPr>
              <w:t>30</w:t>
            </w:r>
          </w:p>
        </w:tc>
        <w:tc>
          <w:tcPr>
            <w:tcW w:w="720" w:type="dxa"/>
            <w:gridSpan w:val="3"/>
            <w:vAlign w:val="center"/>
          </w:tcPr>
          <w:p w:rsidR="00000000" w:rsidRDefault="00000000">
            <w:pPr>
              <w:keepLines/>
              <w:spacing w:after="120" w:line="240" w:lineRule="auto"/>
              <w:jc w:val="right"/>
              <w:rPr>
                <w:rFonts w:eastAsia="Arial Unicode MS"/>
                <w:sz w:val="17"/>
              </w:rPr>
            </w:pPr>
            <w:r>
              <w:rPr>
                <w:sz w:val="17"/>
              </w:rPr>
              <w:t>до 17</w:t>
            </w:r>
          </w:p>
        </w:tc>
      </w:tr>
      <w:tr w:rsidR="00000000">
        <w:tblPrEx>
          <w:tblCellMar>
            <w:top w:w="0" w:type="dxa"/>
            <w:left w:w="0" w:type="dxa"/>
            <w:bottom w:w="0" w:type="dxa"/>
            <w:right w:w="0" w:type="dxa"/>
          </w:tblCellMar>
        </w:tblPrEx>
        <w:trPr>
          <w:trHeight w:val="162"/>
        </w:trPr>
        <w:tc>
          <w:tcPr>
            <w:tcW w:w="846" w:type="dxa"/>
            <w:vAlign w:val="center"/>
          </w:tcPr>
          <w:p w:rsidR="00000000" w:rsidRDefault="00000000">
            <w:pPr>
              <w:keepLines/>
              <w:spacing w:after="120" w:line="240" w:lineRule="auto"/>
              <w:jc w:val="right"/>
              <w:rPr>
                <w:rFonts w:eastAsia="Arial Unicode MS"/>
                <w:sz w:val="17"/>
              </w:rPr>
            </w:pPr>
            <w:r>
              <w:rPr>
                <w:sz w:val="17"/>
              </w:rPr>
              <w:t>9</w:t>
            </w:r>
          </w:p>
        </w:tc>
        <w:tc>
          <w:tcPr>
            <w:tcW w:w="624" w:type="dxa"/>
            <w:gridSpan w:val="2"/>
            <w:vAlign w:val="center"/>
          </w:tcPr>
          <w:p w:rsidR="00000000" w:rsidRDefault="00000000">
            <w:pPr>
              <w:keepLines/>
              <w:spacing w:after="120" w:line="240" w:lineRule="auto"/>
              <w:jc w:val="right"/>
              <w:rPr>
                <w:rFonts w:eastAsia="Arial Unicode MS"/>
                <w:sz w:val="17"/>
              </w:rPr>
            </w:pPr>
            <w:r>
              <w:rPr>
                <w:sz w:val="17"/>
              </w:rPr>
              <w:t>9</w:t>
            </w:r>
          </w:p>
        </w:tc>
        <w:tc>
          <w:tcPr>
            <w:tcW w:w="820" w:type="dxa"/>
            <w:vAlign w:val="center"/>
          </w:tcPr>
          <w:p w:rsidR="00000000" w:rsidRDefault="00000000">
            <w:pPr>
              <w:keepLines/>
              <w:spacing w:after="120" w:line="240" w:lineRule="auto"/>
              <w:jc w:val="right"/>
              <w:rPr>
                <w:rFonts w:eastAsia="Arial Unicode MS"/>
                <w:sz w:val="17"/>
              </w:rPr>
            </w:pPr>
            <w:r>
              <w:rPr>
                <w:sz w:val="17"/>
              </w:rPr>
              <w:t>1</w:t>
            </w:r>
          </w:p>
        </w:tc>
        <w:tc>
          <w:tcPr>
            <w:tcW w:w="646" w:type="dxa"/>
            <w:gridSpan w:val="2"/>
            <w:vAlign w:val="center"/>
          </w:tcPr>
          <w:p w:rsidR="00000000" w:rsidRDefault="00000000">
            <w:pPr>
              <w:keepLines/>
              <w:spacing w:after="120" w:line="240" w:lineRule="auto"/>
              <w:jc w:val="right"/>
              <w:rPr>
                <w:rFonts w:eastAsia="Arial Unicode MS"/>
                <w:sz w:val="17"/>
              </w:rPr>
            </w:pPr>
            <w:r>
              <w:rPr>
                <w:sz w:val="17"/>
              </w:rPr>
              <w:t>1</w:t>
            </w:r>
          </w:p>
        </w:tc>
        <w:tc>
          <w:tcPr>
            <w:tcW w:w="831" w:type="dxa"/>
            <w:gridSpan w:val="2"/>
            <w:vAlign w:val="center"/>
          </w:tcPr>
          <w:p w:rsidR="00000000" w:rsidRDefault="00000000">
            <w:pPr>
              <w:keepLines/>
              <w:spacing w:after="120" w:line="240" w:lineRule="auto"/>
              <w:jc w:val="right"/>
              <w:rPr>
                <w:rFonts w:eastAsia="Arial Unicode MS"/>
                <w:sz w:val="17"/>
              </w:rPr>
            </w:pPr>
            <w:r>
              <w:rPr>
                <w:sz w:val="17"/>
              </w:rPr>
              <w:t>104</w:t>
            </w:r>
          </w:p>
        </w:tc>
        <w:tc>
          <w:tcPr>
            <w:tcW w:w="636" w:type="dxa"/>
            <w:gridSpan w:val="3"/>
            <w:vAlign w:val="center"/>
          </w:tcPr>
          <w:p w:rsidR="00000000" w:rsidRDefault="00000000">
            <w:pPr>
              <w:keepLines/>
              <w:spacing w:after="120" w:line="240" w:lineRule="auto"/>
              <w:jc w:val="right"/>
              <w:rPr>
                <w:rFonts w:eastAsia="Arial Unicode MS"/>
                <w:sz w:val="17"/>
              </w:rPr>
            </w:pPr>
            <w:r>
              <w:rPr>
                <w:sz w:val="17"/>
              </w:rPr>
              <w:t>104</w:t>
            </w:r>
          </w:p>
        </w:tc>
        <w:tc>
          <w:tcPr>
            <w:tcW w:w="733" w:type="dxa"/>
            <w:gridSpan w:val="3"/>
            <w:vAlign w:val="center"/>
          </w:tcPr>
          <w:p w:rsidR="00000000" w:rsidRDefault="00000000">
            <w:pPr>
              <w:keepLines/>
              <w:spacing w:after="120" w:line="240" w:lineRule="auto"/>
              <w:jc w:val="right"/>
              <w:rPr>
                <w:rFonts w:eastAsia="Arial Unicode MS"/>
                <w:sz w:val="17"/>
              </w:rPr>
            </w:pPr>
            <w:r>
              <w:rPr>
                <w:sz w:val="17"/>
              </w:rPr>
              <w:t>-</w:t>
            </w:r>
          </w:p>
        </w:tc>
        <w:tc>
          <w:tcPr>
            <w:tcW w:w="733" w:type="dxa"/>
            <w:vAlign w:val="center"/>
          </w:tcPr>
          <w:p w:rsidR="00000000" w:rsidRDefault="00000000">
            <w:pPr>
              <w:keepLines/>
              <w:spacing w:after="120" w:line="240" w:lineRule="auto"/>
              <w:jc w:val="right"/>
              <w:rPr>
                <w:rFonts w:eastAsia="Arial Unicode MS"/>
                <w:sz w:val="17"/>
              </w:rPr>
            </w:pPr>
            <w:r>
              <w:rPr>
                <w:sz w:val="17"/>
              </w:rPr>
              <w:t>261</w:t>
            </w:r>
          </w:p>
        </w:tc>
        <w:tc>
          <w:tcPr>
            <w:tcW w:w="769" w:type="dxa"/>
            <w:gridSpan w:val="2"/>
            <w:vAlign w:val="center"/>
          </w:tcPr>
          <w:p w:rsidR="00000000" w:rsidRDefault="00000000">
            <w:pPr>
              <w:keepLines/>
              <w:spacing w:after="120" w:line="240" w:lineRule="auto"/>
              <w:jc w:val="right"/>
              <w:rPr>
                <w:rFonts w:eastAsia="Arial Unicode MS"/>
                <w:sz w:val="17"/>
              </w:rPr>
            </w:pPr>
            <w:r>
              <w:rPr>
                <w:sz w:val="17"/>
              </w:rPr>
              <w:t>261</w:t>
            </w:r>
          </w:p>
        </w:tc>
        <w:tc>
          <w:tcPr>
            <w:tcW w:w="720" w:type="dxa"/>
            <w:gridSpan w:val="3"/>
            <w:vAlign w:val="center"/>
          </w:tcPr>
          <w:p w:rsidR="00000000" w:rsidRDefault="00000000">
            <w:pPr>
              <w:keepLines/>
              <w:spacing w:after="120" w:line="240" w:lineRule="auto"/>
              <w:jc w:val="right"/>
              <w:rPr>
                <w:rFonts w:eastAsia="Arial Unicode MS"/>
                <w:sz w:val="17"/>
              </w:rPr>
            </w:pPr>
            <w:r>
              <w:rPr>
                <w:sz w:val="17"/>
              </w:rPr>
              <w:t>18</w:t>
            </w:r>
          </w:p>
        </w:tc>
      </w:tr>
      <w:tr w:rsidR="00000000">
        <w:tblPrEx>
          <w:tblCellMar>
            <w:top w:w="0" w:type="dxa"/>
            <w:left w:w="0" w:type="dxa"/>
            <w:bottom w:w="0" w:type="dxa"/>
            <w:right w:w="0" w:type="dxa"/>
          </w:tblCellMar>
        </w:tblPrEx>
        <w:trPr>
          <w:trHeight w:val="162"/>
        </w:trPr>
        <w:tc>
          <w:tcPr>
            <w:tcW w:w="846" w:type="dxa"/>
            <w:vAlign w:val="center"/>
          </w:tcPr>
          <w:p w:rsidR="00000000" w:rsidRDefault="00000000">
            <w:pPr>
              <w:keepLines/>
              <w:spacing w:after="120" w:line="240" w:lineRule="auto"/>
              <w:jc w:val="right"/>
              <w:rPr>
                <w:rFonts w:eastAsia="Arial Unicode MS"/>
                <w:sz w:val="17"/>
              </w:rPr>
            </w:pPr>
            <w:r>
              <w:rPr>
                <w:sz w:val="17"/>
              </w:rPr>
              <w:t>31</w:t>
            </w:r>
          </w:p>
        </w:tc>
        <w:tc>
          <w:tcPr>
            <w:tcW w:w="624" w:type="dxa"/>
            <w:gridSpan w:val="2"/>
            <w:vAlign w:val="center"/>
          </w:tcPr>
          <w:p w:rsidR="00000000" w:rsidRDefault="00000000">
            <w:pPr>
              <w:keepLines/>
              <w:spacing w:after="120" w:line="240" w:lineRule="auto"/>
              <w:jc w:val="right"/>
              <w:rPr>
                <w:rFonts w:eastAsia="Arial Unicode MS"/>
                <w:sz w:val="17"/>
              </w:rPr>
            </w:pPr>
            <w:r>
              <w:rPr>
                <w:sz w:val="17"/>
              </w:rPr>
              <w:t>32</w:t>
            </w:r>
          </w:p>
        </w:tc>
        <w:tc>
          <w:tcPr>
            <w:tcW w:w="820" w:type="dxa"/>
            <w:vAlign w:val="center"/>
          </w:tcPr>
          <w:p w:rsidR="00000000" w:rsidRDefault="00000000">
            <w:pPr>
              <w:keepLines/>
              <w:spacing w:after="120" w:line="240" w:lineRule="auto"/>
              <w:jc w:val="right"/>
              <w:rPr>
                <w:rFonts w:eastAsia="Arial Unicode MS"/>
                <w:sz w:val="17"/>
              </w:rPr>
            </w:pPr>
            <w:r>
              <w:rPr>
                <w:sz w:val="17"/>
              </w:rPr>
              <w:t>1</w:t>
            </w:r>
          </w:p>
        </w:tc>
        <w:tc>
          <w:tcPr>
            <w:tcW w:w="646" w:type="dxa"/>
            <w:gridSpan w:val="2"/>
            <w:vAlign w:val="center"/>
          </w:tcPr>
          <w:p w:rsidR="00000000" w:rsidRDefault="00000000">
            <w:pPr>
              <w:keepLines/>
              <w:spacing w:after="120" w:line="240" w:lineRule="auto"/>
              <w:jc w:val="right"/>
              <w:rPr>
                <w:rFonts w:eastAsia="Arial Unicode MS"/>
                <w:sz w:val="17"/>
              </w:rPr>
            </w:pPr>
            <w:r>
              <w:rPr>
                <w:sz w:val="17"/>
              </w:rPr>
              <w:t>1</w:t>
            </w:r>
          </w:p>
        </w:tc>
        <w:tc>
          <w:tcPr>
            <w:tcW w:w="831" w:type="dxa"/>
            <w:gridSpan w:val="2"/>
            <w:vAlign w:val="center"/>
          </w:tcPr>
          <w:p w:rsidR="00000000" w:rsidRDefault="00000000">
            <w:pPr>
              <w:keepLines/>
              <w:spacing w:after="120" w:line="240" w:lineRule="auto"/>
              <w:jc w:val="right"/>
              <w:rPr>
                <w:rFonts w:eastAsia="Arial Unicode MS"/>
                <w:sz w:val="17"/>
              </w:rPr>
            </w:pPr>
            <w:r>
              <w:rPr>
                <w:sz w:val="17"/>
              </w:rPr>
              <w:t>195</w:t>
            </w:r>
          </w:p>
        </w:tc>
        <w:tc>
          <w:tcPr>
            <w:tcW w:w="636" w:type="dxa"/>
            <w:gridSpan w:val="3"/>
            <w:vAlign w:val="center"/>
          </w:tcPr>
          <w:p w:rsidR="00000000" w:rsidRDefault="00000000">
            <w:pPr>
              <w:keepLines/>
              <w:spacing w:after="120" w:line="240" w:lineRule="auto"/>
              <w:jc w:val="right"/>
              <w:rPr>
                <w:rFonts w:eastAsia="Arial Unicode MS"/>
                <w:sz w:val="17"/>
              </w:rPr>
            </w:pPr>
            <w:r>
              <w:rPr>
                <w:sz w:val="17"/>
              </w:rPr>
              <w:t>195</w:t>
            </w:r>
          </w:p>
        </w:tc>
        <w:tc>
          <w:tcPr>
            <w:tcW w:w="733" w:type="dxa"/>
            <w:gridSpan w:val="3"/>
            <w:vAlign w:val="center"/>
          </w:tcPr>
          <w:p w:rsidR="00000000" w:rsidRDefault="00000000">
            <w:pPr>
              <w:keepLines/>
              <w:spacing w:after="120" w:line="240" w:lineRule="auto"/>
              <w:jc w:val="right"/>
              <w:rPr>
                <w:rFonts w:eastAsia="Arial Unicode MS"/>
                <w:sz w:val="17"/>
              </w:rPr>
            </w:pPr>
            <w:r>
              <w:rPr>
                <w:sz w:val="17"/>
              </w:rPr>
              <w:t>1</w:t>
            </w:r>
          </w:p>
        </w:tc>
        <w:tc>
          <w:tcPr>
            <w:tcW w:w="733" w:type="dxa"/>
            <w:vAlign w:val="center"/>
          </w:tcPr>
          <w:p w:rsidR="00000000" w:rsidRDefault="00000000">
            <w:pPr>
              <w:keepLines/>
              <w:spacing w:after="120" w:line="240" w:lineRule="auto"/>
              <w:jc w:val="right"/>
              <w:rPr>
                <w:rFonts w:eastAsia="Arial Unicode MS"/>
                <w:sz w:val="17"/>
              </w:rPr>
            </w:pPr>
            <w:r>
              <w:rPr>
                <w:sz w:val="17"/>
              </w:rPr>
              <w:t>696</w:t>
            </w:r>
          </w:p>
        </w:tc>
        <w:tc>
          <w:tcPr>
            <w:tcW w:w="769" w:type="dxa"/>
            <w:gridSpan w:val="2"/>
            <w:vAlign w:val="center"/>
          </w:tcPr>
          <w:p w:rsidR="00000000" w:rsidRDefault="00000000">
            <w:pPr>
              <w:keepLines/>
              <w:spacing w:after="120" w:line="240" w:lineRule="auto"/>
              <w:jc w:val="right"/>
              <w:rPr>
                <w:rFonts w:eastAsia="Arial Unicode MS"/>
                <w:sz w:val="17"/>
              </w:rPr>
            </w:pPr>
            <w:r>
              <w:rPr>
                <w:sz w:val="17"/>
              </w:rPr>
              <w:t>697</w:t>
            </w:r>
          </w:p>
        </w:tc>
        <w:tc>
          <w:tcPr>
            <w:tcW w:w="720" w:type="dxa"/>
            <w:gridSpan w:val="3"/>
            <w:vAlign w:val="center"/>
          </w:tcPr>
          <w:p w:rsidR="00000000" w:rsidRDefault="00000000">
            <w:pPr>
              <w:keepLines/>
              <w:spacing w:after="120" w:line="240" w:lineRule="auto"/>
              <w:jc w:val="right"/>
              <w:rPr>
                <w:rFonts w:eastAsia="Arial Unicode MS"/>
                <w:sz w:val="17"/>
              </w:rPr>
            </w:pPr>
            <w:r>
              <w:rPr>
                <w:sz w:val="17"/>
              </w:rPr>
              <w:t>19</w:t>
            </w:r>
          </w:p>
        </w:tc>
      </w:tr>
      <w:tr w:rsidR="00000000">
        <w:tblPrEx>
          <w:tblCellMar>
            <w:top w:w="0" w:type="dxa"/>
            <w:left w:w="0" w:type="dxa"/>
            <w:bottom w:w="0" w:type="dxa"/>
            <w:right w:w="0" w:type="dxa"/>
          </w:tblCellMar>
        </w:tblPrEx>
        <w:trPr>
          <w:cantSplit/>
          <w:trHeight w:val="222"/>
        </w:trPr>
        <w:tc>
          <w:tcPr>
            <w:tcW w:w="7358" w:type="dxa"/>
            <w:gridSpan w:val="20"/>
            <w:vAlign w:val="center"/>
          </w:tcPr>
          <w:p w:rsidR="00000000" w:rsidRDefault="00000000">
            <w:pPr>
              <w:keepLines/>
              <w:spacing w:after="120" w:line="240" w:lineRule="auto"/>
              <w:rPr>
                <w:b/>
                <w:sz w:val="17"/>
              </w:rPr>
            </w:pPr>
            <w:r>
              <w:rPr>
                <w:b/>
                <w:sz w:val="17"/>
              </w:rPr>
              <w:t>Женщины</w:t>
            </w:r>
          </w:p>
        </w:tc>
      </w:tr>
      <w:tr w:rsidR="00000000">
        <w:tblPrEx>
          <w:tblCellMar>
            <w:top w:w="0" w:type="dxa"/>
            <w:left w:w="0" w:type="dxa"/>
            <w:bottom w:w="0" w:type="dxa"/>
            <w:right w:w="0" w:type="dxa"/>
          </w:tblCellMar>
        </w:tblPrEx>
        <w:trPr>
          <w:gridAfter w:val="1"/>
          <w:wAfter w:w="23" w:type="dxa"/>
          <w:trHeight w:val="222"/>
        </w:trPr>
        <w:tc>
          <w:tcPr>
            <w:tcW w:w="846" w:type="dxa"/>
            <w:vAlign w:val="center"/>
          </w:tcPr>
          <w:p w:rsidR="00000000" w:rsidRDefault="00000000">
            <w:pPr>
              <w:keepLines/>
              <w:spacing w:after="120" w:line="240" w:lineRule="auto"/>
              <w:jc w:val="right"/>
              <w:rPr>
                <w:rFonts w:eastAsia="Arial Unicode MS"/>
                <w:sz w:val="17"/>
              </w:rPr>
            </w:pPr>
            <w:r>
              <w:rPr>
                <w:sz w:val="17"/>
              </w:rPr>
              <w:t>787</w:t>
            </w:r>
          </w:p>
        </w:tc>
        <w:tc>
          <w:tcPr>
            <w:tcW w:w="624" w:type="dxa"/>
            <w:gridSpan w:val="2"/>
            <w:vAlign w:val="center"/>
          </w:tcPr>
          <w:p w:rsidR="00000000" w:rsidRDefault="00000000">
            <w:pPr>
              <w:keepLines/>
              <w:spacing w:after="120" w:line="240" w:lineRule="auto"/>
              <w:jc w:val="right"/>
              <w:rPr>
                <w:rFonts w:eastAsia="Arial Unicode MS"/>
                <w:sz w:val="17"/>
              </w:rPr>
            </w:pPr>
            <w:r>
              <w:rPr>
                <w:sz w:val="17"/>
              </w:rPr>
              <w:t>833</w:t>
            </w:r>
          </w:p>
        </w:tc>
        <w:tc>
          <w:tcPr>
            <w:tcW w:w="820" w:type="dxa"/>
            <w:vAlign w:val="center"/>
          </w:tcPr>
          <w:p w:rsidR="00000000" w:rsidRDefault="00000000">
            <w:pPr>
              <w:keepLines/>
              <w:spacing w:after="120" w:line="240" w:lineRule="auto"/>
              <w:jc w:val="right"/>
              <w:rPr>
                <w:rFonts w:eastAsia="Arial Unicode MS"/>
                <w:sz w:val="17"/>
              </w:rPr>
            </w:pPr>
            <w:r>
              <w:rPr>
                <w:sz w:val="17"/>
              </w:rPr>
              <w:t>737</w:t>
            </w:r>
          </w:p>
        </w:tc>
        <w:tc>
          <w:tcPr>
            <w:tcW w:w="646" w:type="dxa"/>
            <w:gridSpan w:val="2"/>
            <w:vAlign w:val="center"/>
          </w:tcPr>
          <w:p w:rsidR="00000000" w:rsidRDefault="00000000">
            <w:pPr>
              <w:keepLines/>
              <w:spacing w:after="120" w:line="240" w:lineRule="auto"/>
              <w:jc w:val="right"/>
              <w:rPr>
                <w:rFonts w:eastAsia="Arial Unicode MS"/>
                <w:sz w:val="17"/>
              </w:rPr>
            </w:pPr>
            <w:r>
              <w:rPr>
                <w:sz w:val="17"/>
              </w:rPr>
              <w:t>745</w:t>
            </w:r>
          </w:p>
        </w:tc>
        <w:tc>
          <w:tcPr>
            <w:tcW w:w="831" w:type="dxa"/>
            <w:gridSpan w:val="2"/>
            <w:vAlign w:val="center"/>
          </w:tcPr>
          <w:p w:rsidR="00000000" w:rsidRDefault="00000000">
            <w:pPr>
              <w:keepLines/>
              <w:spacing w:after="120" w:line="240" w:lineRule="auto"/>
              <w:jc w:val="right"/>
              <w:rPr>
                <w:rFonts w:eastAsia="Arial Unicode MS"/>
                <w:sz w:val="17"/>
              </w:rPr>
            </w:pPr>
            <w:r>
              <w:rPr>
                <w:sz w:val="17"/>
              </w:rPr>
              <w:t>8 235</w:t>
            </w:r>
          </w:p>
        </w:tc>
        <w:tc>
          <w:tcPr>
            <w:tcW w:w="636" w:type="dxa"/>
            <w:gridSpan w:val="3"/>
            <w:vAlign w:val="center"/>
          </w:tcPr>
          <w:p w:rsidR="00000000" w:rsidRDefault="00000000">
            <w:pPr>
              <w:keepLines/>
              <w:spacing w:after="120" w:line="240" w:lineRule="auto"/>
              <w:jc w:val="right"/>
              <w:rPr>
                <w:rFonts w:eastAsia="Arial Unicode MS"/>
                <w:sz w:val="17"/>
              </w:rPr>
            </w:pPr>
            <w:r>
              <w:rPr>
                <w:sz w:val="17"/>
              </w:rPr>
              <w:t>8 445</w:t>
            </w:r>
          </w:p>
        </w:tc>
        <w:tc>
          <w:tcPr>
            <w:tcW w:w="733" w:type="dxa"/>
            <w:gridSpan w:val="3"/>
            <w:vAlign w:val="center"/>
          </w:tcPr>
          <w:p w:rsidR="00000000" w:rsidRDefault="00000000">
            <w:pPr>
              <w:keepLines/>
              <w:spacing w:after="120" w:line="240" w:lineRule="auto"/>
              <w:jc w:val="right"/>
              <w:rPr>
                <w:rFonts w:eastAsia="Arial Unicode MS"/>
                <w:sz w:val="17"/>
              </w:rPr>
            </w:pPr>
            <w:r>
              <w:rPr>
                <w:sz w:val="17"/>
              </w:rPr>
              <w:t>2 387</w:t>
            </w:r>
          </w:p>
        </w:tc>
        <w:tc>
          <w:tcPr>
            <w:tcW w:w="733" w:type="dxa"/>
            <w:vAlign w:val="center"/>
          </w:tcPr>
          <w:p w:rsidR="00000000" w:rsidRDefault="00000000">
            <w:pPr>
              <w:keepLines/>
              <w:spacing w:after="120" w:line="240" w:lineRule="auto"/>
              <w:jc w:val="right"/>
              <w:rPr>
                <w:rFonts w:eastAsia="Arial Unicode MS"/>
                <w:sz w:val="17"/>
              </w:rPr>
            </w:pPr>
            <w:r>
              <w:rPr>
                <w:sz w:val="17"/>
              </w:rPr>
              <w:t>27 113</w:t>
            </w:r>
          </w:p>
        </w:tc>
        <w:tc>
          <w:tcPr>
            <w:tcW w:w="769" w:type="dxa"/>
            <w:gridSpan w:val="2"/>
            <w:vAlign w:val="center"/>
          </w:tcPr>
          <w:p w:rsidR="00000000" w:rsidRDefault="00000000">
            <w:pPr>
              <w:keepLines/>
              <w:spacing w:after="120" w:line="240" w:lineRule="auto"/>
              <w:jc w:val="right"/>
              <w:rPr>
                <w:rFonts w:eastAsia="Arial Unicode MS"/>
                <w:sz w:val="17"/>
              </w:rPr>
            </w:pPr>
            <w:r>
              <w:rPr>
                <w:sz w:val="17"/>
              </w:rPr>
              <w:t>29 695</w:t>
            </w:r>
          </w:p>
        </w:tc>
        <w:tc>
          <w:tcPr>
            <w:tcW w:w="697" w:type="dxa"/>
            <w:gridSpan w:val="2"/>
            <w:vAlign w:val="center"/>
          </w:tcPr>
          <w:p w:rsidR="00000000" w:rsidRDefault="00000000">
            <w:pPr>
              <w:keepLines/>
              <w:spacing w:after="120" w:line="240" w:lineRule="auto"/>
              <w:jc w:val="right"/>
              <w:rPr>
                <w:rFonts w:eastAsia="Arial Unicode MS"/>
                <w:sz w:val="17"/>
              </w:rPr>
            </w:pPr>
            <w:r>
              <w:rPr>
                <w:sz w:val="17"/>
              </w:rPr>
              <w:t>Всего</w:t>
            </w:r>
          </w:p>
        </w:tc>
      </w:tr>
      <w:tr w:rsidR="00000000">
        <w:tblPrEx>
          <w:tblCellMar>
            <w:top w:w="0" w:type="dxa"/>
            <w:left w:w="0" w:type="dxa"/>
            <w:bottom w:w="0" w:type="dxa"/>
            <w:right w:w="0" w:type="dxa"/>
          </w:tblCellMar>
        </w:tblPrEx>
        <w:trPr>
          <w:gridAfter w:val="1"/>
          <w:wAfter w:w="23" w:type="dxa"/>
          <w:trHeight w:val="192"/>
        </w:trPr>
        <w:tc>
          <w:tcPr>
            <w:tcW w:w="846" w:type="dxa"/>
            <w:tcBorders>
              <w:top w:val="nil"/>
            </w:tcBorders>
            <w:vAlign w:val="center"/>
          </w:tcPr>
          <w:p w:rsidR="00000000" w:rsidRDefault="00000000">
            <w:pPr>
              <w:keepLines/>
              <w:spacing w:after="120" w:line="240" w:lineRule="auto"/>
              <w:jc w:val="right"/>
              <w:rPr>
                <w:rFonts w:eastAsia="Arial Unicode MS"/>
                <w:i/>
                <w:sz w:val="17"/>
              </w:rPr>
            </w:pPr>
            <w:r>
              <w:rPr>
                <w:i/>
                <w:sz w:val="17"/>
              </w:rPr>
              <w:t>343</w:t>
            </w:r>
          </w:p>
        </w:tc>
        <w:tc>
          <w:tcPr>
            <w:tcW w:w="624" w:type="dxa"/>
            <w:gridSpan w:val="2"/>
            <w:tcBorders>
              <w:top w:val="nil"/>
            </w:tcBorders>
            <w:vAlign w:val="center"/>
          </w:tcPr>
          <w:p w:rsidR="00000000" w:rsidRDefault="00000000">
            <w:pPr>
              <w:keepLines/>
              <w:spacing w:after="120" w:line="240" w:lineRule="auto"/>
              <w:jc w:val="right"/>
              <w:rPr>
                <w:rFonts w:eastAsia="Arial Unicode MS"/>
                <w:sz w:val="17"/>
              </w:rPr>
            </w:pPr>
            <w:r>
              <w:rPr>
                <w:sz w:val="17"/>
              </w:rPr>
              <w:t>345</w:t>
            </w:r>
          </w:p>
        </w:tc>
        <w:tc>
          <w:tcPr>
            <w:tcW w:w="820" w:type="dxa"/>
            <w:tcBorders>
              <w:top w:val="nil"/>
            </w:tcBorders>
            <w:vAlign w:val="center"/>
          </w:tcPr>
          <w:p w:rsidR="00000000" w:rsidRDefault="00000000">
            <w:pPr>
              <w:keepLines/>
              <w:spacing w:after="120" w:line="240" w:lineRule="auto"/>
              <w:jc w:val="right"/>
              <w:rPr>
                <w:rFonts w:eastAsia="Arial Unicode MS"/>
                <w:sz w:val="17"/>
              </w:rPr>
            </w:pPr>
            <w:r>
              <w:rPr>
                <w:sz w:val="17"/>
              </w:rPr>
              <w:t>89</w:t>
            </w:r>
          </w:p>
        </w:tc>
        <w:tc>
          <w:tcPr>
            <w:tcW w:w="646" w:type="dxa"/>
            <w:gridSpan w:val="2"/>
            <w:tcBorders>
              <w:top w:val="nil"/>
            </w:tcBorders>
            <w:vAlign w:val="center"/>
          </w:tcPr>
          <w:p w:rsidR="00000000" w:rsidRDefault="00000000">
            <w:pPr>
              <w:keepLines/>
              <w:spacing w:after="120" w:line="240" w:lineRule="auto"/>
              <w:jc w:val="right"/>
              <w:rPr>
                <w:rFonts w:eastAsia="Arial Unicode MS"/>
                <w:sz w:val="17"/>
              </w:rPr>
            </w:pPr>
            <w:r>
              <w:rPr>
                <w:sz w:val="17"/>
              </w:rPr>
              <w:t>89</w:t>
            </w:r>
          </w:p>
        </w:tc>
        <w:tc>
          <w:tcPr>
            <w:tcW w:w="831" w:type="dxa"/>
            <w:gridSpan w:val="2"/>
            <w:tcBorders>
              <w:top w:val="nil"/>
            </w:tcBorders>
            <w:vAlign w:val="center"/>
          </w:tcPr>
          <w:p w:rsidR="00000000" w:rsidRDefault="00000000">
            <w:pPr>
              <w:keepLines/>
              <w:spacing w:after="120" w:line="240" w:lineRule="auto"/>
              <w:jc w:val="right"/>
              <w:rPr>
                <w:rFonts w:eastAsia="Arial Unicode MS"/>
                <w:sz w:val="17"/>
              </w:rPr>
            </w:pPr>
            <w:r>
              <w:rPr>
                <w:sz w:val="17"/>
              </w:rPr>
              <w:t>3 700</w:t>
            </w:r>
          </w:p>
        </w:tc>
        <w:tc>
          <w:tcPr>
            <w:tcW w:w="636" w:type="dxa"/>
            <w:gridSpan w:val="3"/>
            <w:tcBorders>
              <w:top w:val="nil"/>
            </w:tcBorders>
            <w:vAlign w:val="center"/>
          </w:tcPr>
          <w:p w:rsidR="00000000" w:rsidRDefault="00000000">
            <w:pPr>
              <w:keepLines/>
              <w:spacing w:after="120" w:line="240" w:lineRule="auto"/>
              <w:jc w:val="right"/>
              <w:rPr>
                <w:rFonts w:eastAsia="Arial Unicode MS"/>
                <w:sz w:val="17"/>
              </w:rPr>
            </w:pPr>
            <w:r>
              <w:rPr>
                <w:sz w:val="17"/>
              </w:rPr>
              <w:t>3 715</w:t>
            </w:r>
          </w:p>
        </w:tc>
        <w:tc>
          <w:tcPr>
            <w:tcW w:w="733" w:type="dxa"/>
            <w:gridSpan w:val="3"/>
            <w:tcBorders>
              <w:top w:val="nil"/>
            </w:tcBorders>
            <w:vAlign w:val="center"/>
          </w:tcPr>
          <w:p w:rsidR="00000000" w:rsidRDefault="00000000">
            <w:pPr>
              <w:keepLines/>
              <w:spacing w:after="120" w:line="240" w:lineRule="auto"/>
              <w:jc w:val="right"/>
              <w:rPr>
                <w:rFonts w:eastAsia="Arial Unicode MS"/>
                <w:sz w:val="17"/>
              </w:rPr>
            </w:pPr>
            <w:r>
              <w:rPr>
                <w:sz w:val="17"/>
              </w:rPr>
              <w:pict>
                <v:shapetype id="_x0000_t202" coordsize="21600,21600" o:spt="202" path="m,l,21600r21600,l21600,xe">
                  <v:stroke joinstyle="miter"/>
                  <v:path gradientshapeok="t" o:connecttype="rect"/>
                </v:shapetype>
                <v:shape id="Text 9" o:spid="_x0000_s2169" type="#_x0000_t202" style="position:absolute;left:0;text-align:left;margin-left:0;margin-top:2.25pt;width:0;height:30.75pt;z-index:1;mso-position-horizontal:absolute;mso-position-horizontal-relative:page;mso-position-vertical:absolute;mso-position-vertical-relative:text" o:allowincell="f" filled="f" fillcolor="windowText" stroked="f" strokecolor="windowText" strokeweight="3e-5mm" o:insetmode="auto">
                  <v:fill color2="window"/>
                  <v:textbox style="mso-next-textbox:#Text 9;mso-direction-alt:auto">
                    <w:txbxContent>
                      <w:p w:rsidR="00000000" w:rsidRDefault="00000000">
                        <w:pPr>
                          <w:jc w:val="right"/>
                        </w:pPr>
                        <w:r>
                          <w:rPr>
                            <w:rFonts w:ascii="Arial" w:hAnsi="Arial"/>
                          </w:rPr>
                          <w:t>{</w:t>
                        </w:r>
                        <w:r>
                          <w:t xml:space="preserve"> </w:t>
                        </w:r>
                      </w:p>
                    </w:txbxContent>
                  </v:textbox>
                  <w10:wrap anchorx="page"/>
                </v:shape>
              </w:pict>
            </w:r>
            <w:r>
              <w:rPr>
                <w:sz w:val="17"/>
              </w:rPr>
              <w:t>5</w:t>
            </w:r>
          </w:p>
        </w:tc>
        <w:tc>
          <w:tcPr>
            <w:tcW w:w="733" w:type="dxa"/>
            <w:tcBorders>
              <w:top w:val="nil"/>
            </w:tcBorders>
            <w:vAlign w:val="center"/>
          </w:tcPr>
          <w:p w:rsidR="00000000" w:rsidRDefault="00000000">
            <w:pPr>
              <w:keepLines/>
              <w:spacing w:after="120" w:line="240" w:lineRule="auto"/>
              <w:jc w:val="right"/>
              <w:rPr>
                <w:rFonts w:eastAsia="Arial Unicode MS"/>
                <w:sz w:val="17"/>
              </w:rPr>
            </w:pPr>
            <w:r>
              <w:rPr>
                <w:sz w:val="17"/>
              </w:rPr>
              <w:t>3 114</w:t>
            </w:r>
          </w:p>
        </w:tc>
        <w:tc>
          <w:tcPr>
            <w:tcW w:w="769" w:type="dxa"/>
            <w:gridSpan w:val="2"/>
            <w:tcBorders>
              <w:top w:val="nil"/>
            </w:tcBorders>
            <w:vAlign w:val="center"/>
          </w:tcPr>
          <w:p w:rsidR="00000000" w:rsidRDefault="00000000">
            <w:pPr>
              <w:keepLines/>
              <w:spacing w:after="120" w:line="240" w:lineRule="auto"/>
              <w:jc w:val="right"/>
              <w:rPr>
                <w:rFonts w:eastAsia="Arial Unicode MS"/>
                <w:sz w:val="17"/>
              </w:rPr>
            </w:pPr>
            <w:r>
              <w:rPr>
                <w:sz w:val="17"/>
              </w:rPr>
              <w:t>3 122</w:t>
            </w:r>
          </w:p>
        </w:tc>
        <w:tc>
          <w:tcPr>
            <w:tcW w:w="697" w:type="dxa"/>
            <w:gridSpan w:val="2"/>
            <w:tcBorders>
              <w:top w:val="nil"/>
            </w:tcBorders>
            <w:vAlign w:val="center"/>
          </w:tcPr>
          <w:p w:rsidR="00000000" w:rsidRDefault="00000000">
            <w:pPr>
              <w:keepLines/>
              <w:spacing w:after="120" w:line="240" w:lineRule="auto"/>
              <w:jc w:val="right"/>
              <w:rPr>
                <w:rFonts w:eastAsia="Arial Unicode MS"/>
                <w:sz w:val="17"/>
              </w:rPr>
            </w:pPr>
            <w:r>
              <w:rPr>
                <w:sz w:val="17"/>
              </w:rPr>
              <w:t>до 19</w:t>
            </w:r>
          </w:p>
        </w:tc>
      </w:tr>
      <w:tr w:rsidR="00000000">
        <w:tblPrEx>
          <w:tblCellMar>
            <w:top w:w="0" w:type="dxa"/>
            <w:left w:w="0" w:type="dxa"/>
            <w:bottom w:w="0" w:type="dxa"/>
            <w:right w:w="0" w:type="dxa"/>
          </w:tblCellMar>
        </w:tblPrEx>
        <w:trPr>
          <w:gridAfter w:val="1"/>
          <w:wAfter w:w="23" w:type="dxa"/>
          <w:trHeight w:val="192"/>
        </w:trPr>
        <w:tc>
          <w:tcPr>
            <w:tcW w:w="846" w:type="dxa"/>
            <w:tcBorders>
              <w:top w:val="nil"/>
            </w:tcBorders>
            <w:vAlign w:val="center"/>
          </w:tcPr>
          <w:p w:rsidR="00000000" w:rsidRDefault="00000000">
            <w:pPr>
              <w:keepLines/>
              <w:spacing w:after="120" w:line="240" w:lineRule="auto"/>
              <w:jc w:val="right"/>
              <w:rPr>
                <w:rFonts w:eastAsia="Arial Unicode MS"/>
                <w:i/>
                <w:sz w:val="17"/>
              </w:rPr>
            </w:pPr>
            <w:r>
              <w:rPr>
                <w:i/>
                <w:sz w:val="17"/>
              </w:rPr>
              <w:t>-</w:t>
            </w:r>
          </w:p>
        </w:tc>
        <w:tc>
          <w:tcPr>
            <w:tcW w:w="624" w:type="dxa"/>
            <w:gridSpan w:val="2"/>
            <w:tcBorders>
              <w:top w:val="nil"/>
            </w:tcBorders>
            <w:vAlign w:val="center"/>
          </w:tcPr>
          <w:p w:rsidR="00000000" w:rsidRDefault="00000000">
            <w:pPr>
              <w:keepLines/>
              <w:spacing w:after="120" w:line="240" w:lineRule="auto"/>
              <w:jc w:val="right"/>
              <w:rPr>
                <w:rFonts w:eastAsia="Arial Unicode MS"/>
                <w:sz w:val="17"/>
              </w:rPr>
            </w:pPr>
            <w:r>
              <w:rPr>
                <w:sz w:val="17"/>
              </w:rPr>
              <w:t>-</w:t>
            </w:r>
          </w:p>
        </w:tc>
        <w:tc>
          <w:tcPr>
            <w:tcW w:w="820" w:type="dxa"/>
            <w:tcBorders>
              <w:top w:val="nil"/>
            </w:tcBorders>
            <w:vAlign w:val="center"/>
          </w:tcPr>
          <w:p w:rsidR="00000000" w:rsidRDefault="00000000">
            <w:pPr>
              <w:keepLines/>
              <w:spacing w:after="120" w:line="240" w:lineRule="auto"/>
              <w:jc w:val="right"/>
              <w:rPr>
                <w:rFonts w:eastAsia="Arial Unicode MS"/>
                <w:sz w:val="17"/>
              </w:rPr>
            </w:pPr>
            <w:r>
              <w:rPr>
                <w:sz w:val="17"/>
              </w:rPr>
              <w:t>1</w:t>
            </w:r>
          </w:p>
        </w:tc>
        <w:tc>
          <w:tcPr>
            <w:tcW w:w="646" w:type="dxa"/>
            <w:gridSpan w:val="2"/>
            <w:tcBorders>
              <w:top w:val="nil"/>
            </w:tcBorders>
            <w:vAlign w:val="center"/>
          </w:tcPr>
          <w:p w:rsidR="00000000" w:rsidRDefault="00000000">
            <w:pPr>
              <w:keepLines/>
              <w:spacing w:after="120" w:line="240" w:lineRule="auto"/>
              <w:jc w:val="right"/>
              <w:rPr>
                <w:rFonts w:eastAsia="Arial Unicode MS"/>
                <w:sz w:val="17"/>
              </w:rPr>
            </w:pPr>
            <w:r>
              <w:rPr>
                <w:sz w:val="17"/>
              </w:rPr>
              <w:t>1</w:t>
            </w:r>
          </w:p>
        </w:tc>
        <w:tc>
          <w:tcPr>
            <w:tcW w:w="831" w:type="dxa"/>
            <w:gridSpan w:val="2"/>
            <w:tcBorders>
              <w:top w:val="nil"/>
            </w:tcBorders>
            <w:vAlign w:val="center"/>
          </w:tcPr>
          <w:p w:rsidR="00000000" w:rsidRDefault="00000000">
            <w:pPr>
              <w:keepLines/>
              <w:spacing w:after="120" w:line="240" w:lineRule="auto"/>
              <w:jc w:val="right"/>
              <w:rPr>
                <w:rFonts w:eastAsia="Arial Unicode MS"/>
                <w:sz w:val="17"/>
              </w:rPr>
            </w:pPr>
            <w:r>
              <w:rPr>
                <w:sz w:val="17"/>
              </w:rPr>
              <w:t>165</w:t>
            </w:r>
          </w:p>
        </w:tc>
        <w:tc>
          <w:tcPr>
            <w:tcW w:w="636" w:type="dxa"/>
            <w:gridSpan w:val="3"/>
            <w:tcBorders>
              <w:top w:val="nil"/>
            </w:tcBorders>
            <w:vAlign w:val="center"/>
          </w:tcPr>
          <w:p w:rsidR="00000000" w:rsidRDefault="00000000">
            <w:pPr>
              <w:keepLines/>
              <w:spacing w:after="120" w:line="240" w:lineRule="auto"/>
              <w:jc w:val="right"/>
              <w:rPr>
                <w:rFonts w:eastAsia="Arial Unicode MS"/>
                <w:sz w:val="17"/>
              </w:rPr>
            </w:pPr>
            <w:r>
              <w:rPr>
                <w:sz w:val="17"/>
              </w:rPr>
              <w:t>165</w:t>
            </w:r>
          </w:p>
        </w:tc>
        <w:tc>
          <w:tcPr>
            <w:tcW w:w="733" w:type="dxa"/>
            <w:gridSpan w:val="3"/>
            <w:tcBorders>
              <w:top w:val="nil"/>
            </w:tcBorders>
            <w:vAlign w:val="center"/>
          </w:tcPr>
          <w:p w:rsidR="00000000" w:rsidRDefault="00000000">
            <w:pPr>
              <w:keepLines/>
              <w:spacing w:after="120" w:line="240" w:lineRule="auto"/>
              <w:jc w:val="right"/>
              <w:rPr>
                <w:rFonts w:eastAsia="Arial Unicode MS"/>
                <w:sz w:val="17"/>
              </w:rPr>
            </w:pPr>
            <w:r>
              <w:rPr>
                <w:sz w:val="17"/>
              </w:rPr>
              <w:t>1</w:t>
            </w:r>
          </w:p>
        </w:tc>
        <w:tc>
          <w:tcPr>
            <w:tcW w:w="733" w:type="dxa"/>
            <w:tcBorders>
              <w:top w:val="nil"/>
            </w:tcBorders>
            <w:vAlign w:val="center"/>
          </w:tcPr>
          <w:p w:rsidR="00000000" w:rsidRDefault="00000000">
            <w:pPr>
              <w:keepLines/>
              <w:spacing w:after="120" w:line="240" w:lineRule="auto"/>
              <w:jc w:val="right"/>
              <w:rPr>
                <w:rFonts w:eastAsia="Arial Unicode MS"/>
                <w:sz w:val="17"/>
              </w:rPr>
            </w:pPr>
            <w:r>
              <w:rPr>
                <w:sz w:val="17"/>
              </w:rPr>
              <w:t>28</w:t>
            </w:r>
          </w:p>
        </w:tc>
        <w:tc>
          <w:tcPr>
            <w:tcW w:w="769" w:type="dxa"/>
            <w:gridSpan w:val="2"/>
            <w:tcBorders>
              <w:top w:val="nil"/>
            </w:tcBorders>
            <w:vAlign w:val="center"/>
          </w:tcPr>
          <w:p w:rsidR="00000000" w:rsidRDefault="00000000">
            <w:pPr>
              <w:keepLines/>
              <w:spacing w:after="120" w:line="240" w:lineRule="auto"/>
              <w:jc w:val="right"/>
              <w:rPr>
                <w:rFonts w:eastAsia="Arial Unicode MS"/>
                <w:sz w:val="17"/>
              </w:rPr>
            </w:pPr>
            <w:r>
              <w:rPr>
                <w:sz w:val="17"/>
              </w:rPr>
              <w:t>29</w:t>
            </w:r>
          </w:p>
        </w:tc>
        <w:tc>
          <w:tcPr>
            <w:tcW w:w="697" w:type="dxa"/>
            <w:gridSpan w:val="2"/>
            <w:tcBorders>
              <w:top w:val="nil"/>
            </w:tcBorders>
            <w:vAlign w:val="center"/>
          </w:tcPr>
          <w:p w:rsidR="00000000" w:rsidRDefault="00000000">
            <w:pPr>
              <w:keepLines/>
              <w:spacing w:after="120" w:line="240" w:lineRule="auto"/>
              <w:jc w:val="right"/>
              <w:rPr>
                <w:rFonts w:eastAsia="Arial Unicode MS"/>
                <w:sz w:val="17"/>
              </w:rPr>
            </w:pPr>
            <w:r>
              <w:rPr>
                <w:sz w:val="17"/>
              </w:rPr>
              <w:t>до 16</w:t>
            </w:r>
          </w:p>
        </w:tc>
      </w:tr>
      <w:tr w:rsidR="00000000">
        <w:tblPrEx>
          <w:tblCellMar>
            <w:top w:w="0" w:type="dxa"/>
            <w:left w:w="0" w:type="dxa"/>
            <w:bottom w:w="0" w:type="dxa"/>
            <w:right w:w="0" w:type="dxa"/>
          </w:tblCellMar>
        </w:tblPrEx>
        <w:trPr>
          <w:gridAfter w:val="1"/>
          <w:wAfter w:w="23" w:type="dxa"/>
          <w:trHeight w:val="162"/>
        </w:trPr>
        <w:tc>
          <w:tcPr>
            <w:tcW w:w="846" w:type="dxa"/>
            <w:tcBorders>
              <w:top w:val="nil"/>
            </w:tcBorders>
            <w:vAlign w:val="center"/>
          </w:tcPr>
          <w:p w:rsidR="00000000" w:rsidRDefault="00000000">
            <w:pPr>
              <w:keepLines/>
              <w:spacing w:after="120" w:line="240" w:lineRule="auto"/>
              <w:jc w:val="right"/>
              <w:rPr>
                <w:rFonts w:eastAsia="Arial Unicode MS"/>
                <w:sz w:val="17"/>
              </w:rPr>
            </w:pPr>
            <w:r>
              <w:rPr>
                <w:sz w:val="17"/>
              </w:rPr>
              <w:t>97</w:t>
            </w:r>
          </w:p>
        </w:tc>
        <w:tc>
          <w:tcPr>
            <w:tcW w:w="624" w:type="dxa"/>
            <w:gridSpan w:val="2"/>
            <w:tcBorders>
              <w:top w:val="nil"/>
            </w:tcBorders>
            <w:vAlign w:val="center"/>
          </w:tcPr>
          <w:p w:rsidR="00000000" w:rsidRDefault="00000000">
            <w:pPr>
              <w:keepLines/>
              <w:spacing w:after="120" w:line="240" w:lineRule="auto"/>
              <w:jc w:val="right"/>
              <w:rPr>
                <w:rFonts w:eastAsia="Arial Unicode MS"/>
                <w:sz w:val="17"/>
              </w:rPr>
            </w:pPr>
            <w:r>
              <w:rPr>
                <w:sz w:val="17"/>
              </w:rPr>
              <w:t>97</w:t>
            </w:r>
          </w:p>
        </w:tc>
        <w:tc>
          <w:tcPr>
            <w:tcW w:w="820" w:type="dxa"/>
            <w:tcBorders>
              <w:top w:val="nil"/>
            </w:tcBorders>
            <w:vAlign w:val="center"/>
          </w:tcPr>
          <w:p w:rsidR="00000000" w:rsidRDefault="00000000">
            <w:pPr>
              <w:keepLines/>
              <w:spacing w:after="120" w:line="240" w:lineRule="auto"/>
              <w:jc w:val="right"/>
              <w:rPr>
                <w:rFonts w:eastAsia="Arial Unicode MS"/>
                <w:sz w:val="17"/>
              </w:rPr>
            </w:pPr>
            <w:r>
              <w:rPr>
                <w:sz w:val="17"/>
              </w:rPr>
              <w:t>15</w:t>
            </w:r>
          </w:p>
        </w:tc>
        <w:tc>
          <w:tcPr>
            <w:tcW w:w="646" w:type="dxa"/>
            <w:gridSpan w:val="2"/>
            <w:tcBorders>
              <w:top w:val="nil"/>
            </w:tcBorders>
            <w:vAlign w:val="center"/>
          </w:tcPr>
          <w:p w:rsidR="00000000" w:rsidRDefault="00000000">
            <w:pPr>
              <w:keepLines/>
              <w:spacing w:after="120" w:line="240" w:lineRule="auto"/>
              <w:jc w:val="right"/>
              <w:rPr>
                <w:rFonts w:eastAsia="Arial Unicode MS"/>
                <w:sz w:val="17"/>
              </w:rPr>
            </w:pPr>
            <w:r>
              <w:rPr>
                <w:sz w:val="17"/>
              </w:rPr>
              <w:t>15</w:t>
            </w:r>
          </w:p>
        </w:tc>
        <w:tc>
          <w:tcPr>
            <w:tcW w:w="831" w:type="dxa"/>
            <w:gridSpan w:val="2"/>
            <w:tcBorders>
              <w:top w:val="nil"/>
            </w:tcBorders>
            <w:vAlign w:val="center"/>
          </w:tcPr>
          <w:p w:rsidR="00000000" w:rsidRDefault="00000000">
            <w:pPr>
              <w:keepLines/>
              <w:spacing w:after="120" w:line="240" w:lineRule="auto"/>
              <w:jc w:val="right"/>
              <w:rPr>
                <w:rFonts w:eastAsia="Arial Unicode MS"/>
                <w:sz w:val="17"/>
              </w:rPr>
            </w:pPr>
            <w:r>
              <w:rPr>
                <w:sz w:val="17"/>
              </w:rPr>
              <w:t>1 152</w:t>
            </w:r>
          </w:p>
        </w:tc>
        <w:tc>
          <w:tcPr>
            <w:tcW w:w="636" w:type="dxa"/>
            <w:gridSpan w:val="3"/>
            <w:tcBorders>
              <w:top w:val="nil"/>
            </w:tcBorders>
            <w:vAlign w:val="center"/>
          </w:tcPr>
          <w:p w:rsidR="00000000" w:rsidRDefault="00000000">
            <w:pPr>
              <w:keepLines/>
              <w:spacing w:after="120" w:line="240" w:lineRule="auto"/>
              <w:jc w:val="right"/>
              <w:rPr>
                <w:rFonts w:eastAsia="Arial Unicode MS"/>
                <w:sz w:val="17"/>
              </w:rPr>
            </w:pPr>
            <w:r>
              <w:rPr>
                <w:sz w:val="17"/>
              </w:rPr>
              <w:t>1 156</w:t>
            </w:r>
          </w:p>
        </w:tc>
        <w:tc>
          <w:tcPr>
            <w:tcW w:w="733" w:type="dxa"/>
            <w:gridSpan w:val="3"/>
            <w:tcBorders>
              <w:top w:val="nil"/>
            </w:tcBorders>
            <w:vAlign w:val="center"/>
          </w:tcPr>
          <w:p w:rsidR="00000000" w:rsidRDefault="00000000">
            <w:pPr>
              <w:keepLines/>
              <w:spacing w:after="120" w:line="240" w:lineRule="auto"/>
              <w:jc w:val="right"/>
              <w:rPr>
                <w:rFonts w:eastAsia="Arial Unicode MS"/>
                <w:sz w:val="17"/>
              </w:rPr>
            </w:pPr>
            <w:r>
              <w:rPr>
                <w:sz w:val="17"/>
              </w:rPr>
              <w:t>-</w:t>
            </w:r>
          </w:p>
        </w:tc>
        <w:tc>
          <w:tcPr>
            <w:tcW w:w="733" w:type="dxa"/>
            <w:tcBorders>
              <w:top w:val="nil"/>
            </w:tcBorders>
            <w:vAlign w:val="center"/>
          </w:tcPr>
          <w:p w:rsidR="00000000" w:rsidRDefault="00000000">
            <w:pPr>
              <w:keepLines/>
              <w:spacing w:after="120" w:line="240" w:lineRule="auto"/>
              <w:jc w:val="right"/>
              <w:rPr>
                <w:rFonts w:eastAsia="Arial Unicode MS"/>
                <w:sz w:val="17"/>
              </w:rPr>
            </w:pPr>
            <w:r>
              <w:rPr>
                <w:sz w:val="17"/>
              </w:rPr>
              <w:t>340</w:t>
            </w:r>
          </w:p>
        </w:tc>
        <w:tc>
          <w:tcPr>
            <w:tcW w:w="769" w:type="dxa"/>
            <w:gridSpan w:val="2"/>
            <w:tcBorders>
              <w:top w:val="nil"/>
            </w:tcBorders>
            <w:vAlign w:val="center"/>
          </w:tcPr>
          <w:p w:rsidR="00000000" w:rsidRDefault="00000000">
            <w:pPr>
              <w:keepLines/>
              <w:spacing w:after="120" w:line="240" w:lineRule="auto"/>
              <w:jc w:val="right"/>
              <w:rPr>
                <w:rFonts w:eastAsia="Arial Unicode MS"/>
                <w:sz w:val="17"/>
              </w:rPr>
            </w:pPr>
            <w:r>
              <w:rPr>
                <w:sz w:val="17"/>
              </w:rPr>
              <w:t>340</w:t>
            </w:r>
          </w:p>
        </w:tc>
        <w:tc>
          <w:tcPr>
            <w:tcW w:w="697" w:type="dxa"/>
            <w:gridSpan w:val="2"/>
            <w:tcBorders>
              <w:top w:val="nil"/>
            </w:tcBorders>
            <w:vAlign w:val="center"/>
          </w:tcPr>
          <w:p w:rsidR="00000000" w:rsidRDefault="00000000">
            <w:pPr>
              <w:keepLines/>
              <w:spacing w:after="120" w:line="240" w:lineRule="auto"/>
              <w:jc w:val="right"/>
              <w:rPr>
                <w:rFonts w:eastAsia="Arial Unicode MS"/>
                <w:sz w:val="17"/>
              </w:rPr>
            </w:pPr>
            <w:r>
              <w:rPr>
                <w:sz w:val="17"/>
              </w:rPr>
              <w:t>17</w:t>
            </w:r>
          </w:p>
        </w:tc>
      </w:tr>
      <w:tr w:rsidR="00000000">
        <w:tblPrEx>
          <w:tblCellMar>
            <w:top w:w="0" w:type="dxa"/>
            <w:left w:w="0" w:type="dxa"/>
            <w:bottom w:w="0" w:type="dxa"/>
            <w:right w:w="0" w:type="dxa"/>
          </w:tblCellMar>
        </w:tblPrEx>
        <w:trPr>
          <w:gridAfter w:val="1"/>
          <w:wAfter w:w="23" w:type="dxa"/>
          <w:trHeight w:val="162"/>
        </w:trPr>
        <w:tc>
          <w:tcPr>
            <w:tcW w:w="846" w:type="dxa"/>
            <w:vAlign w:val="center"/>
          </w:tcPr>
          <w:p w:rsidR="00000000" w:rsidRDefault="00000000">
            <w:pPr>
              <w:keepLines/>
              <w:spacing w:after="120" w:line="240" w:lineRule="auto"/>
              <w:jc w:val="right"/>
              <w:rPr>
                <w:rFonts w:eastAsia="Arial Unicode MS"/>
                <w:sz w:val="17"/>
              </w:rPr>
            </w:pPr>
            <w:r>
              <w:rPr>
                <w:sz w:val="17"/>
              </w:rPr>
              <w:t>129</w:t>
            </w:r>
          </w:p>
        </w:tc>
        <w:tc>
          <w:tcPr>
            <w:tcW w:w="624" w:type="dxa"/>
            <w:gridSpan w:val="2"/>
            <w:vAlign w:val="center"/>
          </w:tcPr>
          <w:p w:rsidR="00000000" w:rsidRDefault="00000000">
            <w:pPr>
              <w:keepLines/>
              <w:spacing w:after="120" w:line="240" w:lineRule="auto"/>
              <w:jc w:val="right"/>
              <w:rPr>
                <w:rFonts w:eastAsia="Arial Unicode MS"/>
                <w:sz w:val="17"/>
              </w:rPr>
            </w:pPr>
            <w:r>
              <w:rPr>
                <w:sz w:val="17"/>
              </w:rPr>
              <w:t>129</w:t>
            </w:r>
          </w:p>
        </w:tc>
        <w:tc>
          <w:tcPr>
            <w:tcW w:w="820" w:type="dxa"/>
            <w:vAlign w:val="center"/>
          </w:tcPr>
          <w:p w:rsidR="00000000" w:rsidRDefault="00000000">
            <w:pPr>
              <w:keepLines/>
              <w:spacing w:after="120" w:line="240" w:lineRule="auto"/>
              <w:jc w:val="right"/>
              <w:rPr>
                <w:rFonts w:eastAsia="Arial Unicode MS"/>
                <w:sz w:val="17"/>
              </w:rPr>
            </w:pPr>
            <w:r>
              <w:rPr>
                <w:sz w:val="17"/>
              </w:rPr>
              <w:t>34</w:t>
            </w:r>
          </w:p>
        </w:tc>
        <w:tc>
          <w:tcPr>
            <w:tcW w:w="646" w:type="dxa"/>
            <w:gridSpan w:val="2"/>
            <w:vAlign w:val="center"/>
          </w:tcPr>
          <w:p w:rsidR="00000000" w:rsidRDefault="00000000">
            <w:pPr>
              <w:keepLines/>
              <w:spacing w:after="120" w:line="240" w:lineRule="auto"/>
              <w:jc w:val="right"/>
              <w:rPr>
                <w:rFonts w:eastAsia="Arial Unicode MS"/>
                <w:sz w:val="17"/>
              </w:rPr>
            </w:pPr>
            <w:r>
              <w:rPr>
                <w:sz w:val="17"/>
              </w:rPr>
              <w:t>34</w:t>
            </w:r>
          </w:p>
        </w:tc>
        <w:tc>
          <w:tcPr>
            <w:tcW w:w="831" w:type="dxa"/>
            <w:gridSpan w:val="2"/>
            <w:vAlign w:val="center"/>
          </w:tcPr>
          <w:p w:rsidR="00000000" w:rsidRDefault="00000000">
            <w:pPr>
              <w:keepLines/>
              <w:spacing w:after="120" w:line="240" w:lineRule="auto"/>
              <w:jc w:val="right"/>
              <w:rPr>
                <w:rFonts w:eastAsia="Arial Unicode MS"/>
                <w:sz w:val="17"/>
              </w:rPr>
            </w:pPr>
            <w:r>
              <w:rPr>
                <w:sz w:val="17"/>
              </w:rPr>
              <w:t>1 314</w:t>
            </w:r>
          </w:p>
        </w:tc>
        <w:tc>
          <w:tcPr>
            <w:tcW w:w="636" w:type="dxa"/>
            <w:gridSpan w:val="3"/>
            <w:vAlign w:val="center"/>
          </w:tcPr>
          <w:p w:rsidR="00000000" w:rsidRDefault="00000000">
            <w:pPr>
              <w:keepLines/>
              <w:spacing w:after="120" w:line="240" w:lineRule="auto"/>
              <w:jc w:val="right"/>
              <w:rPr>
                <w:rFonts w:eastAsia="Arial Unicode MS"/>
                <w:sz w:val="17"/>
              </w:rPr>
            </w:pPr>
            <w:r>
              <w:rPr>
                <w:sz w:val="17"/>
              </w:rPr>
              <w:t>1 320</w:t>
            </w:r>
          </w:p>
        </w:tc>
        <w:tc>
          <w:tcPr>
            <w:tcW w:w="733" w:type="dxa"/>
            <w:gridSpan w:val="3"/>
            <w:vAlign w:val="center"/>
          </w:tcPr>
          <w:p w:rsidR="00000000" w:rsidRDefault="00000000">
            <w:pPr>
              <w:keepLines/>
              <w:spacing w:after="120" w:line="240" w:lineRule="auto"/>
              <w:jc w:val="right"/>
              <w:rPr>
                <w:rFonts w:eastAsia="Arial Unicode MS"/>
                <w:sz w:val="17"/>
              </w:rPr>
            </w:pPr>
            <w:r>
              <w:rPr>
                <w:sz w:val="17"/>
              </w:rPr>
              <w:t>-</w:t>
            </w:r>
          </w:p>
        </w:tc>
        <w:tc>
          <w:tcPr>
            <w:tcW w:w="733" w:type="dxa"/>
            <w:vAlign w:val="center"/>
          </w:tcPr>
          <w:p w:rsidR="00000000" w:rsidRDefault="00000000">
            <w:pPr>
              <w:keepLines/>
              <w:spacing w:after="120" w:line="240" w:lineRule="auto"/>
              <w:jc w:val="right"/>
              <w:rPr>
                <w:rFonts w:eastAsia="Arial Unicode MS"/>
                <w:sz w:val="17"/>
              </w:rPr>
            </w:pPr>
            <w:r>
              <w:rPr>
                <w:sz w:val="17"/>
              </w:rPr>
              <w:t>960</w:t>
            </w:r>
          </w:p>
        </w:tc>
        <w:tc>
          <w:tcPr>
            <w:tcW w:w="769" w:type="dxa"/>
            <w:gridSpan w:val="2"/>
            <w:vAlign w:val="center"/>
          </w:tcPr>
          <w:p w:rsidR="00000000" w:rsidRDefault="00000000">
            <w:pPr>
              <w:keepLines/>
              <w:spacing w:after="120" w:line="240" w:lineRule="auto"/>
              <w:jc w:val="right"/>
              <w:rPr>
                <w:rFonts w:eastAsia="Arial Unicode MS"/>
                <w:sz w:val="17"/>
              </w:rPr>
            </w:pPr>
            <w:r>
              <w:rPr>
                <w:sz w:val="17"/>
              </w:rPr>
              <w:t>961</w:t>
            </w:r>
          </w:p>
        </w:tc>
        <w:tc>
          <w:tcPr>
            <w:tcW w:w="697" w:type="dxa"/>
            <w:gridSpan w:val="2"/>
            <w:vAlign w:val="center"/>
          </w:tcPr>
          <w:p w:rsidR="00000000" w:rsidRDefault="00000000">
            <w:pPr>
              <w:keepLines/>
              <w:spacing w:after="120" w:line="240" w:lineRule="auto"/>
              <w:jc w:val="right"/>
              <w:rPr>
                <w:rFonts w:eastAsia="Arial Unicode MS"/>
                <w:sz w:val="17"/>
              </w:rPr>
            </w:pPr>
            <w:r>
              <w:rPr>
                <w:sz w:val="17"/>
              </w:rPr>
              <w:t>18</w:t>
            </w:r>
          </w:p>
        </w:tc>
      </w:tr>
      <w:tr w:rsidR="00000000">
        <w:tblPrEx>
          <w:tblCellMar>
            <w:top w:w="0" w:type="dxa"/>
            <w:left w:w="0" w:type="dxa"/>
            <w:bottom w:w="0" w:type="dxa"/>
            <w:right w:w="0" w:type="dxa"/>
          </w:tblCellMar>
        </w:tblPrEx>
        <w:trPr>
          <w:gridAfter w:val="1"/>
          <w:wAfter w:w="23" w:type="dxa"/>
          <w:trHeight w:val="162"/>
        </w:trPr>
        <w:tc>
          <w:tcPr>
            <w:tcW w:w="846" w:type="dxa"/>
            <w:tcBorders>
              <w:bottom w:val="single" w:sz="12" w:space="0" w:color="auto"/>
            </w:tcBorders>
            <w:vAlign w:val="center"/>
          </w:tcPr>
          <w:p w:rsidR="00000000" w:rsidRDefault="00000000">
            <w:pPr>
              <w:keepLines/>
              <w:spacing w:after="120" w:line="240" w:lineRule="auto"/>
              <w:jc w:val="right"/>
              <w:rPr>
                <w:rFonts w:eastAsia="Arial Unicode MS"/>
                <w:sz w:val="17"/>
              </w:rPr>
            </w:pPr>
            <w:r>
              <w:rPr>
                <w:sz w:val="17"/>
              </w:rPr>
              <w:t>117</w:t>
            </w:r>
          </w:p>
        </w:tc>
        <w:tc>
          <w:tcPr>
            <w:tcW w:w="624" w:type="dxa"/>
            <w:gridSpan w:val="2"/>
            <w:tcBorders>
              <w:bottom w:val="single" w:sz="12" w:space="0" w:color="auto"/>
            </w:tcBorders>
            <w:vAlign w:val="center"/>
          </w:tcPr>
          <w:p w:rsidR="00000000" w:rsidRDefault="00000000">
            <w:pPr>
              <w:keepLines/>
              <w:spacing w:after="120" w:line="240" w:lineRule="auto"/>
              <w:jc w:val="right"/>
              <w:rPr>
                <w:rFonts w:eastAsia="Arial Unicode MS"/>
                <w:sz w:val="17"/>
              </w:rPr>
            </w:pPr>
            <w:r>
              <w:rPr>
                <w:sz w:val="17"/>
              </w:rPr>
              <w:t>119</w:t>
            </w:r>
          </w:p>
        </w:tc>
        <w:tc>
          <w:tcPr>
            <w:tcW w:w="820" w:type="dxa"/>
            <w:tcBorders>
              <w:bottom w:val="single" w:sz="12" w:space="0" w:color="auto"/>
            </w:tcBorders>
            <w:vAlign w:val="center"/>
          </w:tcPr>
          <w:p w:rsidR="00000000" w:rsidRDefault="00000000">
            <w:pPr>
              <w:keepLines/>
              <w:spacing w:after="120" w:line="240" w:lineRule="auto"/>
              <w:jc w:val="right"/>
              <w:rPr>
                <w:rFonts w:eastAsia="Arial Unicode MS"/>
                <w:sz w:val="17"/>
              </w:rPr>
            </w:pPr>
            <w:r>
              <w:rPr>
                <w:sz w:val="17"/>
              </w:rPr>
              <w:t>39</w:t>
            </w:r>
          </w:p>
        </w:tc>
        <w:tc>
          <w:tcPr>
            <w:tcW w:w="646" w:type="dxa"/>
            <w:gridSpan w:val="2"/>
            <w:tcBorders>
              <w:bottom w:val="single" w:sz="12" w:space="0" w:color="auto"/>
            </w:tcBorders>
            <w:vAlign w:val="center"/>
          </w:tcPr>
          <w:p w:rsidR="00000000" w:rsidRDefault="00000000">
            <w:pPr>
              <w:keepLines/>
              <w:spacing w:after="120" w:line="240" w:lineRule="auto"/>
              <w:jc w:val="right"/>
              <w:rPr>
                <w:rFonts w:eastAsia="Arial Unicode MS"/>
                <w:sz w:val="17"/>
              </w:rPr>
            </w:pPr>
            <w:r>
              <w:rPr>
                <w:sz w:val="17"/>
              </w:rPr>
              <w:t>39</w:t>
            </w:r>
          </w:p>
        </w:tc>
        <w:tc>
          <w:tcPr>
            <w:tcW w:w="831" w:type="dxa"/>
            <w:gridSpan w:val="2"/>
            <w:tcBorders>
              <w:bottom w:val="single" w:sz="12" w:space="0" w:color="auto"/>
            </w:tcBorders>
            <w:vAlign w:val="center"/>
          </w:tcPr>
          <w:p w:rsidR="00000000" w:rsidRDefault="00000000">
            <w:pPr>
              <w:keepLines/>
              <w:spacing w:after="120" w:line="240" w:lineRule="auto"/>
              <w:jc w:val="right"/>
              <w:rPr>
                <w:rFonts w:eastAsia="Arial Unicode MS"/>
                <w:sz w:val="17"/>
              </w:rPr>
            </w:pPr>
            <w:r>
              <w:rPr>
                <w:sz w:val="17"/>
              </w:rPr>
              <w:t>1 069</w:t>
            </w:r>
          </w:p>
        </w:tc>
        <w:tc>
          <w:tcPr>
            <w:tcW w:w="636" w:type="dxa"/>
            <w:gridSpan w:val="3"/>
            <w:tcBorders>
              <w:bottom w:val="single" w:sz="12" w:space="0" w:color="auto"/>
            </w:tcBorders>
            <w:vAlign w:val="center"/>
          </w:tcPr>
          <w:p w:rsidR="00000000" w:rsidRDefault="00000000">
            <w:pPr>
              <w:keepLines/>
              <w:spacing w:after="120" w:line="240" w:lineRule="auto"/>
              <w:jc w:val="right"/>
              <w:rPr>
                <w:rFonts w:eastAsia="Arial Unicode MS"/>
                <w:sz w:val="17"/>
              </w:rPr>
            </w:pPr>
            <w:r>
              <w:rPr>
                <w:sz w:val="17"/>
              </w:rPr>
              <w:t>1 074</w:t>
            </w:r>
          </w:p>
        </w:tc>
        <w:tc>
          <w:tcPr>
            <w:tcW w:w="733" w:type="dxa"/>
            <w:gridSpan w:val="3"/>
            <w:tcBorders>
              <w:bottom w:val="single" w:sz="12" w:space="0" w:color="auto"/>
            </w:tcBorders>
            <w:vAlign w:val="center"/>
          </w:tcPr>
          <w:p w:rsidR="00000000" w:rsidRDefault="00000000">
            <w:pPr>
              <w:keepLines/>
              <w:spacing w:after="120" w:line="240" w:lineRule="auto"/>
              <w:jc w:val="right"/>
              <w:rPr>
                <w:rFonts w:eastAsia="Arial Unicode MS"/>
                <w:sz w:val="17"/>
              </w:rPr>
            </w:pPr>
            <w:r>
              <w:rPr>
                <w:sz w:val="17"/>
              </w:rPr>
              <w:t>4</w:t>
            </w:r>
          </w:p>
        </w:tc>
        <w:tc>
          <w:tcPr>
            <w:tcW w:w="733" w:type="dxa"/>
            <w:tcBorders>
              <w:bottom w:val="single" w:sz="12" w:space="0" w:color="auto"/>
            </w:tcBorders>
            <w:vAlign w:val="center"/>
          </w:tcPr>
          <w:p w:rsidR="00000000" w:rsidRDefault="00000000">
            <w:pPr>
              <w:keepLines/>
              <w:spacing w:after="120" w:line="240" w:lineRule="auto"/>
              <w:jc w:val="right"/>
              <w:rPr>
                <w:rFonts w:eastAsia="Arial Unicode MS"/>
                <w:sz w:val="17"/>
              </w:rPr>
            </w:pPr>
            <w:r>
              <w:rPr>
                <w:sz w:val="17"/>
              </w:rPr>
              <w:t>1 786</w:t>
            </w:r>
          </w:p>
        </w:tc>
        <w:tc>
          <w:tcPr>
            <w:tcW w:w="769" w:type="dxa"/>
            <w:gridSpan w:val="2"/>
            <w:tcBorders>
              <w:bottom w:val="single" w:sz="12" w:space="0" w:color="auto"/>
            </w:tcBorders>
            <w:vAlign w:val="center"/>
          </w:tcPr>
          <w:p w:rsidR="00000000" w:rsidRDefault="00000000">
            <w:pPr>
              <w:keepLines/>
              <w:spacing w:after="120" w:line="240" w:lineRule="auto"/>
              <w:jc w:val="right"/>
              <w:rPr>
                <w:rFonts w:eastAsia="Arial Unicode MS"/>
                <w:sz w:val="17"/>
              </w:rPr>
            </w:pPr>
            <w:r>
              <w:rPr>
                <w:sz w:val="17"/>
              </w:rPr>
              <w:t>1 792</w:t>
            </w:r>
          </w:p>
        </w:tc>
        <w:tc>
          <w:tcPr>
            <w:tcW w:w="697" w:type="dxa"/>
            <w:gridSpan w:val="2"/>
            <w:tcBorders>
              <w:bottom w:val="single" w:sz="12" w:space="0" w:color="auto"/>
            </w:tcBorders>
            <w:vAlign w:val="center"/>
          </w:tcPr>
          <w:p w:rsidR="00000000" w:rsidRDefault="00000000">
            <w:pPr>
              <w:keepLines/>
              <w:spacing w:after="120" w:line="240" w:lineRule="auto"/>
              <w:jc w:val="right"/>
              <w:rPr>
                <w:rFonts w:eastAsia="Arial Unicode MS"/>
                <w:sz w:val="17"/>
              </w:rPr>
            </w:pPr>
            <w:r>
              <w:rPr>
                <w:sz w:val="17"/>
              </w:rPr>
              <w:t>19</w:t>
            </w:r>
          </w:p>
        </w:tc>
      </w:tr>
    </w:tbl>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340" w:hanging="1073"/>
        <w:jc w:val="left"/>
        <w:rPr>
          <w:i/>
        </w:rPr>
      </w:pPr>
      <w:r>
        <w:rPr>
          <w:i/>
        </w:rPr>
        <w:t>Источник:</w:t>
      </w:r>
      <w:r>
        <w:rPr>
          <w:i/>
        </w:rPr>
        <w:tab/>
      </w:r>
      <w:r>
        <w:t>Центральное статистическое бюро, краткие статистические данные об Израиле за 2004 год.</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404.</w:t>
      </w:r>
      <w:r>
        <w:tab/>
        <w:t>Зачастую браки с несовершеннолетними лицами заключаются в закрытых общинах и не становятся достоянием гласности, поэтому вероятность получ</w:t>
      </w:r>
      <w:r>
        <w:t>е</w:t>
      </w:r>
      <w:r>
        <w:t>ния сведений о браке или доказательств его существования крайне низка. Кр</w:t>
      </w:r>
      <w:r>
        <w:t>о</w:t>
      </w:r>
      <w:r>
        <w:t xml:space="preserve">ме того, о случаях нарушения этого закона не становится известно ни полиции, ни соответствующим органам.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405.</w:t>
      </w:r>
      <w:r>
        <w:tab/>
        <w:t>В городах в северной части Израиля имеется ряд конкретных государс</w:t>
      </w:r>
      <w:r>
        <w:t>т</w:t>
      </w:r>
      <w:r>
        <w:t>венных программ, нацеленных на повышение осведомленности населения о последствиях вступления в брак до достижения совершеннолетия.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Семейные пары одного пола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406.</w:t>
      </w:r>
      <w:r>
        <w:tab/>
        <w:t>С 2000 года министерство внутренних дел проводит равноправную пол</w:t>
      </w:r>
      <w:r>
        <w:t>и</w:t>
      </w:r>
      <w:r>
        <w:t>тику в отношении семейных пар одного пола и сожительствующих пар, пр</w:t>
      </w:r>
      <w:r>
        <w:t>е</w:t>
      </w:r>
      <w:r>
        <w:t>доставляя льготы зарубежным партнерам израильских граждан одного с ними пола, имеющим статус резидентов. Как указывается в разделе, посвященном статье 9, в настоящее время министерство внутренних дел занимается изуч</w:t>
      </w:r>
      <w:r>
        <w:t>е</w:t>
      </w:r>
      <w:r>
        <w:t>нием и разработкой более гибкой политики в отношении семейных пар одного пола и гетеросексуальных не состоящих в браке сожителей, которая должна быть осуществлена в течение семи лет. В соответствии с новой политикой ин</w:t>
      </w:r>
      <w:r>
        <w:t>о</w:t>
      </w:r>
      <w:r>
        <w:t>странные партнеры будут иметь право на получение статуса временного жит</w:t>
      </w:r>
      <w:r>
        <w:t>е</w:t>
      </w:r>
      <w:r>
        <w:t>ля по истечении 12 месяцев после начала сожительства и на постоянное ж</w:t>
      </w:r>
      <w:r>
        <w:t>и</w:t>
      </w:r>
      <w:r>
        <w:t>тельство по истечении 7 лет с момента начала сожительства.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407.</w:t>
      </w:r>
      <w:r>
        <w:tab/>
        <w:t>В нашем предыдущем докладе упоминается дело юридически признанн</w:t>
      </w:r>
      <w:r>
        <w:t>о</w:t>
      </w:r>
      <w:r>
        <w:t>го усыновления ребенка лесбийской парой. С тех пор каждая женщина имеет статус опекуна в отношении биологических детей своего пар</w:t>
      </w:r>
      <w:r>
        <w:t>т</w:t>
      </w:r>
      <w:r>
        <w:t xml:space="preserve">нера. Однако их заявление в отношении совместных усыновлений вторым партнером было </w:t>
      </w:r>
      <w:r>
        <w:rPr>
          <w:i/>
        </w:rPr>
        <w:t>о</w:t>
      </w:r>
      <w:r>
        <w:rPr>
          <w:i/>
        </w:rPr>
        <w:t>т</w:t>
      </w:r>
      <w:r>
        <w:rPr>
          <w:i/>
        </w:rPr>
        <w:t>клонено</w:t>
      </w:r>
      <w:r>
        <w:t xml:space="preserve"> судом по семейным спорам и окру</w:t>
      </w:r>
      <w:r>
        <w:t>ж</w:t>
      </w:r>
      <w:r>
        <w:t>ным судом (</w:t>
      </w:r>
      <w:r>
        <w:rPr>
          <w:i/>
          <w:lang w:val="en-US"/>
        </w:rPr>
        <w:t>FAA</w:t>
      </w:r>
      <w:r>
        <w:rPr>
          <w:i/>
        </w:rPr>
        <w:t>. 10/99 Джей Дё против генерального прокурора (10.05.01)).</w:t>
      </w:r>
      <w:r>
        <w:t xml:space="preserve"> Окружной суд постановил, что с учетом целей и формулировок </w:t>
      </w:r>
      <w:r>
        <w:rPr>
          <w:i/>
        </w:rPr>
        <w:t>Закон об усыновлении или удочерении детей</w:t>
      </w:r>
      <w:r>
        <w:t>, п</w:t>
      </w:r>
      <w:r>
        <w:t>а</w:t>
      </w:r>
      <w:r>
        <w:t>ры одного и того же пола не удовлетворяют ни положениям, ни цели закона. Суд постановил, что этот вопрос является н</w:t>
      </w:r>
      <w:r>
        <w:t>е</w:t>
      </w:r>
      <w:r>
        <w:t>однозначным, и, таким образом, по нему необходимо принять законодательное решение.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408.</w:t>
      </w:r>
      <w:r>
        <w:tab/>
        <w:t>В своем беспрецедентном решении от января 2005 года Верховный суд удовлетворил обращение двух женщин, являющихся однополой парой, об ус</w:t>
      </w:r>
      <w:r>
        <w:t>ы</w:t>
      </w:r>
      <w:r>
        <w:t xml:space="preserve">новлении и удочерении детей друг друга. Суд постановил, что в соответствии с </w:t>
      </w:r>
      <w:r>
        <w:rPr>
          <w:i/>
        </w:rPr>
        <w:t>З</w:t>
      </w:r>
      <w:r>
        <w:rPr>
          <w:i/>
        </w:rPr>
        <w:t>а</w:t>
      </w:r>
      <w:r>
        <w:rPr>
          <w:i/>
        </w:rPr>
        <w:t>коном об усыновлении или удочерении</w:t>
      </w:r>
      <w:r>
        <w:t>, каждое дело следует рассматривать на основании соответствующих фактов и что все соответствующие обстоятельс</w:t>
      </w:r>
      <w:r>
        <w:t>т</w:t>
      </w:r>
      <w:r>
        <w:t>ва следует принимать во внимание. Суд особо подчеркнул, что решение касае</w:t>
      </w:r>
      <w:r>
        <w:t>т</w:t>
      </w:r>
      <w:r>
        <w:t>ся исключительно этой пары и не носит принципиального характера, оставив, таким о</w:t>
      </w:r>
      <w:r>
        <w:t>б</w:t>
      </w:r>
      <w:r>
        <w:t>разом, вопрос об отношениях между представителями одного и того же пола на будущее. Суд рекомендовал кнессету внести поправки в закон с тем, чтобы предусмотреть решение реальной проблемы и попытаться обойти иде</w:t>
      </w:r>
      <w:r>
        <w:t>о</w:t>
      </w:r>
      <w:r>
        <w:t>логич</w:t>
      </w:r>
      <w:r>
        <w:t>е</w:t>
      </w:r>
      <w:r>
        <w:t xml:space="preserve">ски сложные проблемы, связанные с этим вопросом (С.А. 10280/01 </w:t>
      </w:r>
      <w:r>
        <w:rPr>
          <w:i/>
        </w:rPr>
        <w:t>Ярос Хакак против генерального прокурора</w:t>
      </w:r>
      <w:r>
        <w:t xml:space="preserve"> (10.01.05)).</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409.</w:t>
      </w:r>
      <w:r>
        <w:tab/>
        <w:t xml:space="preserve">Государство недавно (июнь 2004 года) проинформировало Верховный суд, что оно готово предоставить однополым парам те же самые привилегии, что имеют гетеросексуальные пары в связи с налогообложением в отношении </w:t>
      </w:r>
      <w:r>
        <w:rPr>
          <w:i/>
        </w:rPr>
        <w:t>с</w:t>
      </w:r>
      <w:r>
        <w:rPr>
          <w:i/>
        </w:rPr>
        <w:t>о</w:t>
      </w:r>
      <w:r>
        <w:rPr>
          <w:i/>
        </w:rPr>
        <w:t>вместно</w:t>
      </w:r>
      <w:r>
        <w:t xml:space="preserve"> зарегистрированных жилых помещений.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410.</w:t>
      </w:r>
      <w:r>
        <w:tab/>
        <w:t>В ноябре 2004 года окружной суд Назарета пришел к выводу в устанавл</w:t>
      </w:r>
      <w:r>
        <w:t>и</w:t>
      </w:r>
      <w:r>
        <w:t xml:space="preserve">вающем прецедент решении, что термин "мужчина и женщина" в </w:t>
      </w:r>
      <w:r>
        <w:rPr>
          <w:i/>
        </w:rPr>
        <w:t>Законе о н</w:t>
      </w:r>
      <w:r>
        <w:rPr>
          <w:i/>
        </w:rPr>
        <w:t>а</w:t>
      </w:r>
      <w:r>
        <w:rPr>
          <w:i/>
        </w:rPr>
        <w:t>следовании</w:t>
      </w:r>
      <w:r>
        <w:t>, 5725-1965, ("</w:t>
      </w:r>
      <w:r>
        <w:rPr>
          <w:i/>
        </w:rPr>
        <w:t>Закон о наследовании</w:t>
      </w:r>
      <w:r>
        <w:t>") применяется в отношении о</w:t>
      </w:r>
      <w:r>
        <w:t>д</w:t>
      </w:r>
      <w:r>
        <w:t xml:space="preserve">нополых пар. Это решение было основано на общем стремлении расширить толкование термина "супруг или супруга", о чем свидетельствуют решения по другим правовым вопросам, и применить его к </w:t>
      </w:r>
      <w:r>
        <w:rPr>
          <w:i/>
        </w:rPr>
        <w:t>Закону о наследовании</w:t>
      </w:r>
      <w:r>
        <w:t>. Таким образом, заявитель и его покойный партнер, оба будучи лицами еврейской н</w:t>
      </w:r>
      <w:r>
        <w:t>а</w:t>
      </w:r>
      <w:r>
        <w:t xml:space="preserve">циональности, сожительствовали друг с другом, совместно вели хозяйство и поддерживали романтические отношения. (С.А. 3245/03 </w:t>
      </w:r>
      <w:r>
        <w:rPr>
          <w:i/>
        </w:rPr>
        <w:t>А.М. против генерал</w:t>
      </w:r>
      <w:r>
        <w:rPr>
          <w:i/>
        </w:rPr>
        <w:t>ь</w:t>
      </w:r>
      <w:r>
        <w:rPr>
          <w:i/>
        </w:rPr>
        <w:t xml:space="preserve">ного прокурора в управлении главного опекуна </w:t>
      </w:r>
      <w:r>
        <w:t>(11.11.04)).</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H1"/>
        <w:spacing w:line="300" w:lineRule="exact"/>
        <w:ind w:left="778" w:right="1267"/>
      </w:pPr>
      <w:r>
        <w:t>Новые технологии деторождения и суррогатное материнство</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3181"/>
          <w:tab w:val="left" w:pos="3657"/>
          <w:tab w:val="left" w:pos="4621"/>
          <w:tab w:val="left" w:pos="5097"/>
          <w:tab w:val="left" w:pos="5574"/>
          <w:tab w:val="left" w:pos="6050"/>
          <w:tab w:val="left" w:pos="7014"/>
          <w:tab w:val="left" w:pos="7490"/>
          <w:tab w:val="left" w:pos="8454"/>
        </w:tabs>
        <w:spacing w:after="0" w:line="120" w:lineRule="exact"/>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411.</w:t>
      </w:r>
      <w:r>
        <w:tab/>
        <w:t xml:space="preserve">Как разъясняется в нашем предыдущем докладе, </w:t>
      </w:r>
      <w:r>
        <w:rPr>
          <w:i/>
        </w:rPr>
        <w:t>Закон о соглашениях о суррогатном материнстве (утверждение соглашения и статус новорожде</w:t>
      </w:r>
      <w:r>
        <w:rPr>
          <w:i/>
        </w:rPr>
        <w:t>н</w:t>
      </w:r>
      <w:r>
        <w:rPr>
          <w:i/>
        </w:rPr>
        <w:t>ных), 5756-1996</w:t>
      </w:r>
      <w:r>
        <w:t xml:space="preserve"> ("</w:t>
      </w:r>
      <w:r>
        <w:rPr>
          <w:i/>
        </w:rPr>
        <w:t>Закон о соглашениях о суррогатном материнстве</w:t>
      </w:r>
      <w:r>
        <w:t xml:space="preserve"> (</w:t>
      </w:r>
      <w:r>
        <w:rPr>
          <w:i/>
        </w:rPr>
        <w:t>утве</w:t>
      </w:r>
      <w:r>
        <w:rPr>
          <w:i/>
        </w:rPr>
        <w:t>р</w:t>
      </w:r>
      <w:r>
        <w:rPr>
          <w:i/>
        </w:rPr>
        <w:t>ждение соглашения и статус новорожденного ребенка</w:t>
      </w:r>
      <w:r>
        <w:t>)") регламентирует п</w:t>
      </w:r>
      <w:r>
        <w:t>о</w:t>
      </w:r>
      <w:r>
        <w:t>рядок утверждения соглашений о суррогатном материнстве и статус еще не появившихся на свет детей.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412.</w:t>
      </w:r>
      <w:r>
        <w:tab/>
        <w:t>В соответствии с последними данными (март 2004 года) после принятия этого закона было получено 210 заявлений об утверждении соглашений о су</w:t>
      </w:r>
      <w:r>
        <w:t>р</w:t>
      </w:r>
      <w:r>
        <w:t>рогатном материнстве. Было утверждено 169 таких соглашений, что привело к рождению 80 детей в рамках 62 живорождений (из-за преобладания береме</w:t>
      </w:r>
      <w:r>
        <w:t>н</w:t>
      </w:r>
      <w:r>
        <w:t>ностей, сопровождавшихся появлением нескольких плодов). На ту же дату б</w:t>
      </w:r>
      <w:r>
        <w:t>е</w:t>
      </w:r>
      <w:r>
        <w:t>ременными были семь других суррогатных матерей. 15 пар, чьи соглашения были утверждены, отказались от идеи продолжать этот процесс и решились на усыновление или удочерение.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jc w:val="center"/>
      </w:pPr>
      <w:r>
        <w:t>_________</w:t>
      </w:r>
    </w:p>
    <w:sectPr w:rsidR="00000000">
      <w:headerReference w:type="even" r:id="rId22"/>
      <w:headerReference w:type="default" r:id="rId23"/>
      <w:footerReference w:type="even" r:id="rId24"/>
      <w:footerReference w:type="default" r:id="rId25"/>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NO&gt;&gt;N0537321R&lt;&lt;ODS JOB NO&gt;&gt;</w:t>
      </w:r>
    </w:p>
    <w:p w:rsidR="00000000" w:rsidRDefault="00000000">
      <w:pPr>
        <w:pStyle w:val="CommentText"/>
        <w:rPr>
          <w:lang w:val="en-US"/>
        </w:rPr>
      </w:pPr>
      <w:r>
        <w:rPr>
          <w:lang w:val="en-US"/>
        </w:rPr>
        <w:t>&lt;&lt;ODS DOC SYMBOL1&gt;&gt;CEDAW/C/ISR/4&lt;&lt;ODS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68</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05-</w:t>
    </w:r>
    <w:r>
      <w:rPr>
        <w:b w:val="0"/>
        <w:noProof w:val="0"/>
        <w:sz w:val="20"/>
      </w:rPr>
      <w:t xml:space="preserve">37321 </w:t>
    </w:r>
    <w:r>
      <w:rPr>
        <w:b w:val="0"/>
        <w:sz w:val="20"/>
      </w:rPr>
      <w:t xml:space="preserve">(R) </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*0537321*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38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37</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w:t>
      </w:r>
      <w:r>
        <w:tab/>
        <w:t>Четвертый периодический доклад Израиля был получен Секретариатом 1 июня 2005 года.</w:t>
      </w:r>
    </w:p>
    <w:p w:rsidR="00000000" w:rsidRDefault="00000000">
      <w:pPr>
        <w:pStyle w:val="FootnoteText"/>
        <w:tabs>
          <w:tab w:val="clear" w:pos="418"/>
          <w:tab w:val="right" w:pos="1195"/>
          <w:tab w:val="left" w:pos="1267"/>
          <w:tab w:val="left" w:pos="1742"/>
          <w:tab w:val="left" w:pos="2218"/>
          <w:tab w:val="left" w:pos="2693"/>
        </w:tabs>
        <w:ind w:left="1267" w:right="1260" w:hanging="432"/>
      </w:pPr>
    </w:p>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tab/>
        <w:t xml:space="preserve">Объединенный первый и второй периодический доклады, представленные правительством Израиля, см. в документе </w:t>
      </w:r>
      <w:r>
        <w:rPr>
          <w:lang w:val="en-US"/>
        </w:rPr>
        <w:t>CEDAW</w:t>
      </w:r>
      <w:r>
        <w:t>/</w:t>
      </w:r>
      <w:r>
        <w:rPr>
          <w:lang w:val="en-US"/>
        </w:rPr>
        <w:t>C</w:t>
      </w:r>
      <w:r>
        <w:t>/</w:t>
      </w:r>
      <w:r>
        <w:rPr>
          <w:lang w:val="en-US"/>
        </w:rPr>
        <w:t>ISR</w:t>
      </w:r>
      <w:r>
        <w:t xml:space="preserve">/1-2, который был рассмотрен Комитетом на его семнадцатой сессии. Третий периодический доклад, представленный правительством Израиля, см. в документе </w:t>
      </w:r>
      <w:r>
        <w:rPr>
          <w:lang w:val="en-US"/>
        </w:rPr>
        <w:t>CEDAW</w:t>
      </w:r>
      <w:r>
        <w:t>/</w:t>
      </w:r>
      <w:r>
        <w:rPr>
          <w:lang w:val="en-US"/>
        </w:rPr>
        <w:t>C</w:t>
      </w:r>
      <w:r>
        <w:t>/</w:t>
      </w:r>
      <w:r>
        <w:rPr>
          <w:lang w:val="en-US"/>
        </w:rPr>
        <w:t>ISR</w:t>
      </w:r>
      <w:r>
        <w:t>/3.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CEDAW/C/PRK/1</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CEDAWP/C/PRK/1</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/C/ISR/4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en-US"/>
            </w:rPr>
          </w:pPr>
          <w:r>
            <w:rPr>
              <w:lang w:val="en-US"/>
            </w:rPr>
            <w:t>Distr.: General</w:t>
          </w:r>
        </w:p>
        <w:p w:rsidR="00000000" w:rsidRDefault="00000000">
          <w:pPr>
            <w:rPr>
              <w:lang w:val="en-US"/>
            </w:rPr>
          </w:pPr>
          <w:r>
            <w:rPr>
              <w:lang w:val="en-US"/>
            </w:rPr>
            <w:t>2 June 2005</w:t>
          </w:r>
        </w:p>
        <w:p w:rsidR="00000000" w:rsidRDefault="00000000">
          <w:pPr>
            <w:rPr>
              <w:lang w:val="en-US"/>
            </w:rPr>
          </w:pPr>
          <w:r>
            <w:rPr>
              <w:lang w:val="en-US"/>
            </w:rPr>
            <w:t>Russian</w:t>
          </w:r>
        </w:p>
        <w:p w:rsidR="00000000" w:rsidRDefault="00000000">
          <w:pPr>
            <w:rPr>
              <w:lang w:val="en-US"/>
            </w:rPr>
          </w:pPr>
          <w:r>
            <w:rPr>
              <w:lang w:val="en-US"/>
            </w:rPr>
            <w:t>Original: English</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8" type="#_x0000_t202" style="position:absolute;margin-left:-5.75pt;margin-top:0;width:7in;height:50.4pt;z-index:4;mso-position-horizontal:absolute;mso-position-horizontal-relative:text;mso-position-vertical:absolute;mso-position-vertical-relative:text" o:allowincell="f" stroked="f">
          <v:textbox style="mso-rotate-with-shape:t" inset="0,0,0,0">
            <w:txbxContent>
              <w:tbl>
                <w:tblPr>
                  <w:tblW w:w="0" w:type="auto"/>
                  <w:tblInd w:w="11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CEDAW/C/ISR/4</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7" type="#_x0000_t202" style="position:absolute;margin-left:-5.75pt;margin-top:0;width:7in;height:50.4pt;z-index:3;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CEDAW/C/ISR/4</w:t>
                      </w:r>
                    </w:p>
                  </w:tc>
                </w:tr>
              </w:tbl>
              <w:p w:rsidR="00000000" w:rsidRDefault="00000000">
                <w:pPr>
                  <w:rPr>
                    <w:lang w:val="en-US"/>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0"/>
    <w:multiLevelType w:val="singleLevel"/>
    <w:tmpl w:val="8D603A4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5D6059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29E75E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FDE849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9">
    <w:nsid w:val="FFFFFF89"/>
    <w:multiLevelType w:val="singleLevel"/>
    <w:tmpl w:val="C77429B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9D24B9"/>
    <w:multiLevelType w:val="multilevel"/>
    <w:tmpl w:val="298AFE0A"/>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1">
    <w:nsid w:val="01164C87"/>
    <w:multiLevelType w:val="multilevel"/>
    <w:tmpl w:val="5C3AAD5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02343421"/>
    <w:multiLevelType w:val="multilevel"/>
    <w:tmpl w:val="115401C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027D3769"/>
    <w:multiLevelType w:val="multilevel"/>
    <w:tmpl w:val="CC928E0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02E24E31"/>
    <w:multiLevelType w:val="singleLevel"/>
    <w:tmpl w:val="D7F69D26"/>
    <w:lvl w:ilvl="0">
      <w:start w:val="12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
    <w:nsid w:val="03730693"/>
    <w:multiLevelType w:val="multilevel"/>
    <w:tmpl w:val="AB94B7F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049045B1"/>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7">
    <w:nsid w:val="04E0240B"/>
    <w:multiLevelType w:val="multilevel"/>
    <w:tmpl w:val="E7867B74"/>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050F3CC7"/>
    <w:multiLevelType w:val="singleLevel"/>
    <w:tmpl w:val="A66E3956"/>
    <w:lvl w:ilvl="0">
      <w:start w:val="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
    <w:nsid w:val="05D277B5"/>
    <w:multiLevelType w:val="singleLevel"/>
    <w:tmpl w:val="73A052C4"/>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
    <w:nsid w:val="06EE7E36"/>
    <w:multiLevelType w:val="singleLevel"/>
    <w:tmpl w:val="B6FED234"/>
    <w:lvl w:ilvl="0">
      <w:start w:val="1"/>
      <w:numFmt w:val="bullet"/>
      <w:lvlText w:val=""/>
      <w:lvlJc w:val="left"/>
      <w:pPr>
        <w:tabs>
          <w:tab w:val="num" w:pos="720"/>
        </w:tabs>
        <w:ind w:left="720" w:hanging="720"/>
      </w:pPr>
      <w:rPr>
        <w:rFonts w:ascii="Symbol" w:hAnsi="Symbol" w:hint="default"/>
      </w:rPr>
    </w:lvl>
  </w:abstractNum>
  <w:abstractNum w:abstractNumId="21">
    <w:nsid w:val="06FF0D37"/>
    <w:multiLevelType w:val="multilevel"/>
    <w:tmpl w:val="2D580E42"/>
    <w:lvl w:ilvl="0">
      <w:start w:val="1"/>
      <w:numFmt w:val="bullet"/>
      <w:lvlText w:val=""/>
      <w:lvlJc w:val="left"/>
      <w:pPr>
        <w:tabs>
          <w:tab w:val="num" w:pos="1440"/>
        </w:tabs>
        <w:ind w:left="1440" w:hanging="360"/>
      </w:pPr>
      <w:rPr>
        <w:rFonts w:ascii="Wingdings" w:hAnsi="Wingdings"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2">
    <w:nsid w:val="079353C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nsid w:val="079D4461"/>
    <w:multiLevelType w:val="multilevel"/>
    <w:tmpl w:val="9CC47DB8"/>
    <w:lvl w:ilvl="0">
      <w:start w:val="4"/>
      <w:numFmt w:val="decimal"/>
      <w:lvlText w:val="%1."/>
      <w:lvlJc w:val="left"/>
      <w:pPr>
        <w:tabs>
          <w:tab w:val="num" w:pos="648"/>
        </w:tabs>
        <w:ind w:left="648" w:hanging="360"/>
      </w:pPr>
      <w:rPr>
        <w:rFonts w:hint="default"/>
      </w:rPr>
    </w:lvl>
    <w:lvl w:ilvl="1">
      <w:start w:val="15"/>
      <w:numFmt w:val="decimal"/>
      <w:lvlText w:val="%2."/>
      <w:lvlJc w:val="left"/>
      <w:pPr>
        <w:tabs>
          <w:tab w:val="num" w:pos="1650"/>
        </w:tabs>
        <w:ind w:left="1650" w:hanging="57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083516E1"/>
    <w:multiLevelType w:val="singleLevel"/>
    <w:tmpl w:val="C512EEFE"/>
    <w:lvl w:ilvl="0">
      <w:start w:val="10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
    <w:nsid w:val="088631BE"/>
    <w:multiLevelType w:val="multilevel"/>
    <w:tmpl w:val="0D9A0D9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08BA78F5"/>
    <w:multiLevelType w:val="singleLevel"/>
    <w:tmpl w:val="F938A33E"/>
    <w:lvl w:ilvl="0">
      <w:numFmt w:val="bullet"/>
      <w:lvlText w:val="-"/>
      <w:lvlJc w:val="left"/>
      <w:pPr>
        <w:tabs>
          <w:tab w:val="num" w:pos="360"/>
        </w:tabs>
        <w:ind w:left="360" w:hanging="360"/>
      </w:pPr>
      <w:rPr>
        <w:rFonts w:hint="default"/>
      </w:rPr>
    </w:lvl>
  </w:abstractNum>
  <w:abstractNum w:abstractNumId="27">
    <w:nsid w:val="08ED184A"/>
    <w:multiLevelType w:val="multilevel"/>
    <w:tmpl w:val="F21806B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09442782"/>
    <w:multiLevelType w:val="multilevel"/>
    <w:tmpl w:val="D6E8252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094D0262"/>
    <w:multiLevelType w:val="multilevel"/>
    <w:tmpl w:val="4CA0EC2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095F36C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nsid w:val="09E53D0E"/>
    <w:multiLevelType w:val="singleLevel"/>
    <w:tmpl w:val="F3E88FB4"/>
    <w:lvl w:ilvl="0">
      <w:start w:val="1"/>
      <w:numFmt w:val="decimal"/>
      <w:lvlText w:val="%1."/>
      <w:lvlJc w:val="left"/>
      <w:pPr>
        <w:tabs>
          <w:tab w:val="num" w:pos="648"/>
        </w:tabs>
        <w:ind w:left="288" w:firstLine="0"/>
      </w:pPr>
      <w:rPr>
        <w:b w:val="0"/>
        <w:i w:val="0"/>
        <w:u w:val="none"/>
      </w:rPr>
    </w:lvl>
  </w:abstractNum>
  <w:abstractNum w:abstractNumId="32">
    <w:nsid w:val="0AC300E8"/>
    <w:multiLevelType w:val="multilevel"/>
    <w:tmpl w:val="F5708BB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0AD36232"/>
    <w:multiLevelType w:val="singleLevel"/>
    <w:tmpl w:val="0409000F"/>
    <w:lvl w:ilvl="0">
      <w:start w:val="1"/>
      <w:numFmt w:val="decimal"/>
      <w:lvlText w:val="%1."/>
      <w:lvlJc w:val="left"/>
      <w:pPr>
        <w:tabs>
          <w:tab w:val="num" w:pos="360"/>
        </w:tabs>
        <w:ind w:left="360" w:hanging="360"/>
      </w:pPr>
      <w:rPr>
        <w:rFonts w:hint="default"/>
        <w:u w:val="none"/>
      </w:rPr>
    </w:lvl>
  </w:abstractNum>
  <w:abstractNum w:abstractNumId="34">
    <w:nsid w:val="0B34795E"/>
    <w:multiLevelType w:val="multilevel"/>
    <w:tmpl w:val="CD20BC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0B58528F"/>
    <w:multiLevelType w:val="singleLevel"/>
    <w:tmpl w:val="06404212"/>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36">
    <w:nsid w:val="0B944C3C"/>
    <w:multiLevelType w:val="multilevel"/>
    <w:tmpl w:val="6378595C"/>
    <w:lvl w:ilvl="0">
      <w:start w:val="85"/>
      <w:numFmt w:val="decimal"/>
      <w:lvlText w:val="%1."/>
      <w:lvlJc w:val="left"/>
      <w:pPr>
        <w:tabs>
          <w:tab w:val="num" w:pos="360"/>
        </w:tabs>
        <w:ind w:left="1021" w:hanging="1021"/>
      </w:pPr>
      <w:rPr>
        <w:rFonts w:ascii="Times New Roman" w:hAnsi="Times New Roman" w:cs="Wingdings" w:hint="default"/>
        <w:b w:val="0"/>
        <w:bCs w:val="0"/>
        <w:i w:val="0"/>
        <w:iCs w:val="0"/>
        <w:sz w:val="24"/>
        <w:szCs w:val="24"/>
      </w:rPr>
    </w:lvl>
    <w:lvl w:ilvl="1">
      <w:start w:val="1"/>
      <w:numFmt w:val="decimal"/>
      <w:lvlText w:val="%1.%2."/>
      <w:lvlJc w:val="left"/>
      <w:pPr>
        <w:tabs>
          <w:tab w:val="num" w:pos="792"/>
        </w:tabs>
        <w:ind w:left="2325" w:hanging="1871"/>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0BED3C9D"/>
    <w:multiLevelType w:val="singleLevel"/>
    <w:tmpl w:val="04090015"/>
    <w:lvl w:ilvl="0">
      <w:start w:val="1"/>
      <w:numFmt w:val="upperLetter"/>
      <w:lvlText w:val="%1."/>
      <w:lvlJc w:val="left"/>
      <w:pPr>
        <w:tabs>
          <w:tab w:val="num" w:pos="360"/>
        </w:tabs>
        <w:ind w:left="360" w:hanging="360"/>
      </w:pPr>
      <w:rPr>
        <w:rFonts w:hint="default"/>
        <w:u w:val="none"/>
      </w:rPr>
    </w:lvl>
  </w:abstractNum>
  <w:abstractNum w:abstractNumId="38">
    <w:nsid w:val="0C55490E"/>
    <w:multiLevelType w:val="singleLevel"/>
    <w:tmpl w:val="F938A33E"/>
    <w:lvl w:ilvl="0">
      <w:numFmt w:val="bullet"/>
      <w:lvlText w:val="-"/>
      <w:lvlJc w:val="left"/>
      <w:pPr>
        <w:tabs>
          <w:tab w:val="num" w:pos="360"/>
        </w:tabs>
        <w:ind w:left="360" w:hanging="360"/>
      </w:pPr>
      <w:rPr>
        <w:rFonts w:hint="default"/>
      </w:rPr>
    </w:lvl>
  </w:abstractNum>
  <w:abstractNum w:abstractNumId="39">
    <w:nsid w:val="0CDD30F1"/>
    <w:multiLevelType w:val="singleLevel"/>
    <w:tmpl w:val="718229E6"/>
    <w:lvl w:ilvl="0">
      <w:start w:val="1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40">
    <w:nsid w:val="0DB6376C"/>
    <w:multiLevelType w:val="multilevel"/>
    <w:tmpl w:val="A2AE6EA4"/>
    <w:lvl w:ilvl="0">
      <w:start w:val="384"/>
      <w:numFmt w:val="decimal"/>
      <w:lvlText w:val="%1."/>
      <w:lvlJc w:val="left"/>
      <w:pPr>
        <w:tabs>
          <w:tab w:val="num" w:pos="360"/>
        </w:tabs>
        <w:ind w:left="1021" w:hanging="1021"/>
      </w:pPr>
      <w:rPr>
        <w:rFonts w:ascii="Times New Roman" w:hAnsi="Times New Roman" w:cs="Wingdings" w:hint="default"/>
        <w:b w:val="0"/>
        <w:bCs w:val="0"/>
        <w:i w:val="0"/>
        <w:iCs w:val="0"/>
        <w:sz w:val="24"/>
        <w:szCs w:val="24"/>
      </w:rPr>
    </w:lvl>
    <w:lvl w:ilvl="1">
      <w:start w:val="1"/>
      <w:numFmt w:val="decimal"/>
      <w:lvlText w:val="%1.%2."/>
      <w:lvlJc w:val="left"/>
      <w:pPr>
        <w:tabs>
          <w:tab w:val="num" w:pos="792"/>
        </w:tabs>
        <w:ind w:left="2325" w:hanging="1871"/>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0F321979"/>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42">
    <w:nsid w:val="0F4C15DE"/>
    <w:multiLevelType w:val="singleLevel"/>
    <w:tmpl w:val="109A2530"/>
    <w:lvl w:ilvl="0">
      <w:start w:val="1"/>
      <w:numFmt w:val="decimal"/>
      <w:lvlText w:val=""/>
      <w:lvlJc w:val="left"/>
      <w:pPr>
        <w:tabs>
          <w:tab w:val="num" w:pos="648"/>
        </w:tabs>
        <w:ind w:left="648" w:hanging="360"/>
      </w:pPr>
      <w:rPr>
        <w:rFonts w:hint="default"/>
        <w:u w:val="none"/>
      </w:rPr>
    </w:lvl>
  </w:abstractNum>
  <w:abstractNum w:abstractNumId="43">
    <w:nsid w:val="0F887454"/>
    <w:multiLevelType w:val="multilevel"/>
    <w:tmpl w:val="F124AC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
    <w:nsid w:val="100A00FF"/>
    <w:multiLevelType w:val="multilevel"/>
    <w:tmpl w:val="D2A6B9B6"/>
    <w:lvl w:ilvl="0">
      <w:start w:val="1"/>
      <w:numFmt w:val="lowerLetter"/>
      <w:lvlText w:val="%1)"/>
      <w:lvlJc w:val="left"/>
      <w:pPr>
        <w:tabs>
          <w:tab w:val="num" w:pos="2232"/>
        </w:tabs>
        <w:ind w:left="2232" w:hanging="432"/>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
    <w:nsid w:val="106D698C"/>
    <w:multiLevelType w:val="singleLevel"/>
    <w:tmpl w:val="557CFEA4"/>
    <w:lvl w:ilvl="0">
      <w:start w:val="1"/>
      <w:numFmt w:val="upperLetter"/>
      <w:pStyle w:val="Heading9"/>
      <w:lvlText w:val="%1."/>
      <w:lvlJc w:val="left"/>
      <w:pPr>
        <w:tabs>
          <w:tab w:val="num" w:pos="648"/>
        </w:tabs>
        <w:ind w:left="648" w:hanging="360"/>
      </w:pPr>
      <w:rPr>
        <w:rFonts w:hint="default"/>
      </w:rPr>
    </w:lvl>
  </w:abstractNum>
  <w:abstractNum w:abstractNumId="46">
    <w:nsid w:val="10C62EC4"/>
    <w:multiLevelType w:val="multilevel"/>
    <w:tmpl w:val="63A04C9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
    <w:nsid w:val="10C8709E"/>
    <w:multiLevelType w:val="singleLevel"/>
    <w:tmpl w:val="E556B404"/>
    <w:lvl w:ilvl="0">
      <w:start w:val="1"/>
      <w:numFmt w:val="decimal"/>
      <w:lvlText w:val="%1."/>
      <w:lvlJc w:val="left"/>
      <w:pPr>
        <w:tabs>
          <w:tab w:val="num" w:pos="648"/>
        </w:tabs>
        <w:ind w:left="288" w:firstLine="0"/>
      </w:pPr>
    </w:lvl>
  </w:abstractNum>
  <w:abstractNum w:abstractNumId="48">
    <w:nsid w:val="10DC72C6"/>
    <w:multiLevelType w:val="multilevel"/>
    <w:tmpl w:val="C024C23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9">
    <w:nsid w:val="111D3FD8"/>
    <w:multiLevelType w:val="multilevel"/>
    <w:tmpl w:val="E29651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0">
    <w:nsid w:val="116C20E9"/>
    <w:multiLevelType w:val="multilevel"/>
    <w:tmpl w:val="5E8C9078"/>
    <w:lvl w:ilvl="0">
      <w:start w:val="402"/>
      <w:numFmt w:val="decimal"/>
      <w:lvlText w:val="%1."/>
      <w:lvlJc w:val="left"/>
      <w:pPr>
        <w:tabs>
          <w:tab w:val="num" w:pos="360"/>
        </w:tabs>
        <w:ind w:left="1021" w:hanging="1021"/>
      </w:pPr>
      <w:rPr>
        <w:rFonts w:ascii="Times New Roman" w:hAnsi="Times New Roman" w:cs="Wingdings" w:hint="default"/>
        <w:b w:val="0"/>
        <w:bCs w:val="0"/>
        <w:i w:val="0"/>
        <w:iCs w:val="0"/>
        <w:sz w:val="24"/>
        <w:szCs w:val="24"/>
      </w:rPr>
    </w:lvl>
    <w:lvl w:ilvl="1">
      <w:start w:val="1"/>
      <w:numFmt w:val="decimal"/>
      <w:lvlText w:val="%1.%2."/>
      <w:lvlJc w:val="left"/>
      <w:pPr>
        <w:tabs>
          <w:tab w:val="num" w:pos="792"/>
        </w:tabs>
        <w:ind w:left="2325" w:hanging="1871"/>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118A1F22"/>
    <w:multiLevelType w:val="singleLevel"/>
    <w:tmpl w:val="99BEB8D8"/>
    <w:lvl w:ilvl="0">
      <w:start w:val="1"/>
      <w:numFmt w:val="decimal"/>
      <w:lvlText w:val="%1. "/>
      <w:legacy w:legacy="1" w:legacySpace="0" w:legacyIndent="283"/>
      <w:lvlJc w:val="left"/>
      <w:pPr>
        <w:ind w:left="2443" w:hanging="283"/>
      </w:pPr>
      <w:rPr>
        <w:rFonts w:ascii="Times New Roman" w:hAnsi="Times New Roman" w:hint="default"/>
        <w:b w:val="0"/>
        <w:i w:val="0"/>
        <w:sz w:val="28"/>
        <w:u w:val="none"/>
      </w:rPr>
    </w:lvl>
  </w:abstractNum>
  <w:abstractNum w:abstractNumId="52">
    <w:nsid w:val="118B36AE"/>
    <w:multiLevelType w:val="singleLevel"/>
    <w:tmpl w:val="C00C142A"/>
    <w:lvl w:ilvl="0">
      <w:start w:val="5"/>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53">
    <w:nsid w:val="1199519C"/>
    <w:multiLevelType w:val="multilevel"/>
    <w:tmpl w:val="C6DA0EA6"/>
    <w:lvl w:ilvl="0">
      <w:start w:val="5"/>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54">
    <w:nsid w:val="11E35EE0"/>
    <w:multiLevelType w:val="singleLevel"/>
    <w:tmpl w:val="2A44CA10"/>
    <w:lvl w:ilvl="0">
      <w:start w:val="3"/>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55">
    <w:nsid w:val="12127882"/>
    <w:multiLevelType w:val="multilevel"/>
    <w:tmpl w:val="EF62034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6">
    <w:nsid w:val="125327D3"/>
    <w:multiLevelType w:val="singleLevel"/>
    <w:tmpl w:val="1B46C1EE"/>
    <w:lvl w:ilvl="0">
      <w:start w:val="6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7">
    <w:nsid w:val="126E317D"/>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58">
    <w:nsid w:val="128815FA"/>
    <w:multiLevelType w:val="singleLevel"/>
    <w:tmpl w:val="A78A0C26"/>
    <w:lvl w:ilvl="0">
      <w:start w:val="7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9">
    <w:nsid w:val="134157B2"/>
    <w:multiLevelType w:val="singleLevel"/>
    <w:tmpl w:val="00E6D9E8"/>
    <w:lvl w:ilvl="0">
      <w:start w:val="1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0">
    <w:nsid w:val="135420E0"/>
    <w:multiLevelType w:val="singleLevel"/>
    <w:tmpl w:val="05143C68"/>
    <w:lvl w:ilvl="0">
      <w:start w:val="43"/>
      <w:numFmt w:val="decimal"/>
      <w:lvlText w:val="%1."/>
      <w:lvlJc w:val="left"/>
      <w:pPr>
        <w:tabs>
          <w:tab w:val="num" w:pos="648"/>
        </w:tabs>
        <w:ind w:left="360" w:hanging="72"/>
      </w:pPr>
    </w:lvl>
  </w:abstractNum>
  <w:abstractNum w:abstractNumId="61">
    <w:nsid w:val="13C46E10"/>
    <w:multiLevelType w:val="singleLevel"/>
    <w:tmpl w:val="31064436"/>
    <w:lvl w:ilvl="0">
      <w:start w:val="6"/>
      <w:numFmt w:val="decimal"/>
      <w:lvlText w:val="%1. "/>
      <w:legacy w:legacy="1" w:legacySpace="0" w:legacyIndent="283"/>
      <w:lvlJc w:val="left"/>
      <w:pPr>
        <w:ind w:left="1003" w:hanging="283"/>
      </w:pPr>
      <w:rPr>
        <w:rFonts w:ascii="Times New Roman" w:hAnsi="Times New Roman" w:hint="default"/>
        <w:b w:val="0"/>
        <w:i w:val="0"/>
        <w:sz w:val="28"/>
        <w:u w:val="none"/>
      </w:rPr>
    </w:lvl>
  </w:abstractNum>
  <w:abstractNum w:abstractNumId="62">
    <w:nsid w:val="14C740E3"/>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63">
    <w:nsid w:val="14CE4492"/>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64">
    <w:nsid w:val="15BE5CC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5">
    <w:nsid w:val="15C8569C"/>
    <w:multiLevelType w:val="singleLevel"/>
    <w:tmpl w:val="D668047E"/>
    <w:lvl w:ilvl="0">
      <w:start w:val="3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6">
    <w:nsid w:val="15D36F16"/>
    <w:multiLevelType w:val="singleLevel"/>
    <w:tmpl w:val="0409000F"/>
    <w:lvl w:ilvl="0">
      <w:start w:val="1"/>
      <w:numFmt w:val="decimal"/>
      <w:lvlText w:val="%1."/>
      <w:lvlJc w:val="left"/>
      <w:pPr>
        <w:tabs>
          <w:tab w:val="num" w:pos="360"/>
        </w:tabs>
        <w:ind w:left="360" w:hanging="360"/>
      </w:pPr>
    </w:lvl>
  </w:abstractNum>
  <w:abstractNum w:abstractNumId="67">
    <w:nsid w:val="163053A7"/>
    <w:multiLevelType w:val="singleLevel"/>
    <w:tmpl w:val="CF301094"/>
    <w:lvl w:ilvl="0">
      <w:start w:val="5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8">
    <w:nsid w:val="165F63FD"/>
    <w:multiLevelType w:val="singleLevel"/>
    <w:tmpl w:val="7D92BA1A"/>
    <w:lvl w:ilvl="0">
      <w:start w:val="1"/>
      <w:numFmt w:val="lowerLetter"/>
      <w:lvlText w:val="(%1)"/>
      <w:lvlJc w:val="left"/>
      <w:pPr>
        <w:tabs>
          <w:tab w:val="num" w:pos="648"/>
        </w:tabs>
        <w:ind w:left="648" w:hanging="360"/>
      </w:pPr>
      <w:rPr>
        <w:rFonts w:hint="default"/>
      </w:rPr>
    </w:lvl>
  </w:abstractNum>
  <w:abstractNum w:abstractNumId="69">
    <w:nsid w:val="171115D5"/>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70">
    <w:nsid w:val="173F0FD0"/>
    <w:multiLevelType w:val="multilevel"/>
    <w:tmpl w:val="9DBEF112"/>
    <w:lvl w:ilvl="0">
      <w:start w:val="1"/>
      <w:numFmt w:val="decimal"/>
      <w:lvlText w:val="%1."/>
      <w:lvlJc w:val="left"/>
      <w:pPr>
        <w:tabs>
          <w:tab w:val="num" w:pos="1495"/>
        </w:tabs>
        <w:ind w:left="1495" w:hanging="360"/>
      </w:pPr>
      <w:rPr>
        <w:sz w:val="24"/>
        <w:szCs w:val="24"/>
        <w:lang w:bidi="he-IL"/>
      </w:rPr>
    </w:lvl>
    <w:lvl w:ilvl="1">
      <w:start w:val="3"/>
      <w:numFmt w:val="bullet"/>
      <w:lvlText w:val="-"/>
      <w:lvlJc w:val="left"/>
      <w:pPr>
        <w:tabs>
          <w:tab w:val="num" w:pos="5750"/>
        </w:tabs>
        <w:ind w:left="5750" w:hanging="4320"/>
      </w:pPr>
      <w:rPr>
        <w:rFonts w:ascii="Times New Roman" w:eastAsia="Times New Roman" w:hAnsi="Times New Roman" w:cs="Times New Roman" w:hint="default"/>
      </w:rPr>
    </w:lvl>
    <w:lvl w:ilvl="2">
      <w:start w:val="1"/>
      <w:numFmt w:val="lowerLetter"/>
      <w:lvlText w:val="(%3)"/>
      <w:lvlJc w:val="left"/>
      <w:pPr>
        <w:tabs>
          <w:tab w:val="num" w:pos="2690"/>
        </w:tabs>
        <w:ind w:left="2690" w:hanging="360"/>
      </w:pPr>
      <w:rPr>
        <w:rFonts w:hint="default"/>
      </w:rPr>
    </w:lvl>
    <w:lvl w:ilvl="3">
      <w:start w:val="1"/>
      <w:numFmt w:val="decimal"/>
      <w:lvlText w:val="%4."/>
      <w:lvlJc w:val="left"/>
      <w:pPr>
        <w:tabs>
          <w:tab w:val="num" w:pos="3230"/>
        </w:tabs>
        <w:ind w:left="3230" w:hanging="360"/>
      </w:pPr>
    </w:lvl>
    <w:lvl w:ilvl="4">
      <w:start w:val="1"/>
      <w:numFmt w:val="lowerLetter"/>
      <w:lvlText w:val="%5."/>
      <w:lvlJc w:val="left"/>
      <w:pPr>
        <w:tabs>
          <w:tab w:val="num" w:pos="3950"/>
        </w:tabs>
        <w:ind w:left="3950" w:hanging="360"/>
      </w:pPr>
    </w:lvl>
    <w:lvl w:ilvl="5">
      <w:start w:val="1"/>
      <w:numFmt w:val="lowerRoman"/>
      <w:lvlText w:val="%6."/>
      <w:lvlJc w:val="right"/>
      <w:pPr>
        <w:tabs>
          <w:tab w:val="num" w:pos="4670"/>
        </w:tabs>
        <w:ind w:left="4670" w:hanging="180"/>
      </w:pPr>
    </w:lvl>
    <w:lvl w:ilvl="6">
      <w:start w:val="1"/>
      <w:numFmt w:val="decimal"/>
      <w:lvlText w:val="%7."/>
      <w:lvlJc w:val="left"/>
      <w:pPr>
        <w:tabs>
          <w:tab w:val="num" w:pos="5390"/>
        </w:tabs>
        <w:ind w:left="5390" w:hanging="360"/>
      </w:pPr>
    </w:lvl>
    <w:lvl w:ilvl="7">
      <w:start w:val="1"/>
      <w:numFmt w:val="lowerLetter"/>
      <w:lvlText w:val="%8."/>
      <w:lvlJc w:val="left"/>
      <w:pPr>
        <w:tabs>
          <w:tab w:val="num" w:pos="6110"/>
        </w:tabs>
        <w:ind w:left="6110" w:hanging="360"/>
      </w:pPr>
    </w:lvl>
    <w:lvl w:ilvl="8">
      <w:start w:val="1"/>
      <w:numFmt w:val="lowerRoman"/>
      <w:lvlText w:val="%9."/>
      <w:lvlJc w:val="right"/>
      <w:pPr>
        <w:tabs>
          <w:tab w:val="num" w:pos="6830"/>
        </w:tabs>
        <w:ind w:left="6830" w:hanging="180"/>
      </w:pPr>
    </w:lvl>
  </w:abstractNum>
  <w:abstractNum w:abstractNumId="71">
    <w:nsid w:val="17A42F28"/>
    <w:multiLevelType w:val="singleLevel"/>
    <w:tmpl w:val="9622FACE"/>
    <w:lvl w:ilvl="0">
      <w:start w:val="12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2">
    <w:nsid w:val="18094EC5"/>
    <w:multiLevelType w:val="singleLevel"/>
    <w:tmpl w:val="0409000F"/>
    <w:lvl w:ilvl="0">
      <w:start w:val="1"/>
      <w:numFmt w:val="decimal"/>
      <w:lvlText w:val="%1."/>
      <w:lvlJc w:val="left"/>
      <w:pPr>
        <w:tabs>
          <w:tab w:val="num" w:pos="360"/>
        </w:tabs>
        <w:ind w:left="360" w:hanging="360"/>
      </w:pPr>
    </w:lvl>
  </w:abstractNum>
  <w:abstractNum w:abstractNumId="73">
    <w:nsid w:val="182620B7"/>
    <w:multiLevelType w:val="singleLevel"/>
    <w:tmpl w:val="89FCEDBA"/>
    <w:lvl w:ilvl="0">
      <w:start w:val="1"/>
      <w:numFmt w:val="decimal"/>
      <w:lvlText w:val="%1."/>
      <w:lvlJc w:val="left"/>
      <w:pPr>
        <w:tabs>
          <w:tab w:val="num" w:pos="1920"/>
        </w:tabs>
        <w:ind w:left="1920" w:hanging="480"/>
      </w:pPr>
      <w:rPr>
        <w:rFonts w:hint="default"/>
      </w:rPr>
    </w:lvl>
  </w:abstractNum>
  <w:abstractNum w:abstractNumId="74">
    <w:nsid w:val="185D6F33"/>
    <w:multiLevelType w:val="singleLevel"/>
    <w:tmpl w:val="7D6AE164"/>
    <w:lvl w:ilvl="0">
      <w:start w:val="7"/>
      <w:numFmt w:val="decimal"/>
      <w:lvlText w:val="%1."/>
      <w:lvlJc w:val="left"/>
      <w:pPr>
        <w:tabs>
          <w:tab w:val="num" w:pos="1170"/>
        </w:tabs>
        <w:ind w:left="1170" w:hanging="1170"/>
      </w:pPr>
      <w:rPr>
        <w:rFonts w:hint="default"/>
      </w:rPr>
    </w:lvl>
  </w:abstractNum>
  <w:abstractNum w:abstractNumId="75">
    <w:nsid w:val="186C1774"/>
    <w:multiLevelType w:val="singleLevel"/>
    <w:tmpl w:val="0A42F93E"/>
    <w:lvl w:ilvl="0">
      <w:start w:val="8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6">
    <w:nsid w:val="18844367"/>
    <w:multiLevelType w:val="multilevel"/>
    <w:tmpl w:val="19B477B0"/>
    <w:lvl w:ilvl="0">
      <w:start w:val="5"/>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7">
    <w:nsid w:val="18BB0421"/>
    <w:multiLevelType w:val="singleLevel"/>
    <w:tmpl w:val="18F4AD26"/>
    <w:lvl w:ilvl="0">
      <w:start w:val="5"/>
      <w:numFmt w:val="bullet"/>
      <w:lvlText w:val="-"/>
      <w:lvlJc w:val="left"/>
      <w:pPr>
        <w:tabs>
          <w:tab w:val="num" w:pos="720"/>
        </w:tabs>
        <w:ind w:left="720" w:hanging="720"/>
      </w:pPr>
      <w:rPr>
        <w:rFonts w:hint="default"/>
      </w:rPr>
    </w:lvl>
  </w:abstractNum>
  <w:abstractNum w:abstractNumId="78">
    <w:nsid w:val="18BF2026"/>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79">
    <w:nsid w:val="19325BF2"/>
    <w:multiLevelType w:val="multilevel"/>
    <w:tmpl w:val="595A630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0">
    <w:nsid w:val="19F62031"/>
    <w:multiLevelType w:val="singleLevel"/>
    <w:tmpl w:val="594AE0CC"/>
    <w:lvl w:ilvl="0">
      <w:start w:val="1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1">
    <w:nsid w:val="1AA90438"/>
    <w:multiLevelType w:val="multilevel"/>
    <w:tmpl w:val="90F47506"/>
    <w:lvl w:ilvl="0">
      <w:numFmt w:val="bullet"/>
      <w:lvlText w:val="-"/>
      <w:lvlJc w:val="left"/>
      <w:pPr>
        <w:tabs>
          <w:tab w:val="num" w:pos="630"/>
        </w:tabs>
        <w:ind w:left="630" w:hanging="360"/>
      </w:pPr>
      <w:rPr>
        <w:rFonts w:ascii="Times New Roman" w:eastAsia="Times New Roman" w:hAnsi="Times New Roman" w:cs="Times New Roman" w:hint="default"/>
      </w:rPr>
    </w:lvl>
    <w:lvl w:ilvl="1" w:tentative="1">
      <w:start w:val="1"/>
      <w:numFmt w:val="bullet"/>
      <w:lvlText w:val="o"/>
      <w:lvlJc w:val="left"/>
      <w:pPr>
        <w:tabs>
          <w:tab w:val="num" w:pos="1350"/>
        </w:tabs>
        <w:ind w:left="1350" w:hanging="360"/>
      </w:pPr>
      <w:rPr>
        <w:rFonts w:ascii="Courier New" w:hAnsi="Courier New" w:hint="default"/>
      </w:rPr>
    </w:lvl>
    <w:lvl w:ilvl="2" w:tentative="1">
      <w:start w:val="1"/>
      <w:numFmt w:val="bullet"/>
      <w:lvlText w:val=""/>
      <w:lvlJc w:val="left"/>
      <w:pPr>
        <w:tabs>
          <w:tab w:val="num" w:pos="2070"/>
        </w:tabs>
        <w:ind w:left="2070" w:hanging="360"/>
      </w:pPr>
      <w:rPr>
        <w:rFonts w:ascii="Wingdings" w:hAnsi="Wingdings" w:hint="default"/>
      </w:rPr>
    </w:lvl>
    <w:lvl w:ilvl="3" w:tentative="1">
      <w:start w:val="1"/>
      <w:numFmt w:val="bullet"/>
      <w:lvlText w:val=""/>
      <w:lvlJc w:val="left"/>
      <w:pPr>
        <w:tabs>
          <w:tab w:val="num" w:pos="2790"/>
        </w:tabs>
        <w:ind w:left="2790" w:hanging="360"/>
      </w:pPr>
      <w:rPr>
        <w:rFonts w:ascii="Symbol" w:hAnsi="Symbol" w:hint="default"/>
      </w:rPr>
    </w:lvl>
    <w:lvl w:ilvl="4" w:tentative="1">
      <w:start w:val="1"/>
      <w:numFmt w:val="bullet"/>
      <w:lvlText w:val="o"/>
      <w:lvlJc w:val="left"/>
      <w:pPr>
        <w:tabs>
          <w:tab w:val="num" w:pos="3510"/>
        </w:tabs>
        <w:ind w:left="3510" w:hanging="360"/>
      </w:pPr>
      <w:rPr>
        <w:rFonts w:ascii="Courier New" w:hAnsi="Courier New" w:hint="default"/>
      </w:rPr>
    </w:lvl>
    <w:lvl w:ilvl="5" w:tentative="1">
      <w:start w:val="1"/>
      <w:numFmt w:val="bullet"/>
      <w:lvlText w:val=""/>
      <w:lvlJc w:val="left"/>
      <w:pPr>
        <w:tabs>
          <w:tab w:val="num" w:pos="4230"/>
        </w:tabs>
        <w:ind w:left="4230" w:hanging="360"/>
      </w:pPr>
      <w:rPr>
        <w:rFonts w:ascii="Wingdings" w:hAnsi="Wingdings" w:hint="default"/>
      </w:rPr>
    </w:lvl>
    <w:lvl w:ilvl="6" w:tentative="1">
      <w:start w:val="1"/>
      <w:numFmt w:val="bullet"/>
      <w:lvlText w:val=""/>
      <w:lvlJc w:val="left"/>
      <w:pPr>
        <w:tabs>
          <w:tab w:val="num" w:pos="4950"/>
        </w:tabs>
        <w:ind w:left="4950" w:hanging="360"/>
      </w:pPr>
      <w:rPr>
        <w:rFonts w:ascii="Symbol" w:hAnsi="Symbol" w:hint="default"/>
      </w:rPr>
    </w:lvl>
    <w:lvl w:ilvl="7" w:tentative="1">
      <w:start w:val="1"/>
      <w:numFmt w:val="bullet"/>
      <w:lvlText w:val="o"/>
      <w:lvlJc w:val="left"/>
      <w:pPr>
        <w:tabs>
          <w:tab w:val="num" w:pos="5670"/>
        </w:tabs>
        <w:ind w:left="5670" w:hanging="360"/>
      </w:pPr>
      <w:rPr>
        <w:rFonts w:ascii="Courier New" w:hAnsi="Courier New" w:hint="default"/>
      </w:rPr>
    </w:lvl>
    <w:lvl w:ilvl="8" w:tentative="1">
      <w:start w:val="1"/>
      <w:numFmt w:val="bullet"/>
      <w:lvlText w:val=""/>
      <w:lvlJc w:val="left"/>
      <w:pPr>
        <w:tabs>
          <w:tab w:val="num" w:pos="6390"/>
        </w:tabs>
        <w:ind w:left="6390" w:hanging="360"/>
      </w:pPr>
      <w:rPr>
        <w:rFonts w:ascii="Wingdings" w:hAnsi="Wingdings" w:hint="default"/>
      </w:rPr>
    </w:lvl>
  </w:abstractNum>
  <w:abstractNum w:abstractNumId="82">
    <w:nsid w:val="1BD90FAB"/>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83">
    <w:nsid w:val="1BFD7EFE"/>
    <w:multiLevelType w:val="multilevel"/>
    <w:tmpl w:val="4A38BD2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4">
    <w:nsid w:val="1CF06CB0"/>
    <w:multiLevelType w:val="singleLevel"/>
    <w:tmpl w:val="E1BA5E92"/>
    <w:lvl w:ilvl="0">
      <w:start w:val="1"/>
      <w:numFmt w:val="decimal"/>
      <w:lvlText w:val="%1."/>
      <w:lvlJc w:val="left"/>
      <w:pPr>
        <w:tabs>
          <w:tab w:val="num" w:pos="1800"/>
        </w:tabs>
        <w:ind w:left="1800" w:hanging="360"/>
      </w:pPr>
      <w:rPr>
        <w:rFonts w:hint="default"/>
      </w:rPr>
    </w:lvl>
  </w:abstractNum>
  <w:abstractNum w:abstractNumId="85">
    <w:nsid w:val="1D8A787B"/>
    <w:multiLevelType w:val="multilevel"/>
    <w:tmpl w:val="69288F04"/>
    <w:lvl w:ilvl="0">
      <w:start w:val="385"/>
      <w:numFmt w:val="decimal"/>
      <w:lvlText w:val="%1."/>
      <w:lvlJc w:val="left"/>
      <w:pPr>
        <w:tabs>
          <w:tab w:val="num" w:pos="360"/>
        </w:tabs>
        <w:ind w:left="1021" w:hanging="1021"/>
      </w:pPr>
      <w:rPr>
        <w:rFonts w:ascii="Times New Roman" w:hAnsi="Times New Roman" w:cs="Wingdings" w:hint="default"/>
        <w:b w:val="0"/>
        <w:bCs w:val="0"/>
        <w:i w:val="0"/>
        <w:iCs w:val="0"/>
        <w:sz w:val="24"/>
        <w:szCs w:val="24"/>
      </w:rPr>
    </w:lvl>
    <w:lvl w:ilvl="1">
      <w:start w:val="1"/>
      <w:numFmt w:val="decimal"/>
      <w:lvlText w:val="%1.%2."/>
      <w:lvlJc w:val="left"/>
      <w:pPr>
        <w:tabs>
          <w:tab w:val="num" w:pos="792"/>
        </w:tabs>
        <w:ind w:left="2325" w:hanging="1871"/>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6">
    <w:nsid w:val="1F1772A6"/>
    <w:multiLevelType w:val="singleLevel"/>
    <w:tmpl w:val="AA5AC07E"/>
    <w:lvl w:ilvl="0">
      <w:start w:val="132"/>
      <w:numFmt w:val="decimal"/>
      <w:lvlText w:val="%1."/>
      <w:lvlJc w:val="left"/>
      <w:pPr>
        <w:tabs>
          <w:tab w:val="num" w:pos="648"/>
        </w:tabs>
        <w:ind w:left="288" w:firstLine="0"/>
      </w:pPr>
    </w:lvl>
  </w:abstractNum>
  <w:abstractNum w:abstractNumId="87">
    <w:nsid w:val="1F343CC2"/>
    <w:multiLevelType w:val="multilevel"/>
    <w:tmpl w:val="41B8956E"/>
    <w:lvl w:ilvl="0">
      <w:start w:val="1"/>
      <w:numFmt w:val="bullet"/>
      <w:lvlText w:val=""/>
      <w:lvlJc w:val="left"/>
      <w:pPr>
        <w:tabs>
          <w:tab w:val="num" w:pos="840"/>
        </w:tabs>
        <w:ind w:left="840" w:hanging="360"/>
      </w:pPr>
      <w:rPr>
        <w:rFonts w:ascii="Symbol" w:hAnsi="Symbol" w:hint="default"/>
      </w:rPr>
    </w:lvl>
    <w:lvl w:ilvl="1" w:tentative="1">
      <w:start w:val="1"/>
      <w:numFmt w:val="bullet"/>
      <w:lvlText w:val="o"/>
      <w:lvlJc w:val="left"/>
      <w:pPr>
        <w:tabs>
          <w:tab w:val="num" w:pos="1560"/>
        </w:tabs>
        <w:ind w:left="1560" w:hanging="360"/>
      </w:pPr>
      <w:rPr>
        <w:rFonts w:ascii="Courier New" w:hAnsi="Courier New" w:hint="default"/>
      </w:rPr>
    </w:lvl>
    <w:lvl w:ilvl="2" w:tentative="1">
      <w:start w:val="1"/>
      <w:numFmt w:val="bullet"/>
      <w:lvlText w:val=""/>
      <w:lvlJc w:val="left"/>
      <w:pPr>
        <w:tabs>
          <w:tab w:val="num" w:pos="2280"/>
        </w:tabs>
        <w:ind w:left="2280" w:hanging="360"/>
      </w:pPr>
      <w:rPr>
        <w:rFonts w:ascii="Wingdings" w:hAnsi="Wingdings" w:hint="default"/>
      </w:rPr>
    </w:lvl>
    <w:lvl w:ilvl="3" w:tentative="1">
      <w:start w:val="1"/>
      <w:numFmt w:val="bullet"/>
      <w:lvlText w:val=""/>
      <w:lvlJc w:val="left"/>
      <w:pPr>
        <w:tabs>
          <w:tab w:val="num" w:pos="3000"/>
        </w:tabs>
        <w:ind w:left="3000" w:hanging="360"/>
      </w:pPr>
      <w:rPr>
        <w:rFonts w:ascii="Symbol" w:hAnsi="Symbol" w:hint="default"/>
      </w:rPr>
    </w:lvl>
    <w:lvl w:ilvl="4" w:tentative="1">
      <w:start w:val="1"/>
      <w:numFmt w:val="bullet"/>
      <w:lvlText w:val="o"/>
      <w:lvlJc w:val="left"/>
      <w:pPr>
        <w:tabs>
          <w:tab w:val="num" w:pos="3720"/>
        </w:tabs>
        <w:ind w:left="3720" w:hanging="360"/>
      </w:pPr>
      <w:rPr>
        <w:rFonts w:ascii="Courier New" w:hAnsi="Courier New" w:hint="default"/>
      </w:rPr>
    </w:lvl>
    <w:lvl w:ilvl="5" w:tentative="1">
      <w:start w:val="1"/>
      <w:numFmt w:val="bullet"/>
      <w:lvlText w:val=""/>
      <w:lvlJc w:val="left"/>
      <w:pPr>
        <w:tabs>
          <w:tab w:val="num" w:pos="4440"/>
        </w:tabs>
        <w:ind w:left="4440" w:hanging="360"/>
      </w:pPr>
      <w:rPr>
        <w:rFonts w:ascii="Wingdings" w:hAnsi="Wingdings" w:hint="default"/>
      </w:rPr>
    </w:lvl>
    <w:lvl w:ilvl="6" w:tentative="1">
      <w:start w:val="1"/>
      <w:numFmt w:val="bullet"/>
      <w:lvlText w:val=""/>
      <w:lvlJc w:val="left"/>
      <w:pPr>
        <w:tabs>
          <w:tab w:val="num" w:pos="5160"/>
        </w:tabs>
        <w:ind w:left="5160" w:hanging="360"/>
      </w:pPr>
      <w:rPr>
        <w:rFonts w:ascii="Symbol" w:hAnsi="Symbol" w:hint="default"/>
      </w:rPr>
    </w:lvl>
    <w:lvl w:ilvl="7" w:tentative="1">
      <w:start w:val="1"/>
      <w:numFmt w:val="bullet"/>
      <w:lvlText w:val="o"/>
      <w:lvlJc w:val="left"/>
      <w:pPr>
        <w:tabs>
          <w:tab w:val="num" w:pos="5880"/>
        </w:tabs>
        <w:ind w:left="5880" w:hanging="360"/>
      </w:pPr>
      <w:rPr>
        <w:rFonts w:ascii="Courier New" w:hAnsi="Courier New" w:hint="default"/>
      </w:rPr>
    </w:lvl>
    <w:lvl w:ilvl="8" w:tentative="1">
      <w:start w:val="1"/>
      <w:numFmt w:val="bullet"/>
      <w:lvlText w:val=""/>
      <w:lvlJc w:val="left"/>
      <w:pPr>
        <w:tabs>
          <w:tab w:val="num" w:pos="6600"/>
        </w:tabs>
        <w:ind w:left="6600" w:hanging="360"/>
      </w:pPr>
      <w:rPr>
        <w:rFonts w:ascii="Wingdings" w:hAnsi="Wingdings" w:hint="default"/>
      </w:rPr>
    </w:lvl>
  </w:abstractNum>
  <w:abstractNum w:abstractNumId="88">
    <w:nsid w:val="201C0F9A"/>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89">
    <w:nsid w:val="20551B7E"/>
    <w:multiLevelType w:val="multilevel"/>
    <w:tmpl w:val="E6B6738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0">
    <w:nsid w:val="21060AD0"/>
    <w:multiLevelType w:val="multilevel"/>
    <w:tmpl w:val="0F50E26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1">
    <w:nsid w:val="221234C1"/>
    <w:multiLevelType w:val="singleLevel"/>
    <w:tmpl w:val="CE0084AC"/>
    <w:lvl w:ilvl="0">
      <w:start w:val="1"/>
      <w:numFmt w:val="decimal"/>
      <w:lvlText w:val="%1."/>
      <w:lvlJc w:val="left"/>
      <w:pPr>
        <w:tabs>
          <w:tab w:val="num" w:pos="360"/>
        </w:tabs>
        <w:ind w:left="360" w:hanging="360"/>
      </w:pPr>
    </w:lvl>
  </w:abstractNum>
  <w:abstractNum w:abstractNumId="92">
    <w:nsid w:val="229D1C78"/>
    <w:multiLevelType w:val="multilevel"/>
    <w:tmpl w:val="A79CB220"/>
    <w:lvl w:ilvl="0">
      <w:start w:val="1"/>
      <w:numFmt w:val="lowerLetter"/>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93">
    <w:nsid w:val="22A24D15"/>
    <w:multiLevelType w:val="multilevel"/>
    <w:tmpl w:val="E8E6458A"/>
    <w:lvl w:ilvl="0">
      <w:start w:val="1"/>
      <w:numFmt w:val="bullet"/>
      <w:lvlText w:val="·"/>
      <w:lvlJc w:val="left"/>
      <w:pPr>
        <w:tabs>
          <w:tab w:val="num" w:pos="1080"/>
        </w:tabs>
        <w:ind w:left="1080" w:hanging="648"/>
      </w:pPr>
      <w:rPr>
        <w:rFonts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4">
    <w:nsid w:val="233F6D01"/>
    <w:multiLevelType w:val="multilevel"/>
    <w:tmpl w:val="097AE718"/>
    <w:lvl w:ilvl="0">
      <w:start w:val="1"/>
      <w:numFmt w:val="bullet"/>
      <w:lvlText w:val="·"/>
      <w:lvlJc w:val="left"/>
      <w:pPr>
        <w:tabs>
          <w:tab w:val="num" w:pos="1080"/>
        </w:tabs>
        <w:ind w:left="1080" w:hanging="648"/>
      </w:pPr>
      <w:rPr>
        <w:rFonts w:hAnsi="Courier New"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5">
    <w:nsid w:val="23D85D99"/>
    <w:multiLevelType w:val="singleLevel"/>
    <w:tmpl w:val="E5B86D8C"/>
    <w:lvl w:ilvl="0">
      <w:start w:val="1"/>
      <w:numFmt w:val="upperLetter"/>
      <w:lvlText w:val="%1."/>
      <w:lvlJc w:val="left"/>
      <w:pPr>
        <w:tabs>
          <w:tab w:val="num" w:pos="1080"/>
        </w:tabs>
        <w:ind w:left="1080" w:hanging="360"/>
      </w:pPr>
      <w:rPr>
        <w:rFonts w:hint="default"/>
      </w:rPr>
    </w:lvl>
  </w:abstractNum>
  <w:abstractNum w:abstractNumId="96">
    <w:nsid w:val="2518546C"/>
    <w:multiLevelType w:val="singleLevel"/>
    <w:tmpl w:val="0409000F"/>
    <w:lvl w:ilvl="0">
      <w:start w:val="1"/>
      <w:numFmt w:val="decimal"/>
      <w:lvlText w:val="%1."/>
      <w:lvlJc w:val="left"/>
      <w:pPr>
        <w:tabs>
          <w:tab w:val="num" w:pos="360"/>
        </w:tabs>
        <w:ind w:left="360" w:hanging="360"/>
      </w:pPr>
    </w:lvl>
  </w:abstractNum>
  <w:abstractNum w:abstractNumId="97">
    <w:nsid w:val="254C1AE1"/>
    <w:multiLevelType w:val="singleLevel"/>
    <w:tmpl w:val="AADC4C3A"/>
    <w:lvl w:ilvl="0">
      <w:start w:val="7"/>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98">
    <w:nsid w:val="259A3610"/>
    <w:multiLevelType w:val="singleLevel"/>
    <w:tmpl w:val="96BE93C0"/>
    <w:lvl w:ilvl="0">
      <w:start w:val="3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9">
    <w:nsid w:val="262C2491"/>
    <w:multiLevelType w:val="hybridMultilevel"/>
    <w:tmpl w:val="0FEC3E64"/>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100">
    <w:nsid w:val="267333E2"/>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101">
    <w:nsid w:val="271D2E2A"/>
    <w:multiLevelType w:val="singleLevel"/>
    <w:tmpl w:val="4A2CDB0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2">
    <w:nsid w:val="281F7A4C"/>
    <w:multiLevelType w:val="multilevel"/>
    <w:tmpl w:val="7034EA74"/>
    <w:lvl w:ilvl="0">
      <w:start w:val="1"/>
      <w:numFmt w:val="decimal"/>
      <w:lvlText w:val="%1."/>
      <w:lvlJc w:val="left"/>
      <w:pPr>
        <w:tabs>
          <w:tab w:val="num" w:pos="924"/>
        </w:tabs>
        <w:ind w:left="924" w:hanging="564"/>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3">
    <w:nsid w:val="285D3CD9"/>
    <w:multiLevelType w:val="singleLevel"/>
    <w:tmpl w:val="F3E88FB4"/>
    <w:lvl w:ilvl="0">
      <w:start w:val="1"/>
      <w:numFmt w:val="decimal"/>
      <w:lvlText w:val="%1."/>
      <w:lvlJc w:val="left"/>
      <w:pPr>
        <w:tabs>
          <w:tab w:val="num" w:pos="648"/>
        </w:tabs>
        <w:ind w:left="288" w:firstLine="0"/>
      </w:pPr>
      <w:rPr>
        <w:b w:val="0"/>
        <w:i w:val="0"/>
        <w:u w:val="none"/>
      </w:rPr>
    </w:lvl>
  </w:abstractNum>
  <w:abstractNum w:abstractNumId="104">
    <w:nsid w:val="28E62924"/>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05">
    <w:nsid w:val="28F74C36"/>
    <w:multiLevelType w:val="singleLevel"/>
    <w:tmpl w:val="8A705848"/>
    <w:lvl w:ilvl="0">
      <w:start w:val="1"/>
      <w:numFmt w:val="decimal"/>
      <w:lvlText w:val="%1."/>
      <w:lvlJc w:val="left"/>
      <w:pPr>
        <w:tabs>
          <w:tab w:val="num" w:pos="648"/>
        </w:tabs>
        <w:ind w:left="288" w:firstLine="0"/>
      </w:pPr>
      <w:rPr>
        <w:b w:val="0"/>
        <w:i w:val="0"/>
        <w:u w:val="none"/>
      </w:rPr>
    </w:lvl>
  </w:abstractNum>
  <w:abstractNum w:abstractNumId="106">
    <w:nsid w:val="292F242E"/>
    <w:multiLevelType w:val="multilevel"/>
    <w:tmpl w:val="684EFAE2"/>
    <w:lvl w:ilvl="0">
      <w:start w:val="1"/>
      <w:numFmt w:val="decimal"/>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07">
    <w:nsid w:val="293B05E5"/>
    <w:multiLevelType w:val="singleLevel"/>
    <w:tmpl w:val="8228B2E6"/>
    <w:lvl w:ilvl="0">
      <w:start w:val="4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8">
    <w:nsid w:val="2A856AD7"/>
    <w:multiLevelType w:val="singleLevel"/>
    <w:tmpl w:val="E556B404"/>
    <w:lvl w:ilvl="0">
      <w:start w:val="1"/>
      <w:numFmt w:val="decimal"/>
      <w:lvlText w:val="%1."/>
      <w:lvlJc w:val="left"/>
      <w:pPr>
        <w:tabs>
          <w:tab w:val="num" w:pos="648"/>
        </w:tabs>
        <w:ind w:left="288" w:firstLine="0"/>
      </w:pPr>
    </w:lvl>
  </w:abstractNum>
  <w:abstractNum w:abstractNumId="109">
    <w:nsid w:val="2E116C6C"/>
    <w:multiLevelType w:val="singleLevel"/>
    <w:tmpl w:val="8B06F338"/>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0">
    <w:nsid w:val="2E5243D7"/>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11">
    <w:nsid w:val="2EA243C8"/>
    <w:multiLevelType w:val="singleLevel"/>
    <w:tmpl w:val="2516205E"/>
    <w:lvl w:ilvl="0">
      <w:start w:val="8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2">
    <w:nsid w:val="2EB109AF"/>
    <w:multiLevelType w:val="multilevel"/>
    <w:tmpl w:val="455ADC12"/>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113">
    <w:nsid w:val="2EBF2012"/>
    <w:multiLevelType w:val="multilevel"/>
    <w:tmpl w:val="357C3DEC"/>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114">
    <w:nsid w:val="2F127D9A"/>
    <w:multiLevelType w:val="singleLevel"/>
    <w:tmpl w:val="BBBA8180"/>
    <w:lvl w:ilvl="0">
      <w:numFmt w:val="bullet"/>
      <w:lvlText w:val="-"/>
      <w:lvlJc w:val="left"/>
      <w:pPr>
        <w:tabs>
          <w:tab w:val="num" w:pos="720"/>
        </w:tabs>
        <w:ind w:left="720" w:hanging="720"/>
      </w:pPr>
      <w:rPr>
        <w:rFonts w:hint="default"/>
      </w:rPr>
    </w:lvl>
  </w:abstractNum>
  <w:abstractNum w:abstractNumId="115">
    <w:nsid w:val="2F4A5879"/>
    <w:multiLevelType w:val="singleLevel"/>
    <w:tmpl w:val="F938A33E"/>
    <w:lvl w:ilvl="0">
      <w:numFmt w:val="bullet"/>
      <w:lvlText w:val="-"/>
      <w:lvlJc w:val="left"/>
      <w:pPr>
        <w:tabs>
          <w:tab w:val="num" w:pos="360"/>
        </w:tabs>
        <w:ind w:left="360" w:hanging="360"/>
      </w:pPr>
      <w:rPr>
        <w:rFonts w:hint="default"/>
      </w:rPr>
    </w:lvl>
  </w:abstractNum>
  <w:abstractNum w:abstractNumId="116">
    <w:nsid w:val="2FB86A2E"/>
    <w:multiLevelType w:val="multilevel"/>
    <w:tmpl w:val="516AA77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7">
    <w:nsid w:val="2FBA3835"/>
    <w:multiLevelType w:val="singleLevel"/>
    <w:tmpl w:val="1366B336"/>
    <w:lvl w:ilvl="0">
      <w:start w:val="7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8">
    <w:nsid w:val="2FFC19A7"/>
    <w:multiLevelType w:val="singleLevel"/>
    <w:tmpl w:val="40BE0C7C"/>
    <w:lvl w:ilvl="0">
      <w:start w:val="131"/>
      <w:numFmt w:val="decimal"/>
      <w:lvlText w:val="%1."/>
      <w:lvlJc w:val="left"/>
      <w:pPr>
        <w:tabs>
          <w:tab w:val="num" w:pos="648"/>
        </w:tabs>
        <w:ind w:left="288" w:firstLine="0"/>
      </w:pPr>
    </w:lvl>
  </w:abstractNum>
  <w:abstractNum w:abstractNumId="119">
    <w:nsid w:val="30782CD8"/>
    <w:multiLevelType w:val="hybridMultilevel"/>
    <w:tmpl w:val="385453DE"/>
    <w:lvl w:ilvl="0">
      <w:start w:val="1"/>
      <w:numFmt w:val="bullet"/>
      <w:lvlText w:val=""/>
      <w:lvlJc w:val="left"/>
      <w:pPr>
        <w:tabs>
          <w:tab w:val="num" w:pos="2070"/>
        </w:tabs>
        <w:ind w:left="2070" w:hanging="360"/>
      </w:pPr>
      <w:rPr>
        <w:rFonts w:ascii="Wingdings" w:hAnsi="Wingdings" w:hint="default"/>
      </w:rPr>
    </w:lvl>
    <w:lvl w:ilvl="1" w:tentative="1">
      <w:start w:val="1"/>
      <w:numFmt w:val="bullet"/>
      <w:lvlText w:val="o"/>
      <w:lvlJc w:val="left"/>
      <w:pPr>
        <w:tabs>
          <w:tab w:val="num" w:pos="2790"/>
        </w:tabs>
        <w:ind w:left="2790" w:hanging="360"/>
      </w:pPr>
      <w:rPr>
        <w:rFonts w:ascii="Courier New" w:hAnsi="Courier New" w:hint="default"/>
      </w:rPr>
    </w:lvl>
    <w:lvl w:ilvl="2" w:tentative="1">
      <w:start w:val="1"/>
      <w:numFmt w:val="bullet"/>
      <w:lvlText w:val=""/>
      <w:lvlJc w:val="left"/>
      <w:pPr>
        <w:tabs>
          <w:tab w:val="num" w:pos="3510"/>
        </w:tabs>
        <w:ind w:left="3510" w:hanging="360"/>
      </w:pPr>
      <w:rPr>
        <w:rFonts w:ascii="Wingdings" w:hAnsi="Wingdings" w:hint="default"/>
      </w:rPr>
    </w:lvl>
    <w:lvl w:ilvl="3" w:tentative="1">
      <w:start w:val="1"/>
      <w:numFmt w:val="bullet"/>
      <w:lvlText w:val=""/>
      <w:lvlJc w:val="left"/>
      <w:pPr>
        <w:tabs>
          <w:tab w:val="num" w:pos="4230"/>
        </w:tabs>
        <w:ind w:left="4230" w:hanging="360"/>
      </w:pPr>
      <w:rPr>
        <w:rFonts w:ascii="Symbol" w:hAnsi="Symbol" w:hint="default"/>
      </w:rPr>
    </w:lvl>
    <w:lvl w:ilvl="4" w:tentative="1">
      <w:start w:val="1"/>
      <w:numFmt w:val="bullet"/>
      <w:lvlText w:val="o"/>
      <w:lvlJc w:val="left"/>
      <w:pPr>
        <w:tabs>
          <w:tab w:val="num" w:pos="4950"/>
        </w:tabs>
        <w:ind w:left="4950" w:hanging="360"/>
      </w:pPr>
      <w:rPr>
        <w:rFonts w:ascii="Courier New" w:hAnsi="Courier New" w:hint="default"/>
      </w:rPr>
    </w:lvl>
    <w:lvl w:ilvl="5" w:tentative="1">
      <w:start w:val="1"/>
      <w:numFmt w:val="bullet"/>
      <w:lvlText w:val=""/>
      <w:lvlJc w:val="left"/>
      <w:pPr>
        <w:tabs>
          <w:tab w:val="num" w:pos="5670"/>
        </w:tabs>
        <w:ind w:left="5670" w:hanging="360"/>
      </w:pPr>
      <w:rPr>
        <w:rFonts w:ascii="Wingdings" w:hAnsi="Wingdings" w:hint="default"/>
      </w:rPr>
    </w:lvl>
    <w:lvl w:ilvl="6" w:tentative="1">
      <w:start w:val="1"/>
      <w:numFmt w:val="bullet"/>
      <w:lvlText w:val=""/>
      <w:lvlJc w:val="left"/>
      <w:pPr>
        <w:tabs>
          <w:tab w:val="num" w:pos="6390"/>
        </w:tabs>
        <w:ind w:left="6390" w:hanging="360"/>
      </w:pPr>
      <w:rPr>
        <w:rFonts w:ascii="Symbol" w:hAnsi="Symbol" w:hint="default"/>
      </w:rPr>
    </w:lvl>
    <w:lvl w:ilvl="7" w:tentative="1">
      <w:start w:val="1"/>
      <w:numFmt w:val="bullet"/>
      <w:lvlText w:val="o"/>
      <w:lvlJc w:val="left"/>
      <w:pPr>
        <w:tabs>
          <w:tab w:val="num" w:pos="7110"/>
        </w:tabs>
        <w:ind w:left="7110" w:hanging="360"/>
      </w:pPr>
      <w:rPr>
        <w:rFonts w:ascii="Courier New" w:hAnsi="Courier New" w:hint="default"/>
      </w:rPr>
    </w:lvl>
    <w:lvl w:ilvl="8" w:tentative="1">
      <w:start w:val="1"/>
      <w:numFmt w:val="bullet"/>
      <w:lvlText w:val=""/>
      <w:lvlJc w:val="left"/>
      <w:pPr>
        <w:tabs>
          <w:tab w:val="num" w:pos="7830"/>
        </w:tabs>
        <w:ind w:left="7830" w:hanging="360"/>
      </w:pPr>
      <w:rPr>
        <w:rFonts w:ascii="Wingdings" w:hAnsi="Wingdings" w:hint="default"/>
      </w:rPr>
    </w:lvl>
  </w:abstractNum>
  <w:abstractNum w:abstractNumId="120">
    <w:nsid w:val="30C35C10"/>
    <w:multiLevelType w:val="multilevel"/>
    <w:tmpl w:val="32BCBE60"/>
    <w:lvl w:ilvl="0">
      <w:start w:val="2"/>
      <w:numFmt w:val="decimal"/>
      <w:lvlText w:val="%1."/>
      <w:lvlJc w:val="left"/>
      <w:pPr>
        <w:tabs>
          <w:tab w:val="num" w:pos="648"/>
        </w:tabs>
        <w:ind w:left="288" w:firstLine="0"/>
      </w:pPr>
      <w:rPr>
        <w:b w:val="0"/>
        <w:i w:val="0"/>
        <w:u w:val="none"/>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1">
    <w:nsid w:val="31BC3820"/>
    <w:multiLevelType w:val="singleLevel"/>
    <w:tmpl w:val="DB8C4480"/>
    <w:lvl w:ilvl="0">
      <w:start w:val="1"/>
      <w:numFmt w:val="upperLetter"/>
      <w:lvlText w:val="%1."/>
      <w:lvlJc w:val="left"/>
      <w:pPr>
        <w:tabs>
          <w:tab w:val="num" w:pos="1530"/>
        </w:tabs>
        <w:ind w:left="1530" w:hanging="360"/>
      </w:pPr>
      <w:rPr>
        <w:rFonts w:hint="default"/>
      </w:rPr>
    </w:lvl>
  </w:abstractNum>
  <w:abstractNum w:abstractNumId="122">
    <w:nsid w:val="31D86DA5"/>
    <w:multiLevelType w:val="singleLevel"/>
    <w:tmpl w:val="34F287A2"/>
    <w:lvl w:ilvl="0">
      <w:start w:val="6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3">
    <w:nsid w:val="31FB367B"/>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124">
    <w:nsid w:val="320B1A81"/>
    <w:multiLevelType w:val="multilevel"/>
    <w:tmpl w:val="085E3A4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5">
    <w:nsid w:val="32EA79DA"/>
    <w:multiLevelType w:val="singleLevel"/>
    <w:tmpl w:val="00CCFC5E"/>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6">
    <w:nsid w:val="32FF1ED5"/>
    <w:multiLevelType w:val="multilevel"/>
    <w:tmpl w:val="6C768AC0"/>
    <w:lvl w:ilvl="0">
      <w:start w:val="1"/>
      <w:numFmt w:val="decimal"/>
      <w:lvlText w:val="%1."/>
      <w:lvlJc w:val="left"/>
      <w:pPr>
        <w:tabs>
          <w:tab w:val="num" w:pos="360"/>
        </w:tabs>
        <w:ind w:left="360" w:hanging="360"/>
      </w:pPr>
      <w:rPr>
        <w:rFonts w:hint="default"/>
      </w:rPr>
    </w:lvl>
    <w:lvl w:ilvl="1">
      <w:start w:val="1"/>
      <w:numFmt w:val="hebrew1"/>
      <w:lvlText w:val="%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7">
    <w:nsid w:val="33E173D0"/>
    <w:multiLevelType w:val="singleLevel"/>
    <w:tmpl w:val="AD2CE088"/>
    <w:lvl w:ilvl="0">
      <w:start w:val="5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8">
    <w:nsid w:val="33F9271F"/>
    <w:multiLevelType w:val="singleLevel"/>
    <w:tmpl w:val="2320C8E8"/>
    <w:lvl w:ilvl="0">
      <w:start w:val="1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9">
    <w:nsid w:val="33FE4502"/>
    <w:multiLevelType w:val="singleLevel"/>
    <w:tmpl w:val="34BEE2F6"/>
    <w:lvl w:ilvl="0">
      <w:start w:val="7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0">
    <w:nsid w:val="343D5175"/>
    <w:multiLevelType w:val="singleLevel"/>
    <w:tmpl w:val="B6FED234"/>
    <w:lvl w:ilvl="0">
      <w:start w:val="1"/>
      <w:numFmt w:val="bullet"/>
      <w:lvlText w:val=""/>
      <w:lvlJc w:val="left"/>
      <w:pPr>
        <w:tabs>
          <w:tab w:val="num" w:pos="720"/>
        </w:tabs>
        <w:ind w:left="720" w:hanging="720"/>
      </w:pPr>
      <w:rPr>
        <w:rFonts w:ascii="Symbol" w:hAnsi="Symbol" w:hint="default"/>
      </w:rPr>
    </w:lvl>
  </w:abstractNum>
  <w:abstractNum w:abstractNumId="131">
    <w:nsid w:val="346B34CD"/>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32">
    <w:nsid w:val="34C10CE3"/>
    <w:multiLevelType w:val="singleLevel"/>
    <w:tmpl w:val="3AA41154"/>
    <w:lvl w:ilvl="0">
      <w:start w:val="1"/>
      <w:numFmt w:val="lowerLetter"/>
      <w:lvlText w:val="(%1)"/>
      <w:lvlJc w:val="left"/>
      <w:pPr>
        <w:tabs>
          <w:tab w:val="num" w:pos="1080"/>
        </w:tabs>
        <w:ind w:left="1080" w:hanging="360"/>
      </w:pPr>
      <w:rPr>
        <w:rFonts w:hint="default"/>
      </w:rPr>
    </w:lvl>
  </w:abstractNum>
  <w:abstractNum w:abstractNumId="133">
    <w:nsid w:val="34CC2A4C"/>
    <w:multiLevelType w:val="singleLevel"/>
    <w:tmpl w:val="A9F83AAA"/>
    <w:lvl w:ilvl="0">
      <w:start w:val="1"/>
      <w:numFmt w:val="upperRoman"/>
      <w:lvlText w:val="%1."/>
      <w:lvlJc w:val="left"/>
      <w:pPr>
        <w:tabs>
          <w:tab w:val="num" w:pos="720"/>
        </w:tabs>
        <w:ind w:left="720" w:hanging="720"/>
      </w:pPr>
      <w:rPr>
        <w:rFonts w:hint="default"/>
      </w:rPr>
    </w:lvl>
  </w:abstractNum>
  <w:abstractNum w:abstractNumId="134">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135">
    <w:nsid w:val="35C4563A"/>
    <w:multiLevelType w:val="singleLevel"/>
    <w:tmpl w:val="6560ACF0"/>
    <w:lvl w:ilvl="0">
      <w:start w:val="1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6">
    <w:nsid w:val="35D85A12"/>
    <w:multiLevelType w:val="singleLevel"/>
    <w:tmpl w:val="370AE9A8"/>
    <w:lvl w:ilvl="0">
      <w:start w:val="4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7">
    <w:nsid w:val="376D0C06"/>
    <w:multiLevelType w:val="singleLevel"/>
    <w:tmpl w:val="ED08F8F0"/>
    <w:lvl w:ilvl="0">
      <w:start w:val="3"/>
      <w:numFmt w:val="decimal"/>
      <w:lvlText w:val="%1."/>
      <w:lvlJc w:val="left"/>
      <w:pPr>
        <w:tabs>
          <w:tab w:val="num" w:pos="720"/>
        </w:tabs>
        <w:ind w:left="720" w:hanging="720"/>
      </w:pPr>
      <w:rPr>
        <w:rFonts w:hint="default"/>
      </w:rPr>
    </w:lvl>
  </w:abstractNum>
  <w:abstractNum w:abstractNumId="138">
    <w:nsid w:val="377F38ED"/>
    <w:multiLevelType w:val="singleLevel"/>
    <w:tmpl w:val="1AE06D08"/>
    <w:lvl w:ilvl="0">
      <w:start w:val="4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9">
    <w:nsid w:val="37806C78"/>
    <w:multiLevelType w:val="multilevel"/>
    <w:tmpl w:val="F4A87AA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0">
    <w:nsid w:val="379D4C39"/>
    <w:multiLevelType w:val="singleLevel"/>
    <w:tmpl w:val="BBFE8C34"/>
    <w:lvl w:ilvl="0">
      <w:start w:val="6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1">
    <w:nsid w:val="385B4A01"/>
    <w:multiLevelType w:val="multilevel"/>
    <w:tmpl w:val="F7AE5A5E"/>
    <w:lvl w:ilvl="0">
      <w:start w:val="1"/>
      <w:numFmt w:val="upp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42">
    <w:nsid w:val="38B24D7E"/>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143">
    <w:nsid w:val="390946C2"/>
    <w:multiLevelType w:val="singleLevel"/>
    <w:tmpl w:val="AD2E4892"/>
    <w:lvl w:ilvl="0">
      <w:start w:val="4"/>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44">
    <w:nsid w:val="391F1A82"/>
    <w:multiLevelType w:val="singleLevel"/>
    <w:tmpl w:val="E0743FFA"/>
    <w:lvl w:ilvl="0">
      <w:start w:val="1"/>
      <w:numFmt w:val="decimal"/>
      <w:lvlText w:val="%1."/>
      <w:lvlJc w:val="left"/>
      <w:pPr>
        <w:tabs>
          <w:tab w:val="num" w:pos="648"/>
        </w:tabs>
        <w:ind w:left="360" w:hanging="72"/>
      </w:pPr>
    </w:lvl>
  </w:abstractNum>
  <w:abstractNum w:abstractNumId="145">
    <w:nsid w:val="39361D13"/>
    <w:multiLevelType w:val="singleLevel"/>
    <w:tmpl w:val="49BAE818"/>
    <w:lvl w:ilvl="0">
      <w:start w:val="4"/>
      <w:numFmt w:val="upperLetter"/>
      <w:lvlText w:val="%1. "/>
      <w:legacy w:legacy="1" w:legacySpace="0" w:legacyIndent="283"/>
      <w:lvlJc w:val="left"/>
      <w:pPr>
        <w:ind w:left="1003" w:hanging="283"/>
      </w:pPr>
      <w:rPr>
        <w:rFonts w:ascii="Times New Roman" w:hAnsi="Times New Roman" w:hint="default"/>
        <w:b w:val="0"/>
        <w:i w:val="0"/>
        <w:sz w:val="28"/>
        <w:u w:val="none"/>
      </w:rPr>
    </w:lvl>
  </w:abstractNum>
  <w:abstractNum w:abstractNumId="146">
    <w:nsid w:val="39A062E1"/>
    <w:multiLevelType w:val="multilevel"/>
    <w:tmpl w:val="39FCCB6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7">
    <w:nsid w:val="39F81030"/>
    <w:multiLevelType w:val="singleLevel"/>
    <w:tmpl w:val="4A2CDB00"/>
    <w:lvl w:ilvl="0">
      <w:start w:val="10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8">
    <w:nsid w:val="3A271E09"/>
    <w:multiLevelType w:val="multilevel"/>
    <w:tmpl w:val="DC0EB626"/>
    <w:lvl w:ilvl="0">
      <w:start w:val="2002"/>
      <w:numFmt w:val="decimal"/>
      <w:lvlText w:val="%1"/>
      <w:lvlJc w:val="left"/>
      <w:pPr>
        <w:tabs>
          <w:tab w:val="num" w:pos="8355"/>
        </w:tabs>
        <w:ind w:left="8355" w:hanging="8355"/>
      </w:pPr>
      <w:rPr>
        <w:rFonts w:hint="default"/>
      </w:rPr>
    </w:lvl>
    <w:lvl w:ilvl="1">
      <w:start w:val="2003"/>
      <w:numFmt w:val="decimal"/>
      <w:lvlText w:val="%1-%2"/>
      <w:lvlJc w:val="left"/>
      <w:pPr>
        <w:tabs>
          <w:tab w:val="num" w:pos="8355"/>
        </w:tabs>
        <w:ind w:left="8355" w:hanging="8355"/>
      </w:pPr>
      <w:rPr>
        <w:rFonts w:hint="default"/>
      </w:rPr>
    </w:lvl>
    <w:lvl w:ilvl="2">
      <w:start w:val="1"/>
      <w:numFmt w:val="decimal"/>
      <w:lvlText w:val="%1-%2.%3"/>
      <w:lvlJc w:val="left"/>
      <w:pPr>
        <w:tabs>
          <w:tab w:val="num" w:pos="8355"/>
        </w:tabs>
        <w:ind w:left="8355" w:hanging="8355"/>
      </w:pPr>
      <w:rPr>
        <w:rFonts w:hint="default"/>
      </w:rPr>
    </w:lvl>
    <w:lvl w:ilvl="3">
      <w:start w:val="1"/>
      <w:numFmt w:val="decimal"/>
      <w:lvlText w:val="%1-%2.%3.%4"/>
      <w:lvlJc w:val="left"/>
      <w:pPr>
        <w:tabs>
          <w:tab w:val="num" w:pos="8355"/>
        </w:tabs>
        <w:ind w:left="8355" w:hanging="8355"/>
      </w:pPr>
      <w:rPr>
        <w:rFonts w:hint="default"/>
      </w:rPr>
    </w:lvl>
    <w:lvl w:ilvl="4">
      <w:start w:val="1"/>
      <w:numFmt w:val="decimal"/>
      <w:lvlText w:val="%1-%2.%3.%4.%5"/>
      <w:lvlJc w:val="left"/>
      <w:pPr>
        <w:tabs>
          <w:tab w:val="num" w:pos="8355"/>
        </w:tabs>
        <w:ind w:left="8355" w:hanging="8355"/>
      </w:pPr>
      <w:rPr>
        <w:rFonts w:hint="default"/>
      </w:rPr>
    </w:lvl>
    <w:lvl w:ilvl="5">
      <w:start w:val="1"/>
      <w:numFmt w:val="decimal"/>
      <w:lvlText w:val="%1-%2.%3.%4.%5.%6"/>
      <w:lvlJc w:val="left"/>
      <w:pPr>
        <w:tabs>
          <w:tab w:val="num" w:pos="8355"/>
        </w:tabs>
        <w:ind w:left="8355" w:hanging="8355"/>
      </w:pPr>
      <w:rPr>
        <w:rFonts w:hint="default"/>
      </w:rPr>
    </w:lvl>
    <w:lvl w:ilvl="6">
      <w:start w:val="1"/>
      <w:numFmt w:val="decimal"/>
      <w:lvlText w:val="%1-%2.%3.%4.%5.%6.%7"/>
      <w:lvlJc w:val="left"/>
      <w:pPr>
        <w:tabs>
          <w:tab w:val="num" w:pos="8355"/>
        </w:tabs>
        <w:ind w:left="8355" w:hanging="8355"/>
      </w:pPr>
      <w:rPr>
        <w:rFonts w:hint="default"/>
      </w:rPr>
    </w:lvl>
    <w:lvl w:ilvl="7">
      <w:start w:val="1"/>
      <w:numFmt w:val="decimal"/>
      <w:lvlText w:val="%1-%2.%3.%4.%5.%6.%7.%8"/>
      <w:lvlJc w:val="left"/>
      <w:pPr>
        <w:tabs>
          <w:tab w:val="num" w:pos="8355"/>
        </w:tabs>
        <w:ind w:left="8355" w:hanging="8355"/>
      </w:pPr>
      <w:rPr>
        <w:rFonts w:hint="default"/>
      </w:rPr>
    </w:lvl>
    <w:lvl w:ilvl="8">
      <w:start w:val="1"/>
      <w:numFmt w:val="decimal"/>
      <w:lvlText w:val="%1-%2.%3.%4.%5.%6.%7.%8.%9"/>
      <w:lvlJc w:val="left"/>
      <w:pPr>
        <w:tabs>
          <w:tab w:val="num" w:pos="8355"/>
        </w:tabs>
        <w:ind w:left="8355" w:hanging="8355"/>
      </w:pPr>
      <w:rPr>
        <w:rFonts w:hint="default"/>
      </w:rPr>
    </w:lvl>
  </w:abstractNum>
  <w:abstractNum w:abstractNumId="149">
    <w:nsid w:val="3A2F60CD"/>
    <w:multiLevelType w:val="singleLevel"/>
    <w:tmpl w:val="2A44CA10"/>
    <w:lvl w:ilvl="0">
      <w:start w:val="3"/>
      <w:numFmt w:val="upperLetter"/>
      <w:lvlText w:val="%1. "/>
      <w:legacy w:legacy="1" w:legacySpace="0" w:legacyIndent="283"/>
      <w:lvlJc w:val="left"/>
      <w:pPr>
        <w:ind w:left="1003" w:hanging="283"/>
      </w:pPr>
      <w:rPr>
        <w:rFonts w:ascii="Times New Roman" w:hAnsi="Times New Roman" w:hint="default"/>
        <w:b w:val="0"/>
        <w:i w:val="0"/>
        <w:sz w:val="28"/>
        <w:u w:val="none"/>
      </w:rPr>
    </w:lvl>
  </w:abstractNum>
  <w:abstractNum w:abstractNumId="150">
    <w:nsid w:val="3AAB773F"/>
    <w:multiLevelType w:val="singleLevel"/>
    <w:tmpl w:val="F938A33E"/>
    <w:lvl w:ilvl="0">
      <w:numFmt w:val="bullet"/>
      <w:lvlText w:val="-"/>
      <w:lvlJc w:val="left"/>
      <w:pPr>
        <w:tabs>
          <w:tab w:val="num" w:pos="360"/>
        </w:tabs>
        <w:ind w:left="360" w:hanging="360"/>
      </w:pPr>
      <w:rPr>
        <w:rFonts w:hint="default"/>
      </w:rPr>
    </w:lvl>
  </w:abstractNum>
  <w:abstractNum w:abstractNumId="151">
    <w:nsid w:val="3BA01A37"/>
    <w:multiLevelType w:val="multilevel"/>
    <w:tmpl w:val="BF967C2A"/>
    <w:lvl w:ilvl="0">
      <w:start w:val="1"/>
      <w:numFmt w:val="lowerRoman"/>
      <w:lvlText w:val="(%1)"/>
      <w:lvlJc w:val="righ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2">
    <w:nsid w:val="3C1F3715"/>
    <w:multiLevelType w:val="singleLevel"/>
    <w:tmpl w:val="A686D2A0"/>
    <w:lvl w:ilvl="0">
      <w:start w:val="1"/>
      <w:numFmt w:val="lowerLetter"/>
      <w:lvlText w:val="(%1)"/>
      <w:lvlJc w:val="left"/>
      <w:pPr>
        <w:tabs>
          <w:tab w:val="num" w:pos="648"/>
        </w:tabs>
        <w:ind w:left="648" w:hanging="360"/>
      </w:pPr>
      <w:rPr>
        <w:rFonts w:hint="default"/>
      </w:rPr>
    </w:lvl>
  </w:abstractNum>
  <w:abstractNum w:abstractNumId="153">
    <w:nsid w:val="3C9603AC"/>
    <w:multiLevelType w:val="multilevel"/>
    <w:tmpl w:val="7A4AD8DA"/>
    <w:lvl w:ilvl="0">
      <w:start w:val="58"/>
      <w:numFmt w:val="decimal"/>
      <w:lvlText w:val="%1."/>
      <w:lvlJc w:val="left"/>
      <w:pPr>
        <w:tabs>
          <w:tab w:val="num" w:pos="360"/>
        </w:tabs>
        <w:ind w:left="1021" w:hanging="1021"/>
      </w:pPr>
      <w:rPr>
        <w:rFonts w:ascii="Times New Roman" w:hAnsi="Times New Roman" w:cs="Wingdings" w:hint="default"/>
        <w:b w:val="0"/>
        <w:bCs w:val="0"/>
        <w:i w:val="0"/>
        <w:iCs w:val="0"/>
        <w:sz w:val="24"/>
        <w:szCs w:val="24"/>
      </w:rPr>
    </w:lvl>
    <w:lvl w:ilvl="1">
      <w:start w:val="1"/>
      <w:numFmt w:val="decimal"/>
      <w:lvlText w:val="%1.%2."/>
      <w:lvlJc w:val="left"/>
      <w:pPr>
        <w:tabs>
          <w:tab w:val="num" w:pos="792"/>
        </w:tabs>
        <w:ind w:left="2325" w:hanging="1871"/>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4">
    <w:nsid w:val="3D330BCC"/>
    <w:multiLevelType w:val="multilevel"/>
    <w:tmpl w:val="7B225BE8"/>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tabs>
          <w:tab w:val="num" w:pos="3120"/>
        </w:tabs>
        <w:ind w:left="3120" w:hanging="1140"/>
      </w:pPr>
      <w:rPr>
        <w:rFonts w:hint="default"/>
      </w:rPr>
    </w:lvl>
    <w:lvl w:ilvl="3">
      <w:start w:val="1"/>
      <w:numFmt w:val="lowerRoman"/>
      <w:lvlText w:val="%4."/>
      <w:lvlJc w:val="left"/>
      <w:pPr>
        <w:tabs>
          <w:tab w:val="num" w:pos="3240"/>
        </w:tabs>
        <w:ind w:left="3240" w:hanging="72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5">
    <w:nsid w:val="3D871847"/>
    <w:multiLevelType w:val="singleLevel"/>
    <w:tmpl w:val="19D0C3A2"/>
    <w:lvl w:ilvl="0">
      <w:start w:val="11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6">
    <w:nsid w:val="3DE81D6B"/>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157">
    <w:nsid w:val="3E1440DA"/>
    <w:multiLevelType w:val="singleLevel"/>
    <w:tmpl w:val="4CB2DD02"/>
    <w:lvl w:ilvl="0">
      <w:start w:val="1"/>
      <w:numFmt w:val="lowerLetter"/>
      <w:lvlText w:val="(%1)"/>
      <w:lvlJc w:val="left"/>
      <w:pPr>
        <w:tabs>
          <w:tab w:val="num" w:pos="648"/>
        </w:tabs>
        <w:ind w:left="648" w:hanging="360"/>
      </w:pPr>
      <w:rPr>
        <w:rFonts w:hint="default"/>
      </w:rPr>
    </w:lvl>
  </w:abstractNum>
  <w:abstractNum w:abstractNumId="158">
    <w:nsid w:val="3E365C8C"/>
    <w:multiLevelType w:val="multilevel"/>
    <w:tmpl w:val="63F07F1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9">
    <w:nsid w:val="3E6A247D"/>
    <w:multiLevelType w:val="singleLevel"/>
    <w:tmpl w:val="20AE243C"/>
    <w:lvl w:ilvl="0">
      <w:start w:val="10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0">
    <w:nsid w:val="3EEC222F"/>
    <w:multiLevelType w:val="singleLevel"/>
    <w:tmpl w:val="73A052C4"/>
    <w:lvl w:ilvl="0">
      <w:start w:val="1"/>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61">
    <w:nsid w:val="3F916B54"/>
    <w:multiLevelType w:val="multilevel"/>
    <w:tmpl w:val="DC0A0AF0"/>
    <w:lvl w:ilvl="0">
      <w:start w:val="5"/>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2">
    <w:nsid w:val="3FAF4C3C"/>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163">
    <w:nsid w:val="3FC06037"/>
    <w:multiLevelType w:val="multilevel"/>
    <w:tmpl w:val="CE64605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4">
    <w:nsid w:val="3FC767D9"/>
    <w:multiLevelType w:val="multilevel"/>
    <w:tmpl w:val="76EA7A8A"/>
    <w:lvl w:ilvl="0">
      <w:start w:val="2"/>
      <w:numFmt w:val="decimal"/>
      <w:lvlText w:val="%1."/>
      <w:lvlJc w:val="left"/>
      <w:pPr>
        <w:tabs>
          <w:tab w:val="num" w:pos="648"/>
        </w:tabs>
        <w:ind w:left="288" w:firstLine="0"/>
      </w:pPr>
      <w:rPr>
        <w:b w:val="0"/>
        <w:i w:val="0"/>
        <w:u w:val="none"/>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5">
    <w:nsid w:val="400255E4"/>
    <w:multiLevelType w:val="multilevel"/>
    <w:tmpl w:val="C062F51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6">
    <w:nsid w:val="40F66BE5"/>
    <w:multiLevelType w:val="singleLevel"/>
    <w:tmpl w:val="00CCFC5E"/>
    <w:lvl w:ilvl="0">
      <w:start w:val="2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7">
    <w:nsid w:val="411E6E92"/>
    <w:multiLevelType w:val="singleLevel"/>
    <w:tmpl w:val="E0743FFA"/>
    <w:lvl w:ilvl="0">
      <w:start w:val="1"/>
      <w:numFmt w:val="decimal"/>
      <w:lvlText w:val="%1."/>
      <w:lvlJc w:val="left"/>
      <w:pPr>
        <w:tabs>
          <w:tab w:val="num" w:pos="648"/>
        </w:tabs>
        <w:ind w:left="360" w:hanging="72"/>
      </w:pPr>
    </w:lvl>
  </w:abstractNum>
  <w:abstractNum w:abstractNumId="168">
    <w:nsid w:val="419F38B2"/>
    <w:multiLevelType w:val="multilevel"/>
    <w:tmpl w:val="ACC8132C"/>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9">
    <w:nsid w:val="42126D9E"/>
    <w:multiLevelType w:val="singleLevel"/>
    <w:tmpl w:val="14E274AE"/>
    <w:lvl w:ilvl="0">
      <w:start w:val="2"/>
      <w:numFmt w:val="decimal"/>
      <w:lvlText w:val="%1."/>
      <w:lvlJc w:val="left"/>
      <w:pPr>
        <w:tabs>
          <w:tab w:val="num" w:pos="648"/>
        </w:tabs>
        <w:ind w:left="288" w:firstLine="0"/>
      </w:pPr>
      <w:rPr>
        <w:b w:val="0"/>
        <w:i w:val="0"/>
        <w:u w:val="none"/>
      </w:rPr>
    </w:lvl>
  </w:abstractNum>
  <w:abstractNum w:abstractNumId="170">
    <w:nsid w:val="422D7F87"/>
    <w:multiLevelType w:val="singleLevel"/>
    <w:tmpl w:val="626AD0D8"/>
    <w:lvl w:ilvl="0">
      <w:start w:val="11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1">
    <w:nsid w:val="42C136AC"/>
    <w:multiLevelType w:val="multilevel"/>
    <w:tmpl w:val="ACB067FA"/>
    <w:lvl w:ilvl="0">
      <w:start w:val="384"/>
      <w:numFmt w:val="decimal"/>
      <w:lvlText w:val="%1."/>
      <w:lvlJc w:val="left"/>
      <w:pPr>
        <w:tabs>
          <w:tab w:val="num" w:pos="360"/>
        </w:tabs>
        <w:ind w:left="1021" w:hanging="1021"/>
      </w:pPr>
      <w:rPr>
        <w:rFonts w:ascii="Times New Roman" w:hAnsi="Times New Roman" w:cs="Wingdings" w:hint="default"/>
        <w:b w:val="0"/>
        <w:bCs w:val="0"/>
        <w:i w:val="0"/>
        <w:iCs w:val="0"/>
        <w:sz w:val="24"/>
        <w:szCs w:val="24"/>
      </w:rPr>
    </w:lvl>
    <w:lvl w:ilvl="1">
      <w:start w:val="1"/>
      <w:numFmt w:val="decimal"/>
      <w:lvlText w:val="%1.%2."/>
      <w:lvlJc w:val="left"/>
      <w:pPr>
        <w:tabs>
          <w:tab w:val="num" w:pos="792"/>
        </w:tabs>
        <w:ind w:left="2325" w:hanging="1871"/>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2">
    <w:nsid w:val="43002BA6"/>
    <w:multiLevelType w:val="singleLevel"/>
    <w:tmpl w:val="67B280C6"/>
    <w:lvl w:ilvl="0">
      <w:start w:val="12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3">
    <w:nsid w:val="43055C19"/>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74">
    <w:nsid w:val="432F169D"/>
    <w:multiLevelType w:val="singleLevel"/>
    <w:tmpl w:val="4F9A41CE"/>
    <w:lvl w:ilvl="0">
      <w:start w:val="9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5">
    <w:nsid w:val="437B078D"/>
    <w:multiLevelType w:val="multilevel"/>
    <w:tmpl w:val="FF1ECD5A"/>
    <w:lvl w:ilvl="0">
      <w:start w:val="1"/>
      <w:numFmt w:val="upperRoman"/>
      <w:lvlText w:val="%1."/>
      <w:lvlJc w:val="right"/>
      <w:pPr>
        <w:tabs>
          <w:tab w:val="num" w:pos="1296"/>
        </w:tabs>
        <w:ind w:left="1296" w:hanging="216"/>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76">
    <w:nsid w:val="440A05ED"/>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77">
    <w:nsid w:val="450D56F0"/>
    <w:multiLevelType w:val="multilevel"/>
    <w:tmpl w:val="2B361C72"/>
    <w:lvl w:ilvl="0">
      <w:start w:val="1"/>
      <w:numFmt w:val="decimal"/>
      <w:pStyle w:val="a"/>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8">
    <w:nsid w:val="452155C7"/>
    <w:multiLevelType w:val="singleLevel"/>
    <w:tmpl w:val="DC263094"/>
    <w:lvl w:ilvl="0">
      <w:start w:val="3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9">
    <w:nsid w:val="45C00C4F"/>
    <w:multiLevelType w:val="multilevel"/>
    <w:tmpl w:val="E2EE7572"/>
    <w:lvl w:ilvl="0">
      <w:start w:val="1"/>
      <w:numFmt w:val="decimal"/>
      <w:lvlText w:val="%1."/>
      <w:lvlJc w:val="left"/>
      <w:pPr>
        <w:tabs>
          <w:tab w:val="num" w:pos="502"/>
        </w:tabs>
        <w:ind w:left="502" w:hanging="360"/>
      </w:pPr>
      <w:rPr>
        <w:sz w:val="24"/>
        <w:szCs w:val="24"/>
        <w:lang w:bidi="he-IL"/>
      </w:rPr>
    </w:lvl>
    <w:lvl w:ilvl="1">
      <w:start w:val="3"/>
      <w:numFmt w:val="bullet"/>
      <w:lvlText w:val="-"/>
      <w:lvlJc w:val="left"/>
      <w:pPr>
        <w:tabs>
          <w:tab w:val="num" w:pos="5750"/>
        </w:tabs>
        <w:ind w:left="5750" w:hanging="4320"/>
      </w:pPr>
      <w:rPr>
        <w:rFonts w:ascii="Times New Roman" w:eastAsia="Times New Roman" w:hAnsi="Times New Roman" w:cs="Times New Roman" w:hint="default"/>
      </w:rPr>
    </w:lvl>
    <w:lvl w:ilvl="2">
      <w:start w:val="1"/>
      <w:numFmt w:val="lowerLetter"/>
      <w:lvlText w:val="(%3)"/>
      <w:lvlJc w:val="left"/>
      <w:pPr>
        <w:tabs>
          <w:tab w:val="num" w:pos="2690"/>
        </w:tabs>
        <w:ind w:left="2690" w:hanging="360"/>
      </w:pPr>
      <w:rPr>
        <w:rFonts w:hint="default"/>
      </w:rPr>
    </w:lvl>
    <w:lvl w:ilvl="3" w:tentative="1">
      <w:start w:val="1"/>
      <w:numFmt w:val="decimal"/>
      <w:lvlText w:val="%4."/>
      <w:lvlJc w:val="left"/>
      <w:pPr>
        <w:tabs>
          <w:tab w:val="num" w:pos="3230"/>
        </w:tabs>
        <w:ind w:left="3230" w:hanging="360"/>
      </w:pPr>
    </w:lvl>
    <w:lvl w:ilvl="4" w:tentative="1">
      <w:start w:val="1"/>
      <w:numFmt w:val="lowerLetter"/>
      <w:lvlText w:val="%5."/>
      <w:lvlJc w:val="left"/>
      <w:pPr>
        <w:tabs>
          <w:tab w:val="num" w:pos="3950"/>
        </w:tabs>
        <w:ind w:left="3950" w:hanging="360"/>
      </w:pPr>
    </w:lvl>
    <w:lvl w:ilvl="5" w:tentative="1">
      <w:start w:val="1"/>
      <w:numFmt w:val="lowerRoman"/>
      <w:lvlText w:val="%6."/>
      <w:lvlJc w:val="right"/>
      <w:pPr>
        <w:tabs>
          <w:tab w:val="num" w:pos="4670"/>
        </w:tabs>
        <w:ind w:left="4670" w:hanging="180"/>
      </w:pPr>
    </w:lvl>
    <w:lvl w:ilvl="6" w:tentative="1">
      <w:start w:val="1"/>
      <w:numFmt w:val="decimal"/>
      <w:lvlText w:val="%7."/>
      <w:lvlJc w:val="left"/>
      <w:pPr>
        <w:tabs>
          <w:tab w:val="num" w:pos="5390"/>
        </w:tabs>
        <w:ind w:left="5390" w:hanging="360"/>
      </w:pPr>
    </w:lvl>
    <w:lvl w:ilvl="7" w:tentative="1">
      <w:start w:val="1"/>
      <w:numFmt w:val="lowerLetter"/>
      <w:lvlText w:val="%8."/>
      <w:lvlJc w:val="left"/>
      <w:pPr>
        <w:tabs>
          <w:tab w:val="num" w:pos="6110"/>
        </w:tabs>
        <w:ind w:left="6110" w:hanging="360"/>
      </w:pPr>
    </w:lvl>
    <w:lvl w:ilvl="8">
      <w:start w:val="1"/>
      <w:numFmt w:val="lowerRoman"/>
      <w:lvlText w:val="%9."/>
      <w:lvlJc w:val="right"/>
      <w:pPr>
        <w:tabs>
          <w:tab w:val="num" w:pos="6830"/>
        </w:tabs>
        <w:ind w:left="6830" w:hanging="180"/>
      </w:pPr>
    </w:lvl>
  </w:abstractNum>
  <w:abstractNum w:abstractNumId="180">
    <w:nsid w:val="46934BEB"/>
    <w:multiLevelType w:val="multilevel"/>
    <w:tmpl w:val="DEE6B848"/>
    <w:lvl w:ilvl="0">
      <w:start w:val="1"/>
      <w:numFmt w:val="lowerLetter"/>
      <w:lvlText w:val="%1)"/>
      <w:lvlJc w:val="left"/>
      <w:pPr>
        <w:tabs>
          <w:tab w:val="num" w:pos="720"/>
        </w:tabs>
        <w:ind w:left="720" w:hanging="36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181">
    <w:nsid w:val="471B0C64"/>
    <w:multiLevelType w:val="multilevel"/>
    <w:tmpl w:val="030E710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2">
    <w:nsid w:val="47D74FB0"/>
    <w:multiLevelType w:val="singleLevel"/>
    <w:tmpl w:val="C0CE32D6"/>
    <w:lvl w:ilvl="0">
      <w:start w:val="10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83">
    <w:nsid w:val="494A6BC7"/>
    <w:multiLevelType w:val="singleLevel"/>
    <w:tmpl w:val="F938A33E"/>
    <w:lvl w:ilvl="0">
      <w:numFmt w:val="bullet"/>
      <w:lvlText w:val="-"/>
      <w:lvlJc w:val="left"/>
      <w:pPr>
        <w:tabs>
          <w:tab w:val="num" w:pos="360"/>
        </w:tabs>
        <w:ind w:left="360" w:hanging="360"/>
      </w:pPr>
      <w:rPr>
        <w:rFonts w:hint="default"/>
      </w:rPr>
    </w:lvl>
  </w:abstractNum>
  <w:abstractNum w:abstractNumId="184">
    <w:nsid w:val="498B2599"/>
    <w:multiLevelType w:val="singleLevel"/>
    <w:tmpl w:val="4A4E083C"/>
    <w:lvl w:ilvl="0">
      <w:start w:val="4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85">
    <w:nsid w:val="49A74880"/>
    <w:multiLevelType w:val="singleLevel"/>
    <w:tmpl w:val="29B213E4"/>
    <w:lvl w:ilvl="0">
      <w:start w:val="7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86">
    <w:nsid w:val="49D40D5C"/>
    <w:multiLevelType w:val="multilevel"/>
    <w:tmpl w:val="3648DD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7">
    <w:nsid w:val="49E46C2E"/>
    <w:multiLevelType w:val="multilevel"/>
    <w:tmpl w:val="2FB0E9DC"/>
    <w:lvl w:ilvl="0">
      <w:start w:val="1"/>
      <w:numFmt w:val="decimal"/>
      <w:lvlText w:val="%1)"/>
      <w:lvlJc w:val="left"/>
      <w:pPr>
        <w:tabs>
          <w:tab w:val="num" w:pos="1353"/>
        </w:tabs>
        <w:ind w:left="1353"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8">
    <w:nsid w:val="4A6678EB"/>
    <w:multiLevelType w:val="multilevel"/>
    <w:tmpl w:val="CD52764C"/>
    <w:lvl w:ilvl="0">
      <w:start w:val="396"/>
      <w:numFmt w:val="decimal"/>
      <w:lvlText w:val="%1."/>
      <w:lvlJc w:val="left"/>
      <w:pPr>
        <w:tabs>
          <w:tab w:val="num" w:pos="360"/>
        </w:tabs>
        <w:ind w:left="1021" w:hanging="1021"/>
      </w:pPr>
      <w:rPr>
        <w:rFonts w:ascii="Times New Roman" w:hAnsi="Times New Roman" w:cs="Wingdings" w:hint="default"/>
        <w:b w:val="0"/>
        <w:bCs w:val="0"/>
        <w:i w:val="0"/>
        <w:iCs w:val="0"/>
        <w:sz w:val="24"/>
        <w:szCs w:val="24"/>
      </w:rPr>
    </w:lvl>
    <w:lvl w:ilvl="1">
      <w:start w:val="1"/>
      <w:numFmt w:val="decimal"/>
      <w:lvlText w:val="%1.%2."/>
      <w:lvlJc w:val="left"/>
      <w:pPr>
        <w:tabs>
          <w:tab w:val="num" w:pos="792"/>
        </w:tabs>
        <w:ind w:left="2325" w:hanging="1871"/>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9">
    <w:nsid w:val="4B3906F2"/>
    <w:multiLevelType w:val="singleLevel"/>
    <w:tmpl w:val="2E7C9D1A"/>
    <w:lvl w:ilvl="0">
      <w:start w:val="2"/>
      <w:numFmt w:val="bullet"/>
      <w:lvlText w:val="-"/>
      <w:lvlJc w:val="left"/>
      <w:pPr>
        <w:tabs>
          <w:tab w:val="num" w:pos="720"/>
        </w:tabs>
        <w:ind w:left="720" w:hanging="720"/>
      </w:pPr>
      <w:rPr>
        <w:rFonts w:hint="default"/>
      </w:rPr>
    </w:lvl>
  </w:abstractNum>
  <w:abstractNum w:abstractNumId="190">
    <w:nsid w:val="4C4D77B7"/>
    <w:multiLevelType w:val="multilevel"/>
    <w:tmpl w:val="9DBEF112"/>
    <w:lvl w:ilvl="0">
      <w:start w:val="1"/>
      <w:numFmt w:val="decimal"/>
      <w:lvlText w:val="%1."/>
      <w:lvlJc w:val="left"/>
      <w:pPr>
        <w:tabs>
          <w:tab w:val="num" w:pos="786"/>
        </w:tabs>
        <w:ind w:left="786" w:hanging="360"/>
      </w:pPr>
      <w:rPr>
        <w:sz w:val="24"/>
        <w:szCs w:val="24"/>
        <w:lang w:bidi="he-IL"/>
      </w:rPr>
    </w:lvl>
    <w:lvl w:ilvl="1">
      <w:start w:val="3"/>
      <w:numFmt w:val="bullet"/>
      <w:lvlText w:val="-"/>
      <w:lvlJc w:val="left"/>
      <w:pPr>
        <w:tabs>
          <w:tab w:val="num" w:pos="5750"/>
        </w:tabs>
        <w:ind w:left="5750" w:hanging="4320"/>
      </w:pPr>
      <w:rPr>
        <w:rFonts w:ascii="Times New Roman" w:eastAsia="Times New Roman" w:hAnsi="Times New Roman" w:cs="Times New Roman" w:hint="default"/>
      </w:rPr>
    </w:lvl>
    <w:lvl w:ilvl="2">
      <w:start w:val="1"/>
      <w:numFmt w:val="lowerLetter"/>
      <w:lvlText w:val="(%3)"/>
      <w:lvlJc w:val="left"/>
      <w:pPr>
        <w:tabs>
          <w:tab w:val="num" w:pos="2690"/>
        </w:tabs>
        <w:ind w:left="2690" w:hanging="360"/>
      </w:pPr>
      <w:rPr>
        <w:rFonts w:hint="default"/>
      </w:rPr>
    </w:lvl>
    <w:lvl w:ilvl="3">
      <w:start w:val="1"/>
      <w:numFmt w:val="decimal"/>
      <w:lvlText w:val="%4."/>
      <w:lvlJc w:val="left"/>
      <w:pPr>
        <w:tabs>
          <w:tab w:val="num" w:pos="3230"/>
        </w:tabs>
        <w:ind w:left="3230" w:hanging="360"/>
      </w:pPr>
    </w:lvl>
    <w:lvl w:ilvl="4">
      <w:start w:val="1"/>
      <w:numFmt w:val="lowerLetter"/>
      <w:lvlText w:val="%5."/>
      <w:lvlJc w:val="left"/>
      <w:pPr>
        <w:tabs>
          <w:tab w:val="num" w:pos="3950"/>
        </w:tabs>
        <w:ind w:left="3950" w:hanging="360"/>
      </w:pPr>
    </w:lvl>
    <w:lvl w:ilvl="5">
      <w:start w:val="1"/>
      <w:numFmt w:val="lowerRoman"/>
      <w:lvlText w:val="%6."/>
      <w:lvlJc w:val="right"/>
      <w:pPr>
        <w:tabs>
          <w:tab w:val="num" w:pos="4670"/>
        </w:tabs>
        <w:ind w:left="4670" w:hanging="180"/>
      </w:pPr>
    </w:lvl>
    <w:lvl w:ilvl="6">
      <w:start w:val="1"/>
      <w:numFmt w:val="decimal"/>
      <w:lvlText w:val="%7."/>
      <w:lvlJc w:val="left"/>
      <w:pPr>
        <w:tabs>
          <w:tab w:val="num" w:pos="5390"/>
        </w:tabs>
        <w:ind w:left="5390" w:hanging="360"/>
      </w:pPr>
    </w:lvl>
    <w:lvl w:ilvl="7">
      <w:start w:val="1"/>
      <w:numFmt w:val="lowerLetter"/>
      <w:lvlText w:val="%8."/>
      <w:lvlJc w:val="left"/>
      <w:pPr>
        <w:tabs>
          <w:tab w:val="num" w:pos="6110"/>
        </w:tabs>
        <w:ind w:left="6110" w:hanging="360"/>
      </w:pPr>
    </w:lvl>
    <w:lvl w:ilvl="8">
      <w:start w:val="1"/>
      <w:numFmt w:val="lowerRoman"/>
      <w:lvlText w:val="%9."/>
      <w:lvlJc w:val="right"/>
      <w:pPr>
        <w:tabs>
          <w:tab w:val="num" w:pos="6830"/>
        </w:tabs>
        <w:ind w:left="6830" w:hanging="180"/>
      </w:pPr>
    </w:lvl>
  </w:abstractNum>
  <w:abstractNum w:abstractNumId="191">
    <w:nsid w:val="4C5B7580"/>
    <w:multiLevelType w:val="hybridMultilevel"/>
    <w:tmpl w:val="F5905C4E"/>
    <w:lvl w:ilvl="0">
      <w:start w:val="1"/>
      <w:numFmt w:val="bullet"/>
      <w:lvlText w:val=""/>
      <w:lvlJc w:val="left"/>
      <w:pPr>
        <w:tabs>
          <w:tab w:val="num" w:pos="2459"/>
        </w:tabs>
        <w:ind w:left="2459" w:hanging="360"/>
      </w:pPr>
      <w:rPr>
        <w:rFonts w:ascii="Symbol" w:hAnsi="Symbol" w:hint="default"/>
      </w:rPr>
    </w:lvl>
    <w:lvl w:ilvl="1" w:tentative="1">
      <w:start w:val="1"/>
      <w:numFmt w:val="bullet"/>
      <w:lvlText w:val="o"/>
      <w:lvlJc w:val="left"/>
      <w:pPr>
        <w:tabs>
          <w:tab w:val="num" w:pos="3179"/>
        </w:tabs>
        <w:ind w:left="3179" w:hanging="360"/>
      </w:pPr>
      <w:rPr>
        <w:rFonts w:ascii="Courier New" w:hAnsi="Courier New" w:hint="default"/>
      </w:rPr>
    </w:lvl>
    <w:lvl w:ilvl="2" w:tentative="1">
      <w:start w:val="1"/>
      <w:numFmt w:val="bullet"/>
      <w:lvlText w:val=""/>
      <w:lvlJc w:val="left"/>
      <w:pPr>
        <w:tabs>
          <w:tab w:val="num" w:pos="3899"/>
        </w:tabs>
        <w:ind w:left="3899" w:hanging="360"/>
      </w:pPr>
      <w:rPr>
        <w:rFonts w:ascii="Wingdings" w:hAnsi="Wingdings" w:hint="default"/>
      </w:rPr>
    </w:lvl>
    <w:lvl w:ilvl="3" w:tentative="1">
      <w:start w:val="1"/>
      <w:numFmt w:val="bullet"/>
      <w:lvlText w:val=""/>
      <w:lvlJc w:val="left"/>
      <w:pPr>
        <w:tabs>
          <w:tab w:val="num" w:pos="4619"/>
        </w:tabs>
        <w:ind w:left="4619" w:hanging="360"/>
      </w:pPr>
      <w:rPr>
        <w:rFonts w:ascii="Symbol" w:hAnsi="Symbol" w:hint="default"/>
      </w:rPr>
    </w:lvl>
    <w:lvl w:ilvl="4" w:tentative="1">
      <w:start w:val="1"/>
      <w:numFmt w:val="bullet"/>
      <w:lvlText w:val="o"/>
      <w:lvlJc w:val="left"/>
      <w:pPr>
        <w:tabs>
          <w:tab w:val="num" w:pos="5339"/>
        </w:tabs>
        <w:ind w:left="5339" w:hanging="360"/>
      </w:pPr>
      <w:rPr>
        <w:rFonts w:ascii="Courier New" w:hAnsi="Courier New" w:hint="default"/>
      </w:rPr>
    </w:lvl>
    <w:lvl w:ilvl="5" w:tentative="1">
      <w:start w:val="1"/>
      <w:numFmt w:val="bullet"/>
      <w:lvlText w:val=""/>
      <w:lvlJc w:val="left"/>
      <w:pPr>
        <w:tabs>
          <w:tab w:val="num" w:pos="6059"/>
        </w:tabs>
        <w:ind w:left="6059" w:hanging="360"/>
      </w:pPr>
      <w:rPr>
        <w:rFonts w:ascii="Wingdings" w:hAnsi="Wingdings" w:hint="default"/>
      </w:rPr>
    </w:lvl>
    <w:lvl w:ilvl="6" w:tentative="1">
      <w:start w:val="1"/>
      <w:numFmt w:val="bullet"/>
      <w:lvlText w:val=""/>
      <w:lvlJc w:val="left"/>
      <w:pPr>
        <w:tabs>
          <w:tab w:val="num" w:pos="6779"/>
        </w:tabs>
        <w:ind w:left="6779" w:hanging="360"/>
      </w:pPr>
      <w:rPr>
        <w:rFonts w:ascii="Symbol" w:hAnsi="Symbol" w:hint="default"/>
      </w:rPr>
    </w:lvl>
    <w:lvl w:ilvl="7" w:tentative="1">
      <w:start w:val="1"/>
      <w:numFmt w:val="bullet"/>
      <w:lvlText w:val="o"/>
      <w:lvlJc w:val="left"/>
      <w:pPr>
        <w:tabs>
          <w:tab w:val="num" w:pos="7499"/>
        </w:tabs>
        <w:ind w:left="7499" w:hanging="360"/>
      </w:pPr>
      <w:rPr>
        <w:rFonts w:ascii="Courier New" w:hAnsi="Courier New" w:hint="default"/>
      </w:rPr>
    </w:lvl>
    <w:lvl w:ilvl="8" w:tentative="1">
      <w:start w:val="1"/>
      <w:numFmt w:val="bullet"/>
      <w:lvlText w:val=""/>
      <w:lvlJc w:val="left"/>
      <w:pPr>
        <w:tabs>
          <w:tab w:val="num" w:pos="8219"/>
        </w:tabs>
        <w:ind w:left="8219" w:hanging="360"/>
      </w:pPr>
      <w:rPr>
        <w:rFonts w:ascii="Wingdings" w:hAnsi="Wingdings" w:hint="default"/>
      </w:rPr>
    </w:lvl>
  </w:abstractNum>
  <w:abstractNum w:abstractNumId="192">
    <w:nsid w:val="4CF80762"/>
    <w:multiLevelType w:val="multilevel"/>
    <w:tmpl w:val="E8E6458A"/>
    <w:lvl w:ilvl="0">
      <w:start w:val="1"/>
      <w:numFmt w:val="decimal"/>
      <w:lvlText w:val="%1)"/>
      <w:lvlJc w:val="left"/>
      <w:pPr>
        <w:tabs>
          <w:tab w:val="num" w:pos="720"/>
        </w:tabs>
        <w:ind w:left="720" w:hanging="360"/>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3">
    <w:nsid w:val="4DE34488"/>
    <w:multiLevelType w:val="singleLevel"/>
    <w:tmpl w:val="D08ABDFE"/>
    <w:lvl w:ilvl="0">
      <w:start w:val="8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4">
    <w:nsid w:val="4E9D14D2"/>
    <w:multiLevelType w:val="multilevel"/>
    <w:tmpl w:val="CF940FC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5">
    <w:nsid w:val="4ED33EDF"/>
    <w:multiLevelType w:val="multilevel"/>
    <w:tmpl w:val="827C4E2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6">
    <w:nsid w:val="4F024E45"/>
    <w:multiLevelType w:val="singleLevel"/>
    <w:tmpl w:val="ED7C52FC"/>
    <w:lvl w:ilvl="0">
      <w:start w:val="1"/>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97">
    <w:nsid w:val="4FE37E6C"/>
    <w:multiLevelType w:val="multilevel"/>
    <w:tmpl w:val="79A04F32"/>
    <w:lvl w:ilvl="0">
      <w:start w:val="1"/>
      <w:numFmt w:val="lowerLetter"/>
      <w:lvlText w:val="%1)"/>
      <w:lvlJc w:val="left"/>
      <w:pPr>
        <w:tabs>
          <w:tab w:val="num" w:pos="2088"/>
        </w:tabs>
        <w:ind w:left="2088" w:hanging="360"/>
      </w:pPr>
    </w:lvl>
    <w:lvl w:ilvl="1" w:tentative="1">
      <w:start w:val="1"/>
      <w:numFmt w:val="lowerLetter"/>
      <w:lvlText w:val="%2."/>
      <w:lvlJc w:val="left"/>
      <w:pPr>
        <w:tabs>
          <w:tab w:val="num" w:pos="2808"/>
        </w:tabs>
        <w:ind w:left="2808" w:hanging="360"/>
      </w:pPr>
    </w:lvl>
    <w:lvl w:ilvl="2" w:tentative="1">
      <w:start w:val="1"/>
      <w:numFmt w:val="lowerRoman"/>
      <w:lvlText w:val="%3."/>
      <w:lvlJc w:val="right"/>
      <w:pPr>
        <w:tabs>
          <w:tab w:val="num" w:pos="3528"/>
        </w:tabs>
        <w:ind w:left="3528" w:hanging="180"/>
      </w:pPr>
    </w:lvl>
    <w:lvl w:ilvl="3" w:tentative="1">
      <w:start w:val="1"/>
      <w:numFmt w:val="decimal"/>
      <w:lvlText w:val="%4."/>
      <w:lvlJc w:val="left"/>
      <w:pPr>
        <w:tabs>
          <w:tab w:val="num" w:pos="4248"/>
        </w:tabs>
        <w:ind w:left="4248" w:hanging="360"/>
      </w:pPr>
    </w:lvl>
    <w:lvl w:ilvl="4" w:tentative="1">
      <w:start w:val="1"/>
      <w:numFmt w:val="lowerLetter"/>
      <w:lvlText w:val="%5."/>
      <w:lvlJc w:val="left"/>
      <w:pPr>
        <w:tabs>
          <w:tab w:val="num" w:pos="4968"/>
        </w:tabs>
        <w:ind w:left="4968" w:hanging="360"/>
      </w:pPr>
    </w:lvl>
    <w:lvl w:ilvl="5" w:tentative="1">
      <w:start w:val="1"/>
      <w:numFmt w:val="lowerRoman"/>
      <w:lvlText w:val="%6."/>
      <w:lvlJc w:val="right"/>
      <w:pPr>
        <w:tabs>
          <w:tab w:val="num" w:pos="5688"/>
        </w:tabs>
        <w:ind w:left="5688" w:hanging="180"/>
      </w:pPr>
    </w:lvl>
    <w:lvl w:ilvl="6" w:tentative="1">
      <w:start w:val="1"/>
      <w:numFmt w:val="decimal"/>
      <w:lvlText w:val="%7."/>
      <w:lvlJc w:val="left"/>
      <w:pPr>
        <w:tabs>
          <w:tab w:val="num" w:pos="6408"/>
        </w:tabs>
        <w:ind w:left="6408" w:hanging="360"/>
      </w:pPr>
    </w:lvl>
    <w:lvl w:ilvl="7" w:tentative="1">
      <w:start w:val="1"/>
      <w:numFmt w:val="lowerLetter"/>
      <w:lvlText w:val="%8."/>
      <w:lvlJc w:val="left"/>
      <w:pPr>
        <w:tabs>
          <w:tab w:val="num" w:pos="7128"/>
        </w:tabs>
        <w:ind w:left="7128" w:hanging="360"/>
      </w:pPr>
    </w:lvl>
    <w:lvl w:ilvl="8" w:tentative="1">
      <w:start w:val="1"/>
      <w:numFmt w:val="lowerRoman"/>
      <w:lvlText w:val="%9."/>
      <w:lvlJc w:val="right"/>
      <w:pPr>
        <w:tabs>
          <w:tab w:val="num" w:pos="7848"/>
        </w:tabs>
        <w:ind w:left="7848" w:hanging="180"/>
      </w:pPr>
    </w:lvl>
  </w:abstractNum>
  <w:abstractNum w:abstractNumId="198">
    <w:nsid w:val="501E662D"/>
    <w:multiLevelType w:val="multilevel"/>
    <w:tmpl w:val="B2EE0AD0"/>
    <w:lvl w:ilvl="0">
      <w:start w:val="1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9">
    <w:nsid w:val="50545E73"/>
    <w:multiLevelType w:val="multilevel"/>
    <w:tmpl w:val="3788EF7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0">
    <w:nsid w:val="50580B4E"/>
    <w:multiLevelType w:val="multilevel"/>
    <w:tmpl w:val="09044474"/>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560"/>
        </w:tabs>
        <w:ind w:left="1560" w:hanging="48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1">
    <w:nsid w:val="507A1C8B"/>
    <w:multiLevelType w:val="singleLevel"/>
    <w:tmpl w:val="F938A33E"/>
    <w:lvl w:ilvl="0">
      <w:numFmt w:val="bullet"/>
      <w:lvlText w:val="-"/>
      <w:lvlJc w:val="left"/>
      <w:pPr>
        <w:tabs>
          <w:tab w:val="num" w:pos="360"/>
        </w:tabs>
        <w:ind w:left="360" w:hanging="360"/>
      </w:pPr>
      <w:rPr>
        <w:rFonts w:hint="default"/>
      </w:rPr>
    </w:lvl>
  </w:abstractNum>
  <w:abstractNum w:abstractNumId="202">
    <w:nsid w:val="509F2A75"/>
    <w:multiLevelType w:val="singleLevel"/>
    <w:tmpl w:val="EA289FA2"/>
    <w:lvl w:ilvl="0">
      <w:start w:val="2"/>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03">
    <w:nsid w:val="511E3A7C"/>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04">
    <w:nsid w:val="513511CB"/>
    <w:multiLevelType w:val="multilevel"/>
    <w:tmpl w:val="89AE448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5">
    <w:nsid w:val="519B6010"/>
    <w:multiLevelType w:val="singleLevel"/>
    <w:tmpl w:val="11984E96"/>
    <w:lvl w:ilvl="0">
      <w:start w:val="4"/>
      <w:numFmt w:val="decimal"/>
      <w:lvlText w:val="%1."/>
      <w:lvlJc w:val="left"/>
      <w:pPr>
        <w:tabs>
          <w:tab w:val="num" w:pos="720"/>
        </w:tabs>
        <w:ind w:left="720" w:hanging="720"/>
      </w:pPr>
      <w:rPr>
        <w:rFonts w:hint="default"/>
      </w:rPr>
    </w:lvl>
  </w:abstractNum>
  <w:abstractNum w:abstractNumId="206">
    <w:nsid w:val="52C34885"/>
    <w:multiLevelType w:val="singleLevel"/>
    <w:tmpl w:val="E556B404"/>
    <w:lvl w:ilvl="0">
      <w:start w:val="1"/>
      <w:numFmt w:val="decimal"/>
      <w:lvlText w:val="%1."/>
      <w:lvlJc w:val="left"/>
      <w:pPr>
        <w:tabs>
          <w:tab w:val="num" w:pos="648"/>
        </w:tabs>
        <w:ind w:left="288" w:firstLine="0"/>
      </w:pPr>
    </w:lvl>
  </w:abstractNum>
  <w:abstractNum w:abstractNumId="207">
    <w:nsid w:val="52F00051"/>
    <w:multiLevelType w:val="singleLevel"/>
    <w:tmpl w:val="E556B404"/>
    <w:lvl w:ilvl="0">
      <w:start w:val="1"/>
      <w:numFmt w:val="decimal"/>
      <w:lvlText w:val="%1."/>
      <w:lvlJc w:val="left"/>
      <w:pPr>
        <w:tabs>
          <w:tab w:val="num" w:pos="648"/>
        </w:tabs>
        <w:ind w:left="288" w:firstLine="0"/>
      </w:pPr>
    </w:lvl>
  </w:abstractNum>
  <w:abstractNum w:abstractNumId="208">
    <w:nsid w:val="53081281"/>
    <w:multiLevelType w:val="singleLevel"/>
    <w:tmpl w:val="E556B404"/>
    <w:lvl w:ilvl="0">
      <w:start w:val="1"/>
      <w:numFmt w:val="decimal"/>
      <w:lvlText w:val="%1."/>
      <w:lvlJc w:val="left"/>
      <w:pPr>
        <w:tabs>
          <w:tab w:val="num" w:pos="648"/>
        </w:tabs>
        <w:ind w:left="288" w:firstLine="0"/>
      </w:pPr>
    </w:lvl>
  </w:abstractNum>
  <w:abstractNum w:abstractNumId="209">
    <w:nsid w:val="540B75AF"/>
    <w:multiLevelType w:val="multilevel"/>
    <w:tmpl w:val="751AFAA2"/>
    <w:lvl w:ilvl="0">
      <w:start w:val="59"/>
      <w:numFmt w:val="decimal"/>
      <w:lvlText w:val="%1."/>
      <w:lvlJc w:val="left"/>
      <w:pPr>
        <w:tabs>
          <w:tab w:val="num" w:pos="360"/>
        </w:tabs>
        <w:ind w:left="1021" w:hanging="1021"/>
      </w:pPr>
      <w:rPr>
        <w:rFonts w:ascii="Times New Roman" w:hAnsi="Times New Roman" w:cs="Wingdings" w:hint="default"/>
        <w:b w:val="0"/>
        <w:bCs w:val="0"/>
        <w:i w:val="0"/>
        <w:iCs w:val="0"/>
        <w:sz w:val="24"/>
        <w:szCs w:val="24"/>
      </w:rPr>
    </w:lvl>
    <w:lvl w:ilvl="1">
      <w:start w:val="1"/>
      <w:numFmt w:val="decimal"/>
      <w:lvlText w:val="%1.%2."/>
      <w:lvlJc w:val="left"/>
      <w:pPr>
        <w:tabs>
          <w:tab w:val="num" w:pos="792"/>
        </w:tabs>
        <w:ind w:left="2325" w:hanging="1871"/>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0">
    <w:nsid w:val="54C24DB7"/>
    <w:multiLevelType w:val="singleLevel"/>
    <w:tmpl w:val="79D089C4"/>
    <w:lvl w:ilvl="0">
      <w:start w:val="1"/>
      <w:numFmt w:val="decimal"/>
      <w:lvlText w:val="%1."/>
      <w:lvlJc w:val="left"/>
      <w:pPr>
        <w:tabs>
          <w:tab w:val="num" w:pos="360"/>
        </w:tabs>
        <w:ind w:left="0" w:firstLine="0"/>
      </w:pPr>
    </w:lvl>
  </w:abstractNum>
  <w:abstractNum w:abstractNumId="211">
    <w:nsid w:val="55DD52EB"/>
    <w:multiLevelType w:val="multilevel"/>
    <w:tmpl w:val="8A6A863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2">
    <w:nsid w:val="560E1ED1"/>
    <w:multiLevelType w:val="singleLevel"/>
    <w:tmpl w:val="0409000F"/>
    <w:lvl w:ilvl="0">
      <w:start w:val="1"/>
      <w:numFmt w:val="decimal"/>
      <w:lvlText w:val="%1."/>
      <w:lvlJc w:val="left"/>
      <w:pPr>
        <w:tabs>
          <w:tab w:val="num" w:pos="360"/>
        </w:tabs>
        <w:ind w:left="360" w:hanging="360"/>
      </w:pPr>
    </w:lvl>
  </w:abstractNum>
  <w:abstractNum w:abstractNumId="213">
    <w:nsid w:val="56293BC1"/>
    <w:multiLevelType w:val="singleLevel"/>
    <w:tmpl w:val="4B86DA22"/>
    <w:lvl w:ilvl="0">
      <w:start w:val="13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4">
    <w:nsid w:val="573711FF"/>
    <w:multiLevelType w:val="multilevel"/>
    <w:tmpl w:val="0D6AF9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5">
    <w:nsid w:val="573B31A3"/>
    <w:multiLevelType w:val="singleLevel"/>
    <w:tmpl w:val="CBECD16A"/>
    <w:lvl w:ilvl="0">
      <w:start w:val="3"/>
      <w:numFmt w:val="upperLetter"/>
      <w:lvlText w:val="%1."/>
      <w:lvlJc w:val="left"/>
      <w:pPr>
        <w:tabs>
          <w:tab w:val="num" w:pos="1080"/>
        </w:tabs>
        <w:ind w:left="1080" w:hanging="360"/>
      </w:pPr>
      <w:rPr>
        <w:rFonts w:hint="default"/>
      </w:rPr>
    </w:lvl>
  </w:abstractNum>
  <w:abstractNum w:abstractNumId="216">
    <w:nsid w:val="57B86EA9"/>
    <w:multiLevelType w:val="multilevel"/>
    <w:tmpl w:val="27A8DC36"/>
    <w:lvl w:ilvl="0">
      <w:start w:val="3"/>
      <w:numFmt w:val="decimal"/>
      <w:lvlText w:val="%1."/>
      <w:lvlJc w:val="left"/>
      <w:pPr>
        <w:tabs>
          <w:tab w:val="num" w:pos="648"/>
        </w:tabs>
        <w:ind w:left="648" w:hanging="360"/>
      </w:pPr>
      <w:rPr>
        <w:rFonts w:hint="default"/>
      </w:rPr>
    </w:lvl>
    <w:lvl w:ilvl="1" w:tentative="1">
      <w:start w:val="1"/>
      <w:numFmt w:val="lowerLetter"/>
      <w:lvlText w:val="%2."/>
      <w:lvlJc w:val="left"/>
      <w:pPr>
        <w:tabs>
          <w:tab w:val="num" w:pos="1368"/>
        </w:tabs>
        <w:ind w:left="1368" w:hanging="360"/>
      </w:pPr>
    </w:lvl>
    <w:lvl w:ilvl="2" w:tentative="1">
      <w:start w:val="1"/>
      <w:numFmt w:val="lowerRoman"/>
      <w:lvlText w:val="%3."/>
      <w:lvlJc w:val="right"/>
      <w:pPr>
        <w:tabs>
          <w:tab w:val="num" w:pos="2088"/>
        </w:tabs>
        <w:ind w:left="2088" w:hanging="180"/>
      </w:pPr>
    </w:lvl>
    <w:lvl w:ilvl="3" w:tentative="1">
      <w:start w:val="1"/>
      <w:numFmt w:val="decimal"/>
      <w:lvlText w:val="%4."/>
      <w:lvlJc w:val="left"/>
      <w:pPr>
        <w:tabs>
          <w:tab w:val="num" w:pos="2808"/>
        </w:tabs>
        <w:ind w:left="2808" w:hanging="360"/>
      </w:pPr>
    </w:lvl>
    <w:lvl w:ilvl="4" w:tentative="1">
      <w:start w:val="1"/>
      <w:numFmt w:val="lowerLetter"/>
      <w:lvlText w:val="%5."/>
      <w:lvlJc w:val="left"/>
      <w:pPr>
        <w:tabs>
          <w:tab w:val="num" w:pos="3528"/>
        </w:tabs>
        <w:ind w:left="3528" w:hanging="360"/>
      </w:pPr>
    </w:lvl>
    <w:lvl w:ilvl="5" w:tentative="1">
      <w:start w:val="1"/>
      <w:numFmt w:val="lowerRoman"/>
      <w:lvlText w:val="%6."/>
      <w:lvlJc w:val="right"/>
      <w:pPr>
        <w:tabs>
          <w:tab w:val="num" w:pos="4248"/>
        </w:tabs>
        <w:ind w:left="4248" w:hanging="180"/>
      </w:pPr>
    </w:lvl>
    <w:lvl w:ilvl="6" w:tentative="1">
      <w:start w:val="1"/>
      <w:numFmt w:val="decimal"/>
      <w:lvlText w:val="%7."/>
      <w:lvlJc w:val="left"/>
      <w:pPr>
        <w:tabs>
          <w:tab w:val="num" w:pos="4968"/>
        </w:tabs>
        <w:ind w:left="4968" w:hanging="360"/>
      </w:pPr>
    </w:lvl>
    <w:lvl w:ilvl="7" w:tentative="1">
      <w:start w:val="1"/>
      <w:numFmt w:val="lowerLetter"/>
      <w:lvlText w:val="%8."/>
      <w:lvlJc w:val="left"/>
      <w:pPr>
        <w:tabs>
          <w:tab w:val="num" w:pos="5688"/>
        </w:tabs>
        <w:ind w:left="5688" w:hanging="360"/>
      </w:pPr>
    </w:lvl>
    <w:lvl w:ilvl="8" w:tentative="1">
      <w:start w:val="1"/>
      <w:numFmt w:val="lowerRoman"/>
      <w:lvlText w:val="%9."/>
      <w:lvlJc w:val="right"/>
      <w:pPr>
        <w:tabs>
          <w:tab w:val="num" w:pos="6408"/>
        </w:tabs>
        <w:ind w:left="6408" w:hanging="180"/>
      </w:pPr>
    </w:lvl>
  </w:abstractNum>
  <w:abstractNum w:abstractNumId="217">
    <w:nsid w:val="58904877"/>
    <w:multiLevelType w:val="hybridMultilevel"/>
    <w:tmpl w:val="96D4E0E8"/>
    <w:lvl w:ilvl="0">
      <w:start w:val="1"/>
      <w:numFmt w:val="bullet"/>
      <w:lvlText w:val=""/>
      <w:lvlJc w:val="left"/>
      <w:pPr>
        <w:tabs>
          <w:tab w:val="num" w:pos="2459"/>
        </w:tabs>
        <w:ind w:left="2459" w:hanging="360"/>
      </w:pPr>
      <w:rPr>
        <w:rFonts w:ascii="Symbol" w:hAnsi="Symbol" w:hint="default"/>
      </w:rPr>
    </w:lvl>
    <w:lvl w:ilvl="1" w:tentative="1">
      <w:start w:val="1"/>
      <w:numFmt w:val="bullet"/>
      <w:lvlText w:val="o"/>
      <w:lvlJc w:val="left"/>
      <w:pPr>
        <w:tabs>
          <w:tab w:val="num" w:pos="3179"/>
        </w:tabs>
        <w:ind w:left="3179" w:hanging="360"/>
      </w:pPr>
      <w:rPr>
        <w:rFonts w:ascii="Courier New" w:hAnsi="Courier New" w:hint="default"/>
      </w:rPr>
    </w:lvl>
    <w:lvl w:ilvl="2" w:tentative="1">
      <w:start w:val="1"/>
      <w:numFmt w:val="bullet"/>
      <w:lvlText w:val=""/>
      <w:lvlJc w:val="left"/>
      <w:pPr>
        <w:tabs>
          <w:tab w:val="num" w:pos="3899"/>
        </w:tabs>
        <w:ind w:left="3899" w:hanging="360"/>
      </w:pPr>
      <w:rPr>
        <w:rFonts w:ascii="Wingdings" w:hAnsi="Wingdings" w:hint="default"/>
      </w:rPr>
    </w:lvl>
    <w:lvl w:ilvl="3" w:tentative="1">
      <w:start w:val="1"/>
      <w:numFmt w:val="bullet"/>
      <w:lvlText w:val=""/>
      <w:lvlJc w:val="left"/>
      <w:pPr>
        <w:tabs>
          <w:tab w:val="num" w:pos="4619"/>
        </w:tabs>
        <w:ind w:left="4619" w:hanging="360"/>
      </w:pPr>
      <w:rPr>
        <w:rFonts w:ascii="Symbol" w:hAnsi="Symbol" w:hint="default"/>
      </w:rPr>
    </w:lvl>
    <w:lvl w:ilvl="4" w:tentative="1">
      <w:start w:val="1"/>
      <w:numFmt w:val="bullet"/>
      <w:lvlText w:val="o"/>
      <w:lvlJc w:val="left"/>
      <w:pPr>
        <w:tabs>
          <w:tab w:val="num" w:pos="5339"/>
        </w:tabs>
        <w:ind w:left="5339" w:hanging="360"/>
      </w:pPr>
      <w:rPr>
        <w:rFonts w:ascii="Courier New" w:hAnsi="Courier New" w:hint="default"/>
      </w:rPr>
    </w:lvl>
    <w:lvl w:ilvl="5" w:tentative="1">
      <w:start w:val="1"/>
      <w:numFmt w:val="bullet"/>
      <w:lvlText w:val=""/>
      <w:lvlJc w:val="left"/>
      <w:pPr>
        <w:tabs>
          <w:tab w:val="num" w:pos="6059"/>
        </w:tabs>
        <w:ind w:left="6059" w:hanging="360"/>
      </w:pPr>
      <w:rPr>
        <w:rFonts w:ascii="Wingdings" w:hAnsi="Wingdings" w:hint="default"/>
      </w:rPr>
    </w:lvl>
    <w:lvl w:ilvl="6" w:tentative="1">
      <w:start w:val="1"/>
      <w:numFmt w:val="bullet"/>
      <w:lvlText w:val=""/>
      <w:lvlJc w:val="left"/>
      <w:pPr>
        <w:tabs>
          <w:tab w:val="num" w:pos="6779"/>
        </w:tabs>
        <w:ind w:left="6779" w:hanging="360"/>
      </w:pPr>
      <w:rPr>
        <w:rFonts w:ascii="Symbol" w:hAnsi="Symbol" w:hint="default"/>
      </w:rPr>
    </w:lvl>
    <w:lvl w:ilvl="7" w:tentative="1">
      <w:start w:val="1"/>
      <w:numFmt w:val="bullet"/>
      <w:lvlText w:val="o"/>
      <w:lvlJc w:val="left"/>
      <w:pPr>
        <w:tabs>
          <w:tab w:val="num" w:pos="7499"/>
        </w:tabs>
        <w:ind w:left="7499" w:hanging="360"/>
      </w:pPr>
      <w:rPr>
        <w:rFonts w:ascii="Courier New" w:hAnsi="Courier New" w:hint="default"/>
      </w:rPr>
    </w:lvl>
    <w:lvl w:ilvl="8" w:tentative="1">
      <w:start w:val="1"/>
      <w:numFmt w:val="bullet"/>
      <w:lvlText w:val=""/>
      <w:lvlJc w:val="left"/>
      <w:pPr>
        <w:tabs>
          <w:tab w:val="num" w:pos="8219"/>
        </w:tabs>
        <w:ind w:left="8219" w:hanging="360"/>
      </w:pPr>
      <w:rPr>
        <w:rFonts w:ascii="Wingdings" w:hAnsi="Wingdings" w:hint="default"/>
      </w:rPr>
    </w:lvl>
  </w:abstractNum>
  <w:abstractNum w:abstractNumId="218">
    <w:nsid w:val="595A0FF8"/>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219">
    <w:nsid w:val="5A220288"/>
    <w:multiLevelType w:val="singleLevel"/>
    <w:tmpl w:val="7E82D4EA"/>
    <w:lvl w:ilvl="0">
      <w:start w:val="7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0">
    <w:nsid w:val="5A5F4215"/>
    <w:multiLevelType w:val="multilevel"/>
    <w:tmpl w:val="A9385870"/>
    <w:lvl w:ilvl="0">
      <w:start w:val="87"/>
      <w:numFmt w:val="decimal"/>
      <w:lvlText w:val="%1."/>
      <w:lvlJc w:val="left"/>
      <w:pPr>
        <w:tabs>
          <w:tab w:val="num" w:pos="360"/>
        </w:tabs>
        <w:ind w:left="1021" w:hanging="1021"/>
      </w:pPr>
      <w:rPr>
        <w:rFonts w:ascii="Times New Roman" w:hAnsi="Times New Roman" w:cs="Wingdings" w:hint="default"/>
        <w:b w:val="0"/>
        <w:bCs w:val="0"/>
        <w:i w:val="0"/>
        <w:iCs w:val="0"/>
        <w:sz w:val="24"/>
        <w:szCs w:val="24"/>
      </w:rPr>
    </w:lvl>
    <w:lvl w:ilvl="1">
      <w:start w:val="1"/>
      <w:numFmt w:val="decimal"/>
      <w:lvlText w:val="%1.%2."/>
      <w:lvlJc w:val="left"/>
      <w:pPr>
        <w:tabs>
          <w:tab w:val="num" w:pos="792"/>
        </w:tabs>
        <w:ind w:left="2325" w:hanging="1871"/>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1">
    <w:nsid w:val="5A9F4AB8"/>
    <w:multiLevelType w:val="hybridMultilevel"/>
    <w:tmpl w:val="8E8AE524"/>
    <w:lvl w:ilvl="0">
      <w:start w:val="1"/>
      <w:numFmt w:val="bullet"/>
      <w:lvlText w:val=""/>
      <w:lvlJc w:val="left"/>
      <w:pPr>
        <w:tabs>
          <w:tab w:val="num" w:pos="2101"/>
        </w:tabs>
        <w:ind w:left="2101" w:hanging="360"/>
      </w:pPr>
      <w:rPr>
        <w:rFonts w:ascii="Symbol" w:hAnsi="Symbol" w:hint="default"/>
      </w:rPr>
    </w:lvl>
    <w:lvl w:ilvl="1" w:tentative="1">
      <w:start w:val="1"/>
      <w:numFmt w:val="bullet"/>
      <w:lvlText w:val="o"/>
      <w:lvlJc w:val="left"/>
      <w:pPr>
        <w:tabs>
          <w:tab w:val="num" w:pos="2821"/>
        </w:tabs>
        <w:ind w:left="2821" w:hanging="360"/>
      </w:pPr>
      <w:rPr>
        <w:rFonts w:ascii="Courier New" w:hAnsi="Courier New" w:hint="default"/>
      </w:rPr>
    </w:lvl>
    <w:lvl w:ilvl="2" w:tentative="1">
      <w:start w:val="1"/>
      <w:numFmt w:val="bullet"/>
      <w:lvlText w:val=""/>
      <w:lvlJc w:val="left"/>
      <w:pPr>
        <w:tabs>
          <w:tab w:val="num" w:pos="3541"/>
        </w:tabs>
        <w:ind w:left="3541" w:hanging="360"/>
      </w:pPr>
      <w:rPr>
        <w:rFonts w:ascii="Wingdings" w:hAnsi="Wingdings" w:hint="default"/>
      </w:rPr>
    </w:lvl>
    <w:lvl w:ilvl="3" w:tentative="1">
      <w:start w:val="1"/>
      <w:numFmt w:val="bullet"/>
      <w:lvlText w:val=""/>
      <w:lvlJc w:val="left"/>
      <w:pPr>
        <w:tabs>
          <w:tab w:val="num" w:pos="4261"/>
        </w:tabs>
        <w:ind w:left="4261" w:hanging="360"/>
      </w:pPr>
      <w:rPr>
        <w:rFonts w:ascii="Symbol" w:hAnsi="Symbol" w:hint="default"/>
      </w:rPr>
    </w:lvl>
    <w:lvl w:ilvl="4" w:tentative="1">
      <w:start w:val="1"/>
      <w:numFmt w:val="bullet"/>
      <w:lvlText w:val="o"/>
      <w:lvlJc w:val="left"/>
      <w:pPr>
        <w:tabs>
          <w:tab w:val="num" w:pos="4981"/>
        </w:tabs>
        <w:ind w:left="4981" w:hanging="360"/>
      </w:pPr>
      <w:rPr>
        <w:rFonts w:ascii="Courier New" w:hAnsi="Courier New" w:hint="default"/>
      </w:rPr>
    </w:lvl>
    <w:lvl w:ilvl="5" w:tentative="1">
      <w:start w:val="1"/>
      <w:numFmt w:val="bullet"/>
      <w:lvlText w:val=""/>
      <w:lvlJc w:val="left"/>
      <w:pPr>
        <w:tabs>
          <w:tab w:val="num" w:pos="5701"/>
        </w:tabs>
        <w:ind w:left="5701" w:hanging="360"/>
      </w:pPr>
      <w:rPr>
        <w:rFonts w:ascii="Wingdings" w:hAnsi="Wingdings" w:hint="default"/>
      </w:rPr>
    </w:lvl>
    <w:lvl w:ilvl="6" w:tentative="1">
      <w:start w:val="1"/>
      <w:numFmt w:val="bullet"/>
      <w:lvlText w:val=""/>
      <w:lvlJc w:val="left"/>
      <w:pPr>
        <w:tabs>
          <w:tab w:val="num" w:pos="6421"/>
        </w:tabs>
        <w:ind w:left="6421" w:hanging="360"/>
      </w:pPr>
      <w:rPr>
        <w:rFonts w:ascii="Symbol" w:hAnsi="Symbol" w:hint="default"/>
      </w:rPr>
    </w:lvl>
    <w:lvl w:ilvl="7" w:tentative="1">
      <w:start w:val="1"/>
      <w:numFmt w:val="bullet"/>
      <w:lvlText w:val="o"/>
      <w:lvlJc w:val="left"/>
      <w:pPr>
        <w:tabs>
          <w:tab w:val="num" w:pos="7141"/>
        </w:tabs>
        <w:ind w:left="7141" w:hanging="360"/>
      </w:pPr>
      <w:rPr>
        <w:rFonts w:ascii="Courier New" w:hAnsi="Courier New" w:hint="default"/>
      </w:rPr>
    </w:lvl>
    <w:lvl w:ilvl="8" w:tentative="1">
      <w:start w:val="1"/>
      <w:numFmt w:val="bullet"/>
      <w:lvlText w:val=""/>
      <w:lvlJc w:val="left"/>
      <w:pPr>
        <w:tabs>
          <w:tab w:val="num" w:pos="7861"/>
        </w:tabs>
        <w:ind w:left="7861" w:hanging="360"/>
      </w:pPr>
      <w:rPr>
        <w:rFonts w:ascii="Wingdings" w:hAnsi="Wingdings" w:hint="default"/>
      </w:rPr>
    </w:lvl>
  </w:abstractNum>
  <w:abstractNum w:abstractNumId="222">
    <w:nsid w:val="5AAD7295"/>
    <w:multiLevelType w:val="singleLevel"/>
    <w:tmpl w:val="F8BAB2E8"/>
    <w:lvl w:ilvl="0">
      <w:start w:val="5"/>
      <w:numFmt w:val="upperRoman"/>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3">
    <w:nsid w:val="5B1738B9"/>
    <w:multiLevelType w:val="singleLevel"/>
    <w:tmpl w:val="0409000F"/>
    <w:lvl w:ilvl="0">
      <w:start w:val="1"/>
      <w:numFmt w:val="decimal"/>
      <w:lvlText w:val="%1."/>
      <w:lvlJc w:val="left"/>
      <w:pPr>
        <w:tabs>
          <w:tab w:val="num" w:pos="360"/>
        </w:tabs>
        <w:ind w:left="360" w:hanging="360"/>
      </w:pPr>
    </w:lvl>
  </w:abstractNum>
  <w:abstractNum w:abstractNumId="224">
    <w:nsid w:val="5B3722D1"/>
    <w:multiLevelType w:val="singleLevel"/>
    <w:tmpl w:val="22A42FB2"/>
    <w:lvl w:ilvl="0">
      <w:start w:val="1"/>
      <w:numFmt w:val="decimal"/>
      <w:lvlText w:val="%1."/>
      <w:lvlJc w:val="left"/>
      <w:pPr>
        <w:tabs>
          <w:tab w:val="num" w:pos="648"/>
        </w:tabs>
        <w:ind w:left="360" w:hanging="72"/>
      </w:pPr>
      <w:rPr>
        <w:b w:val="0"/>
        <w:i w:val="0"/>
        <w:u w:val="none"/>
      </w:rPr>
    </w:lvl>
  </w:abstractNum>
  <w:abstractNum w:abstractNumId="225">
    <w:nsid w:val="5B3D75ED"/>
    <w:multiLevelType w:val="multilevel"/>
    <w:tmpl w:val="A31E5AE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6">
    <w:nsid w:val="5B9476C9"/>
    <w:multiLevelType w:val="singleLevel"/>
    <w:tmpl w:val="E0743FFA"/>
    <w:lvl w:ilvl="0">
      <w:start w:val="1"/>
      <w:numFmt w:val="decimal"/>
      <w:lvlText w:val="%1."/>
      <w:lvlJc w:val="left"/>
      <w:pPr>
        <w:tabs>
          <w:tab w:val="num" w:pos="648"/>
        </w:tabs>
        <w:ind w:left="360" w:hanging="72"/>
      </w:pPr>
    </w:lvl>
  </w:abstractNum>
  <w:abstractNum w:abstractNumId="227">
    <w:nsid w:val="5BAB79B9"/>
    <w:multiLevelType w:val="singleLevel"/>
    <w:tmpl w:val="0409000F"/>
    <w:lvl w:ilvl="0">
      <w:start w:val="1"/>
      <w:numFmt w:val="decimal"/>
      <w:lvlText w:val="%1."/>
      <w:lvlJc w:val="left"/>
      <w:pPr>
        <w:tabs>
          <w:tab w:val="num" w:pos="360"/>
        </w:tabs>
        <w:ind w:left="360" w:hanging="360"/>
      </w:pPr>
    </w:lvl>
  </w:abstractNum>
  <w:abstractNum w:abstractNumId="228">
    <w:nsid w:val="5C976239"/>
    <w:multiLevelType w:val="singleLevel"/>
    <w:tmpl w:val="BCF453B2"/>
    <w:lvl w:ilvl="0">
      <w:start w:val="1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9">
    <w:nsid w:val="5CD64E73"/>
    <w:multiLevelType w:val="hybridMultilevel"/>
    <w:tmpl w:val="8B4ECCF2"/>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230">
    <w:nsid w:val="5CDF13EF"/>
    <w:multiLevelType w:val="singleLevel"/>
    <w:tmpl w:val="DDFA387A"/>
    <w:lvl w:ilvl="0">
      <w:start w:val="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1">
    <w:nsid w:val="5D1C4F26"/>
    <w:multiLevelType w:val="hybridMultilevel"/>
    <w:tmpl w:val="96D4E0E8"/>
    <w:lvl w:ilvl="0">
      <w:start w:val="1"/>
      <w:numFmt w:val="bullet"/>
      <w:lvlText w:val=""/>
      <w:lvlJc w:val="left"/>
      <w:pPr>
        <w:tabs>
          <w:tab w:val="num" w:pos="2459"/>
        </w:tabs>
        <w:ind w:left="2459" w:hanging="360"/>
      </w:pPr>
      <w:rPr>
        <w:rFonts w:ascii="Wingdings" w:hAnsi="Wingdings" w:hint="default"/>
      </w:rPr>
    </w:lvl>
    <w:lvl w:ilvl="1" w:tentative="1">
      <w:start w:val="1"/>
      <w:numFmt w:val="bullet"/>
      <w:lvlText w:val="o"/>
      <w:lvlJc w:val="left"/>
      <w:pPr>
        <w:tabs>
          <w:tab w:val="num" w:pos="3179"/>
        </w:tabs>
        <w:ind w:left="3179" w:hanging="360"/>
      </w:pPr>
      <w:rPr>
        <w:rFonts w:ascii="Courier New" w:hAnsi="Courier New" w:hint="default"/>
      </w:rPr>
    </w:lvl>
    <w:lvl w:ilvl="2" w:tentative="1">
      <w:start w:val="1"/>
      <w:numFmt w:val="bullet"/>
      <w:lvlText w:val=""/>
      <w:lvlJc w:val="left"/>
      <w:pPr>
        <w:tabs>
          <w:tab w:val="num" w:pos="3899"/>
        </w:tabs>
        <w:ind w:left="3899" w:hanging="360"/>
      </w:pPr>
      <w:rPr>
        <w:rFonts w:ascii="Wingdings" w:hAnsi="Wingdings" w:hint="default"/>
      </w:rPr>
    </w:lvl>
    <w:lvl w:ilvl="3" w:tentative="1">
      <w:start w:val="1"/>
      <w:numFmt w:val="bullet"/>
      <w:lvlText w:val=""/>
      <w:lvlJc w:val="left"/>
      <w:pPr>
        <w:tabs>
          <w:tab w:val="num" w:pos="4619"/>
        </w:tabs>
        <w:ind w:left="4619" w:hanging="360"/>
      </w:pPr>
      <w:rPr>
        <w:rFonts w:ascii="Symbol" w:hAnsi="Symbol" w:hint="default"/>
      </w:rPr>
    </w:lvl>
    <w:lvl w:ilvl="4" w:tentative="1">
      <w:start w:val="1"/>
      <w:numFmt w:val="bullet"/>
      <w:lvlText w:val="o"/>
      <w:lvlJc w:val="left"/>
      <w:pPr>
        <w:tabs>
          <w:tab w:val="num" w:pos="5339"/>
        </w:tabs>
        <w:ind w:left="5339" w:hanging="360"/>
      </w:pPr>
      <w:rPr>
        <w:rFonts w:ascii="Courier New" w:hAnsi="Courier New" w:hint="default"/>
      </w:rPr>
    </w:lvl>
    <w:lvl w:ilvl="5" w:tentative="1">
      <w:start w:val="1"/>
      <w:numFmt w:val="bullet"/>
      <w:lvlText w:val=""/>
      <w:lvlJc w:val="left"/>
      <w:pPr>
        <w:tabs>
          <w:tab w:val="num" w:pos="6059"/>
        </w:tabs>
        <w:ind w:left="6059" w:hanging="360"/>
      </w:pPr>
      <w:rPr>
        <w:rFonts w:ascii="Wingdings" w:hAnsi="Wingdings" w:hint="default"/>
      </w:rPr>
    </w:lvl>
    <w:lvl w:ilvl="6" w:tentative="1">
      <w:start w:val="1"/>
      <w:numFmt w:val="bullet"/>
      <w:lvlText w:val=""/>
      <w:lvlJc w:val="left"/>
      <w:pPr>
        <w:tabs>
          <w:tab w:val="num" w:pos="6779"/>
        </w:tabs>
        <w:ind w:left="6779" w:hanging="360"/>
      </w:pPr>
      <w:rPr>
        <w:rFonts w:ascii="Symbol" w:hAnsi="Symbol" w:hint="default"/>
      </w:rPr>
    </w:lvl>
    <w:lvl w:ilvl="7" w:tentative="1">
      <w:start w:val="1"/>
      <w:numFmt w:val="bullet"/>
      <w:lvlText w:val="o"/>
      <w:lvlJc w:val="left"/>
      <w:pPr>
        <w:tabs>
          <w:tab w:val="num" w:pos="7499"/>
        </w:tabs>
        <w:ind w:left="7499" w:hanging="360"/>
      </w:pPr>
      <w:rPr>
        <w:rFonts w:ascii="Courier New" w:hAnsi="Courier New" w:hint="default"/>
      </w:rPr>
    </w:lvl>
    <w:lvl w:ilvl="8" w:tentative="1">
      <w:start w:val="1"/>
      <w:numFmt w:val="bullet"/>
      <w:lvlText w:val=""/>
      <w:lvlJc w:val="left"/>
      <w:pPr>
        <w:tabs>
          <w:tab w:val="num" w:pos="8219"/>
        </w:tabs>
        <w:ind w:left="8219" w:hanging="360"/>
      </w:pPr>
      <w:rPr>
        <w:rFonts w:ascii="Wingdings" w:hAnsi="Wingdings" w:hint="default"/>
      </w:rPr>
    </w:lvl>
  </w:abstractNum>
  <w:abstractNum w:abstractNumId="232">
    <w:nsid w:val="5E9132A3"/>
    <w:multiLevelType w:val="singleLevel"/>
    <w:tmpl w:val="917E3110"/>
    <w:lvl w:ilvl="0">
      <w:start w:val="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3">
    <w:nsid w:val="5EA472E2"/>
    <w:multiLevelType w:val="multilevel"/>
    <w:tmpl w:val="1E7C015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4">
    <w:nsid w:val="5EA645AC"/>
    <w:multiLevelType w:val="singleLevel"/>
    <w:tmpl w:val="2F90F8EC"/>
    <w:lvl w:ilvl="0">
      <w:start w:val="1"/>
      <w:numFmt w:val="lowerLetter"/>
      <w:lvlText w:val="(%1)"/>
      <w:lvlJc w:val="left"/>
      <w:pPr>
        <w:tabs>
          <w:tab w:val="num" w:pos="1080"/>
        </w:tabs>
        <w:ind w:left="1080" w:hanging="360"/>
      </w:pPr>
      <w:rPr>
        <w:rFonts w:hint="default"/>
      </w:rPr>
    </w:lvl>
  </w:abstractNum>
  <w:abstractNum w:abstractNumId="235">
    <w:nsid w:val="5EA80B45"/>
    <w:multiLevelType w:val="singleLevel"/>
    <w:tmpl w:val="1D8A781A"/>
    <w:lvl w:ilvl="0">
      <w:start w:val="2"/>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6">
    <w:nsid w:val="5F02221A"/>
    <w:multiLevelType w:val="singleLevel"/>
    <w:tmpl w:val="04601AD2"/>
    <w:lvl w:ilvl="0">
      <w:start w:val="1"/>
      <w:numFmt w:val="upperRoman"/>
      <w:lvlText w:val="%1."/>
      <w:lvlJc w:val="left"/>
      <w:pPr>
        <w:tabs>
          <w:tab w:val="num" w:pos="1170"/>
        </w:tabs>
        <w:ind w:left="1170" w:hanging="720"/>
      </w:pPr>
      <w:rPr>
        <w:rFonts w:hint="default"/>
      </w:rPr>
    </w:lvl>
  </w:abstractNum>
  <w:abstractNum w:abstractNumId="237">
    <w:nsid w:val="602827E8"/>
    <w:multiLevelType w:val="singleLevel"/>
    <w:tmpl w:val="79D089C4"/>
    <w:lvl w:ilvl="0">
      <w:start w:val="1"/>
      <w:numFmt w:val="decimal"/>
      <w:lvlText w:val="%1."/>
      <w:lvlJc w:val="left"/>
      <w:pPr>
        <w:tabs>
          <w:tab w:val="num" w:pos="360"/>
        </w:tabs>
        <w:ind w:left="0" w:firstLine="0"/>
      </w:pPr>
    </w:lvl>
  </w:abstractNum>
  <w:abstractNum w:abstractNumId="238">
    <w:nsid w:val="605C02FF"/>
    <w:multiLevelType w:val="singleLevel"/>
    <w:tmpl w:val="77743DB6"/>
    <w:lvl w:ilvl="0">
      <w:start w:val="1"/>
      <w:numFmt w:val="lowerLetter"/>
      <w:lvlText w:val="(%1)"/>
      <w:lvlJc w:val="left"/>
      <w:pPr>
        <w:tabs>
          <w:tab w:val="num" w:pos="360"/>
        </w:tabs>
        <w:ind w:left="360" w:hanging="360"/>
      </w:pPr>
    </w:lvl>
  </w:abstractNum>
  <w:abstractNum w:abstractNumId="239">
    <w:nsid w:val="609A4A82"/>
    <w:multiLevelType w:val="singleLevel"/>
    <w:tmpl w:val="2360A0FA"/>
    <w:lvl w:ilvl="0">
      <w:start w:val="1"/>
      <w:numFmt w:val="upperRoman"/>
      <w:lvlText w:val="%1."/>
      <w:lvlJc w:val="left"/>
      <w:pPr>
        <w:tabs>
          <w:tab w:val="num" w:pos="1170"/>
        </w:tabs>
        <w:ind w:left="1170" w:hanging="1170"/>
      </w:pPr>
      <w:rPr>
        <w:rFonts w:hint="default"/>
      </w:rPr>
    </w:lvl>
  </w:abstractNum>
  <w:abstractNum w:abstractNumId="240">
    <w:nsid w:val="60AC7E9D"/>
    <w:multiLevelType w:val="multilevel"/>
    <w:tmpl w:val="2C80A39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1">
    <w:nsid w:val="60B25AE9"/>
    <w:multiLevelType w:val="singleLevel"/>
    <w:tmpl w:val="1D8A781A"/>
    <w:lvl w:ilvl="0">
      <w:start w:val="2"/>
      <w:numFmt w:val="upperLetter"/>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42">
    <w:nsid w:val="60C407F1"/>
    <w:multiLevelType w:val="singleLevel"/>
    <w:tmpl w:val="A33E16D0"/>
    <w:lvl w:ilvl="0">
      <w:start w:val="12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3">
    <w:nsid w:val="616B05F5"/>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44">
    <w:nsid w:val="61AF43ED"/>
    <w:multiLevelType w:val="singleLevel"/>
    <w:tmpl w:val="04090013"/>
    <w:lvl w:ilvl="0">
      <w:start w:val="1"/>
      <w:numFmt w:val="upperRoman"/>
      <w:lvlText w:val="%1."/>
      <w:lvlJc w:val="left"/>
      <w:pPr>
        <w:tabs>
          <w:tab w:val="num" w:pos="720"/>
        </w:tabs>
        <w:ind w:left="720" w:hanging="720"/>
      </w:pPr>
      <w:rPr>
        <w:rFonts w:hint="default"/>
      </w:rPr>
    </w:lvl>
  </w:abstractNum>
  <w:abstractNum w:abstractNumId="245">
    <w:nsid w:val="61F830AA"/>
    <w:multiLevelType w:val="singleLevel"/>
    <w:tmpl w:val="4B0EBF18"/>
    <w:lvl w:ilvl="0">
      <w:start w:val="3"/>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46">
    <w:nsid w:val="625A5FCE"/>
    <w:multiLevelType w:val="singleLevel"/>
    <w:tmpl w:val="F938A33E"/>
    <w:lvl w:ilvl="0">
      <w:numFmt w:val="bullet"/>
      <w:lvlText w:val="-"/>
      <w:lvlJc w:val="left"/>
      <w:pPr>
        <w:tabs>
          <w:tab w:val="num" w:pos="360"/>
        </w:tabs>
        <w:ind w:left="360" w:hanging="360"/>
      </w:pPr>
      <w:rPr>
        <w:rFonts w:hint="default"/>
      </w:rPr>
    </w:lvl>
  </w:abstractNum>
  <w:abstractNum w:abstractNumId="247">
    <w:nsid w:val="63CF48FB"/>
    <w:multiLevelType w:val="singleLevel"/>
    <w:tmpl w:val="1F6E04D0"/>
    <w:lvl w:ilvl="0">
      <w:start w:val="3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8">
    <w:nsid w:val="645D0754"/>
    <w:multiLevelType w:val="singleLevel"/>
    <w:tmpl w:val="999C6C32"/>
    <w:lvl w:ilvl="0">
      <w:start w:val="1"/>
      <w:numFmt w:val="decimal"/>
      <w:lvlText w:val="%1."/>
      <w:lvlJc w:val="left"/>
      <w:pPr>
        <w:tabs>
          <w:tab w:val="num" w:pos="720"/>
        </w:tabs>
        <w:ind w:left="720" w:hanging="720"/>
      </w:pPr>
      <w:rPr>
        <w:rFonts w:hint="default"/>
      </w:rPr>
    </w:lvl>
  </w:abstractNum>
  <w:abstractNum w:abstractNumId="249">
    <w:nsid w:val="64CD4C30"/>
    <w:multiLevelType w:val="singleLevel"/>
    <w:tmpl w:val="73A052C4"/>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0">
    <w:nsid w:val="64FA1F19"/>
    <w:multiLevelType w:val="multilevel"/>
    <w:tmpl w:val="8E70F91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1">
    <w:nsid w:val="652C22B3"/>
    <w:multiLevelType w:val="singleLevel"/>
    <w:tmpl w:val="E15E8F0A"/>
    <w:lvl w:ilvl="0">
      <w:start w:val="1"/>
      <w:numFmt w:val="lowerLetter"/>
      <w:lvlText w:val="%1)"/>
      <w:lvlJc w:val="left"/>
      <w:pPr>
        <w:tabs>
          <w:tab w:val="num" w:pos="1080"/>
        </w:tabs>
        <w:ind w:left="1080" w:hanging="360"/>
      </w:pPr>
      <w:rPr>
        <w:rFonts w:hint="default"/>
      </w:rPr>
    </w:lvl>
  </w:abstractNum>
  <w:abstractNum w:abstractNumId="252">
    <w:nsid w:val="660A6B07"/>
    <w:multiLevelType w:val="singleLevel"/>
    <w:tmpl w:val="99BEB8D8"/>
    <w:lvl w:ilvl="0">
      <w:start w:val="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3">
    <w:nsid w:val="66273806"/>
    <w:multiLevelType w:val="singleLevel"/>
    <w:tmpl w:val="1EEC89D8"/>
    <w:lvl w:ilvl="0">
      <w:start w:val="2"/>
      <w:numFmt w:val="decimal"/>
      <w:lvlText w:val="%1. "/>
      <w:legacy w:legacy="1" w:legacySpace="0" w:legacyIndent="283"/>
      <w:lvlJc w:val="left"/>
      <w:pPr>
        <w:ind w:left="1003" w:hanging="283"/>
      </w:pPr>
      <w:rPr>
        <w:rFonts w:ascii="Times New Roman" w:hAnsi="Times New Roman" w:hint="default"/>
        <w:b w:val="0"/>
        <w:i w:val="0"/>
        <w:sz w:val="28"/>
        <w:u w:val="none"/>
      </w:rPr>
    </w:lvl>
  </w:abstractNum>
  <w:abstractNum w:abstractNumId="254">
    <w:nsid w:val="663F5AE9"/>
    <w:multiLevelType w:val="singleLevel"/>
    <w:tmpl w:val="C834ECDE"/>
    <w:lvl w:ilvl="0">
      <w:start w:val="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5">
    <w:nsid w:val="665223EC"/>
    <w:multiLevelType w:val="singleLevel"/>
    <w:tmpl w:val="C07E321E"/>
    <w:lvl w:ilvl="0">
      <w:start w:val="1"/>
      <w:numFmt w:val="upperLetter"/>
      <w:lvlText w:val="%1."/>
      <w:lvlJc w:val="left"/>
      <w:pPr>
        <w:tabs>
          <w:tab w:val="num" w:pos="720"/>
        </w:tabs>
        <w:ind w:left="720" w:hanging="720"/>
      </w:pPr>
      <w:rPr>
        <w:rFonts w:hint="default"/>
      </w:rPr>
    </w:lvl>
  </w:abstractNum>
  <w:abstractNum w:abstractNumId="256">
    <w:nsid w:val="66690D52"/>
    <w:multiLevelType w:val="multilevel"/>
    <w:tmpl w:val="868415F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7">
    <w:nsid w:val="67197D68"/>
    <w:multiLevelType w:val="singleLevel"/>
    <w:tmpl w:val="0409000F"/>
    <w:lvl w:ilvl="0">
      <w:start w:val="1"/>
      <w:numFmt w:val="decimal"/>
      <w:lvlText w:val="%1."/>
      <w:lvlJc w:val="left"/>
      <w:pPr>
        <w:tabs>
          <w:tab w:val="num" w:pos="360"/>
        </w:tabs>
        <w:ind w:left="360" w:hanging="360"/>
      </w:pPr>
    </w:lvl>
  </w:abstractNum>
  <w:abstractNum w:abstractNumId="258">
    <w:nsid w:val="671D0DCA"/>
    <w:multiLevelType w:val="multilevel"/>
    <w:tmpl w:val="7DF6A28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9">
    <w:nsid w:val="6767345D"/>
    <w:multiLevelType w:val="singleLevel"/>
    <w:tmpl w:val="29F06A40"/>
    <w:lvl w:ilvl="0">
      <w:start w:val="10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0">
    <w:nsid w:val="685B390E"/>
    <w:multiLevelType w:val="singleLevel"/>
    <w:tmpl w:val="15EEB430"/>
    <w:lvl w:ilvl="0">
      <w:start w:val="1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1">
    <w:nsid w:val="686C34EB"/>
    <w:multiLevelType w:val="multilevel"/>
    <w:tmpl w:val="9DBEF112"/>
    <w:lvl w:ilvl="0">
      <w:start w:val="1"/>
      <w:numFmt w:val="decimal"/>
      <w:lvlText w:val="%1."/>
      <w:lvlJc w:val="left"/>
      <w:pPr>
        <w:tabs>
          <w:tab w:val="num" w:pos="786"/>
        </w:tabs>
        <w:ind w:left="786" w:hanging="360"/>
      </w:pPr>
      <w:rPr>
        <w:sz w:val="24"/>
        <w:szCs w:val="24"/>
        <w:lang w:bidi="he-IL"/>
      </w:rPr>
    </w:lvl>
    <w:lvl w:ilvl="1">
      <w:start w:val="3"/>
      <w:numFmt w:val="bullet"/>
      <w:lvlText w:val="-"/>
      <w:lvlJc w:val="left"/>
      <w:pPr>
        <w:tabs>
          <w:tab w:val="num" w:pos="5750"/>
        </w:tabs>
        <w:ind w:left="5750" w:hanging="4320"/>
      </w:pPr>
      <w:rPr>
        <w:rFonts w:ascii="Times New Roman" w:eastAsia="Times New Roman" w:hAnsi="Times New Roman" w:cs="Times New Roman" w:hint="default"/>
      </w:rPr>
    </w:lvl>
    <w:lvl w:ilvl="2">
      <w:start w:val="1"/>
      <w:numFmt w:val="lowerLetter"/>
      <w:lvlText w:val="(%3)"/>
      <w:lvlJc w:val="left"/>
      <w:pPr>
        <w:tabs>
          <w:tab w:val="num" w:pos="2690"/>
        </w:tabs>
        <w:ind w:left="2690" w:hanging="360"/>
      </w:pPr>
      <w:rPr>
        <w:rFonts w:hint="default"/>
      </w:rPr>
    </w:lvl>
    <w:lvl w:ilvl="3">
      <w:start w:val="1"/>
      <w:numFmt w:val="decimal"/>
      <w:lvlText w:val="%4."/>
      <w:lvlJc w:val="left"/>
      <w:pPr>
        <w:tabs>
          <w:tab w:val="num" w:pos="3230"/>
        </w:tabs>
        <w:ind w:left="3230" w:hanging="360"/>
      </w:pPr>
    </w:lvl>
    <w:lvl w:ilvl="4">
      <w:start w:val="1"/>
      <w:numFmt w:val="lowerLetter"/>
      <w:lvlText w:val="%5."/>
      <w:lvlJc w:val="left"/>
      <w:pPr>
        <w:tabs>
          <w:tab w:val="num" w:pos="3950"/>
        </w:tabs>
        <w:ind w:left="3950" w:hanging="360"/>
      </w:pPr>
    </w:lvl>
    <w:lvl w:ilvl="5">
      <w:start w:val="1"/>
      <w:numFmt w:val="lowerRoman"/>
      <w:lvlText w:val="%6."/>
      <w:lvlJc w:val="right"/>
      <w:pPr>
        <w:tabs>
          <w:tab w:val="num" w:pos="4670"/>
        </w:tabs>
        <w:ind w:left="4670" w:hanging="180"/>
      </w:pPr>
    </w:lvl>
    <w:lvl w:ilvl="6">
      <w:start w:val="1"/>
      <w:numFmt w:val="decimal"/>
      <w:lvlText w:val="%7."/>
      <w:lvlJc w:val="left"/>
      <w:pPr>
        <w:tabs>
          <w:tab w:val="num" w:pos="5390"/>
        </w:tabs>
        <w:ind w:left="5390" w:hanging="360"/>
      </w:pPr>
    </w:lvl>
    <w:lvl w:ilvl="7">
      <w:start w:val="1"/>
      <w:numFmt w:val="lowerLetter"/>
      <w:lvlText w:val="%8."/>
      <w:lvlJc w:val="left"/>
      <w:pPr>
        <w:tabs>
          <w:tab w:val="num" w:pos="6110"/>
        </w:tabs>
        <w:ind w:left="6110" w:hanging="360"/>
      </w:pPr>
    </w:lvl>
    <w:lvl w:ilvl="8">
      <w:start w:val="1"/>
      <w:numFmt w:val="lowerRoman"/>
      <w:lvlText w:val="%9."/>
      <w:lvlJc w:val="right"/>
      <w:pPr>
        <w:tabs>
          <w:tab w:val="num" w:pos="6830"/>
        </w:tabs>
        <w:ind w:left="6830" w:hanging="180"/>
      </w:pPr>
    </w:lvl>
  </w:abstractNum>
  <w:abstractNum w:abstractNumId="262">
    <w:nsid w:val="68F2588B"/>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263">
    <w:nsid w:val="694D7539"/>
    <w:multiLevelType w:val="singleLevel"/>
    <w:tmpl w:val="06404212"/>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4">
    <w:nsid w:val="6A17477D"/>
    <w:multiLevelType w:val="multilevel"/>
    <w:tmpl w:val="E55486E8"/>
    <w:lvl w:ilvl="0">
      <w:start w:val="1"/>
      <w:numFmt w:val="bullet"/>
      <w:lvlText w:val=""/>
      <w:lvlJc w:val="left"/>
      <w:pPr>
        <w:tabs>
          <w:tab w:val="num" w:pos="1152"/>
        </w:tabs>
        <w:ind w:left="1152"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5">
    <w:nsid w:val="6ABE516E"/>
    <w:multiLevelType w:val="hybridMultilevel"/>
    <w:tmpl w:val="79366E46"/>
    <w:lvl w:ilvl="0">
      <w:start w:val="1"/>
      <w:numFmt w:val="bullet"/>
      <w:lvlText w:val=""/>
      <w:lvlJc w:val="left"/>
      <w:pPr>
        <w:tabs>
          <w:tab w:val="num" w:pos="2070"/>
        </w:tabs>
        <w:ind w:left="2070" w:hanging="360"/>
      </w:pPr>
      <w:rPr>
        <w:rFonts w:ascii="Wingdings" w:hAnsi="Wingdings" w:hint="default"/>
      </w:rPr>
    </w:lvl>
    <w:lvl w:ilvl="1" w:tentative="1">
      <w:start w:val="1"/>
      <w:numFmt w:val="bullet"/>
      <w:lvlText w:val="o"/>
      <w:lvlJc w:val="left"/>
      <w:pPr>
        <w:tabs>
          <w:tab w:val="num" w:pos="2790"/>
        </w:tabs>
        <w:ind w:left="2790" w:hanging="360"/>
      </w:pPr>
      <w:rPr>
        <w:rFonts w:ascii="Courier New" w:hAnsi="Courier New" w:hint="default"/>
      </w:rPr>
    </w:lvl>
    <w:lvl w:ilvl="2" w:tentative="1">
      <w:start w:val="1"/>
      <w:numFmt w:val="bullet"/>
      <w:lvlText w:val=""/>
      <w:lvlJc w:val="left"/>
      <w:pPr>
        <w:tabs>
          <w:tab w:val="num" w:pos="3510"/>
        </w:tabs>
        <w:ind w:left="3510" w:hanging="360"/>
      </w:pPr>
      <w:rPr>
        <w:rFonts w:ascii="Wingdings" w:hAnsi="Wingdings" w:hint="default"/>
      </w:rPr>
    </w:lvl>
    <w:lvl w:ilvl="3" w:tentative="1">
      <w:start w:val="1"/>
      <w:numFmt w:val="bullet"/>
      <w:lvlText w:val=""/>
      <w:lvlJc w:val="left"/>
      <w:pPr>
        <w:tabs>
          <w:tab w:val="num" w:pos="4230"/>
        </w:tabs>
        <w:ind w:left="4230" w:hanging="360"/>
      </w:pPr>
      <w:rPr>
        <w:rFonts w:ascii="Symbol" w:hAnsi="Symbol" w:hint="default"/>
      </w:rPr>
    </w:lvl>
    <w:lvl w:ilvl="4" w:tentative="1">
      <w:start w:val="1"/>
      <w:numFmt w:val="bullet"/>
      <w:lvlText w:val="o"/>
      <w:lvlJc w:val="left"/>
      <w:pPr>
        <w:tabs>
          <w:tab w:val="num" w:pos="4950"/>
        </w:tabs>
        <w:ind w:left="4950" w:hanging="360"/>
      </w:pPr>
      <w:rPr>
        <w:rFonts w:ascii="Courier New" w:hAnsi="Courier New" w:hint="default"/>
      </w:rPr>
    </w:lvl>
    <w:lvl w:ilvl="5" w:tentative="1">
      <w:start w:val="1"/>
      <w:numFmt w:val="bullet"/>
      <w:lvlText w:val=""/>
      <w:lvlJc w:val="left"/>
      <w:pPr>
        <w:tabs>
          <w:tab w:val="num" w:pos="5670"/>
        </w:tabs>
        <w:ind w:left="5670" w:hanging="360"/>
      </w:pPr>
      <w:rPr>
        <w:rFonts w:ascii="Wingdings" w:hAnsi="Wingdings" w:hint="default"/>
      </w:rPr>
    </w:lvl>
    <w:lvl w:ilvl="6" w:tentative="1">
      <w:start w:val="1"/>
      <w:numFmt w:val="bullet"/>
      <w:lvlText w:val=""/>
      <w:lvlJc w:val="left"/>
      <w:pPr>
        <w:tabs>
          <w:tab w:val="num" w:pos="6390"/>
        </w:tabs>
        <w:ind w:left="6390" w:hanging="360"/>
      </w:pPr>
      <w:rPr>
        <w:rFonts w:ascii="Symbol" w:hAnsi="Symbol" w:hint="default"/>
      </w:rPr>
    </w:lvl>
    <w:lvl w:ilvl="7" w:tentative="1">
      <w:start w:val="1"/>
      <w:numFmt w:val="bullet"/>
      <w:lvlText w:val="o"/>
      <w:lvlJc w:val="left"/>
      <w:pPr>
        <w:tabs>
          <w:tab w:val="num" w:pos="7110"/>
        </w:tabs>
        <w:ind w:left="7110" w:hanging="360"/>
      </w:pPr>
      <w:rPr>
        <w:rFonts w:ascii="Courier New" w:hAnsi="Courier New" w:hint="default"/>
      </w:rPr>
    </w:lvl>
    <w:lvl w:ilvl="8" w:tentative="1">
      <w:start w:val="1"/>
      <w:numFmt w:val="bullet"/>
      <w:lvlText w:val=""/>
      <w:lvlJc w:val="left"/>
      <w:pPr>
        <w:tabs>
          <w:tab w:val="num" w:pos="7830"/>
        </w:tabs>
        <w:ind w:left="7830" w:hanging="360"/>
      </w:pPr>
      <w:rPr>
        <w:rFonts w:ascii="Wingdings" w:hAnsi="Wingdings" w:hint="default"/>
      </w:rPr>
    </w:lvl>
  </w:abstractNum>
  <w:abstractNum w:abstractNumId="266">
    <w:nsid w:val="6B002D51"/>
    <w:multiLevelType w:val="hybridMultilevel"/>
    <w:tmpl w:val="4E00B866"/>
    <w:lvl w:ilvl="0">
      <w:start w:val="1"/>
      <w:numFmt w:val="bullet"/>
      <w:lvlText w:val=""/>
      <w:lvlJc w:val="left"/>
      <w:pPr>
        <w:tabs>
          <w:tab w:val="num" w:pos="1980"/>
        </w:tabs>
        <w:ind w:left="1980" w:hanging="360"/>
      </w:pPr>
      <w:rPr>
        <w:rFonts w:ascii="Symbol" w:hAnsi="Symbol" w:hint="default"/>
      </w:rPr>
    </w:lvl>
    <w:lvl w:ilvl="1" w:tentative="1">
      <w:start w:val="1"/>
      <w:numFmt w:val="bullet"/>
      <w:lvlText w:val="o"/>
      <w:lvlJc w:val="left"/>
      <w:pPr>
        <w:tabs>
          <w:tab w:val="num" w:pos="2700"/>
        </w:tabs>
        <w:ind w:left="2700" w:hanging="360"/>
      </w:pPr>
      <w:rPr>
        <w:rFonts w:ascii="Courier New" w:hAnsi="Courier New" w:hint="default"/>
      </w:rPr>
    </w:lvl>
    <w:lvl w:ilvl="2" w:tentative="1">
      <w:start w:val="1"/>
      <w:numFmt w:val="bullet"/>
      <w:lvlText w:val=""/>
      <w:lvlJc w:val="left"/>
      <w:pPr>
        <w:tabs>
          <w:tab w:val="num" w:pos="3420"/>
        </w:tabs>
        <w:ind w:left="3420" w:hanging="360"/>
      </w:pPr>
      <w:rPr>
        <w:rFonts w:ascii="Wingdings" w:hAnsi="Wingdings" w:hint="default"/>
      </w:rPr>
    </w:lvl>
    <w:lvl w:ilvl="3" w:tentative="1">
      <w:start w:val="1"/>
      <w:numFmt w:val="bullet"/>
      <w:lvlText w:val=""/>
      <w:lvlJc w:val="left"/>
      <w:pPr>
        <w:tabs>
          <w:tab w:val="num" w:pos="4140"/>
        </w:tabs>
        <w:ind w:left="4140" w:hanging="360"/>
      </w:pPr>
      <w:rPr>
        <w:rFonts w:ascii="Symbol" w:hAnsi="Symbol" w:hint="default"/>
      </w:rPr>
    </w:lvl>
    <w:lvl w:ilvl="4" w:tentative="1">
      <w:start w:val="1"/>
      <w:numFmt w:val="bullet"/>
      <w:lvlText w:val="o"/>
      <w:lvlJc w:val="left"/>
      <w:pPr>
        <w:tabs>
          <w:tab w:val="num" w:pos="4860"/>
        </w:tabs>
        <w:ind w:left="4860" w:hanging="360"/>
      </w:pPr>
      <w:rPr>
        <w:rFonts w:ascii="Courier New" w:hAnsi="Courier New" w:hint="default"/>
      </w:rPr>
    </w:lvl>
    <w:lvl w:ilvl="5" w:tentative="1">
      <w:start w:val="1"/>
      <w:numFmt w:val="bullet"/>
      <w:lvlText w:val=""/>
      <w:lvlJc w:val="left"/>
      <w:pPr>
        <w:tabs>
          <w:tab w:val="num" w:pos="5580"/>
        </w:tabs>
        <w:ind w:left="5580" w:hanging="360"/>
      </w:pPr>
      <w:rPr>
        <w:rFonts w:ascii="Wingdings" w:hAnsi="Wingdings" w:hint="default"/>
      </w:rPr>
    </w:lvl>
    <w:lvl w:ilvl="6" w:tentative="1">
      <w:start w:val="1"/>
      <w:numFmt w:val="bullet"/>
      <w:lvlText w:val=""/>
      <w:lvlJc w:val="left"/>
      <w:pPr>
        <w:tabs>
          <w:tab w:val="num" w:pos="6300"/>
        </w:tabs>
        <w:ind w:left="6300" w:hanging="360"/>
      </w:pPr>
      <w:rPr>
        <w:rFonts w:ascii="Symbol" w:hAnsi="Symbol" w:hint="default"/>
      </w:rPr>
    </w:lvl>
    <w:lvl w:ilvl="7" w:tentative="1">
      <w:start w:val="1"/>
      <w:numFmt w:val="bullet"/>
      <w:lvlText w:val="o"/>
      <w:lvlJc w:val="left"/>
      <w:pPr>
        <w:tabs>
          <w:tab w:val="num" w:pos="7020"/>
        </w:tabs>
        <w:ind w:left="7020" w:hanging="360"/>
      </w:pPr>
      <w:rPr>
        <w:rFonts w:ascii="Courier New" w:hAnsi="Courier New" w:hint="default"/>
      </w:rPr>
    </w:lvl>
    <w:lvl w:ilvl="8" w:tentative="1">
      <w:start w:val="1"/>
      <w:numFmt w:val="bullet"/>
      <w:lvlText w:val=""/>
      <w:lvlJc w:val="left"/>
      <w:pPr>
        <w:tabs>
          <w:tab w:val="num" w:pos="7740"/>
        </w:tabs>
        <w:ind w:left="7740" w:hanging="360"/>
      </w:pPr>
      <w:rPr>
        <w:rFonts w:ascii="Wingdings" w:hAnsi="Wingdings" w:hint="default"/>
      </w:rPr>
    </w:lvl>
  </w:abstractNum>
  <w:abstractNum w:abstractNumId="267">
    <w:nsid w:val="6B671CC5"/>
    <w:multiLevelType w:val="multilevel"/>
    <w:tmpl w:val="8E40D480"/>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268">
    <w:nsid w:val="6B87739A"/>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269">
    <w:nsid w:val="6BEA3A31"/>
    <w:multiLevelType w:val="hybridMultilevel"/>
    <w:tmpl w:val="40B613CA"/>
    <w:lvl w:ilvl="0">
      <w:start w:val="1"/>
      <w:numFmt w:val="bullet"/>
      <w:lvlText w:val=""/>
      <w:lvlJc w:val="left"/>
      <w:pPr>
        <w:tabs>
          <w:tab w:val="num" w:pos="1987"/>
        </w:tabs>
        <w:ind w:left="1987" w:hanging="360"/>
      </w:pPr>
      <w:rPr>
        <w:rFonts w:ascii="Wingdings" w:hAnsi="Wingdings"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270">
    <w:nsid w:val="6CF54909"/>
    <w:multiLevelType w:val="multilevel"/>
    <w:tmpl w:val="66B6EFC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1">
    <w:nsid w:val="6D621C03"/>
    <w:multiLevelType w:val="singleLevel"/>
    <w:tmpl w:val="BCE0525A"/>
    <w:lvl w:ilvl="0">
      <w:start w:val="1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2">
    <w:nsid w:val="6D6751F4"/>
    <w:multiLevelType w:val="multilevel"/>
    <w:tmpl w:val="B3821464"/>
    <w:lvl w:ilvl="0">
      <w:start w:val="1"/>
      <w:numFmt w:val="decimal"/>
      <w:lvlText w:val="%1)"/>
      <w:lvlJc w:val="left"/>
      <w:pPr>
        <w:tabs>
          <w:tab w:val="num" w:pos="720"/>
        </w:tabs>
        <w:ind w:left="720" w:hanging="360"/>
      </w:pPr>
    </w:lvl>
    <w:lvl w:ilvl="1">
      <w:start w:val="2"/>
      <w:numFmt w:val="lowerLetter"/>
      <w:lvlText w:val="(%2)"/>
      <w:lvlJc w:val="left"/>
      <w:pPr>
        <w:tabs>
          <w:tab w:val="num" w:pos="1830"/>
        </w:tabs>
        <w:ind w:left="1830" w:hanging="39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73">
    <w:nsid w:val="6DCE382A"/>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74">
    <w:nsid w:val="6E0B6810"/>
    <w:multiLevelType w:val="multilevel"/>
    <w:tmpl w:val="7400C556"/>
    <w:lvl w:ilvl="0">
      <w:start w:val="400"/>
      <w:numFmt w:val="decimal"/>
      <w:lvlText w:val="%1."/>
      <w:lvlJc w:val="left"/>
      <w:pPr>
        <w:tabs>
          <w:tab w:val="num" w:pos="360"/>
        </w:tabs>
        <w:ind w:left="1021" w:hanging="1021"/>
      </w:pPr>
      <w:rPr>
        <w:rFonts w:ascii="Times New Roman" w:hAnsi="Times New Roman" w:cs="Wingdings" w:hint="default"/>
        <w:b w:val="0"/>
        <w:bCs w:val="0"/>
        <w:i w:val="0"/>
        <w:iCs w:val="0"/>
        <w:sz w:val="24"/>
        <w:szCs w:val="24"/>
      </w:rPr>
    </w:lvl>
    <w:lvl w:ilvl="1">
      <w:start w:val="1"/>
      <w:numFmt w:val="decimal"/>
      <w:lvlText w:val="%1.%2."/>
      <w:lvlJc w:val="left"/>
      <w:pPr>
        <w:tabs>
          <w:tab w:val="num" w:pos="792"/>
        </w:tabs>
        <w:ind w:left="2325" w:hanging="1871"/>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5">
    <w:nsid w:val="6E753AF7"/>
    <w:multiLevelType w:val="multilevel"/>
    <w:tmpl w:val="9220686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6">
    <w:nsid w:val="6E9A472A"/>
    <w:multiLevelType w:val="singleLevel"/>
    <w:tmpl w:val="A254FEBE"/>
    <w:lvl w:ilvl="0">
      <w:start w:val="12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7">
    <w:nsid w:val="6FFE3B65"/>
    <w:multiLevelType w:val="singleLevel"/>
    <w:tmpl w:val="A4304618"/>
    <w:lvl w:ilvl="0">
      <w:start w:val="9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8">
    <w:nsid w:val="702B7804"/>
    <w:multiLevelType w:val="multilevel"/>
    <w:tmpl w:val="4B3CC29A"/>
    <w:lvl w:ilvl="0">
      <w:start w:val="1"/>
      <w:numFmt w:val="decimal"/>
      <w:lvlText w:val="%1."/>
      <w:lvlJc w:val="left"/>
      <w:pPr>
        <w:tabs>
          <w:tab w:val="num" w:pos="864"/>
        </w:tabs>
        <w:ind w:left="864" w:hanging="360"/>
      </w:pPr>
      <w:rPr>
        <w:rFonts w:hint="default"/>
      </w:rPr>
    </w:lvl>
    <w:lvl w:ilvl="1" w:tentative="1">
      <w:start w:val="1"/>
      <w:numFmt w:val="lowerLetter"/>
      <w:lvlText w:val="%2."/>
      <w:lvlJc w:val="left"/>
      <w:pPr>
        <w:tabs>
          <w:tab w:val="num" w:pos="1584"/>
        </w:tabs>
        <w:ind w:left="1584" w:hanging="360"/>
      </w:pPr>
    </w:lvl>
    <w:lvl w:ilvl="2" w:tentative="1">
      <w:start w:val="1"/>
      <w:numFmt w:val="lowerRoman"/>
      <w:lvlText w:val="%3."/>
      <w:lvlJc w:val="right"/>
      <w:pPr>
        <w:tabs>
          <w:tab w:val="num" w:pos="2304"/>
        </w:tabs>
        <w:ind w:left="2304" w:hanging="180"/>
      </w:pPr>
    </w:lvl>
    <w:lvl w:ilvl="3" w:tentative="1">
      <w:start w:val="1"/>
      <w:numFmt w:val="decimal"/>
      <w:lvlText w:val="%4."/>
      <w:lvlJc w:val="left"/>
      <w:pPr>
        <w:tabs>
          <w:tab w:val="num" w:pos="3024"/>
        </w:tabs>
        <w:ind w:left="3024" w:hanging="360"/>
      </w:pPr>
    </w:lvl>
    <w:lvl w:ilvl="4" w:tentative="1">
      <w:start w:val="1"/>
      <w:numFmt w:val="lowerLetter"/>
      <w:lvlText w:val="%5."/>
      <w:lvlJc w:val="left"/>
      <w:pPr>
        <w:tabs>
          <w:tab w:val="num" w:pos="3744"/>
        </w:tabs>
        <w:ind w:left="3744" w:hanging="360"/>
      </w:pPr>
    </w:lvl>
    <w:lvl w:ilvl="5" w:tentative="1">
      <w:start w:val="1"/>
      <w:numFmt w:val="lowerRoman"/>
      <w:lvlText w:val="%6."/>
      <w:lvlJc w:val="right"/>
      <w:pPr>
        <w:tabs>
          <w:tab w:val="num" w:pos="4464"/>
        </w:tabs>
        <w:ind w:left="4464" w:hanging="180"/>
      </w:pPr>
    </w:lvl>
    <w:lvl w:ilvl="6" w:tentative="1">
      <w:start w:val="1"/>
      <w:numFmt w:val="decimal"/>
      <w:lvlText w:val="%7."/>
      <w:lvlJc w:val="left"/>
      <w:pPr>
        <w:tabs>
          <w:tab w:val="num" w:pos="5184"/>
        </w:tabs>
        <w:ind w:left="5184" w:hanging="360"/>
      </w:pPr>
    </w:lvl>
    <w:lvl w:ilvl="7" w:tentative="1">
      <w:start w:val="1"/>
      <w:numFmt w:val="lowerLetter"/>
      <w:lvlText w:val="%8."/>
      <w:lvlJc w:val="left"/>
      <w:pPr>
        <w:tabs>
          <w:tab w:val="num" w:pos="5904"/>
        </w:tabs>
        <w:ind w:left="5904" w:hanging="360"/>
      </w:pPr>
    </w:lvl>
    <w:lvl w:ilvl="8" w:tentative="1">
      <w:start w:val="1"/>
      <w:numFmt w:val="lowerRoman"/>
      <w:lvlText w:val="%9."/>
      <w:lvlJc w:val="right"/>
      <w:pPr>
        <w:tabs>
          <w:tab w:val="num" w:pos="6624"/>
        </w:tabs>
        <w:ind w:left="6624" w:hanging="180"/>
      </w:pPr>
    </w:lvl>
  </w:abstractNum>
  <w:abstractNum w:abstractNumId="279">
    <w:nsid w:val="70B817F6"/>
    <w:multiLevelType w:val="singleLevel"/>
    <w:tmpl w:val="04190013"/>
    <w:lvl w:ilvl="0">
      <w:start w:val="1"/>
      <w:numFmt w:val="upperRoman"/>
      <w:lvlText w:val="%1."/>
      <w:lvlJc w:val="left"/>
      <w:pPr>
        <w:tabs>
          <w:tab w:val="num" w:pos="720"/>
        </w:tabs>
        <w:ind w:left="720" w:hanging="720"/>
      </w:pPr>
      <w:rPr>
        <w:rFonts w:hint="default"/>
      </w:rPr>
    </w:lvl>
  </w:abstractNum>
  <w:abstractNum w:abstractNumId="280">
    <w:nsid w:val="70BD49BA"/>
    <w:multiLevelType w:val="multilevel"/>
    <w:tmpl w:val="709690C6"/>
    <w:lvl w:ilvl="0">
      <w:start w:val="1"/>
      <w:numFmt w:val="lowerLetter"/>
      <w:lvlText w:val="%1)"/>
      <w:lvlJc w:val="left"/>
      <w:pPr>
        <w:tabs>
          <w:tab w:val="num" w:pos="2088"/>
        </w:tabs>
        <w:ind w:left="2088" w:hanging="360"/>
      </w:pPr>
    </w:lvl>
    <w:lvl w:ilvl="1">
      <w:start w:val="2"/>
      <w:numFmt w:val="lowerLetter"/>
      <w:lvlText w:val="(%2)"/>
      <w:lvlJc w:val="left"/>
      <w:pPr>
        <w:tabs>
          <w:tab w:val="num" w:pos="2988"/>
        </w:tabs>
        <w:ind w:left="2988" w:hanging="540"/>
      </w:pPr>
      <w:rPr>
        <w:rFonts w:hint="default"/>
      </w:rPr>
    </w:lvl>
    <w:lvl w:ilvl="2">
      <w:start w:val="1"/>
      <w:numFmt w:val="lowerRoman"/>
      <w:lvlText w:val="%3."/>
      <w:lvlJc w:val="right"/>
      <w:pPr>
        <w:tabs>
          <w:tab w:val="num" w:pos="3528"/>
        </w:tabs>
        <w:ind w:left="3528" w:hanging="180"/>
      </w:pPr>
    </w:lvl>
    <w:lvl w:ilvl="3" w:tentative="1">
      <w:start w:val="1"/>
      <w:numFmt w:val="decimal"/>
      <w:lvlText w:val="%4."/>
      <w:lvlJc w:val="left"/>
      <w:pPr>
        <w:tabs>
          <w:tab w:val="num" w:pos="4248"/>
        </w:tabs>
        <w:ind w:left="4248" w:hanging="360"/>
      </w:pPr>
    </w:lvl>
    <w:lvl w:ilvl="4" w:tentative="1">
      <w:start w:val="1"/>
      <w:numFmt w:val="lowerLetter"/>
      <w:lvlText w:val="%5."/>
      <w:lvlJc w:val="left"/>
      <w:pPr>
        <w:tabs>
          <w:tab w:val="num" w:pos="4968"/>
        </w:tabs>
        <w:ind w:left="4968" w:hanging="360"/>
      </w:pPr>
    </w:lvl>
    <w:lvl w:ilvl="5" w:tentative="1">
      <w:start w:val="1"/>
      <w:numFmt w:val="lowerRoman"/>
      <w:lvlText w:val="%6."/>
      <w:lvlJc w:val="right"/>
      <w:pPr>
        <w:tabs>
          <w:tab w:val="num" w:pos="5688"/>
        </w:tabs>
        <w:ind w:left="5688" w:hanging="180"/>
      </w:pPr>
    </w:lvl>
    <w:lvl w:ilvl="6" w:tentative="1">
      <w:start w:val="1"/>
      <w:numFmt w:val="decimal"/>
      <w:lvlText w:val="%7."/>
      <w:lvlJc w:val="left"/>
      <w:pPr>
        <w:tabs>
          <w:tab w:val="num" w:pos="6408"/>
        </w:tabs>
        <w:ind w:left="6408" w:hanging="360"/>
      </w:pPr>
    </w:lvl>
    <w:lvl w:ilvl="7" w:tentative="1">
      <w:start w:val="1"/>
      <w:numFmt w:val="lowerLetter"/>
      <w:lvlText w:val="%8."/>
      <w:lvlJc w:val="left"/>
      <w:pPr>
        <w:tabs>
          <w:tab w:val="num" w:pos="7128"/>
        </w:tabs>
        <w:ind w:left="7128" w:hanging="360"/>
      </w:pPr>
    </w:lvl>
    <w:lvl w:ilvl="8" w:tentative="1">
      <w:start w:val="1"/>
      <w:numFmt w:val="lowerRoman"/>
      <w:lvlText w:val="%9."/>
      <w:lvlJc w:val="right"/>
      <w:pPr>
        <w:tabs>
          <w:tab w:val="num" w:pos="7848"/>
        </w:tabs>
        <w:ind w:left="7848" w:hanging="180"/>
      </w:pPr>
    </w:lvl>
  </w:abstractNum>
  <w:abstractNum w:abstractNumId="281">
    <w:nsid w:val="711A464D"/>
    <w:multiLevelType w:val="singleLevel"/>
    <w:tmpl w:val="A9F83AAA"/>
    <w:lvl w:ilvl="0">
      <w:start w:val="1"/>
      <w:numFmt w:val="upperRoman"/>
      <w:lvlText w:val="%1."/>
      <w:lvlJc w:val="left"/>
      <w:pPr>
        <w:tabs>
          <w:tab w:val="num" w:pos="720"/>
        </w:tabs>
        <w:ind w:left="720" w:hanging="720"/>
      </w:pPr>
      <w:rPr>
        <w:rFonts w:hint="default"/>
      </w:rPr>
    </w:lvl>
  </w:abstractNum>
  <w:abstractNum w:abstractNumId="282">
    <w:nsid w:val="71964F83"/>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283">
    <w:nsid w:val="71982E0B"/>
    <w:multiLevelType w:val="multilevel"/>
    <w:tmpl w:val="9DBEF112"/>
    <w:lvl w:ilvl="0">
      <w:start w:val="1"/>
      <w:numFmt w:val="decimal"/>
      <w:lvlText w:val="%1."/>
      <w:lvlJc w:val="left"/>
      <w:pPr>
        <w:tabs>
          <w:tab w:val="num" w:pos="502"/>
        </w:tabs>
        <w:ind w:left="502" w:hanging="360"/>
      </w:pPr>
      <w:rPr>
        <w:sz w:val="24"/>
        <w:szCs w:val="24"/>
        <w:lang w:bidi="he-IL"/>
      </w:rPr>
    </w:lvl>
    <w:lvl w:ilvl="1">
      <w:start w:val="3"/>
      <w:numFmt w:val="bullet"/>
      <w:lvlText w:val="-"/>
      <w:lvlJc w:val="left"/>
      <w:pPr>
        <w:tabs>
          <w:tab w:val="num" w:pos="5750"/>
        </w:tabs>
        <w:ind w:left="5750" w:hanging="4320"/>
      </w:pPr>
      <w:rPr>
        <w:rFonts w:ascii="Times New Roman" w:eastAsia="Times New Roman" w:hAnsi="Times New Roman" w:cs="Times New Roman" w:hint="default"/>
      </w:rPr>
    </w:lvl>
    <w:lvl w:ilvl="2">
      <w:start w:val="1"/>
      <w:numFmt w:val="lowerLetter"/>
      <w:lvlText w:val="(%3)"/>
      <w:lvlJc w:val="left"/>
      <w:pPr>
        <w:tabs>
          <w:tab w:val="num" w:pos="2690"/>
        </w:tabs>
        <w:ind w:left="2690" w:hanging="360"/>
      </w:pPr>
      <w:rPr>
        <w:rFonts w:hint="default"/>
      </w:rPr>
    </w:lvl>
    <w:lvl w:ilvl="3">
      <w:start w:val="1"/>
      <w:numFmt w:val="decimal"/>
      <w:lvlText w:val="%4."/>
      <w:lvlJc w:val="left"/>
      <w:pPr>
        <w:tabs>
          <w:tab w:val="num" w:pos="3230"/>
        </w:tabs>
        <w:ind w:left="3230" w:hanging="360"/>
      </w:pPr>
    </w:lvl>
    <w:lvl w:ilvl="4">
      <w:start w:val="1"/>
      <w:numFmt w:val="lowerLetter"/>
      <w:lvlText w:val="%5."/>
      <w:lvlJc w:val="left"/>
      <w:pPr>
        <w:tabs>
          <w:tab w:val="num" w:pos="3950"/>
        </w:tabs>
        <w:ind w:left="3950" w:hanging="360"/>
      </w:pPr>
    </w:lvl>
    <w:lvl w:ilvl="5">
      <w:start w:val="1"/>
      <w:numFmt w:val="lowerRoman"/>
      <w:lvlText w:val="%6."/>
      <w:lvlJc w:val="right"/>
      <w:pPr>
        <w:tabs>
          <w:tab w:val="num" w:pos="4670"/>
        </w:tabs>
        <w:ind w:left="4670" w:hanging="180"/>
      </w:pPr>
    </w:lvl>
    <w:lvl w:ilvl="6">
      <w:start w:val="1"/>
      <w:numFmt w:val="decimal"/>
      <w:lvlText w:val="%7."/>
      <w:lvlJc w:val="left"/>
      <w:pPr>
        <w:tabs>
          <w:tab w:val="num" w:pos="5390"/>
        </w:tabs>
        <w:ind w:left="5390" w:hanging="360"/>
      </w:pPr>
    </w:lvl>
    <w:lvl w:ilvl="7">
      <w:start w:val="1"/>
      <w:numFmt w:val="lowerLetter"/>
      <w:lvlText w:val="%8."/>
      <w:lvlJc w:val="left"/>
      <w:pPr>
        <w:tabs>
          <w:tab w:val="num" w:pos="6110"/>
        </w:tabs>
        <w:ind w:left="6110" w:hanging="360"/>
      </w:pPr>
    </w:lvl>
    <w:lvl w:ilvl="8">
      <w:start w:val="1"/>
      <w:numFmt w:val="lowerRoman"/>
      <w:lvlText w:val="%9."/>
      <w:lvlJc w:val="right"/>
      <w:pPr>
        <w:tabs>
          <w:tab w:val="num" w:pos="6830"/>
        </w:tabs>
        <w:ind w:left="6830" w:hanging="180"/>
      </w:pPr>
    </w:lvl>
  </w:abstractNum>
  <w:abstractNum w:abstractNumId="284">
    <w:nsid w:val="726D1726"/>
    <w:multiLevelType w:val="multilevel"/>
    <w:tmpl w:val="A0A0AFE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5">
    <w:nsid w:val="75C72D34"/>
    <w:multiLevelType w:val="singleLevel"/>
    <w:tmpl w:val="BAEEE4B6"/>
    <w:lvl w:ilvl="0">
      <w:start w:val="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86">
    <w:nsid w:val="76307089"/>
    <w:multiLevelType w:val="multilevel"/>
    <w:tmpl w:val="0A5225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7">
    <w:nsid w:val="76DD4F12"/>
    <w:multiLevelType w:val="hybridMultilevel"/>
    <w:tmpl w:val="601EE980"/>
    <w:lvl w:ilvl="0">
      <w:start w:val="1"/>
      <w:numFmt w:val="bullet"/>
      <w:lvlText w:val=""/>
      <w:lvlJc w:val="left"/>
      <w:pPr>
        <w:tabs>
          <w:tab w:val="num" w:pos="1987"/>
        </w:tabs>
        <w:ind w:left="1987" w:hanging="360"/>
      </w:pPr>
      <w:rPr>
        <w:rFonts w:ascii="Wingdings" w:hAnsi="Wingdings"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288">
    <w:nsid w:val="77474378"/>
    <w:multiLevelType w:val="singleLevel"/>
    <w:tmpl w:val="4B822C16"/>
    <w:lvl w:ilvl="0">
      <w:start w:val="1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89">
    <w:nsid w:val="77513B9C"/>
    <w:multiLevelType w:val="singleLevel"/>
    <w:tmpl w:val="32A8AD02"/>
    <w:lvl w:ilvl="0">
      <w:start w:val="4"/>
      <w:numFmt w:val="bullet"/>
      <w:lvlText w:val="-"/>
      <w:lvlJc w:val="left"/>
      <w:pPr>
        <w:tabs>
          <w:tab w:val="num" w:pos="720"/>
        </w:tabs>
        <w:ind w:left="720" w:hanging="720"/>
      </w:pPr>
      <w:rPr>
        <w:rFonts w:hint="default"/>
      </w:rPr>
    </w:lvl>
  </w:abstractNum>
  <w:abstractNum w:abstractNumId="290">
    <w:nsid w:val="7797264F"/>
    <w:multiLevelType w:val="multilevel"/>
    <w:tmpl w:val="CD52764C"/>
    <w:lvl w:ilvl="0">
      <w:start w:val="396"/>
      <w:numFmt w:val="decimal"/>
      <w:lvlText w:val="%1."/>
      <w:lvlJc w:val="left"/>
      <w:pPr>
        <w:tabs>
          <w:tab w:val="num" w:pos="360"/>
        </w:tabs>
        <w:ind w:left="1021" w:hanging="1021"/>
      </w:pPr>
      <w:rPr>
        <w:rFonts w:ascii="Times New Roman" w:hAnsi="Times New Roman" w:cs="Wingdings" w:hint="default"/>
        <w:b w:val="0"/>
        <w:bCs w:val="0"/>
        <w:i w:val="0"/>
        <w:iCs w:val="0"/>
        <w:sz w:val="24"/>
        <w:szCs w:val="24"/>
      </w:rPr>
    </w:lvl>
    <w:lvl w:ilvl="1">
      <w:start w:val="1"/>
      <w:numFmt w:val="decimal"/>
      <w:lvlText w:val="%1.%2."/>
      <w:lvlJc w:val="left"/>
      <w:pPr>
        <w:tabs>
          <w:tab w:val="num" w:pos="792"/>
        </w:tabs>
        <w:ind w:left="2325" w:hanging="1871"/>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1">
    <w:nsid w:val="786508EA"/>
    <w:multiLevelType w:val="multilevel"/>
    <w:tmpl w:val="3D928FFE"/>
    <w:lvl w:ilvl="0">
      <w:start w:val="5"/>
      <w:numFmt w:val="lowerLetter"/>
      <w:lvlText w:val="(%1)"/>
      <w:lvlJc w:val="left"/>
      <w:pPr>
        <w:tabs>
          <w:tab w:val="num" w:pos="1470"/>
        </w:tabs>
        <w:ind w:left="1470" w:hanging="36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292">
    <w:nsid w:val="794651A5"/>
    <w:multiLevelType w:val="multilevel"/>
    <w:tmpl w:val="DC44BCF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3">
    <w:nsid w:val="7A1B1F4C"/>
    <w:multiLevelType w:val="hybridMultilevel"/>
    <w:tmpl w:val="A5F2C46E"/>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294">
    <w:nsid w:val="7A2660EC"/>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295">
    <w:nsid w:val="7C785F5D"/>
    <w:multiLevelType w:val="multilevel"/>
    <w:tmpl w:val="34D67074"/>
    <w:lvl w:ilvl="0">
      <w:start w:val="399"/>
      <w:numFmt w:val="decimal"/>
      <w:lvlText w:val="%1."/>
      <w:lvlJc w:val="left"/>
      <w:pPr>
        <w:tabs>
          <w:tab w:val="num" w:pos="360"/>
        </w:tabs>
        <w:ind w:left="1021" w:hanging="1021"/>
      </w:pPr>
      <w:rPr>
        <w:rFonts w:ascii="Times New Roman" w:hAnsi="Times New Roman" w:cs="Wingdings" w:hint="default"/>
        <w:b w:val="0"/>
        <w:bCs w:val="0"/>
        <w:i w:val="0"/>
        <w:iCs w:val="0"/>
        <w:sz w:val="24"/>
        <w:szCs w:val="24"/>
      </w:rPr>
    </w:lvl>
    <w:lvl w:ilvl="1">
      <w:start w:val="1"/>
      <w:numFmt w:val="decimal"/>
      <w:lvlText w:val="%1.%2."/>
      <w:lvlJc w:val="left"/>
      <w:pPr>
        <w:tabs>
          <w:tab w:val="num" w:pos="792"/>
        </w:tabs>
        <w:ind w:left="2325" w:hanging="1871"/>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6">
    <w:nsid w:val="7C8D01F9"/>
    <w:multiLevelType w:val="singleLevel"/>
    <w:tmpl w:val="D5A23F2E"/>
    <w:lvl w:ilvl="0">
      <w:start w:val="2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97">
    <w:nsid w:val="7CE37617"/>
    <w:multiLevelType w:val="multilevel"/>
    <w:tmpl w:val="751AFAA2"/>
    <w:lvl w:ilvl="0">
      <w:start w:val="59"/>
      <w:numFmt w:val="decimal"/>
      <w:lvlText w:val="%1."/>
      <w:lvlJc w:val="left"/>
      <w:pPr>
        <w:tabs>
          <w:tab w:val="num" w:pos="360"/>
        </w:tabs>
        <w:ind w:left="1021" w:hanging="1021"/>
      </w:pPr>
      <w:rPr>
        <w:rFonts w:ascii="Times New Roman" w:hAnsi="Times New Roman" w:cs="Wingdings" w:hint="default"/>
        <w:b w:val="0"/>
        <w:bCs w:val="0"/>
        <w:i w:val="0"/>
        <w:iCs w:val="0"/>
        <w:sz w:val="24"/>
        <w:szCs w:val="24"/>
      </w:rPr>
    </w:lvl>
    <w:lvl w:ilvl="1">
      <w:start w:val="1"/>
      <w:numFmt w:val="decimal"/>
      <w:lvlText w:val="%1.%2."/>
      <w:lvlJc w:val="left"/>
      <w:pPr>
        <w:tabs>
          <w:tab w:val="num" w:pos="792"/>
        </w:tabs>
        <w:ind w:left="2325" w:hanging="1871"/>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8">
    <w:nsid w:val="7CED72CA"/>
    <w:multiLevelType w:val="singleLevel"/>
    <w:tmpl w:val="8B06F338"/>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99">
    <w:nsid w:val="7DDA62FC"/>
    <w:multiLevelType w:val="singleLevel"/>
    <w:tmpl w:val="6D54D00C"/>
    <w:lvl w:ilvl="0">
      <w:start w:val="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00">
    <w:nsid w:val="7E2057C8"/>
    <w:multiLevelType w:val="singleLevel"/>
    <w:tmpl w:val="BB122618"/>
    <w:lvl w:ilvl="0">
      <w:start w:val="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01">
    <w:nsid w:val="7F401B4A"/>
    <w:multiLevelType w:val="singleLevel"/>
    <w:tmpl w:val="49EAE78C"/>
    <w:lvl w:ilvl="0">
      <w:start w:val="1"/>
      <w:numFmt w:val="bullet"/>
      <w:lvlText w:val=""/>
      <w:lvlJc w:val="left"/>
      <w:pPr>
        <w:tabs>
          <w:tab w:val="num" w:pos="720"/>
        </w:tabs>
        <w:ind w:left="720" w:hanging="720"/>
      </w:pPr>
      <w:rPr>
        <w:rFonts w:ascii="Symbol" w:hAnsi="Symbol" w:hint="default"/>
      </w:rPr>
    </w:lvl>
  </w:abstractNum>
  <w:abstractNum w:abstractNumId="302">
    <w:nsid w:val="7F634374"/>
    <w:multiLevelType w:val="singleLevel"/>
    <w:tmpl w:val="07AA697E"/>
    <w:lvl w:ilvl="0">
      <w:start w:val="1"/>
      <w:numFmt w:val="lowerLetter"/>
      <w:lvlText w:val="(%1)"/>
      <w:lvlJc w:val="left"/>
      <w:pPr>
        <w:tabs>
          <w:tab w:val="num" w:pos="648"/>
        </w:tabs>
        <w:ind w:left="648" w:hanging="360"/>
      </w:pPr>
      <w:rPr>
        <w:rFonts w:hint="default"/>
      </w:rPr>
    </w:lvl>
  </w:abstractNum>
  <w:num w:numId="1">
    <w:abstractNumId w:val="134"/>
  </w:num>
  <w:num w:numId="2">
    <w:abstractNumId w:val="8"/>
  </w:num>
  <w:num w:numId="3">
    <w:abstractNumId w:val="8"/>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273"/>
  </w:num>
  <w:num w:numId="13">
    <w:abstractNumId w:val="203"/>
  </w:num>
  <w:num w:numId="14">
    <w:abstractNumId w:val="9"/>
  </w:num>
  <w:num w:numId="15">
    <w:abstractNumId w:val="279"/>
  </w:num>
  <w:num w:numId="16">
    <w:abstractNumId w:val="248"/>
  </w:num>
  <w:num w:numId="17">
    <w:abstractNumId w:val="236"/>
  </w:num>
  <w:num w:numId="18">
    <w:abstractNumId w:val="74"/>
  </w:num>
  <w:num w:numId="19">
    <w:abstractNumId w:val="239"/>
  </w:num>
  <w:num w:numId="20">
    <w:abstractNumId w:val="169"/>
  </w:num>
  <w:num w:numId="21">
    <w:abstractNumId w:val="281"/>
  </w:num>
  <w:num w:numId="22">
    <w:abstractNumId w:val="121"/>
  </w:num>
  <w:num w:numId="23">
    <w:abstractNumId w:val="133"/>
  </w:num>
  <w:num w:numId="24">
    <w:abstractNumId w:val="215"/>
  </w:num>
  <w:num w:numId="25">
    <w:abstractNumId w:val="95"/>
  </w:num>
  <w:num w:numId="26">
    <w:abstractNumId w:val="137"/>
  </w:num>
  <w:num w:numId="27">
    <w:abstractNumId w:val="255"/>
  </w:num>
  <w:num w:numId="28">
    <w:abstractNumId w:val="73"/>
  </w:num>
  <w:num w:numId="29">
    <w:abstractNumId w:val="60"/>
  </w:num>
  <w:num w:numId="30">
    <w:abstractNumId w:val="226"/>
  </w:num>
  <w:num w:numId="31">
    <w:abstractNumId w:val="167"/>
  </w:num>
  <w:num w:numId="32">
    <w:abstractNumId w:val="144"/>
  </w:num>
  <w:num w:numId="33">
    <w:abstractNumId w:val="66"/>
  </w:num>
  <w:num w:numId="34">
    <w:abstractNumId w:val="257"/>
  </w:num>
  <w:num w:numId="35">
    <w:abstractNumId w:val="223"/>
  </w:num>
  <w:num w:numId="36">
    <w:abstractNumId w:val="227"/>
  </w:num>
  <w:num w:numId="37">
    <w:abstractNumId w:val="237"/>
  </w:num>
  <w:num w:numId="38">
    <w:abstractNumId w:val="289"/>
  </w:num>
  <w:num w:numId="39">
    <w:abstractNumId w:val="189"/>
  </w:num>
  <w:num w:numId="40">
    <w:abstractNumId w:val="205"/>
  </w:num>
  <w:num w:numId="41">
    <w:abstractNumId w:val="183"/>
  </w:num>
  <w:num w:numId="42">
    <w:abstractNumId w:val="38"/>
  </w:num>
  <w:num w:numId="43">
    <w:abstractNumId w:val="246"/>
  </w:num>
  <w:num w:numId="44">
    <w:abstractNumId w:val="115"/>
  </w:num>
  <w:num w:numId="45">
    <w:abstractNumId w:val="201"/>
  </w:num>
  <w:num w:numId="46">
    <w:abstractNumId w:val="150"/>
  </w:num>
  <w:num w:numId="47">
    <w:abstractNumId w:val="26"/>
  </w:num>
  <w:num w:numId="48">
    <w:abstractNumId w:val="114"/>
  </w:num>
  <w:num w:numId="49">
    <w:abstractNumId w:val="224"/>
  </w:num>
  <w:num w:numId="50">
    <w:abstractNumId w:val="77"/>
  </w:num>
  <w:num w:numId="51">
    <w:abstractNumId w:val="33"/>
  </w:num>
  <w:num w:numId="52">
    <w:abstractNumId w:val="64"/>
  </w:num>
  <w:num w:numId="53">
    <w:abstractNumId w:val="22"/>
  </w:num>
  <w:num w:numId="54">
    <w:abstractNumId w:val="210"/>
  </w:num>
  <w:num w:numId="55">
    <w:abstractNumId w:val="72"/>
  </w:num>
  <w:num w:numId="56">
    <w:abstractNumId w:val="84"/>
  </w:num>
  <w:num w:numId="57">
    <w:abstractNumId w:val="45"/>
  </w:num>
  <w:num w:numId="58">
    <w:abstractNumId w:val="251"/>
  </w:num>
  <w:num w:numId="59">
    <w:abstractNumId w:val="30"/>
  </w:num>
  <w:num w:numId="60">
    <w:abstractNumId w:val="91"/>
  </w:num>
  <w:num w:numId="61">
    <w:abstractNumId w:val="234"/>
  </w:num>
  <w:num w:numId="62">
    <w:abstractNumId w:val="152"/>
  </w:num>
  <w:num w:numId="63">
    <w:abstractNumId w:val="302"/>
  </w:num>
  <w:num w:numId="64">
    <w:abstractNumId w:val="157"/>
  </w:num>
  <w:num w:numId="65">
    <w:abstractNumId w:val="68"/>
  </w:num>
  <w:num w:numId="66">
    <w:abstractNumId w:val="42"/>
  </w:num>
  <w:num w:numId="67">
    <w:abstractNumId w:val="37"/>
  </w:num>
  <w:num w:numId="68">
    <w:abstractNumId w:val="132"/>
  </w:num>
  <w:num w:numId="69">
    <w:abstractNumId w:val="63"/>
  </w:num>
  <w:num w:numId="70">
    <w:abstractNumId w:val="243"/>
  </w:num>
  <w:num w:numId="71">
    <w:abstractNumId w:val="131"/>
  </w:num>
  <w:num w:numId="72">
    <w:abstractNumId w:val="238"/>
  </w:num>
  <w:num w:numId="73">
    <w:abstractNumId w:val="82"/>
  </w:num>
  <w:num w:numId="74">
    <w:abstractNumId w:val="176"/>
  </w:num>
  <w:num w:numId="75">
    <w:abstractNumId w:val="103"/>
  </w:num>
  <w:num w:numId="76">
    <w:abstractNumId w:val="31"/>
  </w:num>
  <w:num w:numId="77">
    <w:abstractNumId w:val="218"/>
  </w:num>
  <w:num w:numId="78">
    <w:abstractNumId w:val="69"/>
  </w:num>
  <w:num w:numId="79">
    <w:abstractNumId w:val="173"/>
  </w:num>
  <w:num w:numId="80">
    <w:abstractNumId w:val="282"/>
  </w:num>
  <w:num w:numId="81">
    <w:abstractNumId w:val="104"/>
  </w:num>
  <w:num w:numId="82">
    <w:abstractNumId w:val="16"/>
  </w:num>
  <w:num w:numId="83">
    <w:abstractNumId w:val="244"/>
  </w:num>
  <w:num w:numId="84">
    <w:abstractNumId w:val="110"/>
  </w:num>
  <w:num w:numId="85">
    <w:abstractNumId w:val="105"/>
  </w:num>
  <w:num w:numId="86">
    <w:abstractNumId w:val="212"/>
  </w:num>
  <w:num w:numId="87">
    <w:abstractNumId w:val="206"/>
  </w:num>
  <w:num w:numId="88">
    <w:abstractNumId w:val="207"/>
  </w:num>
  <w:num w:numId="89">
    <w:abstractNumId w:val="208"/>
  </w:num>
  <w:num w:numId="90">
    <w:abstractNumId w:val="47"/>
  </w:num>
  <w:num w:numId="91">
    <w:abstractNumId w:val="108"/>
  </w:num>
  <w:num w:numId="92">
    <w:abstractNumId w:val="86"/>
  </w:num>
  <w:num w:numId="93">
    <w:abstractNumId w:val="118"/>
  </w:num>
  <w:num w:numId="94">
    <w:abstractNumId w:val="89"/>
  </w:num>
  <w:num w:numId="95">
    <w:abstractNumId w:val="198"/>
  </w:num>
  <w:num w:numId="96">
    <w:abstractNumId w:val="264"/>
  </w:num>
  <w:num w:numId="97">
    <w:abstractNumId w:val="10"/>
  </w:num>
  <w:num w:numId="98">
    <w:abstractNumId w:val="161"/>
  </w:num>
  <w:num w:numId="99">
    <w:abstractNumId w:val="93"/>
  </w:num>
  <w:num w:numId="100">
    <w:abstractNumId w:val="17"/>
  </w:num>
  <w:num w:numId="101">
    <w:abstractNumId w:val="92"/>
  </w:num>
  <w:num w:numId="102">
    <w:abstractNumId w:val="53"/>
  </w:num>
  <w:num w:numId="103">
    <w:abstractNumId w:val="186"/>
  </w:num>
  <w:num w:numId="104">
    <w:abstractNumId w:val="76"/>
  </w:num>
  <w:num w:numId="105">
    <w:abstractNumId w:val="11"/>
  </w:num>
  <w:num w:numId="106">
    <w:abstractNumId w:val="49"/>
  </w:num>
  <w:num w:numId="107">
    <w:abstractNumId w:val="216"/>
  </w:num>
  <w:num w:numId="108">
    <w:abstractNumId w:val="23"/>
  </w:num>
  <w:num w:numId="109">
    <w:abstractNumId w:val="278"/>
  </w:num>
  <w:num w:numId="110">
    <w:abstractNumId w:val="164"/>
  </w:num>
  <w:num w:numId="111">
    <w:abstractNumId w:val="120"/>
  </w:num>
  <w:num w:numId="112">
    <w:abstractNumId w:val="225"/>
  </w:num>
  <w:num w:numId="113">
    <w:abstractNumId w:val="94"/>
  </w:num>
  <w:num w:numId="114">
    <w:abstractNumId w:val="197"/>
  </w:num>
  <w:num w:numId="115">
    <w:abstractNumId w:val="79"/>
  </w:num>
  <w:num w:numId="116">
    <w:abstractNumId w:val="83"/>
  </w:num>
  <w:num w:numId="117">
    <w:abstractNumId w:val="48"/>
  </w:num>
  <w:num w:numId="118">
    <w:abstractNumId w:val="87"/>
  </w:num>
  <w:num w:numId="119">
    <w:abstractNumId w:val="181"/>
  </w:num>
  <w:num w:numId="120">
    <w:abstractNumId w:val="280"/>
  </w:num>
  <w:num w:numId="121">
    <w:abstractNumId w:val="286"/>
  </w:num>
  <w:num w:numId="122">
    <w:abstractNumId w:val="44"/>
  </w:num>
  <w:num w:numId="123">
    <w:abstractNumId w:val="148"/>
  </w:num>
  <w:num w:numId="124">
    <w:abstractNumId w:val="34"/>
  </w:num>
  <w:num w:numId="125">
    <w:abstractNumId w:val="195"/>
  </w:num>
  <w:num w:numId="126">
    <w:abstractNumId w:val="168"/>
  </w:num>
  <w:num w:numId="127">
    <w:abstractNumId w:val="272"/>
  </w:num>
  <w:num w:numId="128">
    <w:abstractNumId w:val="154"/>
  </w:num>
  <w:num w:numId="129">
    <w:abstractNumId w:val="151"/>
  </w:num>
  <w:num w:numId="130">
    <w:abstractNumId w:val="192"/>
  </w:num>
  <w:num w:numId="131">
    <w:abstractNumId w:val="106"/>
  </w:num>
  <w:num w:numId="132">
    <w:abstractNumId w:val="233"/>
  </w:num>
  <w:num w:numId="133">
    <w:abstractNumId w:val="240"/>
  </w:num>
  <w:num w:numId="134">
    <w:abstractNumId w:val="194"/>
  </w:num>
  <w:num w:numId="135">
    <w:abstractNumId w:val="158"/>
  </w:num>
  <w:num w:numId="136">
    <w:abstractNumId w:val="15"/>
  </w:num>
  <w:num w:numId="137">
    <w:abstractNumId w:val="112"/>
  </w:num>
  <w:num w:numId="138">
    <w:abstractNumId w:val="113"/>
  </w:num>
  <w:num w:numId="139">
    <w:abstractNumId w:val="267"/>
  </w:num>
  <w:num w:numId="140">
    <w:abstractNumId w:val="291"/>
  </w:num>
  <w:num w:numId="141">
    <w:abstractNumId w:val="81"/>
  </w:num>
  <w:num w:numId="142">
    <w:abstractNumId w:val="46"/>
  </w:num>
  <w:num w:numId="143">
    <w:abstractNumId w:val="141"/>
  </w:num>
  <w:num w:numId="144">
    <w:abstractNumId w:val="200"/>
  </w:num>
  <w:num w:numId="145">
    <w:abstractNumId w:val="19"/>
  </w:num>
  <w:num w:numId="146">
    <w:abstractNumId w:val="235"/>
  </w:num>
  <w:num w:numId="147">
    <w:abstractNumId w:val="54"/>
  </w:num>
  <w:num w:numId="148">
    <w:abstractNumId w:val="160"/>
  </w:num>
  <w:num w:numId="149">
    <w:abstractNumId w:val="249"/>
  </w:num>
  <w:num w:numId="150">
    <w:abstractNumId w:val="299"/>
  </w:num>
  <w:num w:numId="151">
    <w:abstractNumId w:val="29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2">
    <w:abstractNumId w:val="300"/>
  </w:num>
  <w:num w:numId="153">
    <w:abstractNumId w:val="30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4">
    <w:abstractNumId w:val="252"/>
  </w:num>
  <w:num w:numId="155">
    <w:abstractNumId w:val="25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6">
    <w:abstractNumId w:val="241"/>
  </w:num>
  <w:num w:numId="157">
    <w:abstractNumId w:val="260"/>
  </w:num>
  <w:num w:numId="158">
    <w:abstractNumId w:val="35"/>
  </w:num>
  <w:num w:numId="159">
    <w:abstractNumId w:val="59"/>
  </w:num>
  <w:num w:numId="160">
    <w:abstractNumId w:val="51"/>
  </w:num>
  <w:num w:numId="161">
    <w:abstractNumId w:val="288"/>
  </w:num>
  <w:num w:numId="162">
    <w:abstractNumId w:val="232"/>
  </w:num>
  <w:num w:numId="163">
    <w:abstractNumId w:val="23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4">
    <w:abstractNumId w:val="166"/>
  </w:num>
  <w:num w:numId="165">
    <w:abstractNumId w:val="16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6">
    <w:abstractNumId w:val="125"/>
  </w:num>
  <w:num w:numId="167">
    <w:abstractNumId w:val="230"/>
  </w:num>
  <w:num w:numId="168">
    <w:abstractNumId w:val="39"/>
  </w:num>
  <w:num w:numId="169">
    <w:abstractNumId w:val="222"/>
  </w:num>
  <w:num w:numId="170">
    <w:abstractNumId w:val="222"/>
    <w:lvlOverride w:ilvl="0">
      <w:lvl w:ilvl="0">
        <w:start w:val="1"/>
        <w:numFmt w:val="upperRoman"/>
        <w:lvlText w:val="%1. "/>
        <w:legacy w:legacy="1" w:legacySpace="0" w:legacyIndent="283"/>
        <w:lvlJc w:val="left"/>
        <w:pPr>
          <w:ind w:left="283" w:hanging="283"/>
        </w:pPr>
        <w:rPr>
          <w:rFonts w:ascii="Times New Roman" w:hAnsi="Times New Roman" w:hint="default"/>
          <w:b w:val="0"/>
          <w:i w:val="0"/>
          <w:sz w:val="28"/>
          <w:u w:val="none"/>
        </w:rPr>
      </w:lvl>
    </w:lvlOverride>
  </w:num>
  <w:num w:numId="171">
    <w:abstractNumId w:val="18"/>
  </w:num>
  <w:num w:numId="172">
    <w:abstractNumId w:val="1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3">
    <w:abstractNumId w:val="296"/>
  </w:num>
  <w:num w:numId="174">
    <w:abstractNumId w:val="29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5">
    <w:abstractNumId w:val="98"/>
  </w:num>
  <w:num w:numId="176">
    <w:abstractNumId w:val="9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7">
    <w:abstractNumId w:val="247"/>
  </w:num>
  <w:num w:numId="178">
    <w:abstractNumId w:val="285"/>
  </w:num>
  <w:num w:numId="179">
    <w:abstractNumId w:val="253"/>
  </w:num>
  <w:num w:numId="180">
    <w:abstractNumId w:val="178"/>
  </w:num>
  <w:num w:numId="181">
    <w:abstractNumId w:val="17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2">
    <w:abstractNumId w:val="65"/>
  </w:num>
  <w:num w:numId="183">
    <w:abstractNumId w:val="6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4">
    <w:abstractNumId w:val="263"/>
  </w:num>
  <w:num w:numId="185">
    <w:abstractNumId w:val="136"/>
  </w:num>
  <w:num w:numId="186">
    <w:abstractNumId w:val="138"/>
  </w:num>
  <w:num w:numId="187">
    <w:abstractNumId w:val="13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8">
    <w:abstractNumId w:val="107"/>
  </w:num>
  <w:num w:numId="189">
    <w:abstractNumId w:val="10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0">
    <w:abstractNumId w:val="184"/>
  </w:num>
  <w:num w:numId="191">
    <w:abstractNumId w:val="18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2">
    <w:abstractNumId w:val="127"/>
  </w:num>
  <w:num w:numId="193">
    <w:abstractNumId w:val="12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4">
    <w:abstractNumId w:val="149"/>
  </w:num>
  <w:num w:numId="195">
    <w:abstractNumId w:val="67"/>
  </w:num>
  <w:num w:numId="196">
    <w:abstractNumId w:val="6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7">
    <w:abstractNumId w:val="145"/>
  </w:num>
  <w:num w:numId="198">
    <w:abstractNumId w:val="122"/>
  </w:num>
  <w:num w:numId="199">
    <w:abstractNumId w:val="12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0">
    <w:abstractNumId w:val="254"/>
  </w:num>
  <w:num w:numId="201">
    <w:abstractNumId w:val="196"/>
  </w:num>
  <w:num w:numId="202">
    <w:abstractNumId w:val="56"/>
  </w:num>
  <w:num w:numId="203">
    <w:abstractNumId w:val="5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4">
    <w:abstractNumId w:val="140"/>
  </w:num>
  <w:num w:numId="205">
    <w:abstractNumId w:val="14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6">
    <w:abstractNumId w:val="58"/>
  </w:num>
  <w:num w:numId="207">
    <w:abstractNumId w:val="5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8">
    <w:abstractNumId w:val="129"/>
  </w:num>
  <w:num w:numId="209">
    <w:abstractNumId w:val="12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0">
    <w:abstractNumId w:val="219"/>
  </w:num>
  <w:num w:numId="211">
    <w:abstractNumId w:val="21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2">
    <w:abstractNumId w:val="185"/>
  </w:num>
  <w:num w:numId="213">
    <w:abstractNumId w:val="117"/>
  </w:num>
  <w:num w:numId="214">
    <w:abstractNumId w:val="193"/>
  </w:num>
  <w:num w:numId="215">
    <w:abstractNumId w:val="111"/>
  </w:num>
  <w:num w:numId="216">
    <w:abstractNumId w:val="11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7">
    <w:abstractNumId w:val="75"/>
  </w:num>
  <w:num w:numId="218">
    <w:abstractNumId w:val="7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9">
    <w:abstractNumId w:val="174"/>
  </w:num>
  <w:num w:numId="220">
    <w:abstractNumId w:val="17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1">
    <w:abstractNumId w:val="277"/>
  </w:num>
  <w:num w:numId="222">
    <w:abstractNumId w:val="27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3">
    <w:abstractNumId w:val="147"/>
  </w:num>
  <w:num w:numId="224">
    <w:abstractNumId w:val="14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5">
    <w:abstractNumId w:val="24"/>
  </w:num>
  <w:num w:numId="226">
    <w:abstractNumId w:val="101"/>
  </w:num>
  <w:num w:numId="227">
    <w:abstractNumId w:val="259"/>
  </w:num>
  <w:num w:numId="228">
    <w:abstractNumId w:val="25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9">
    <w:abstractNumId w:val="159"/>
  </w:num>
  <w:num w:numId="230">
    <w:abstractNumId w:val="182"/>
  </w:num>
  <w:num w:numId="231">
    <w:abstractNumId w:val="228"/>
  </w:num>
  <w:num w:numId="232">
    <w:abstractNumId w:val="80"/>
  </w:num>
  <w:num w:numId="233">
    <w:abstractNumId w:val="202"/>
  </w:num>
  <w:num w:numId="234">
    <w:abstractNumId w:val="155"/>
  </w:num>
  <w:num w:numId="235">
    <w:abstractNumId w:val="15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6">
    <w:abstractNumId w:val="245"/>
  </w:num>
  <w:num w:numId="237">
    <w:abstractNumId w:val="170"/>
  </w:num>
  <w:num w:numId="238">
    <w:abstractNumId w:val="17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9">
    <w:abstractNumId w:val="143"/>
  </w:num>
  <w:num w:numId="240">
    <w:abstractNumId w:val="128"/>
  </w:num>
  <w:num w:numId="241">
    <w:abstractNumId w:val="12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2">
    <w:abstractNumId w:val="52"/>
  </w:num>
  <w:num w:numId="243">
    <w:abstractNumId w:val="14"/>
  </w:num>
  <w:num w:numId="244">
    <w:abstractNumId w:val="61"/>
  </w:num>
  <w:num w:numId="245">
    <w:abstractNumId w:val="71"/>
  </w:num>
  <w:num w:numId="246">
    <w:abstractNumId w:val="7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7">
    <w:abstractNumId w:val="109"/>
  </w:num>
  <w:num w:numId="248">
    <w:abstractNumId w:val="135"/>
  </w:num>
  <w:num w:numId="249">
    <w:abstractNumId w:val="298"/>
  </w:num>
  <w:num w:numId="250">
    <w:abstractNumId w:val="97"/>
  </w:num>
  <w:num w:numId="251">
    <w:abstractNumId w:val="276"/>
  </w:num>
  <w:num w:numId="252">
    <w:abstractNumId w:val="172"/>
  </w:num>
  <w:num w:numId="253">
    <w:abstractNumId w:val="242"/>
  </w:num>
  <w:num w:numId="254">
    <w:abstractNumId w:val="24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5">
    <w:abstractNumId w:val="213"/>
  </w:num>
  <w:num w:numId="256">
    <w:abstractNumId w:val="21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7">
    <w:abstractNumId w:val="271"/>
  </w:num>
  <w:num w:numId="258">
    <w:abstractNumId w:val="27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9">
    <w:abstractNumId w:val="204"/>
  </w:num>
  <w:num w:numId="260">
    <w:abstractNumId w:val="139"/>
  </w:num>
  <w:num w:numId="261">
    <w:abstractNumId w:val="13"/>
  </w:num>
  <w:num w:numId="262">
    <w:abstractNumId w:val="258"/>
  </w:num>
  <w:num w:numId="263">
    <w:abstractNumId w:val="199"/>
  </w:num>
  <w:num w:numId="264">
    <w:abstractNumId w:val="163"/>
  </w:num>
  <w:num w:numId="265">
    <w:abstractNumId w:val="90"/>
  </w:num>
  <w:num w:numId="266">
    <w:abstractNumId w:val="12"/>
  </w:num>
  <w:num w:numId="267">
    <w:abstractNumId w:val="284"/>
  </w:num>
  <w:num w:numId="268">
    <w:abstractNumId w:val="256"/>
  </w:num>
  <w:num w:numId="269">
    <w:abstractNumId w:val="214"/>
  </w:num>
  <w:num w:numId="270">
    <w:abstractNumId w:val="32"/>
  </w:num>
  <w:num w:numId="271">
    <w:abstractNumId w:val="292"/>
  </w:num>
  <w:num w:numId="272">
    <w:abstractNumId w:val="25"/>
  </w:num>
  <w:num w:numId="273">
    <w:abstractNumId w:val="146"/>
  </w:num>
  <w:num w:numId="274">
    <w:abstractNumId w:val="116"/>
  </w:num>
  <w:num w:numId="275">
    <w:abstractNumId w:val="124"/>
  </w:num>
  <w:num w:numId="276">
    <w:abstractNumId w:val="55"/>
  </w:num>
  <w:num w:numId="277">
    <w:abstractNumId w:val="250"/>
  </w:num>
  <w:num w:numId="278">
    <w:abstractNumId w:val="43"/>
  </w:num>
  <w:num w:numId="279">
    <w:abstractNumId w:val="29"/>
  </w:num>
  <w:num w:numId="280">
    <w:abstractNumId w:val="275"/>
  </w:num>
  <w:num w:numId="281">
    <w:abstractNumId w:val="165"/>
  </w:num>
  <w:num w:numId="282">
    <w:abstractNumId w:val="27"/>
  </w:num>
  <w:num w:numId="283">
    <w:abstractNumId w:val="28"/>
  </w:num>
  <w:num w:numId="284">
    <w:abstractNumId w:val="270"/>
  </w:num>
  <w:num w:numId="285">
    <w:abstractNumId w:val="211"/>
  </w:num>
  <w:num w:numId="286">
    <w:abstractNumId w:val="7"/>
  </w:num>
  <w:num w:numId="287">
    <w:abstractNumId w:val="6"/>
  </w:num>
  <w:num w:numId="288">
    <w:abstractNumId w:val="5"/>
  </w:num>
  <w:num w:numId="289">
    <w:abstractNumId w:val="4"/>
  </w:num>
  <w:num w:numId="290">
    <w:abstractNumId w:val="20"/>
  </w:num>
  <w:num w:numId="291">
    <w:abstractNumId w:val="130"/>
  </w:num>
  <w:num w:numId="292">
    <w:abstractNumId w:val="175"/>
  </w:num>
  <w:num w:numId="293">
    <w:abstractNumId w:val="268"/>
  </w:num>
  <w:num w:numId="294">
    <w:abstractNumId w:val="96"/>
  </w:num>
  <w:num w:numId="295">
    <w:abstractNumId w:val="294"/>
  </w:num>
  <w:num w:numId="296">
    <w:abstractNumId w:val="62"/>
  </w:num>
  <w:num w:numId="297">
    <w:abstractNumId w:val="301"/>
  </w:num>
  <w:num w:numId="298">
    <w:abstractNumId w:val="100"/>
  </w:num>
  <w:num w:numId="299">
    <w:abstractNumId w:val="57"/>
  </w:num>
  <w:num w:numId="300">
    <w:abstractNumId w:val="156"/>
  </w:num>
  <w:num w:numId="301">
    <w:abstractNumId w:val="102"/>
  </w:num>
  <w:num w:numId="302">
    <w:abstractNumId w:val="21"/>
  </w:num>
  <w:num w:numId="303">
    <w:abstractNumId w:val="142"/>
  </w:num>
  <w:num w:numId="304">
    <w:abstractNumId w:val="88"/>
  </w:num>
  <w:num w:numId="305">
    <w:abstractNumId w:val="123"/>
  </w:num>
  <w:num w:numId="306">
    <w:abstractNumId w:val="162"/>
  </w:num>
  <w:num w:numId="307">
    <w:abstractNumId w:val="262"/>
  </w:num>
  <w:num w:numId="308">
    <w:abstractNumId w:val="78"/>
  </w:num>
  <w:num w:numId="309">
    <w:abstractNumId w:val="41"/>
  </w:num>
  <w:num w:numId="310">
    <w:abstractNumId w:val="191"/>
  </w:num>
  <w:num w:numId="311">
    <w:abstractNumId w:val="229"/>
  </w:num>
  <w:num w:numId="312">
    <w:abstractNumId w:val="266"/>
  </w:num>
  <w:num w:numId="313">
    <w:abstractNumId w:val="265"/>
  </w:num>
  <w:num w:numId="314">
    <w:abstractNumId w:val="221"/>
  </w:num>
  <w:num w:numId="315">
    <w:abstractNumId w:val="99"/>
  </w:num>
  <w:num w:numId="316">
    <w:abstractNumId w:val="269"/>
  </w:num>
  <w:num w:numId="317">
    <w:abstractNumId w:val="287"/>
  </w:num>
  <w:num w:numId="318">
    <w:abstractNumId w:val="217"/>
  </w:num>
  <w:num w:numId="319">
    <w:abstractNumId w:val="231"/>
  </w:num>
  <w:num w:numId="320">
    <w:abstractNumId w:val="119"/>
  </w:num>
  <w:num w:numId="321">
    <w:abstractNumId w:val="293"/>
  </w:num>
  <w:num w:numId="322">
    <w:abstractNumId w:val="126"/>
  </w:num>
  <w:num w:numId="323">
    <w:abstractNumId w:val="177"/>
  </w:num>
  <w:num w:numId="324">
    <w:abstractNumId w:val="179"/>
  </w:num>
  <w:num w:numId="325">
    <w:abstractNumId w:val="187"/>
  </w:num>
  <w:num w:numId="326">
    <w:abstractNumId w:val="297"/>
  </w:num>
  <w:num w:numId="327">
    <w:abstractNumId w:val="36"/>
  </w:num>
  <w:num w:numId="328">
    <w:abstractNumId w:val="171"/>
  </w:num>
  <w:num w:numId="329">
    <w:abstractNumId w:val="180"/>
  </w:num>
  <w:num w:numId="330">
    <w:abstractNumId w:val="70"/>
  </w:num>
  <w:num w:numId="331">
    <w:abstractNumId w:val="190"/>
  </w:num>
  <w:num w:numId="332">
    <w:abstractNumId w:val="261"/>
  </w:num>
  <w:num w:numId="333">
    <w:abstractNumId w:val="283"/>
  </w:num>
  <w:num w:numId="334">
    <w:abstractNumId w:val="290"/>
  </w:num>
  <w:num w:numId="335">
    <w:abstractNumId w:val="188"/>
  </w:num>
  <w:num w:numId="336">
    <w:abstractNumId w:val="295"/>
  </w:num>
  <w:num w:numId="337">
    <w:abstractNumId w:val="274"/>
  </w:num>
  <w:num w:numId="338">
    <w:abstractNumId w:val="153"/>
  </w:num>
  <w:num w:numId="339">
    <w:abstractNumId w:val="209"/>
  </w:num>
  <w:num w:numId="340">
    <w:abstractNumId w:val="220"/>
  </w:num>
  <w:num w:numId="341">
    <w:abstractNumId w:val="50"/>
  </w:num>
  <w:num w:numId="342">
    <w:abstractNumId w:val="40"/>
  </w:num>
  <w:num w:numId="343">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GrammaticalErrors/>
  <w:activeWritingStyle w:appName="MSWord" w:lang="ru-RU" w:vendorID="1" w:dllVersion="512" w:checkStyle="1"/>
  <w:activeWritingStyle w:appName="MSWord" w:lang="en-US" w:vendorID="8" w:dllVersion="513"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9/2002 14:03:02"/>
    <w:docVar w:name="DocCategory" w:val="Doc"/>
    <w:docVar w:name="DocType" w:val="Final"/>
    <w:docVar w:name="JobNo" w:val="0249166R"/>
    <w:docVar w:name="OandT" w:val="Griaznova"/>
    <w:docVar w:name="Symbol1" w:val="DP/FPA/2002/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eastAsia="ru-RU"/>
    </w:rPr>
  </w:style>
  <w:style w:type="paragraph" w:styleId="Heading1">
    <w:name w:val="heading 1"/>
    <w:basedOn w:val="Normal"/>
    <w:next w:val="Normal"/>
    <w:qFormat/>
    <w:pPr>
      <w:keepNext/>
      <w:outlineLvl w:val="0"/>
    </w:pPr>
    <w:rPr>
      <w:i/>
      <w:iCs/>
      <w:sz w:val="14"/>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jc w:val="right"/>
      <w:outlineLvl w:val="2"/>
    </w:pPr>
    <w:rPr>
      <w:i/>
      <w:iCs/>
      <w:sz w:val="14"/>
    </w:rPr>
  </w:style>
  <w:style w:type="paragraph" w:styleId="Heading6">
    <w:name w:val="heading 6"/>
    <w:basedOn w:val="Normal"/>
    <w:next w:val="Normal"/>
    <w:qFormat/>
    <w:pPr>
      <w:spacing w:before="240" w:after="60" w:line="240" w:lineRule="auto"/>
      <w:jc w:val="right"/>
      <w:outlineLvl w:val="5"/>
    </w:pPr>
    <w:rPr>
      <w:b/>
      <w:spacing w:val="0"/>
      <w:w w:val="100"/>
      <w:kern w:val="0"/>
      <w:sz w:val="22"/>
      <w:lang w:val="en-US"/>
    </w:rPr>
  </w:style>
  <w:style w:type="paragraph" w:styleId="Heading7">
    <w:name w:val="heading 7"/>
    <w:basedOn w:val="Normal"/>
    <w:next w:val="Normal"/>
    <w:qFormat/>
    <w:pPr>
      <w:spacing w:before="240" w:after="60" w:line="240" w:lineRule="auto"/>
      <w:jc w:val="right"/>
      <w:outlineLvl w:val="6"/>
    </w:pPr>
    <w:rPr>
      <w:spacing w:val="0"/>
      <w:w w:val="100"/>
      <w:kern w:val="0"/>
      <w:sz w:val="24"/>
      <w:lang w:val="en-US"/>
    </w:rPr>
  </w:style>
  <w:style w:type="paragraph" w:styleId="Heading8">
    <w:name w:val="heading 8"/>
    <w:basedOn w:val="Normal"/>
    <w:next w:val="Normal"/>
    <w:qFormat/>
    <w:pPr>
      <w:spacing w:before="240" w:after="60" w:line="240" w:lineRule="auto"/>
      <w:jc w:val="right"/>
      <w:outlineLvl w:val="7"/>
    </w:pPr>
    <w:rPr>
      <w:i/>
      <w:spacing w:val="0"/>
      <w:w w:val="100"/>
      <w:kern w:val="0"/>
      <w:sz w:val="24"/>
      <w:lang w:val="en-US"/>
    </w:rPr>
  </w:style>
  <w:style w:type="paragraph" w:styleId="Heading9">
    <w:name w:val="heading 9"/>
    <w:basedOn w:val="Normal"/>
    <w:next w:val="Normal"/>
    <w:qFormat/>
    <w:pPr>
      <w:keepNext/>
      <w:numPr>
        <w:numId w:val="57"/>
      </w:numPr>
      <w:tabs>
        <w:tab w:val="left" w:pos="-720"/>
        <w:tab w:val="left" w:pos="0"/>
        <w:tab w:val="left" w:pos="720"/>
        <w:tab w:val="left" w:pos="1126"/>
        <w:tab w:val="left" w:pos="2160"/>
        <w:tab w:val="right" w:leader="dot" w:pos="2497"/>
        <w:tab w:val="right" w:leader="dot" w:pos="2804"/>
        <w:tab w:val="right" w:leader="dot" w:pos="3111"/>
        <w:tab w:val="right" w:leader="dot" w:pos="3418"/>
        <w:tab w:val="right" w:leader="dot" w:pos="3726"/>
        <w:tab w:val="right" w:leader="dot" w:pos="4033"/>
        <w:tab w:val="right" w:leader="dot" w:pos="4340"/>
        <w:tab w:val="right" w:leader="dot" w:pos="4647"/>
        <w:tab w:val="right" w:leader="dot" w:pos="4954"/>
        <w:tab w:val="right" w:leader="dot" w:pos="5262"/>
        <w:tab w:val="right" w:leader="dot" w:pos="5569"/>
        <w:tab w:val="right" w:leader="dot" w:pos="5876"/>
        <w:tab w:val="right" w:leader="dot" w:pos="6183"/>
        <w:tab w:val="right" w:leader="dot" w:pos="6490"/>
        <w:tab w:val="right" w:leader="dot" w:pos="6798"/>
        <w:tab w:val="right" w:leader="dot" w:pos="7182"/>
        <w:tab w:val="right" w:leader="dot" w:pos="7489"/>
        <w:tab w:val="right" w:leader="dot" w:pos="7796"/>
        <w:tab w:val="right" w:leader="dot" w:pos="8103"/>
        <w:tab w:val="right" w:pos="9180"/>
      </w:tabs>
      <w:spacing w:line="240" w:lineRule="auto"/>
      <w:jc w:val="center"/>
      <w:outlineLvl w:val="8"/>
    </w:pPr>
    <w:rPr>
      <w:spacing w:val="0"/>
      <w:w w:val="100"/>
      <w:kern w:val="0"/>
      <w:sz w:val="24"/>
      <w:u w:val="single"/>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DualTxt"/>
    <w:pPr>
      <w:keepNext/>
      <w:keepLines/>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DualTxt"/>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ru-RU" w:eastAsia="ru-RU"/>
    </w:rPr>
  </w:style>
  <w:style w:type="paragraph" w:styleId="Header">
    <w:name w:val="header"/>
    <w:semiHidden/>
    <w:pPr>
      <w:tabs>
        <w:tab w:val="center" w:pos="4320"/>
        <w:tab w:val="right" w:pos="8640"/>
      </w:tabs>
    </w:pPr>
    <w:rPr>
      <w:noProof/>
      <w:sz w:val="17"/>
      <w:lang w:val="ru-RU" w:eastAsia="ru-RU"/>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numPr>
        <w:numId w:val="14"/>
      </w:numPr>
    </w:pPr>
  </w:style>
  <w:style w:type="paragraph" w:styleId="BodyText">
    <w:name w:val="Body Text"/>
    <w:basedOn w:val="Normal"/>
    <w:semiHidden/>
    <w:pPr>
      <w:tabs>
        <w:tab w:val="left" w:pos="1814"/>
      </w:tabs>
      <w:spacing w:after="120"/>
      <w:ind w:left="1247" w:right="1247"/>
      <w:jc w:val="both"/>
    </w:pPr>
    <w:rPr>
      <w:spacing w:val="0"/>
      <w:w w:val="100"/>
      <w:kern w:val="0"/>
    </w:rPr>
  </w:style>
  <w:style w:type="paragraph" w:styleId="BodyText2">
    <w:name w:val="Body Text 2"/>
    <w:basedOn w:val="Normal"/>
    <w:semiHidden/>
    <w:pPr>
      <w:spacing w:line="480" w:lineRule="auto"/>
      <w:jc w:val="both"/>
    </w:pPr>
    <w:rPr>
      <w:spacing w:val="0"/>
      <w:w w:val="100"/>
      <w:kern w:val="0"/>
      <w:sz w:val="28"/>
    </w:rPr>
  </w:style>
  <w:style w:type="paragraph" w:customStyle="1" w:styleId="a">
    <w:name w:val="מספור"/>
    <w:basedOn w:val="Normal"/>
    <w:pPr>
      <w:numPr>
        <w:numId w:val="323"/>
      </w:numPr>
      <w:spacing w:line="240" w:lineRule="auto"/>
      <w:ind w:left="0" w:right="360"/>
      <w:jc w:val="right"/>
    </w:pPr>
    <w:rPr>
      <w:spacing w:val="0"/>
      <w:w w:val="100"/>
      <w:kern w:val="0"/>
      <w:sz w:val="24"/>
      <w:lang w:val="en-US"/>
    </w:rPr>
  </w:style>
  <w:style w:type="paragraph" w:customStyle="1" w:styleId="NormalWeb1">
    <w:name w:val="Normal (Web)1"/>
    <w:basedOn w:val="Normal"/>
    <w:pPr>
      <w:spacing w:before="100" w:after="100" w:line="240" w:lineRule="auto"/>
    </w:pPr>
    <w:rPr>
      <w:rFonts w:ascii="Arial Unicode MS" w:eastAsia="Arial Unicode MS" w:hAnsi="Arial Unicode MS"/>
      <w:spacing w:val="0"/>
      <w:w w:val="100"/>
      <w:kern w:val="0"/>
      <w:sz w:val="24"/>
      <w:lang w:val="en-US"/>
    </w:rPr>
  </w:style>
  <w:style w:type="paragraph" w:styleId="Caption">
    <w:name w:val="caption"/>
    <w:basedOn w:val="Normal"/>
    <w:next w:val="Normal"/>
    <w:qFormat/>
    <w:pPr>
      <w:spacing w:line="360" w:lineRule="auto"/>
      <w:jc w:val="both"/>
    </w:pPr>
    <w:rPr>
      <w:rFonts w:ascii="Arial" w:hAnsi="Arial"/>
      <w:i/>
      <w:snapToGrid w:val="0"/>
      <w:color w:val="000000"/>
      <w:spacing w:val="0"/>
      <w:w w:val="100"/>
      <w:kern w:val="0"/>
      <w:sz w:val="16"/>
      <w:lang w:val="en-U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5.em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oleObject" Target="embeddings/oleObject3.bin"/><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4.wmf"/><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image" Target="media/image6.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header" Target="header5.xml"/><Relationship Id="rId10" Type="http://schemas.openxmlformats.org/officeDocument/2006/relationships/footer" Target="footer2.xml"/><Relationship Id="rId19"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header" Target="header4.xml"/><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102</Pages>
  <Words>34678</Words>
  <Characters>197666</Characters>
  <Application>Microsoft Office Word</Application>
  <DocSecurity>4</DocSecurity>
  <Lines>1647</Lines>
  <Paragraphs>395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242747</CharactersWithSpaces>
  <SharedDoc>false</SharedDoc>
  <HLinks>
    <vt:vector size="6" baseType="variant">
      <vt:variant>
        <vt:i4>8257630</vt:i4>
      </vt:variant>
      <vt:variant>
        <vt:i4>481532</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Tatiana.Panichkina</cp:lastModifiedBy>
  <cp:revision>10</cp:revision>
  <cp:lastPrinted>2005-07-14T16:22:00Z</cp:lastPrinted>
  <dcterms:created xsi:type="dcterms:W3CDTF">2005-07-18T07:53:00Z</dcterms:created>
  <dcterms:modified xsi:type="dcterms:W3CDTF">2005-07-18T08:06:00Z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0249166</vt:lpwstr>
  </property>
  <property fmtid="{D5CDD505-2E9C-101B-9397-08002B2CF9AE}" pid="3" name="Symbol1">
    <vt:lpwstr>DP/FPA/2002/9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103</vt:lpwstr>
  </property>
  <property fmtid="{D5CDD505-2E9C-101B-9397-08002B2CF9AE}" pid="8" name="Operator">
    <vt:lpwstr>Паничкина</vt:lpwstr>
  </property>
</Properties>
</file>