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4C44B5B9" w14:textId="77777777" w:rsidTr="00DC18BF">
        <w:trPr>
          <w:trHeight w:hRule="exact" w:val="851"/>
        </w:trPr>
        <w:tc>
          <w:tcPr>
            <w:tcW w:w="1280" w:type="dxa"/>
            <w:tcBorders>
              <w:bottom w:val="single" w:sz="4" w:space="0" w:color="auto"/>
            </w:tcBorders>
          </w:tcPr>
          <w:p w14:paraId="281C9139" w14:textId="77777777" w:rsidR="00494EB8" w:rsidRPr="00F124C6" w:rsidRDefault="00494EB8" w:rsidP="007D7A4A">
            <w:pPr>
              <w:pStyle w:val="H23GC"/>
            </w:pPr>
          </w:p>
        </w:tc>
        <w:tc>
          <w:tcPr>
            <w:tcW w:w="2273" w:type="dxa"/>
            <w:tcBorders>
              <w:bottom w:val="single" w:sz="4" w:space="0" w:color="auto"/>
            </w:tcBorders>
            <w:vAlign w:val="bottom"/>
          </w:tcPr>
          <w:p w14:paraId="6AFC06AE"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61992C48" w14:textId="6A88918A" w:rsidR="00494EB8" w:rsidRPr="00F81296" w:rsidRDefault="00D022DE" w:rsidP="00DC18BF">
            <w:pPr>
              <w:spacing w:line="240" w:lineRule="atLeast"/>
              <w:jc w:val="right"/>
              <w:rPr>
                <w:sz w:val="20"/>
                <w:szCs w:val="21"/>
              </w:rPr>
            </w:pPr>
            <w:r>
              <w:rPr>
                <w:sz w:val="40"/>
                <w:szCs w:val="21"/>
              </w:rPr>
              <w:t>CAT</w:t>
            </w:r>
            <w:r w:rsidR="00F81296">
              <w:rPr>
                <w:sz w:val="20"/>
                <w:szCs w:val="21"/>
              </w:rPr>
              <w:t>/</w:t>
            </w:r>
            <w:r>
              <w:rPr>
                <w:sz w:val="20"/>
                <w:szCs w:val="21"/>
              </w:rPr>
              <w:t>C</w:t>
            </w:r>
            <w:r w:rsidR="00F81296">
              <w:rPr>
                <w:sz w:val="20"/>
                <w:szCs w:val="21"/>
              </w:rPr>
              <w:t>/</w:t>
            </w:r>
            <w:r>
              <w:rPr>
                <w:sz w:val="20"/>
                <w:szCs w:val="21"/>
              </w:rPr>
              <w:t>GAB</w:t>
            </w:r>
            <w:r w:rsidR="00F81296">
              <w:rPr>
                <w:sz w:val="20"/>
                <w:szCs w:val="21"/>
              </w:rPr>
              <w:t>/</w:t>
            </w:r>
            <w:r>
              <w:rPr>
                <w:sz w:val="20"/>
                <w:szCs w:val="21"/>
              </w:rPr>
              <w:t>CO</w:t>
            </w:r>
            <w:r w:rsidR="00F81296">
              <w:rPr>
                <w:sz w:val="20"/>
                <w:szCs w:val="21"/>
              </w:rPr>
              <w:t>/</w:t>
            </w:r>
            <w:r>
              <w:rPr>
                <w:sz w:val="20"/>
                <w:szCs w:val="21"/>
              </w:rPr>
              <w:t>2</w:t>
            </w:r>
          </w:p>
        </w:tc>
      </w:tr>
      <w:tr w:rsidR="00494EB8" w:rsidRPr="00F124C6" w14:paraId="0DC78E75" w14:textId="77777777" w:rsidTr="00DC18BF">
        <w:trPr>
          <w:trHeight w:hRule="exact" w:val="2835"/>
        </w:trPr>
        <w:tc>
          <w:tcPr>
            <w:tcW w:w="1280" w:type="dxa"/>
            <w:tcBorders>
              <w:top w:val="single" w:sz="4" w:space="0" w:color="auto"/>
              <w:bottom w:val="single" w:sz="12" w:space="0" w:color="auto"/>
            </w:tcBorders>
          </w:tcPr>
          <w:p w14:paraId="02FC65CF" w14:textId="77777777" w:rsidR="00494EB8" w:rsidRPr="00F124C6" w:rsidRDefault="00494EB8" w:rsidP="00DC18BF">
            <w:pPr>
              <w:spacing w:line="120" w:lineRule="atLeast"/>
              <w:rPr>
                <w:sz w:val="10"/>
                <w:szCs w:val="10"/>
              </w:rPr>
            </w:pPr>
          </w:p>
          <w:p w14:paraId="27DA6362"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0BBEC17A" wp14:editId="30111BA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0236E64"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6A4E96E4" w14:textId="2831F633" w:rsidR="00494EB8" w:rsidRPr="0004600B" w:rsidRDefault="00D022DE" w:rsidP="00DC18BF">
            <w:pPr>
              <w:spacing w:before="240" w:line="240" w:lineRule="atLeast"/>
              <w:rPr>
                <w:rFonts w:hint="eastAsia"/>
                <w:sz w:val="20"/>
              </w:rPr>
            </w:pPr>
            <w:r>
              <w:rPr>
                <w:sz w:val="20"/>
              </w:rPr>
              <w:t xml:space="preserve">Distr.: </w:t>
            </w:r>
            <w:r>
              <w:rPr>
                <w:rFonts w:hint="eastAsia"/>
                <w:sz w:val="20"/>
              </w:rPr>
              <w:t>General</w:t>
            </w:r>
          </w:p>
          <w:p w14:paraId="63FF9B3E" w14:textId="4AD9078D" w:rsidR="00494EB8" w:rsidRPr="00F124C6" w:rsidRDefault="00D022DE" w:rsidP="00DC18BF">
            <w:pPr>
              <w:spacing w:line="240" w:lineRule="atLeast"/>
              <w:rPr>
                <w:sz w:val="20"/>
              </w:rPr>
            </w:pPr>
            <w:r>
              <w:rPr>
                <w:rFonts w:hint="eastAsia"/>
                <w:sz w:val="20"/>
              </w:rPr>
              <w:t>11</w:t>
            </w:r>
            <w:r w:rsidR="00F81296">
              <w:rPr>
                <w:rFonts w:hint="eastAsia"/>
                <w:sz w:val="20"/>
              </w:rPr>
              <w:t xml:space="preserve"> </w:t>
            </w:r>
            <w:r>
              <w:rPr>
                <w:rFonts w:hint="eastAsia"/>
                <w:sz w:val="20"/>
              </w:rPr>
              <w:t>June</w:t>
            </w:r>
            <w:r w:rsidR="005505A1">
              <w:rPr>
                <w:sz w:val="20"/>
              </w:rPr>
              <w:t xml:space="preserve"> </w:t>
            </w:r>
            <w:r>
              <w:rPr>
                <w:sz w:val="20"/>
              </w:rPr>
              <w:t>2</w:t>
            </w:r>
            <w:r w:rsidR="005505A1">
              <w:rPr>
                <w:sz w:val="20"/>
              </w:rPr>
              <w:t>0</w:t>
            </w:r>
            <w:r>
              <w:rPr>
                <w:sz w:val="20"/>
              </w:rPr>
              <w:t>26</w:t>
            </w:r>
          </w:p>
          <w:p w14:paraId="5FF38FC2" w14:textId="3566D9A3" w:rsidR="00494EB8" w:rsidRPr="00F124C6" w:rsidRDefault="00D022DE" w:rsidP="00DC18BF">
            <w:pPr>
              <w:spacing w:line="240" w:lineRule="atLeast"/>
              <w:rPr>
                <w:sz w:val="20"/>
              </w:rPr>
            </w:pPr>
            <w:r>
              <w:rPr>
                <w:sz w:val="20"/>
              </w:rPr>
              <w:t>Chinese</w:t>
            </w:r>
            <w:r w:rsidR="00494EB8" w:rsidRPr="00F124C6">
              <w:rPr>
                <w:sz w:val="20"/>
              </w:rPr>
              <w:t xml:space="preserve"> </w:t>
            </w:r>
          </w:p>
          <w:p w14:paraId="1DDEF772" w14:textId="2B662D83" w:rsidR="00494EB8" w:rsidRPr="00F124C6" w:rsidRDefault="00D022DE" w:rsidP="00DC18BF">
            <w:pPr>
              <w:spacing w:line="240" w:lineRule="atLeast"/>
              <w:rPr>
                <w:rFonts w:hint="eastAsia"/>
              </w:rPr>
            </w:pPr>
            <w:r>
              <w:rPr>
                <w:sz w:val="20"/>
              </w:rPr>
              <w:t xml:space="preserve">Original: </w:t>
            </w:r>
            <w:r>
              <w:rPr>
                <w:rFonts w:hint="eastAsia"/>
                <w:sz w:val="20"/>
              </w:rPr>
              <w:t>French</w:t>
            </w:r>
          </w:p>
        </w:tc>
      </w:tr>
    </w:tbl>
    <w:p w14:paraId="247BF0C4" w14:textId="2B6CEFE7" w:rsidR="00D022DE" w:rsidRPr="0087077E" w:rsidRDefault="00D022DE" w:rsidP="0087077E">
      <w:pPr>
        <w:spacing w:before="120"/>
        <w:rPr>
          <w:rFonts w:ascii="Time New Roman" w:eastAsia="黑体" w:hAnsi="Time New Roman"/>
          <w:sz w:val="24"/>
          <w:szCs w:val="24"/>
        </w:rPr>
      </w:pPr>
      <w:r w:rsidRPr="0087077E">
        <w:rPr>
          <w:rFonts w:ascii="Time New Roman" w:eastAsia="黑体" w:hAnsi="Time New Roman"/>
          <w:sz w:val="24"/>
          <w:szCs w:val="24"/>
        </w:rPr>
        <w:t>禁止酷刑委员会</w:t>
      </w:r>
    </w:p>
    <w:p w14:paraId="41D049DF" w14:textId="77777777" w:rsidR="00D022DE" w:rsidRPr="00625CFC" w:rsidRDefault="00D022DE" w:rsidP="0087077E">
      <w:pPr>
        <w:pStyle w:val="HChGC"/>
      </w:pPr>
      <w:r w:rsidRPr="00625CFC">
        <w:tab/>
      </w:r>
      <w:r w:rsidRPr="00625CFC">
        <w:tab/>
      </w:r>
      <w:r w:rsidRPr="00625CFC">
        <w:t>关于加蓬第二次定期报告的结论性意见</w:t>
      </w:r>
      <w:r w:rsidRPr="00625CFC">
        <w:footnoteReference w:customMarkFollows="1" w:id="2"/>
        <w:t>*</w:t>
      </w:r>
    </w:p>
    <w:p w14:paraId="6EAED277" w14:textId="1E305C32" w:rsidR="00D022DE" w:rsidRPr="00625CFC" w:rsidRDefault="00D022DE" w:rsidP="00625CFC">
      <w:pPr>
        <w:pStyle w:val="SingleTxtGC"/>
      </w:pPr>
      <w:r w:rsidRPr="00625CFC">
        <w:t>1</w:t>
      </w:r>
      <w:r w:rsidRPr="00625CFC">
        <w:t>.</w:t>
      </w:r>
      <w:r w:rsidRPr="00625CFC">
        <w:tab/>
      </w:r>
      <w:r w:rsidRPr="00625CFC">
        <w:t>委员会在</w:t>
      </w:r>
      <w:r w:rsidRPr="00625CFC">
        <w:t>2</w:t>
      </w:r>
      <w:r w:rsidRPr="00625CFC">
        <w:t>0</w:t>
      </w:r>
      <w:r w:rsidRPr="00625CFC">
        <w:t>26</w:t>
      </w:r>
      <w:r w:rsidRPr="00625CFC">
        <w:t>年</w:t>
      </w:r>
      <w:r w:rsidRPr="00625CFC">
        <w:t>4</w:t>
      </w:r>
      <w:r w:rsidRPr="00625CFC">
        <w:t>月</w:t>
      </w:r>
      <w:r w:rsidRPr="00625CFC">
        <w:t>21</w:t>
      </w:r>
      <w:r w:rsidRPr="00625CFC">
        <w:t>日和</w:t>
      </w:r>
      <w:r w:rsidRPr="00625CFC">
        <w:t>22</w:t>
      </w:r>
      <w:r w:rsidRPr="00625CFC">
        <w:t>日举行的第</w:t>
      </w:r>
      <w:r w:rsidRPr="00625CFC">
        <w:t>2248</w:t>
      </w:r>
      <w:r w:rsidRPr="00625CFC">
        <w:t>和第</w:t>
      </w:r>
      <w:r w:rsidRPr="00625CFC">
        <w:t>2251</w:t>
      </w:r>
      <w:r w:rsidRPr="00625CFC">
        <w:t>次会议</w:t>
      </w:r>
      <w:r w:rsidRPr="00625CFC">
        <w:rPr>
          <w:vertAlign w:val="superscript"/>
        </w:rPr>
        <w:footnoteReference w:id="3"/>
      </w:r>
      <w:r w:rsidR="00DE2F57">
        <w:rPr>
          <w:rFonts w:hint="eastAsia"/>
        </w:rPr>
        <w:t xml:space="preserve"> </w:t>
      </w:r>
      <w:r w:rsidRPr="00625CFC">
        <w:t>上审议了加蓬的第二次定期报告，</w:t>
      </w:r>
      <w:r w:rsidRPr="00625CFC">
        <w:rPr>
          <w:vertAlign w:val="superscript"/>
        </w:rPr>
        <w:footnoteReference w:id="4"/>
      </w:r>
      <w:r w:rsidR="00DE2F57">
        <w:rPr>
          <w:rFonts w:hint="eastAsia"/>
        </w:rPr>
        <w:t xml:space="preserve"> </w:t>
      </w:r>
      <w:r w:rsidRPr="00625CFC">
        <w:t>并在</w:t>
      </w:r>
      <w:r w:rsidRPr="00625CFC">
        <w:t>2</w:t>
      </w:r>
      <w:r w:rsidRPr="00625CFC">
        <w:t>0</w:t>
      </w:r>
      <w:r w:rsidRPr="00625CFC">
        <w:t>26</w:t>
      </w:r>
      <w:r w:rsidRPr="00625CFC">
        <w:t>年</w:t>
      </w:r>
      <w:r w:rsidRPr="00625CFC">
        <w:t>4</w:t>
      </w:r>
      <w:r w:rsidRPr="00625CFC">
        <w:t>月</w:t>
      </w:r>
      <w:r w:rsidRPr="00625CFC">
        <w:t>29</w:t>
      </w:r>
      <w:r w:rsidRPr="00625CFC">
        <w:t>日举行的第</w:t>
      </w:r>
      <w:r w:rsidRPr="00625CFC">
        <w:t>226</w:t>
      </w:r>
      <w:r w:rsidRPr="00625CFC">
        <w:t>0</w:t>
      </w:r>
      <w:r w:rsidRPr="00625CFC">
        <w:t>次会议上通过了本结论性意见。</w:t>
      </w:r>
    </w:p>
    <w:p w14:paraId="43CD12FF" w14:textId="060BFFC8" w:rsidR="00D022DE" w:rsidRPr="00625CFC" w:rsidRDefault="00D022DE" w:rsidP="0087077E">
      <w:pPr>
        <w:pStyle w:val="H1GC"/>
      </w:pPr>
      <w:r w:rsidRPr="00625CFC">
        <w:tab/>
      </w:r>
      <w:r w:rsidRPr="00625CFC">
        <w:t>A</w:t>
      </w:r>
      <w:r w:rsidRPr="00625CFC">
        <w:t>.</w:t>
      </w:r>
      <w:r w:rsidRPr="00625CFC">
        <w:tab/>
      </w:r>
      <w:r w:rsidRPr="00625CFC">
        <w:t>导言</w:t>
      </w:r>
    </w:p>
    <w:p w14:paraId="2D5E8C8A" w14:textId="32FFB568" w:rsidR="00D022DE" w:rsidRPr="00625CFC" w:rsidRDefault="00D022DE" w:rsidP="00625CFC">
      <w:pPr>
        <w:pStyle w:val="SingleTxtGC"/>
      </w:pPr>
      <w:r w:rsidRPr="00625CFC">
        <w:t>2</w:t>
      </w:r>
      <w:r w:rsidRPr="00625CFC">
        <w:t>.</w:t>
      </w:r>
      <w:r w:rsidRPr="00625CFC">
        <w:tab/>
      </w:r>
      <w:r w:rsidRPr="00625CFC">
        <w:t>委员会赞赏缔约国接受简化报告程序并据此提交第二次定期报告，这有利于改善缔约国与委员会之间的合作，并使报告的审查以及与代表团的对话更具针对性。尽管如此，委员会对缔约国迟交报告七年表示遗憾。</w:t>
      </w:r>
      <w:bookmarkStart w:id="0" w:name="_Hlk184026984"/>
      <w:bookmarkEnd w:id="0"/>
    </w:p>
    <w:p w14:paraId="1F42640D" w14:textId="572CE0FC" w:rsidR="00D022DE" w:rsidRPr="00625CFC" w:rsidRDefault="00D022DE" w:rsidP="00625CFC">
      <w:pPr>
        <w:pStyle w:val="SingleTxtGC"/>
      </w:pPr>
      <w:r w:rsidRPr="00625CFC">
        <w:t>3</w:t>
      </w:r>
      <w:r w:rsidRPr="00625CFC">
        <w:t>.</w:t>
      </w:r>
      <w:r w:rsidRPr="00625CFC">
        <w:tab/>
      </w:r>
      <w:r w:rsidRPr="00625CFC">
        <w:t>委员会赞赏有机会与缔约国代表团进行建设性对话，并欢迎代表团就审议定期报告期间提出的问题和关切</w:t>
      </w:r>
      <w:proofErr w:type="gramStart"/>
      <w:r w:rsidRPr="00625CFC">
        <w:t>作出</w:t>
      </w:r>
      <w:proofErr w:type="gramEnd"/>
      <w:r w:rsidRPr="00625CFC">
        <w:t>口头答复。</w:t>
      </w:r>
    </w:p>
    <w:p w14:paraId="5104F900" w14:textId="0ED88898" w:rsidR="00D022DE" w:rsidRPr="00625CFC" w:rsidRDefault="00D022DE" w:rsidP="0087077E">
      <w:pPr>
        <w:pStyle w:val="H1GC"/>
      </w:pPr>
      <w:r w:rsidRPr="00625CFC">
        <w:tab/>
      </w:r>
      <w:r w:rsidRPr="00625CFC">
        <w:t>B</w:t>
      </w:r>
      <w:r w:rsidRPr="00625CFC">
        <w:t>.</w:t>
      </w:r>
      <w:r w:rsidRPr="00625CFC">
        <w:tab/>
      </w:r>
      <w:r w:rsidRPr="00625CFC">
        <w:t>积极方面</w:t>
      </w:r>
    </w:p>
    <w:p w14:paraId="46D14A45" w14:textId="13DEF1A9" w:rsidR="00D022DE" w:rsidRPr="00625CFC" w:rsidRDefault="00D022DE" w:rsidP="00625CFC">
      <w:pPr>
        <w:pStyle w:val="SingleTxtGC"/>
      </w:pPr>
      <w:r w:rsidRPr="00625CFC">
        <w:t>4</w:t>
      </w:r>
      <w:r w:rsidRPr="00625CFC">
        <w:t>.</w:t>
      </w:r>
      <w:r w:rsidRPr="00625CFC">
        <w:tab/>
      </w:r>
      <w:r w:rsidRPr="00625CFC">
        <w:t>委员会欢迎缔约国自上一次定期报告审议以来批准或加入下列国际文书：</w:t>
      </w:r>
    </w:p>
    <w:p w14:paraId="661B07AA" w14:textId="19C52010" w:rsidR="00D022DE" w:rsidRPr="00625CFC" w:rsidRDefault="00D022DE" w:rsidP="00625CFC">
      <w:pPr>
        <w:pStyle w:val="SingleTxtGC"/>
      </w:pPr>
      <w:r w:rsidRPr="00625CFC">
        <w:tab/>
        <w:t>(</w:t>
      </w:r>
      <w:r w:rsidRPr="00625CFC">
        <w:t>a</w:t>
      </w:r>
      <w:r w:rsidRPr="00625CFC">
        <w:t>)</w:t>
      </w:r>
      <w:r w:rsidRPr="00625CFC">
        <w:tab/>
      </w:r>
      <w:r w:rsidRPr="00625CFC">
        <w:t>《联合国打击跨国有组织犯罪公约关于打击陆、海、空偷运移民的补充议定书》，</w:t>
      </w:r>
      <w:r w:rsidRPr="00625CFC">
        <w:t>2</w:t>
      </w:r>
      <w:r w:rsidRPr="00625CFC">
        <w:t>0</w:t>
      </w:r>
      <w:r w:rsidRPr="00625CFC">
        <w:t>19</w:t>
      </w:r>
      <w:r w:rsidRPr="00625CFC">
        <w:t>年</w:t>
      </w:r>
      <w:r w:rsidRPr="00625CFC">
        <w:t>5</w:t>
      </w:r>
      <w:r w:rsidRPr="00625CFC">
        <w:t>月</w:t>
      </w:r>
      <w:r w:rsidRPr="00625CFC">
        <w:t>1</w:t>
      </w:r>
      <w:r w:rsidRPr="00625CFC">
        <w:t>0</w:t>
      </w:r>
      <w:r w:rsidRPr="00625CFC">
        <w:t>日；</w:t>
      </w:r>
    </w:p>
    <w:p w14:paraId="3601F35A" w14:textId="3A6BBA6A" w:rsidR="00D022DE" w:rsidRPr="00625CFC" w:rsidRDefault="00D022DE" w:rsidP="00625CFC">
      <w:pPr>
        <w:pStyle w:val="SingleTxtGC"/>
      </w:pPr>
      <w:r w:rsidRPr="00625CFC">
        <w:tab/>
        <w:t>(</w:t>
      </w:r>
      <w:r w:rsidRPr="00625CFC">
        <w:t>b</w:t>
      </w:r>
      <w:r w:rsidRPr="00625CFC">
        <w:t>)</w:t>
      </w:r>
      <w:r w:rsidRPr="00625CFC">
        <w:tab/>
      </w:r>
      <w:r w:rsidRPr="00625CFC">
        <w:t>《旨在废除死刑的〈公民权利和政治权利国际公约〉第二项任意议定书》，</w:t>
      </w:r>
      <w:r w:rsidRPr="00625CFC">
        <w:t>2</w:t>
      </w:r>
      <w:r w:rsidRPr="00625CFC">
        <w:t>0</w:t>
      </w:r>
      <w:r w:rsidRPr="00625CFC">
        <w:t>14</w:t>
      </w:r>
      <w:r w:rsidRPr="00625CFC">
        <w:t>年</w:t>
      </w:r>
      <w:r w:rsidRPr="00625CFC">
        <w:t>4</w:t>
      </w:r>
      <w:r w:rsidRPr="00625CFC">
        <w:t>月</w:t>
      </w:r>
      <w:r w:rsidRPr="00625CFC">
        <w:t>2</w:t>
      </w:r>
      <w:r w:rsidRPr="00625CFC">
        <w:t>日。</w:t>
      </w:r>
    </w:p>
    <w:p w14:paraId="03E1A16F" w14:textId="3DE9476D" w:rsidR="00D022DE" w:rsidRPr="00625CFC" w:rsidRDefault="00D022DE" w:rsidP="00625CFC">
      <w:pPr>
        <w:pStyle w:val="SingleTxtGC"/>
      </w:pPr>
      <w:r w:rsidRPr="00625CFC">
        <w:t>5</w:t>
      </w:r>
      <w:r w:rsidRPr="00625CFC">
        <w:t>.</w:t>
      </w:r>
      <w:r w:rsidRPr="00625CFC">
        <w:tab/>
      </w:r>
      <w:r w:rsidRPr="00625CFC">
        <w:t>委员会还欢迎缔约国采取措施，修订法律或就与《公约》相关的领域立法，包括通过下列法律：</w:t>
      </w:r>
    </w:p>
    <w:p w14:paraId="01FADBB8" w14:textId="51DB3B9D" w:rsidR="00D022DE" w:rsidRPr="00625CFC" w:rsidRDefault="00D022DE" w:rsidP="00625CFC">
      <w:pPr>
        <w:pStyle w:val="SingleTxtGC"/>
      </w:pPr>
      <w:r w:rsidRPr="00625CFC">
        <w:tab/>
        <w:t>(</w:t>
      </w:r>
      <w:r w:rsidRPr="00625CFC">
        <w:t>a</w:t>
      </w:r>
      <w:r w:rsidRPr="00625CFC">
        <w:t>)</w:t>
      </w:r>
      <w:r w:rsidRPr="00625CFC">
        <w:tab/>
      </w:r>
      <w:r w:rsidRPr="00625CFC">
        <w:t>2</w:t>
      </w:r>
      <w:r w:rsidRPr="00625CFC">
        <w:t>0</w:t>
      </w:r>
      <w:r w:rsidRPr="00625CFC">
        <w:t>24</w:t>
      </w:r>
      <w:r w:rsidRPr="00625CFC">
        <w:t>年</w:t>
      </w:r>
      <w:r w:rsidRPr="00625CFC">
        <w:t>12</w:t>
      </w:r>
      <w:r w:rsidRPr="00625CFC">
        <w:t>月</w:t>
      </w:r>
      <w:r w:rsidRPr="00625CFC">
        <w:t>19</w:t>
      </w:r>
      <w:r w:rsidRPr="00625CFC">
        <w:t>日第</w:t>
      </w:r>
      <w:r w:rsidRPr="00625CFC">
        <w:t>00</w:t>
      </w:r>
      <w:r w:rsidRPr="00625CFC">
        <w:t>2</w:t>
      </w:r>
      <w:r w:rsidRPr="00625CFC">
        <w:t>-</w:t>
      </w:r>
      <w:r w:rsidRPr="00625CFC">
        <w:t>R</w:t>
      </w:r>
      <w:r w:rsidRPr="00625CFC">
        <w:t>/</w:t>
      </w:r>
      <w:r w:rsidRPr="00625CFC">
        <w:t>2</w:t>
      </w:r>
      <w:r w:rsidRPr="00625CFC">
        <w:t>0</w:t>
      </w:r>
      <w:r w:rsidRPr="00625CFC">
        <w:t>24</w:t>
      </w:r>
      <w:r w:rsidRPr="00625CFC">
        <w:t>号全民公投法《宪法》；</w:t>
      </w:r>
    </w:p>
    <w:p w14:paraId="0FCBE4C2" w14:textId="628ADE55" w:rsidR="00D022DE" w:rsidRPr="00625CFC" w:rsidRDefault="00D022DE" w:rsidP="00625CFC">
      <w:pPr>
        <w:pStyle w:val="SingleTxtGC"/>
      </w:pPr>
      <w:r w:rsidRPr="00625CFC">
        <w:tab/>
        <w:t>(</w:t>
      </w:r>
      <w:r w:rsidRPr="00625CFC">
        <w:t>b</w:t>
      </w:r>
      <w:r w:rsidRPr="00625CFC">
        <w:t>)</w:t>
      </w:r>
      <w:r w:rsidRPr="00625CFC">
        <w:tab/>
      </w:r>
      <w:r w:rsidRPr="00625CFC">
        <w:t>2</w:t>
      </w:r>
      <w:r w:rsidRPr="00625CFC">
        <w:t>0</w:t>
      </w:r>
      <w:r w:rsidRPr="00625CFC">
        <w:t>24</w:t>
      </w:r>
      <w:r w:rsidRPr="00625CFC">
        <w:t>年</w:t>
      </w:r>
      <w:r w:rsidRPr="00625CFC">
        <w:t>11</w:t>
      </w:r>
      <w:r w:rsidRPr="00625CFC">
        <w:t>月</w:t>
      </w:r>
      <w:r w:rsidRPr="00625CFC">
        <w:t>21</w:t>
      </w:r>
      <w:r w:rsidRPr="00625CFC">
        <w:t>日关于重组国家人权委员会的第</w:t>
      </w:r>
      <w:r w:rsidRPr="00625CFC">
        <w:t>0</w:t>
      </w:r>
      <w:r w:rsidRPr="00625CFC">
        <w:t>23</w:t>
      </w:r>
      <w:r w:rsidRPr="00625CFC">
        <w:t>/</w:t>
      </w:r>
      <w:r w:rsidRPr="00625CFC">
        <w:t>2</w:t>
      </w:r>
      <w:r w:rsidRPr="00625CFC">
        <w:t>0</w:t>
      </w:r>
      <w:r w:rsidRPr="00625CFC">
        <w:t>24</w:t>
      </w:r>
      <w:r w:rsidRPr="00625CFC">
        <w:t>号法，其中第</w:t>
      </w:r>
      <w:r w:rsidRPr="00625CFC">
        <w:t>5</w:t>
      </w:r>
      <w:r w:rsidRPr="00625CFC">
        <w:t>条规定该委员会将作为国家防范酷刑机制；</w:t>
      </w:r>
    </w:p>
    <w:p w14:paraId="1C13A1D3" w14:textId="04805D17" w:rsidR="00D022DE" w:rsidRPr="00625CFC" w:rsidRDefault="00D022DE" w:rsidP="00625CFC">
      <w:pPr>
        <w:pStyle w:val="SingleTxtGC"/>
      </w:pPr>
      <w:r w:rsidRPr="00625CFC">
        <w:lastRenderedPageBreak/>
        <w:tab/>
        <w:t>(</w:t>
      </w:r>
      <w:r w:rsidRPr="00625CFC">
        <w:t>c</w:t>
      </w:r>
      <w:r w:rsidRPr="00625CFC">
        <w:t>)</w:t>
      </w:r>
      <w:r w:rsidRPr="00625CFC">
        <w:tab/>
      </w:r>
      <w:r w:rsidRPr="00625CFC">
        <w:t>2</w:t>
      </w:r>
      <w:r w:rsidRPr="00625CFC">
        <w:t>0</w:t>
      </w:r>
      <w:r w:rsidRPr="00625CFC">
        <w:t>21</w:t>
      </w:r>
      <w:r w:rsidRPr="00625CFC">
        <w:t>年</w:t>
      </w:r>
      <w:r w:rsidRPr="00625CFC">
        <w:t>9</w:t>
      </w:r>
      <w:r w:rsidRPr="00625CFC">
        <w:t>月</w:t>
      </w:r>
      <w:r w:rsidRPr="00625CFC">
        <w:t>15</w:t>
      </w:r>
      <w:r w:rsidRPr="00625CFC">
        <w:t>日第</w:t>
      </w:r>
      <w:r w:rsidRPr="00625CFC">
        <w:t>00</w:t>
      </w:r>
      <w:r w:rsidRPr="00625CFC">
        <w:t>4</w:t>
      </w:r>
      <w:r w:rsidRPr="00625CFC">
        <w:t>/</w:t>
      </w:r>
      <w:r w:rsidRPr="00625CFC">
        <w:t>2</w:t>
      </w:r>
      <w:r w:rsidRPr="00625CFC">
        <w:t>0</w:t>
      </w:r>
      <w:r w:rsidRPr="00625CFC">
        <w:t>21</w:t>
      </w:r>
      <w:r w:rsidRPr="00625CFC">
        <w:t>号法修订了</w:t>
      </w:r>
      <w:r w:rsidRPr="00625CFC">
        <w:t>1972</w:t>
      </w:r>
      <w:r w:rsidRPr="00625CFC">
        <w:t>年</w:t>
      </w:r>
      <w:r w:rsidRPr="00625CFC">
        <w:t>7</w:t>
      </w:r>
      <w:r w:rsidRPr="00625CFC">
        <w:t>月</w:t>
      </w:r>
      <w:r w:rsidRPr="00625CFC">
        <w:t>29</w:t>
      </w:r>
      <w:r w:rsidRPr="00625CFC">
        <w:t>日第</w:t>
      </w:r>
      <w:r w:rsidRPr="00625CFC">
        <w:t>15</w:t>
      </w:r>
      <w:r w:rsidRPr="00625CFC">
        <w:t>/</w:t>
      </w:r>
      <w:r w:rsidRPr="00625CFC">
        <w:t>72</w:t>
      </w:r>
      <w:r w:rsidRPr="00625CFC">
        <w:t>号法《民法典》的某些条款，将女孩的法定结婚年龄从</w:t>
      </w:r>
      <w:r w:rsidRPr="00625CFC">
        <w:t>15</w:t>
      </w:r>
      <w:r w:rsidRPr="00625CFC">
        <w:t>岁提高到</w:t>
      </w:r>
      <w:r w:rsidRPr="00625CFC">
        <w:t>18</w:t>
      </w:r>
      <w:r w:rsidRPr="00625CFC">
        <w:t>岁；</w:t>
      </w:r>
    </w:p>
    <w:p w14:paraId="3833E0BD" w14:textId="4B7FF8A5" w:rsidR="00D022DE" w:rsidRPr="00625CFC" w:rsidRDefault="00D022DE" w:rsidP="00625CFC">
      <w:pPr>
        <w:pStyle w:val="SingleTxtGC"/>
      </w:pPr>
      <w:r w:rsidRPr="00625CFC">
        <w:tab/>
        <w:t>(</w:t>
      </w:r>
      <w:r w:rsidRPr="00625CFC">
        <w:t>d</w:t>
      </w:r>
      <w:r w:rsidRPr="00625CFC">
        <w:t>)</w:t>
      </w:r>
      <w:r w:rsidRPr="00625CFC">
        <w:tab/>
      </w:r>
      <w:r w:rsidRPr="00625CFC">
        <w:t>2</w:t>
      </w:r>
      <w:r w:rsidRPr="00625CFC">
        <w:t>0</w:t>
      </w:r>
      <w:r w:rsidRPr="00625CFC">
        <w:t>21</w:t>
      </w:r>
      <w:r w:rsidRPr="00625CFC">
        <w:t>年</w:t>
      </w:r>
      <w:r w:rsidRPr="00625CFC">
        <w:t>9</w:t>
      </w:r>
      <w:r w:rsidRPr="00625CFC">
        <w:t>月</w:t>
      </w:r>
      <w:r w:rsidRPr="00625CFC">
        <w:t>15</w:t>
      </w:r>
      <w:r w:rsidRPr="00625CFC">
        <w:t>日第</w:t>
      </w:r>
      <w:r w:rsidRPr="00625CFC">
        <w:t>00</w:t>
      </w:r>
      <w:r w:rsidRPr="00625CFC">
        <w:t>236</w:t>
      </w:r>
      <w:r w:rsidRPr="00625CFC">
        <w:t>号法令，规定了社区服务的条款和条件，这将使法院能够逐步缓解监狱过度拥挤的状况；</w:t>
      </w:r>
    </w:p>
    <w:p w14:paraId="39417845" w14:textId="0772C21D" w:rsidR="00D022DE" w:rsidRPr="00625CFC" w:rsidRDefault="00D022DE" w:rsidP="00625CFC">
      <w:pPr>
        <w:pStyle w:val="SingleTxtGC"/>
      </w:pPr>
      <w:r w:rsidRPr="00625CFC">
        <w:tab/>
        <w:t>(</w:t>
      </w:r>
      <w:r w:rsidRPr="00625CFC">
        <w:t>e</w:t>
      </w:r>
      <w:r w:rsidRPr="00625CFC">
        <w:t>)</w:t>
      </w:r>
      <w:r w:rsidRPr="00625CFC">
        <w:tab/>
      </w:r>
      <w:r w:rsidRPr="00625CFC">
        <w:t>2</w:t>
      </w:r>
      <w:r w:rsidRPr="00625CFC">
        <w:t>0</w:t>
      </w:r>
      <w:r w:rsidRPr="00625CFC">
        <w:t>21</w:t>
      </w:r>
      <w:r w:rsidRPr="00625CFC">
        <w:t>年</w:t>
      </w:r>
      <w:r w:rsidRPr="00625CFC">
        <w:t>9</w:t>
      </w:r>
      <w:r w:rsidRPr="00625CFC">
        <w:t>月</w:t>
      </w:r>
      <w:r w:rsidRPr="00625CFC">
        <w:t>6</w:t>
      </w:r>
      <w:r w:rsidRPr="00625CFC">
        <w:t>日关于消除暴力侵害妇女行为的第</w:t>
      </w:r>
      <w:r w:rsidRPr="00625CFC">
        <w:t>00</w:t>
      </w:r>
      <w:r w:rsidRPr="00625CFC">
        <w:t>6</w:t>
      </w:r>
      <w:r w:rsidRPr="00625CFC">
        <w:t>/</w:t>
      </w:r>
      <w:r w:rsidRPr="00625CFC">
        <w:t>2</w:t>
      </w:r>
      <w:r w:rsidRPr="00625CFC">
        <w:t>0</w:t>
      </w:r>
      <w:r w:rsidRPr="00625CFC">
        <w:t>21</w:t>
      </w:r>
      <w:r w:rsidRPr="00625CFC">
        <w:t>号法；</w:t>
      </w:r>
    </w:p>
    <w:p w14:paraId="1FAFBF18" w14:textId="588D82CA" w:rsidR="00D022DE" w:rsidRPr="00625CFC" w:rsidRDefault="00D022DE" w:rsidP="00625CFC">
      <w:pPr>
        <w:pStyle w:val="SingleTxtGC"/>
      </w:pPr>
      <w:r w:rsidRPr="00625CFC">
        <w:tab/>
        <w:t>(</w:t>
      </w:r>
      <w:r w:rsidRPr="00625CFC">
        <w:t>f</w:t>
      </w:r>
      <w:r w:rsidRPr="00625CFC">
        <w:t>)</w:t>
      </w:r>
      <w:r w:rsidRPr="00625CFC">
        <w:tab/>
      </w:r>
      <w:r w:rsidRPr="00625CFC">
        <w:t>2</w:t>
      </w:r>
      <w:r w:rsidRPr="00625CFC">
        <w:t>0</w:t>
      </w:r>
      <w:r w:rsidRPr="00625CFC">
        <w:t>2</w:t>
      </w:r>
      <w:r w:rsidRPr="00625CFC">
        <w:t>0</w:t>
      </w:r>
      <w:r w:rsidRPr="00625CFC">
        <w:t>年</w:t>
      </w:r>
      <w:r w:rsidRPr="00625CFC">
        <w:t>6</w:t>
      </w:r>
      <w:r w:rsidRPr="00625CFC">
        <w:t>月</w:t>
      </w:r>
      <w:r w:rsidRPr="00625CFC">
        <w:t>3</w:t>
      </w:r>
      <w:r w:rsidRPr="00625CFC">
        <w:t>0</w:t>
      </w:r>
      <w:r w:rsidRPr="00625CFC">
        <w:t>日第</w:t>
      </w:r>
      <w:r w:rsidRPr="00625CFC">
        <w:t>00</w:t>
      </w:r>
      <w:r w:rsidRPr="00625CFC">
        <w:t>6</w:t>
      </w:r>
      <w:r w:rsidRPr="00625CFC">
        <w:t>/</w:t>
      </w:r>
      <w:r w:rsidRPr="00625CFC">
        <w:t>2</w:t>
      </w:r>
      <w:r w:rsidRPr="00625CFC">
        <w:t>0</w:t>
      </w:r>
      <w:r w:rsidRPr="00625CFC">
        <w:t>2</w:t>
      </w:r>
      <w:r w:rsidRPr="00625CFC">
        <w:t>0</w:t>
      </w:r>
      <w:r w:rsidRPr="00625CFC">
        <w:t>号法修订了第</w:t>
      </w:r>
      <w:r w:rsidRPr="00625CFC">
        <w:t>0</w:t>
      </w:r>
      <w:r w:rsidRPr="00625CFC">
        <w:t>42</w:t>
      </w:r>
      <w:r w:rsidRPr="00625CFC">
        <w:t>/</w:t>
      </w:r>
      <w:r w:rsidRPr="00625CFC">
        <w:t>2</w:t>
      </w:r>
      <w:r w:rsidRPr="00625CFC">
        <w:t>0</w:t>
      </w:r>
      <w:r w:rsidRPr="00625CFC">
        <w:t>18</w:t>
      </w:r>
      <w:r w:rsidRPr="00625CFC">
        <w:t>号法《刑法典》，加强了适用于酷刑的法律框架，将酷刑归类为危害人类罪，并将人口贩运定为明确的刑事犯罪，该罪行在定义和处罚方面均符合《联合国打击跨国有组织犯罪公约关于预防、禁止和惩治贩运人口特别是妇女和儿童行为的补充议定书》；</w:t>
      </w:r>
    </w:p>
    <w:p w14:paraId="3442AEE5" w14:textId="47DF5853" w:rsidR="00D022DE" w:rsidRPr="00625CFC" w:rsidRDefault="00D022DE" w:rsidP="00625CFC">
      <w:pPr>
        <w:pStyle w:val="SingleTxtGC"/>
      </w:pPr>
      <w:r w:rsidRPr="00625CFC">
        <w:tab/>
        <w:t>(</w:t>
      </w:r>
      <w:r w:rsidRPr="00625CFC">
        <w:t>g</w:t>
      </w:r>
      <w:r w:rsidRPr="00625CFC">
        <w:t>)</w:t>
      </w:r>
      <w:r w:rsidRPr="00625CFC">
        <w:tab/>
      </w:r>
      <w:r w:rsidRPr="00625CFC">
        <w:t>2</w:t>
      </w:r>
      <w:r w:rsidRPr="00625CFC">
        <w:t>0</w:t>
      </w:r>
      <w:r w:rsidRPr="00625CFC">
        <w:t>19</w:t>
      </w:r>
      <w:r w:rsidRPr="00625CFC">
        <w:t>年</w:t>
      </w:r>
      <w:r w:rsidRPr="00625CFC">
        <w:t>7</w:t>
      </w:r>
      <w:r w:rsidRPr="00625CFC">
        <w:t>月</w:t>
      </w:r>
      <w:r w:rsidRPr="00625CFC">
        <w:t>4</w:t>
      </w:r>
      <w:r w:rsidRPr="00625CFC">
        <w:t>日关于法院的设置、人员组成、管辖权和运作机制的第</w:t>
      </w:r>
      <w:r w:rsidRPr="00625CFC">
        <w:t>00</w:t>
      </w:r>
      <w:r w:rsidRPr="00625CFC">
        <w:t>8</w:t>
      </w:r>
      <w:r w:rsidRPr="00625CFC">
        <w:t>/</w:t>
      </w:r>
      <w:r w:rsidRPr="00625CFC">
        <w:t>2</w:t>
      </w:r>
      <w:r w:rsidRPr="00625CFC">
        <w:t>0</w:t>
      </w:r>
      <w:r w:rsidRPr="00625CFC">
        <w:t>19</w:t>
      </w:r>
      <w:r w:rsidRPr="00625CFC">
        <w:t>号组织法，其中规定在利伯维尔一审法院和利伯维尔上诉法院内新设专门的刑事审判庭，特别是审理涉及挪用公款的案件；</w:t>
      </w:r>
    </w:p>
    <w:p w14:paraId="7D3C635A" w14:textId="5E4C32EE" w:rsidR="00D022DE" w:rsidRPr="00625CFC" w:rsidRDefault="00D022DE" w:rsidP="00625CFC">
      <w:pPr>
        <w:pStyle w:val="SingleTxtGC"/>
      </w:pPr>
      <w:r w:rsidRPr="00625CFC">
        <w:tab/>
        <w:t>(</w:t>
      </w:r>
      <w:r w:rsidRPr="00625CFC">
        <w:t>h</w:t>
      </w:r>
      <w:r w:rsidRPr="00625CFC">
        <w:t>)</w:t>
      </w:r>
      <w:r w:rsidRPr="00625CFC">
        <w:tab/>
      </w:r>
      <w:r w:rsidRPr="00625CFC">
        <w:t>2</w:t>
      </w:r>
      <w:r w:rsidRPr="00625CFC">
        <w:t>0</w:t>
      </w:r>
      <w:r w:rsidRPr="00625CFC">
        <w:t>19</w:t>
      </w:r>
      <w:r w:rsidRPr="00625CFC">
        <w:t>年</w:t>
      </w:r>
      <w:r w:rsidRPr="00625CFC">
        <w:t>2</w:t>
      </w:r>
      <w:r w:rsidRPr="00625CFC">
        <w:t>月</w:t>
      </w:r>
      <w:r w:rsidRPr="00625CFC">
        <w:t>8</w:t>
      </w:r>
      <w:r w:rsidRPr="00625CFC">
        <w:t>日第</w:t>
      </w:r>
      <w:r w:rsidRPr="00625CFC">
        <w:t>00</w:t>
      </w:r>
      <w:r w:rsidRPr="00625CFC">
        <w:t>3</w:t>
      </w:r>
      <w:r w:rsidRPr="00625CFC">
        <w:t>/</w:t>
      </w:r>
      <w:r w:rsidRPr="00625CFC">
        <w:t>2</w:t>
      </w:r>
      <w:r w:rsidRPr="00625CFC">
        <w:t>0</w:t>
      </w:r>
      <w:r w:rsidRPr="00625CFC">
        <w:t>18</w:t>
      </w:r>
      <w:r w:rsidRPr="00625CFC">
        <w:t>号组织法《儿童法典》确立了打击贩运儿童的特别框架，禁止一切形式的性暴力、身体暴力和心理暴力、绑架和任意拘留，并规定剥夺自由仅作为最后手段，</w:t>
      </w:r>
      <w:proofErr w:type="gramStart"/>
      <w:r w:rsidRPr="00625CFC">
        <w:t>优先为触法</w:t>
      </w:r>
      <w:proofErr w:type="gramEnd"/>
      <w:r w:rsidRPr="00625CFC">
        <w:t>儿童提供监禁替代措施，并确保他们在监狱系统内与成年人分开关押。</w:t>
      </w:r>
    </w:p>
    <w:p w14:paraId="10BC5D92" w14:textId="1E04E33C" w:rsidR="00D022DE" w:rsidRPr="00625CFC" w:rsidRDefault="00D022DE" w:rsidP="00625CFC">
      <w:pPr>
        <w:pStyle w:val="SingleTxtGC"/>
      </w:pPr>
      <w:r w:rsidRPr="00625CFC">
        <w:t>6</w:t>
      </w:r>
      <w:r w:rsidRPr="00625CFC">
        <w:t>.</w:t>
      </w:r>
      <w:r w:rsidRPr="00625CFC">
        <w:tab/>
      </w:r>
      <w:r w:rsidRPr="00625CFC">
        <w:t>委员会赞扬缔约国为加强人权保护和《公约》落实工作，采取各项措施修改政策和程序，特别是：</w:t>
      </w:r>
    </w:p>
    <w:p w14:paraId="255E76D8" w14:textId="2C4AB8F1" w:rsidR="00D022DE" w:rsidRPr="00625CFC" w:rsidRDefault="00D022DE" w:rsidP="00625CFC">
      <w:pPr>
        <w:pStyle w:val="SingleTxtGC"/>
      </w:pPr>
      <w:r w:rsidRPr="00625CFC">
        <w:tab/>
        <w:t>(</w:t>
      </w:r>
      <w:r w:rsidRPr="00625CFC">
        <w:t>a</w:t>
      </w:r>
      <w:r w:rsidRPr="00625CFC">
        <w:t>)</w:t>
      </w:r>
      <w:r w:rsidRPr="00625CFC">
        <w:tab/>
      </w:r>
      <w:r w:rsidRPr="00625CFC">
        <w:t>通过打击人口贩运国家计划，</w:t>
      </w:r>
      <w:r w:rsidRPr="00625CFC">
        <w:t>2</w:t>
      </w:r>
      <w:r w:rsidRPr="00625CFC">
        <w:t>0</w:t>
      </w:r>
      <w:r w:rsidRPr="00625CFC">
        <w:t>2</w:t>
      </w:r>
      <w:r w:rsidRPr="00625CFC">
        <w:t>0</w:t>
      </w:r>
      <w:r w:rsidRPr="00625CFC">
        <w:t>年；</w:t>
      </w:r>
    </w:p>
    <w:p w14:paraId="3401F6EA" w14:textId="49A5BF48" w:rsidR="00D022DE" w:rsidRPr="00625CFC" w:rsidRDefault="00D022DE" w:rsidP="00625CFC">
      <w:pPr>
        <w:pStyle w:val="SingleTxtGC"/>
      </w:pPr>
      <w:r w:rsidRPr="00625CFC">
        <w:tab/>
        <w:t>(</w:t>
      </w:r>
      <w:r w:rsidRPr="00625CFC">
        <w:t>b</w:t>
      </w:r>
      <w:r w:rsidRPr="00625CFC">
        <w:t>)</w:t>
      </w:r>
      <w:r w:rsidRPr="00625CFC">
        <w:tab/>
      </w:r>
      <w:r w:rsidRPr="00625CFC">
        <w:t>根据</w:t>
      </w:r>
      <w:r w:rsidRPr="00625CFC">
        <w:t>2</w:t>
      </w:r>
      <w:r w:rsidRPr="00625CFC">
        <w:t>0</w:t>
      </w:r>
      <w:r w:rsidRPr="00625CFC">
        <w:t>2</w:t>
      </w:r>
      <w:r w:rsidRPr="00625CFC">
        <w:t>0</w:t>
      </w:r>
      <w:r w:rsidRPr="00625CFC">
        <w:t>年</w:t>
      </w:r>
      <w:r w:rsidRPr="00625CFC">
        <w:t>11</w:t>
      </w:r>
      <w:r w:rsidRPr="00625CFC">
        <w:t>月</w:t>
      </w:r>
      <w:r w:rsidRPr="00625CFC">
        <w:t>24</w:t>
      </w:r>
      <w:r w:rsidRPr="00625CFC">
        <w:t>日第</w:t>
      </w:r>
      <w:r w:rsidRPr="00625CFC">
        <w:t>00</w:t>
      </w:r>
      <w:r w:rsidRPr="00625CFC">
        <w:t>9</w:t>
      </w:r>
      <w:r w:rsidRPr="00625CFC">
        <w:t>/</w:t>
      </w:r>
      <w:proofErr w:type="spellStart"/>
      <w:r w:rsidRPr="00625CFC">
        <w:t>MJGSCDH</w:t>
      </w:r>
      <w:proofErr w:type="spellEnd"/>
      <w:r w:rsidRPr="00625CFC">
        <w:t>/</w:t>
      </w:r>
      <w:r w:rsidRPr="00625CFC">
        <w:t>SG</w:t>
      </w:r>
      <w:r w:rsidRPr="00625CFC">
        <w:t>号决定，在利伯维尔和该国其他地区设立特别委员会，负责审查监狱拘留的合法性；</w:t>
      </w:r>
    </w:p>
    <w:p w14:paraId="4A6A3C8F" w14:textId="76A7FCCD" w:rsidR="00D022DE" w:rsidRPr="00625CFC" w:rsidRDefault="00D022DE" w:rsidP="00625CFC">
      <w:pPr>
        <w:pStyle w:val="SingleTxtGC"/>
      </w:pPr>
      <w:r w:rsidRPr="00625CFC">
        <w:tab/>
        <w:t>(</w:t>
      </w:r>
      <w:r w:rsidRPr="00625CFC">
        <w:t>c</w:t>
      </w:r>
      <w:r w:rsidRPr="00625CFC">
        <w:t>)</w:t>
      </w:r>
      <w:r w:rsidRPr="00625CFC">
        <w:tab/>
      </w:r>
      <w:r w:rsidRPr="00625CFC">
        <w:t>2</w:t>
      </w:r>
      <w:r w:rsidRPr="00625CFC">
        <w:t>0</w:t>
      </w:r>
      <w:r w:rsidRPr="00625CFC">
        <w:t>2</w:t>
      </w:r>
      <w:r w:rsidRPr="00625CFC">
        <w:t>0</w:t>
      </w:r>
      <w:r w:rsidRPr="00625CFC">
        <w:t>年</w:t>
      </w:r>
      <w:r w:rsidRPr="00625CFC">
        <w:t>11</w:t>
      </w:r>
      <w:r w:rsidRPr="00625CFC">
        <w:t>月</w:t>
      </w:r>
      <w:r w:rsidRPr="00625CFC">
        <w:t>2</w:t>
      </w:r>
      <w:r w:rsidRPr="00625CFC">
        <w:t>0</w:t>
      </w:r>
      <w:r w:rsidRPr="00625CFC">
        <w:t>日，与联合国儿童基金会</w:t>
      </w:r>
      <w:r w:rsidRPr="00625CFC">
        <w:t>(</w:t>
      </w:r>
      <w:r w:rsidRPr="00625CFC">
        <w:t>儿基会</w:t>
      </w:r>
      <w:r w:rsidRPr="00625CFC">
        <w:t>)</w:t>
      </w:r>
      <w:r w:rsidRPr="00625CFC">
        <w:t>合作推出</w:t>
      </w:r>
      <w:r w:rsidRPr="00625CFC">
        <w:rPr>
          <w:rFonts w:hint="eastAsia"/>
        </w:rPr>
        <w:t>“</w:t>
      </w:r>
      <w:r w:rsidRPr="00625CFC">
        <w:t>超级儿童</w:t>
      </w:r>
      <w:r w:rsidRPr="00625CFC">
        <w:rPr>
          <w:rFonts w:hint="eastAsia"/>
        </w:rPr>
        <w:t>”</w:t>
      </w:r>
      <w:r w:rsidRPr="00625CFC">
        <w:t>(</w:t>
      </w:r>
      <w:proofErr w:type="spellStart"/>
      <w:r w:rsidRPr="00625CFC">
        <w:t>Supermwana</w:t>
      </w:r>
      <w:proofErr w:type="spellEnd"/>
      <w:r w:rsidRPr="00625CFC">
        <w:t>)</w:t>
      </w:r>
      <w:r w:rsidRPr="00625CFC">
        <w:t>呼叫中心，这是为遭受各种形式暴力侵害的儿童受害者提供的免费求助热线；</w:t>
      </w:r>
    </w:p>
    <w:p w14:paraId="68A213B6" w14:textId="259A47E6" w:rsidR="00D022DE" w:rsidRPr="00625CFC" w:rsidRDefault="00D022DE" w:rsidP="00625CFC">
      <w:pPr>
        <w:pStyle w:val="SingleTxtGC"/>
      </w:pPr>
      <w:r w:rsidRPr="00625CFC">
        <w:tab/>
        <w:t>(</w:t>
      </w:r>
      <w:r w:rsidRPr="00625CFC">
        <w:t>d</w:t>
      </w:r>
      <w:r w:rsidRPr="00625CFC">
        <w:t>)</w:t>
      </w:r>
      <w:r w:rsidRPr="00625CFC">
        <w:tab/>
      </w:r>
      <w:r w:rsidRPr="00625CFC">
        <w:t>2</w:t>
      </w:r>
      <w:r w:rsidRPr="00625CFC">
        <w:t>0</w:t>
      </w:r>
      <w:r w:rsidRPr="00625CFC">
        <w:t>19</w:t>
      </w:r>
      <w:r w:rsidRPr="00625CFC">
        <w:t>年</w:t>
      </w:r>
      <w:r w:rsidRPr="00625CFC">
        <w:t>11</w:t>
      </w:r>
      <w:r w:rsidRPr="00625CFC">
        <w:t>月</w:t>
      </w:r>
      <w:r w:rsidRPr="00625CFC">
        <w:t>6</w:t>
      </w:r>
      <w:r w:rsidRPr="00625CFC">
        <w:t>日第</w:t>
      </w:r>
      <w:r w:rsidRPr="00625CFC">
        <w:t>0</w:t>
      </w:r>
      <w:r w:rsidRPr="00625CFC">
        <w:t>48</w:t>
      </w:r>
      <w:r w:rsidRPr="00625CFC">
        <w:t>0/</w:t>
      </w:r>
      <w:r w:rsidRPr="00625CFC">
        <w:t>PM</w:t>
      </w:r>
      <w:r w:rsidRPr="00625CFC">
        <w:t>/</w:t>
      </w:r>
      <w:proofErr w:type="spellStart"/>
      <w:r w:rsidRPr="00625CFC">
        <w:t>MIJGS</w:t>
      </w:r>
      <w:proofErr w:type="spellEnd"/>
      <w:r w:rsidRPr="00625CFC">
        <w:t>号法令获得通过，该法令涉及建立、组织和运作一个机制，该机制兼具预防、预警、快速干预和监督职能，用于打击中小学、高等院校及职业培训中心内暴力侵害儿童的行为。</w:t>
      </w:r>
    </w:p>
    <w:p w14:paraId="2CDB1E2F" w14:textId="23A71A79" w:rsidR="00D022DE" w:rsidRPr="00625CFC" w:rsidRDefault="00D022DE" w:rsidP="0087077E">
      <w:pPr>
        <w:pStyle w:val="H1GC"/>
      </w:pPr>
      <w:r w:rsidRPr="00625CFC">
        <w:tab/>
      </w:r>
      <w:r w:rsidRPr="00625CFC">
        <w:t>C</w:t>
      </w:r>
      <w:r w:rsidRPr="00625CFC">
        <w:t>.</w:t>
      </w:r>
      <w:r w:rsidRPr="00625CFC">
        <w:tab/>
      </w:r>
      <w:r w:rsidRPr="00625CFC">
        <w:t>关注的主要问题及建议</w:t>
      </w:r>
      <w:bookmarkStart w:id="1" w:name="_Hlk151201857"/>
    </w:p>
    <w:bookmarkEnd w:id="1"/>
    <w:p w14:paraId="6D21CE95" w14:textId="77777777" w:rsidR="00D022DE" w:rsidRPr="00625CFC" w:rsidRDefault="00D022DE" w:rsidP="0087077E">
      <w:pPr>
        <w:pStyle w:val="H23GC"/>
      </w:pPr>
      <w:r w:rsidRPr="00625CFC">
        <w:tab/>
      </w:r>
      <w:r w:rsidRPr="00625CFC">
        <w:tab/>
      </w:r>
      <w:r w:rsidRPr="00625CFC">
        <w:t>上</w:t>
      </w:r>
      <w:proofErr w:type="gramStart"/>
      <w:r w:rsidRPr="00625CFC">
        <w:t>一报告</w:t>
      </w:r>
      <w:proofErr w:type="gramEnd"/>
      <w:r w:rsidRPr="00625CFC">
        <w:t>周期遗留的后续行动问题</w:t>
      </w:r>
    </w:p>
    <w:p w14:paraId="44FF1E58" w14:textId="7D04F9A3" w:rsidR="00D022DE" w:rsidRPr="00625CFC" w:rsidRDefault="00D022DE" w:rsidP="00625CFC">
      <w:pPr>
        <w:pStyle w:val="SingleTxtGC"/>
      </w:pPr>
      <w:r w:rsidRPr="00625CFC">
        <w:t>7</w:t>
      </w:r>
      <w:r w:rsidRPr="00625CFC">
        <w:t>.</w:t>
      </w:r>
      <w:r w:rsidRPr="00625CFC">
        <w:tab/>
      </w:r>
      <w:r w:rsidRPr="00625CFC">
        <w:t>委员会在先前的结论性意见中请缔约国提供资料，说明其针对委员会各项建议采取的后续行动情况，相关建议涉及酷刑入刑、被警方拘留者享有的基本保障、监狱关押条件以及对酷刑和虐待行为实施者的起诉与惩处。</w:t>
      </w:r>
      <w:r w:rsidRPr="00625CFC">
        <w:rPr>
          <w:vertAlign w:val="superscript"/>
        </w:rPr>
        <w:footnoteReference w:id="5"/>
      </w:r>
      <w:r w:rsidR="00DE2F57">
        <w:rPr>
          <w:rFonts w:hint="eastAsia"/>
        </w:rPr>
        <w:t xml:space="preserve"> </w:t>
      </w:r>
      <w:r w:rsidRPr="00625CFC">
        <w:t>注意到委员会结论性意见后续行动报告员</w:t>
      </w:r>
      <w:r w:rsidRPr="00625CFC">
        <w:t>2</w:t>
      </w:r>
      <w:r w:rsidRPr="00625CFC">
        <w:t>0</w:t>
      </w:r>
      <w:r w:rsidRPr="00625CFC">
        <w:t>13</w:t>
      </w:r>
      <w:r w:rsidRPr="00625CFC">
        <w:t>年</w:t>
      </w:r>
      <w:r w:rsidRPr="00625CFC">
        <w:t>11</w:t>
      </w:r>
      <w:r w:rsidRPr="00625CFC">
        <w:t>月</w:t>
      </w:r>
      <w:r w:rsidRPr="00625CFC">
        <w:t>25</w:t>
      </w:r>
      <w:r w:rsidRPr="00625CFC">
        <w:t>日的提醒，</w:t>
      </w:r>
      <w:r w:rsidRPr="00625CFC">
        <w:rPr>
          <w:vertAlign w:val="superscript"/>
        </w:rPr>
        <w:footnoteReference w:id="6"/>
      </w:r>
      <w:r w:rsidR="00DE2F57">
        <w:rPr>
          <w:rFonts w:hint="eastAsia"/>
        </w:rPr>
        <w:t xml:space="preserve"> </w:t>
      </w:r>
      <w:r w:rsidRPr="00625CFC">
        <w:t>委员会对缔约国没有提供这一信息感到遗憾。关于缔约国第二次定期报告中提供的信息，委员会认为其</w:t>
      </w:r>
      <w:r w:rsidRPr="00625CFC">
        <w:lastRenderedPageBreak/>
        <w:t>先前结论性意见第</w:t>
      </w:r>
      <w:r w:rsidRPr="00625CFC">
        <w:t>1</w:t>
      </w:r>
      <w:r w:rsidRPr="00625CFC">
        <w:t>0</w:t>
      </w:r>
      <w:r w:rsidRPr="00625CFC">
        <w:t>段、第</w:t>
      </w:r>
      <w:r w:rsidRPr="00625CFC">
        <w:t>17</w:t>
      </w:r>
      <w:r w:rsidRPr="00625CFC">
        <w:t>(</w:t>
      </w:r>
      <w:r w:rsidRPr="00625CFC">
        <w:t>a</w:t>
      </w:r>
      <w:r w:rsidRPr="00625CFC">
        <w:t>)</w:t>
      </w:r>
      <w:r w:rsidRPr="00625CFC">
        <w:t>段和第</w:t>
      </w:r>
      <w:r w:rsidRPr="00625CFC">
        <w:t>22</w:t>
      </w:r>
      <w:r w:rsidRPr="00625CFC">
        <w:t>段所载建议尚未得到执行。本文件第</w:t>
      </w:r>
      <w:r w:rsidRPr="00625CFC">
        <w:t>15</w:t>
      </w:r>
      <w:r w:rsidRPr="00625CFC">
        <w:t>(</w:t>
      </w:r>
      <w:r w:rsidRPr="00625CFC">
        <w:t>a</w:t>
      </w:r>
      <w:r w:rsidRPr="00625CFC">
        <w:t>)</w:t>
      </w:r>
      <w:r w:rsidRPr="00625CFC">
        <w:t>段</w:t>
      </w:r>
      <w:r w:rsidRPr="00625CFC">
        <w:t>(</w:t>
      </w:r>
      <w:r w:rsidRPr="00625CFC">
        <w:t>基本法律保障</w:t>
      </w:r>
      <w:r w:rsidRPr="00625CFC">
        <w:t>)</w:t>
      </w:r>
      <w:r w:rsidRPr="00625CFC">
        <w:t>、第</w:t>
      </w:r>
      <w:r w:rsidRPr="00625CFC">
        <w:t>21</w:t>
      </w:r>
      <w:r w:rsidRPr="00625CFC">
        <w:t>(</w:t>
      </w:r>
      <w:r w:rsidRPr="00625CFC">
        <w:t>a</w:t>
      </w:r>
      <w:r w:rsidRPr="00625CFC">
        <w:t>)</w:t>
      </w:r>
      <w:r w:rsidRPr="00625CFC">
        <w:t>段</w:t>
      </w:r>
      <w:r w:rsidRPr="00625CFC">
        <w:t>(</w:t>
      </w:r>
      <w:r w:rsidRPr="00625CFC">
        <w:t>拘留条件</w:t>
      </w:r>
      <w:r w:rsidRPr="00625CFC">
        <w:t>)</w:t>
      </w:r>
      <w:r w:rsidRPr="00625CFC">
        <w:t>以及第</w:t>
      </w:r>
      <w:r w:rsidRPr="00625CFC">
        <w:t>25</w:t>
      </w:r>
      <w:r w:rsidRPr="00625CFC">
        <w:t>(</w:t>
      </w:r>
      <w:r w:rsidRPr="00625CFC">
        <w:t>a</w:t>
      </w:r>
      <w:r w:rsidRPr="00625CFC">
        <w:t>)</w:t>
      </w:r>
      <w:r w:rsidRPr="00625CFC">
        <w:t>段和第</w:t>
      </w:r>
      <w:r w:rsidRPr="00625CFC">
        <w:t>25</w:t>
      </w:r>
      <w:r w:rsidRPr="00625CFC">
        <w:t>(</w:t>
      </w:r>
      <w:r w:rsidRPr="00625CFC">
        <w:t>d</w:t>
      </w:r>
      <w:r w:rsidRPr="00625CFC">
        <w:t>)</w:t>
      </w:r>
      <w:r w:rsidRPr="00625CFC">
        <w:t>段</w:t>
      </w:r>
      <w:r w:rsidRPr="00625CFC">
        <w:t>(</w:t>
      </w:r>
      <w:r w:rsidRPr="00625CFC">
        <w:t>酷刑指控和打击有罪不罚现象</w:t>
      </w:r>
      <w:r w:rsidRPr="00625CFC">
        <w:t>)</w:t>
      </w:r>
      <w:r w:rsidRPr="00625CFC">
        <w:t>涵盖了这些问题。</w:t>
      </w:r>
    </w:p>
    <w:p w14:paraId="0A3BE552" w14:textId="77777777" w:rsidR="00D022DE" w:rsidRPr="00625CFC" w:rsidRDefault="00D022DE" w:rsidP="0087077E">
      <w:pPr>
        <w:pStyle w:val="H23GC"/>
      </w:pPr>
      <w:r w:rsidRPr="00625CFC">
        <w:tab/>
      </w:r>
      <w:r w:rsidRPr="00625CFC">
        <w:tab/>
      </w:r>
      <w:r w:rsidRPr="00625CFC">
        <w:t>酷刑定义和刑罪化</w:t>
      </w:r>
    </w:p>
    <w:p w14:paraId="36D93BFA" w14:textId="3B32F2BD" w:rsidR="00D022DE" w:rsidRPr="00625CFC" w:rsidRDefault="00D022DE" w:rsidP="00625CFC">
      <w:pPr>
        <w:pStyle w:val="SingleTxtGC"/>
      </w:pPr>
      <w:r w:rsidRPr="00625CFC">
        <w:t>8</w:t>
      </w:r>
      <w:r w:rsidRPr="00625CFC">
        <w:t>.</w:t>
      </w:r>
      <w:r w:rsidRPr="00625CFC">
        <w:tab/>
      </w:r>
      <w:r w:rsidRPr="00625CFC">
        <w:t>委员会注意到，</w:t>
      </w:r>
      <w:r w:rsidRPr="00625CFC">
        <w:t>2</w:t>
      </w:r>
      <w:r w:rsidRPr="00625CFC">
        <w:t>0</w:t>
      </w:r>
      <w:r w:rsidRPr="00625CFC">
        <w:t>24</w:t>
      </w:r>
      <w:r w:rsidRPr="00625CFC">
        <w:t>年</w:t>
      </w:r>
      <w:r w:rsidRPr="00625CFC">
        <w:t>9</w:t>
      </w:r>
      <w:r w:rsidRPr="00625CFC">
        <w:t>月</w:t>
      </w:r>
      <w:r w:rsidRPr="00625CFC">
        <w:t>19</w:t>
      </w:r>
      <w:r w:rsidRPr="00625CFC">
        <w:t>日第</w:t>
      </w:r>
      <w:r w:rsidRPr="00625CFC">
        <w:t>00</w:t>
      </w:r>
      <w:r w:rsidRPr="00625CFC">
        <w:t>2</w:t>
      </w:r>
      <w:r w:rsidRPr="00625CFC">
        <w:t>-</w:t>
      </w:r>
      <w:r w:rsidRPr="00625CFC">
        <w:t>R</w:t>
      </w:r>
      <w:r w:rsidRPr="00625CFC">
        <w:t>/</w:t>
      </w:r>
      <w:r w:rsidRPr="00625CFC">
        <w:t>2</w:t>
      </w:r>
      <w:r w:rsidRPr="00625CFC">
        <w:t>0</w:t>
      </w:r>
      <w:r w:rsidRPr="00625CFC">
        <w:t>24</w:t>
      </w:r>
      <w:r w:rsidRPr="00625CFC">
        <w:t>号全民公投法《宪法》第</w:t>
      </w:r>
      <w:r w:rsidRPr="00625CFC">
        <w:t>11</w:t>
      </w:r>
      <w:r w:rsidRPr="00625CFC">
        <w:t>条规定绝对禁止酷刑和残忍、不人道或有辱人格的待遇。然而，委员会感到遗憾的是，现行《刑法典》第</w:t>
      </w:r>
      <w:r w:rsidRPr="00625CFC">
        <w:t>224</w:t>
      </w:r>
      <w:r w:rsidRPr="00625CFC">
        <w:t>条规定的酷刑定义并不完全符合《禁止酷刑公约》第</w:t>
      </w:r>
      <w:r w:rsidRPr="00625CFC">
        <w:t>1</w:t>
      </w:r>
      <w:r w:rsidRPr="00625CFC">
        <w:t>条，该条款既未涵盖公约列明的全部酷刑目的，也未明确规定其适用于公职人员或经公职人员唆使、同意或默许而实施酷刑的其他任何人。委员会还关切地注意到，没有具体条款规定，任何特殊情况均不得作为实施酷刑的正当理由。委员会还感到遗憾的是，该法律没有明确规定故意不作为也可能导致酷刑。委员会还感到关切的是，根据其所掌握的信息，可能构成酷刑的行为经常按普通法罪名来起诉，例如殴打、严重伤害或滥用职权。这往往导致判决与行为的严重程度不相称。最后，委员会感到关切的是，酷刑并未被列入《刑事诉讼法》第</w:t>
      </w:r>
      <w:r w:rsidRPr="00625CFC">
        <w:t>8</w:t>
      </w:r>
      <w:r w:rsidRPr="00625CFC">
        <w:t>条规定的不受诉讼时效限制的罪行中，除非酷刑构成《刑法典》第</w:t>
      </w:r>
      <w:r w:rsidRPr="00625CFC">
        <w:t>227</w:t>
      </w:r>
      <w:r w:rsidRPr="00625CFC">
        <w:t>条定义的危害人类罪，该条仅适用于作为协同计划一部分而实施的行为</w:t>
      </w:r>
      <w:r w:rsidRPr="00625CFC">
        <w:t>(</w:t>
      </w:r>
      <w:r w:rsidRPr="00625CFC">
        <w:t>第</w:t>
      </w:r>
      <w:r w:rsidRPr="00625CFC">
        <w:t>1</w:t>
      </w:r>
      <w:r w:rsidRPr="00625CFC">
        <w:t>、第</w:t>
      </w:r>
      <w:r w:rsidRPr="00625CFC">
        <w:t>2</w:t>
      </w:r>
      <w:r w:rsidRPr="00625CFC">
        <w:t>和第</w:t>
      </w:r>
      <w:r w:rsidRPr="00625CFC">
        <w:t>4</w:t>
      </w:r>
      <w:r w:rsidRPr="00625CFC">
        <w:t>条</w:t>
      </w:r>
      <w:r w:rsidRPr="00625CFC">
        <w:t>)</w:t>
      </w:r>
      <w:r w:rsidRPr="00625CFC">
        <w:t>。</w:t>
      </w:r>
    </w:p>
    <w:p w14:paraId="46DEC0B5" w14:textId="399211D5" w:rsidR="00D022DE" w:rsidRPr="00E7708F" w:rsidRDefault="00D022DE" w:rsidP="00625CFC">
      <w:pPr>
        <w:pStyle w:val="SingleTxtGC"/>
        <w:rPr>
          <w:rFonts w:ascii="Time New Roman" w:eastAsia="黑体" w:hAnsi="Time New Roman"/>
        </w:rPr>
      </w:pPr>
      <w:r w:rsidRPr="00E7708F">
        <w:rPr>
          <w:rFonts w:ascii="Time New Roman" w:eastAsia="黑体" w:hAnsi="Time New Roman"/>
        </w:rPr>
        <w:t>9</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缔约国应修改《刑法典》第</w:t>
      </w:r>
      <w:r w:rsidRPr="00E7708F">
        <w:rPr>
          <w:rFonts w:ascii="Time New Roman" w:eastAsia="黑体" w:hAnsi="Time New Roman"/>
        </w:rPr>
        <w:t>224</w:t>
      </w:r>
      <w:r w:rsidRPr="00E7708F">
        <w:rPr>
          <w:rFonts w:ascii="Time New Roman" w:eastAsia="黑体" w:hAnsi="Time New Roman"/>
        </w:rPr>
        <w:t>条，纳入涵盖《公约》第</w:t>
      </w:r>
      <w:r w:rsidRPr="00E7708F">
        <w:rPr>
          <w:rFonts w:ascii="Time New Roman" w:eastAsia="黑体" w:hAnsi="Time New Roman"/>
        </w:rPr>
        <w:t>1</w:t>
      </w:r>
      <w:r w:rsidRPr="00E7708F">
        <w:rPr>
          <w:rFonts w:ascii="Time New Roman" w:eastAsia="黑体" w:hAnsi="Time New Roman"/>
        </w:rPr>
        <w:t>条所载全部要素的酷刑定义。缔约国应通过必要的立法修正案，明文规定任何特殊情形均不得为酷刑开脱罪责；同时通过修正案，明确故意不作为亦可构成酷刑。缔约国还应确保，凡可能构成酷刑的行为均以酷刑罪起诉，以根据《公约》第</w:t>
      </w:r>
      <w:r w:rsidRPr="00E7708F">
        <w:rPr>
          <w:rFonts w:ascii="Time New Roman" w:eastAsia="黑体" w:hAnsi="Time New Roman"/>
        </w:rPr>
        <w:t>4</w:t>
      </w:r>
      <w:r w:rsidRPr="00E7708F">
        <w:rPr>
          <w:rFonts w:ascii="Time New Roman" w:eastAsia="黑体" w:hAnsi="Time New Roman"/>
        </w:rPr>
        <w:t>条第</w:t>
      </w:r>
      <w:r w:rsidRPr="00E7708F">
        <w:rPr>
          <w:rFonts w:ascii="Time New Roman" w:eastAsia="黑体" w:hAnsi="Time New Roman"/>
        </w:rPr>
        <w:t>2</w:t>
      </w:r>
      <w:r w:rsidRPr="00E7708F">
        <w:rPr>
          <w:rFonts w:ascii="Time New Roman" w:eastAsia="黑体" w:hAnsi="Time New Roman"/>
        </w:rPr>
        <w:t>款的规定，对这一罪行处以与其严重程度相称的处罚。缔约国还应确保酷刑罪不受诉讼时效限制，包括那些不被视为危害人类罪的情况，以此防止任何有罪不罚的风险，确保酷刑行为受到调查，对犯罪者提起诉讼并予以惩罚。最后，缔约国应修改《刑法典》第</w:t>
      </w:r>
      <w:r w:rsidRPr="00E7708F">
        <w:rPr>
          <w:rFonts w:ascii="Time New Roman" w:eastAsia="黑体" w:hAnsi="Time New Roman"/>
        </w:rPr>
        <w:t>227</w:t>
      </w:r>
      <w:r w:rsidRPr="00E7708F">
        <w:rPr>
          <w:rFonts w:ascii="Time New Roman" w:eastAsia="黑体" w:hAnsi="Time New Roman"/>
        </w:rPr>
        <w:t>条，以确保酷刑不仅在涉及协同计划的情况下才被列为危害人类罪。</w:t>
      </w:r>
    </w:p>
    <w:p w14:paraId="6A93C641" w14:textId="77777777" w:rsidR="00D022DE" w:rsidRPr="00625CFC" w:rsidRDefault="00D022DE" w:rsidP="0087077E">
      <w:pPr>
        <w:pStyle w:val="H23GC"/>
      </w:pPr>
      <w:r w:rsidRPr="00625CFC">
        <w:tab/>
      </w:r>
      <w:r w:rsidRPr="00625CFC">
        <w:tab/>
      </w:r>
      <w:r w:rsidRPr="00625CFC">
        <w:t>指挥责任</w:t>
      </w:r>
    </w:p>
    <w:p w14:paraId="42299809" w14:textId="404D9F37" w:rsidR="00D022DE" w:rsidRPr="00625CFC" w:rsidRDefault="00D022DE" w:rsidP="00625CFC">
      <w:pPr>
        <w:pStyle w:val="SingleTxtGC"/>
      </w:pPr>
      <w:r w:rsidRPr="00625CFC">
        <w:t>1</w:t>
      </w:r>
      <w:r w:rsidRPr="00625CFC">
        <w:t>0.</w:t>
      </w:r>
      <w:r w:rsidRPr="00625CFC">
        <w:tab/>
      </w:r>
      <w:r w:rsidRPr="00625CFC">
        <w:t>委员会感到关切的是，缔约国的法律中没有规定，在任何情况下均不得以上级官员或公共当局的命令作为实施酷刑的辩护理由。在这方面，委员会注意到，</w:t>
      </w:r>
      <w:r w:rsidRPr="00DE2F57">
        <w:rPr>
          <w:spacing w:val="-2"/>
        </w:rPr>
        <w:t>缔约国的报告还表明，按照目前的国内法，下属很难逃避执行上级命令的义务。</w:t>
      </w:r>
      <w:r w:rsidRPr="00DE2F57">
        <w:rPr>
          <w:spacing w:val="-2"/>
          <w:vertAlign w:val="superscript"/>
        </w:rPr>
        <w:footnoteReference w:id="7"/>
      </w:r>
      <w:r w:rsidR="00DE2F57">
        <w:rPr>
          <w:rFonts w:hint="eastAsia"/>
        </w:rPr>
        <w:t xml:space="preserve"> </w:t>
      </w:r>
      <w:r w:rsidRPr="00625CFC">
        <w:t>委员会还遗憾地指出，国家法律没有明确承认指挥责任或上级责任原则，根据该原则，上级官员应对其下属犯下的酷刑和虐待行为负责。委员会注意到缔约国的报告提到了一项法律草案，规定了上级官员的刑事责任，但委员会注意到，该法律草案</w:t>
      </w:r>
      <w:proofErr w:type="gramStart"/>
      <w:r w:rsidRPr="00625CFC">
        <w:t>不</w:t>
      </w:r>
      <w:proofErr w:type="gramEnd"/>
      <w:r w:rsidRPr="00625CFC">
        <w:t>涵盖下属可能实施的酷刑或虐待行为的责任</w:t>
      </w:r>
      <w:r w:rsidRPr="00625CFC">
        <w:t>(</w:t>
      </w:r>
      <w:r w:rsidRPr="00625CFC">
        <w:t>第</w:t>
      </w:r>
      <w:r w:rsidRPr="00625CFC">
        <w:t>2</w:t>
      </w:r>
      <w:r w:rsidRPr="00625CFC">
        <w:t>条第</w:t>
      </w:r>
      <w:r w:rsidRPr="00625CFC">
        <w:t>3</w:t>
      </w:r>
      <w:r w:rsidRPr="00625CFC">
        <w:t>款和第</w:t>
      </w:r>
      <w:r w:rsidRPr="00625CFC">
        <w:t>4</w:t>
      </w:r>
      <w:r w:rsidRPr="00625CFC">
        <w:t>条</w:t>
      </w:r>
      <w:r w:rsidRPr="00625CFC">
        <w:t>)</w:t>
      </w:r>
      <w:r w:rsidRPr="00625CFC">
        <w:t>。</w:t>
      </w:r>
    </w:p>
    <w:p w14:paraId="50BA64BD" w14:textId="53E32C54" w:rsidR="00D022DE" w:rsidRPr="00E7708F" w:rsidRDefault="00D022DE" w:rsidP="00625CFC">
      <w:pPr>
        <w:pStyle w:val="SingleTxtGC"/>
        <w:rPr>
          <w:rFonts w:ascii="Time New Roman" w:eastAsia="黑体" w:hAnsi="Time New Roman"/>
        </w:rPr>
      </w:pPr>
      <w:r w:rsidRPr="00E7708F">
        <w:rPr>
          <w:rFonts w:ascii="Time New Roman" w:eastAsia="黑体" w:hAnsi="Time New Roman"/>
        </w:rPr>
        <w:t>11</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修订《刑法典》，以确保在任何情况下均不得以上级官员或公共当局的命令作为实施酷刑的辩护理由；设立保护机制，以保护拒绝服从此类命令的下属；并确保所有执法人员均知悉禁止服从非法命令的规定，并了解现有的保护机制。缔约国还应将指挥责任或上级责任原则纳入关于酷刑及其他虐待罪的规定，根据该原则，如果上级官员知道或理应知道其下属正在实施或有可能实施此</w:t>
      </w:r>
      <w:r w:rsidRPr="00E7708F">
        <w:rPr>
          <w:rFonts w:ascii="Time New Roman" w:eastAsia="黑体" w:hAnsi="Time New Roman"/>
        </w:rPr>
        <w:lastRenderedPageBreak/>
        <w:t>类行为，却未能采取合理和必要的预防措施，或未能将案件移交主管当局进行调查和起诉，则应对其下属的行为承担刑事责任。</w:t>
      </w:r>
    </w:p>
    <w:p w14:paraId="19B78DD7" w14:textId="77777777" w:rsidR="00D022DE" w:rsidRPr="00625CFC" w:rsidRDefault="00D022DE" w:rsidP="0087077E">
      <w:pPr>
        <w:pStyle w:val="H23GC"/>
      </w:pPr>
      <w:r w:rsidRPr="00625CFC">
        <w:tab/>
      </w:r>
      <w:r w:rsidRPr="00625CFC">
        <w:tab/>
      </w:r>
      <w:r w:rsidRPr="00625CFC">
        <w:t>国内法院直接适用《公约》</w:t>
      </w:r>
    </w:p>
    <w:p w14:paraId="31C92927" w14:textId="24F9405F" w:rsidR="00D022DE" w:rsidRPr="00625CFC" w:rsidRDefault="00D022DE" w:rsidP="00625CFC">
      <w:pPr>
        <w:pStyle w:val="SingleTxtGC"/>
      </w:pPr>
      <w:r w:rsidRPr="00625CFC">
        <w:t>12</w:t>
      </w:r>
      <w:r w:rsidRPr="00625CFC">
        <w:t>.</w:t>
      </w:r>
      <w:r w:rsidRPr="00625CFC">
        <w:tab/>
      </w:r>
      <w:r w:rsidRPr="00625CFC">
        <w:t>委员会注意到缔约国报告所载信息，即法院可直接适用《公约》，但委员会感到遗憾的是，报告指出，几乎没有直接援引《公约》的案例</w:t>
      </w:r>
      <w:r w:rsidRPr="00625CFC">
        <w:t>(</w:t>
      </w:r>
      <w:r w:rsidRPr="00625CFC">
        <w:t>第</w:t>
      </w:r>
      <w:r w:rsidRPr="00625CFC">
        <w:t>2</w:t>
      </w:r>
      <w:r w:rsidRPr="00625CFC">
        <w:t>条</w:t>
      </w:r>
      <w:r w:rsidRPr="00625CFC">
        <w:t>)</w:t>
      </w:r>
      <w:r w:rsidRPr="00625CFC">
        <w:t>。</w:t>
      </w:r>
      <w:r w:rsidRPr="00625CFC">
        <w:rPr>
          <w:vertAlign w:val="superscript"/>
        </w:rPr>
        <w:footnoteReference w:id="8"/>
      </w:r>
    </w:p>
    <w:p w14:paraId="0D3C91EA" w14:textId="4148B95F" w:rsidR="00D022DE" w:rsidRPr="00E7708F" w:rsidRDefault="00D022DE" w:rsidP="00625CFC">
      <w:pPr>
        <w:pStyle w:val="SingleTxtGC"/>
        <w:rPr>
          <w:rFonts w:ascii="Time New Roman" w:eastAsia="黑体" w:hAnsi="Time New Roman"/>
        </w:rPr>
      </w:pPr>
      <w:r w:rsidRPr="00E7708F">
        <w:rPr>
          <w:rFonts w:ascii="Time New Roman" w:eastAsia="黑体" w:hAnsi="Time New Roman"/>
        </w:rPr>
        <w:t>13</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委员会重申其建议，即缔约国应确保公职人员、法官、治安法官、检察官和律师接受涵盖《公约》各项条款的培训，以便他们能够在法庭上直接援引并主张《公约》所载权利。缔约国还应向委员会提供法院直接适用《公约》或在庭审中援引《公约》的具体、有代表性的案例。</w:t>
      </w:r>
    </w:p>
    <w:p w14:paraId="67B68231" w14:textId="77777777" w:rsidR="00D022DE" w:rsidRPr="00625CFC" w:rsidRDefault="00D022DE" w:rsidP="0087077E">
      <w:pPr>
        <w:pStyle w:val="H23GC"/>
      </w:pPr>
      <w:r w:rsidRPr="00625CFC">
        <w:tab/>
      </w:r>
      <w:r w:rsidRPr="00625CFC">
        <w:tab/>
      </w:r>
      <w:r w:rsidRPr="00625CFC">
        <w:t>基本法律保障</w:t>
      </w:r>
    </w:p>
    <w:p w14:paraId="5FAD76E1" w14:textId="3D5BD0E9" w:rsidR="00D022DE" w:rsidRPr="00625CFC" w:rsidRDefault="00D022DE" w:rsidP="00625CFC">
      <w:pPr>
        <w:pStyle w:val="SingleTxtGC"/>
      </w:pPr>
      <w:r w:rsidRPr="00625CFC">
        <w:t>14</w:t>
      </w:r>
      <w:r w:rsidRPr="00625CFC">
        <w:t>.</w:t>
      </w:r>
      <w:r w:rsidRPr="00625CFC">
        <w:tab/>
      </w:r>
      <w:r w:rsidRPr="00625CFC">
        <w:t>委员会注意到《宪法》</w:t>
      </w:r>
      <w:r w:rsidR="00AD1985">
        <w:rPr>
          <w:rFonts w:hint="eastAsia"/>
        </w:rPr>
        <w:t>、</w:t>
      </w:r>
      <w:r w:rsidRPr="00625CFC">
        <w:t>《刑法典》及《刑事诉讼法》中规定了防范酷刑和虐待的保障措施，但委员会感到关切的是，有报告显示，实践中基本法律保障措施往往落实有限、执行标准不一，在首都以外地区以及在剥夺自由的最初数小时内问题尤为突出。在这方面，委员会关切地注意到：</w:t>
      </w:r>
      <w:r w:rsidRPr="00625CFC">
        <w:t>(</w:t>
      </w:r>
      <w:r w:rsidRPr="00625CFC">
        <w:t>a</w:t>
      </w:r>
      <w:r w:rsidRPr="00625CFC">
        <w:t>)</w:t>
      </w:r>
      <w:r w:rsidR="00124279">
        <w:rPr>
          <w:rFonts w:hint="eastAsia"/>
        </w:rPr>
        <w:t xml:space="preserve"> </w:t>
      </w:r>
      <w:r w:rsidRPr="00625CFC">
        <w:t>被警方拘留者被告知逮捕理由、所受指控及自身各项权利的权利时常得不到保障；</w:t>
      </w:r>
      <w:r w:rsidRPr="00625CFC">
        <w:t>(</w:t>
      </w:r>
      <w:r w:rsidRPr="00625CFC">
        <w:t>b</w:t>
      </w:r>
      <w:r w:rsidRPr="00625CFC">
        <w:t>)</w:t>
      </w:r>
      <w:r w:rsidR="00124279">
        <w:rPr>
          <w:rFonts w:hint="eastAsia"/>
        </w:rPr>
        <w:t xml:space="preserve"> </w:t>
      </w:r>
      <w:r w:rsidRPr="00625CFC">
        <w:t>获得律师协助的权利并</w:t>
      </w:r>
      <w:proofErr w:type="gramStart"/>
      <w:r w:rsidRPr="00625CFC">
        <w:t>未总是</w:t>
      </w:r>
      <w:proofErr w:type="gramEnd"/>
      <w:r w:rsidRPr="00625CFC">
        <w:t>得到尊重，且法律未规定自被捕时起或审讯期间即可享有此项权利，但涉及触法未成年人的诉讼程序除外；</w:t>
      </w:r>
      <w:r w:rsidRPr="00625CFC">
        <w:t>(</w:t>
      </w:r>
      <w:r w:rsidRPr="00625CFC">
        <w:t>c</w:t>
      </w:r>
      <w:r w:rsidRPr="00625CFC">
        <w:t>)</w:t>
      </w:r>
      <w:r w:rsidR="00124279">
        <w:rPr>
          <w:rFonts w:hint="eastAsia"/>
        </w:rPr>
        <w:t xml:space="preserve"> </w:t>
      </w:r>
      <w:r w:rsidRPr="00625CFC">
        <w:t>只有在被警察拘留者、其律师或其家人的主动要求下才进行体检，这就导致很难迅速发现酷刑或虐待的痕迹；</w:t>
      </w:r>
      <w:r w:rsidRPr="00625CFC">
        <w:t>(</w:t>
      </w:r>
      <w:r w:rsidRPr="00625CFC">
        <w:t>d</w:t>
      </w:r>
      <w:r w:rsidRPr="00625CFC">
        <w:t>)</w:t>
      </w:r>
      <w:r w:rsidR="00124279">
        <w:rPr>
          <w:rFonts w:hint="eastAsia"/>
        </w:rPr>
        <w:t xml:space="preserve"> </w:t>
      </w:r>
      <w:r w:rsidRPr="00625CFC">
        <w:t>通知亲属或自己选择的人员的权利行使常常被拖延；及</w:t>
      </w:r>
      <w:r w:rsidRPr="00625CFC">
        <w:t>(</w:t>
      </w:r>
      <w:r w:rsidRPr="00625CFC">
        <w:t>e</w:t>
      </w:r>
      <w:r w:rsidRPr="00625CFC">
        <w:t>)</w:t>
      </w:r>
      <w:r w:rsidR="00124279">
        <w:rPr>
          <w:rFonts w:hint="eastAsia"/>
        </w:rPr>
        <w:t xml:space="preserve"> </w:t>
      </w:r>
      <w:r w:rsidRPr="00625CFC">
        <w:t>警方拘留时间非正式地延长至超过法定的</w:t>
      </w:r>
      <w:r w:rsidRPr="00625CFC">
        <w:t>48</w:t>
      </w:r>
      <w:r w:rsidRPr="00625CFC">
        <w:t>小时期限。委员会注意到缔约国代表团提供的信息，即目前正在进行两项关于提供审讯音视频记录的试点项目，但委员会遗憾地指出，审讯录音录像并非强制性要求</w:t>
      </w:r>
      <w:r w:rsidRPr="00625CFC">
        <w:t>(</w:t>
      </w:r>
      <w:r w:rsidRPr="00625CFC">
        <w:t>第</w:t>
      </w:r>
      <w:r w:rsidRPr="00625CFC">
        <w:t>2</w:t>
      </w:r>
      <w:r w:rsidRPr="00625CFC">
        <w:t>条</w:t>
      </w:r>
      <w:r w:rsidRPr="00625CFC">
        <w:t>)</w:t>
      </w:r>
      <w:r w:rsidRPr="00625CFC">
        <w:t>。</w:t>
      </w:r>
    </w:p>
    <w:p w14:paraId="1CB670DB" w14:textId="0D063AE8" w:rsidR="00D022DE" w:rsidRPr="00E7708F" w:rsidRDefault="00D022DE" w:rsidP="00625CFC">
      <w:pPr>
        <w:pStyle w:val="SingleTxtGC"/>
        <w:rPr>
          <w:rFonts w:ascii="Time New Roman" w:eastAsia="黑体" w:hAnsi="Time New Roman"/>
        </w:rPr>
      </w:pPr>
      <w:r w:rsidRPr="00E7708F">
        <w:rPr>
          <w:rFonts w:ascii="Time New Roman" w:eastAsia="黑体" w:hAnsi="Time New Roman"/>
        </w:rPr>
        <w:t>15</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委员会建议缔约国：</w:t>
      </w:r>
    </w:p>
    <w:p w14:paraId="1E14303E" w14:textId="2CADA7E4" w:rsidR="00D022DE" w:rsidRPr="00E7708F" w:rsidRDefault="0087077E" w:rsidP="00625CFC">
      <w:pPr>
        <w:pStyle w:val="SingleTxtGC"/>
        <w:rPr>
          <w:rFonts w:ascii="Time New Roman" w:eastAsia="黑体" w:hAnsi="Time New Roman"/>
        </w:rPr>
      </w:pPr>
      <w:r w:rsidRPr="00E7708F">
        <w:rPr>
          <w:rFonts w:ascii="Time New Roman" w:eastAsia="黑体" w:hAnsi="Time New Roman"/>
        </w:rPr>
        <w:tab/>
      </w:r>
      <w:r w:rsidR="00D022DE" w:rsidRPr="00E7708F">
        <w:rPr>
          <w:rFonts w:ascii="Time New Roman" w:eastAsia="黑体" w:hAnsi="Time New Roman"/>
        </w:rPr>
        <w:t>(</w:t>
      </w:r>
      <w:r w:rsidR="00D022DE" w:rsidRPr="00E7708F">
        <w:rPr>
          <w:rFonts w:ascii="Time New Roman" w:eastAsia="黑体" w:hAnsi="Time New Roman"/>
        </w:rPr>
        <w:t>a</w:t>
      </w:r>
      <w:r w:rsidR="00D022DE" w:rsidRPr="00E7708F">
        <w:rPr>
          <w:rFonts w:ascii="Time New Roman" w:eastAsia="黑体" w:hAnsi="Time New Roman"/>
        </w:rPr>
        <w:t>)</w:t>
      </w:r>
      <w:r w:rsidR="00D022DE" w:rsidRPr="00E7708F">
        <w:rPr>
          <w:rFonts w:ascii="Time New Roman" w:eastAsia="黑体" w:hAnsi="Time New Roman"/>
        </w:rPr>
        <w:tab/>
      </w:r>
      <w:r w:rsidR="00D022DE" w:rsidRPr="00E7708F">
        <w:rPr>
          <w:rFonts w:ascii="Time New Roman" w:eastAsia="黑体" w:hAnsi="Time New Roman"/>
        </w:rPr>
        <w:t>通过必要的立法修正案，确保所有被拘留者从被剥夺自由之时起就切实享有防止酷刑的所有基本法律保障，包括以下权利：</w:t>
      </w:r>
    </w:p>
    <w:p w14:paraId="078B7439" w14:textId="77777777" w:rsidR="00D022DE" w:rsidRPr="00E7708F" w:rsidRDefault="00D022DE" w:rsidP="00F211DE">
      <w:pPr>
        <w:pStyle w:val="SingleTxtGC"/>
        <w:tabs>
          <w:tab w:val="clear" w:pos="1996"/>
          <w:tab w:val="left" w:pos="2127"/>
        </w:tabs>
        <w:ind w:left="1565"/>
        <w:rPr>
          <w:rFonts w:ascii="Time New Roman" w:eastAsia="黑体" w:hAnsi="Time New Roman"/>
        </w:rPr>
      </w:pPr>
      <w:bookmarkStart w:id="2" w:name="_Hlk172711202"/>
      <w:r w:rsidRPr="00E7708F">
        <w:rPr>
          <w:rFonts w:ascii="Time New Roman" w:eastAsia="黑体" w:hAnsi="Time New Roman"/>
        </w:rPr>
        <w:t>(</w:t>
      </w:r>
      <w:proofErr w:type="gramStart"/>
      <w:r w:rsidRPr="00E7708F">
        <w:rPr>
          <w:rFonts w:ascii="Time New Roman" w:eastAsia="黑体" w:hAnsi="Time New Roman"/>
        </w:rPr>
        <w:t>一</w:t>
      </w:r>
      <w:proofErr w:type="gramEnd"/>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立即被告知逮捕理由、所受指控及其权利；</w:t>
      </w:r>
      <w:bookmarkEnd w:id="2"/>
    </w:p>
    <w:p w14:paraId="0BF65CF1" w14:textId="77777777" w:rsidR="00D022DE" w:rsidRPr="00E7708F" w:rsidRDefault="00D022DE" w:rsidP="00F211DE">
      <w:pPr>
        <w:pStyle w:val="SingleTxtGC"/>
        <w:tabs>
          <w:tab w:val="clear" w:pos="1996"/>
          <w:tab w:val="left" w:pos="2127"/>
        </w:tabs>
        <w:ind w:left="1565"/>
        <w:rPr>
          <w:rFonts w:ascii="Time New Roman" w:eastAsia="黑体" w:hAnsi="Time New Roman"/>
        </w:rPr>
      </w:pPr>
      <w:r w:rsidRPr="00E7708F">
        <w:rPr>
          <w:rFonts w:ascii="Time New Roman" w:eastAsia="黑体" w:hAnsi="Time New Roman"/>
        </w:rPr>
        <w:t>(</w:t>
      </w:r>
      <w:r w:rsidRPr="00E7708F">
        <w:rPr>
          <w:rFonts w:ascii="Time New Roman" w:eastAsia="黑体" w:hAnsi="Time New Roman"/>
        </w:rPr>
        <w:t>二</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自被抓捕起、侦查阶段直至司法程序所有阶段，均能迅速获得其自行选择的独立律师的协助；在整个诉讼过程中，均能与其律师进行私下协商；必要时有权获得合格、独立且免费的法律援助；</w:t>
      </w:r>
    </w:p>
    <w:p w14:paraId="05583FCE" w14:textId="77777777" w:rsidR="00D022DE" w:rsidRPr="00E7708F" w:rsidRDefault="00D022DE" w:rsidP="00F211DE">
      <w:pPr>
        <w:pStyle w:val="SingleTxtGC"/>
        <w:tabs>
          <w:tab w:val="clear" w:pos="1996"/>
          <w:tab w:val="left" w:pos="2127"/>
        </w:tabs>
        <w:ind w:left="1565"/>
        <w:rPr>
          <w:rFonts w:ascii="Time New Roman" w:eastAsia="黑体" w:hAnsi="Time New Roman"/>
        </w:rPr>
      </w:pPr>
      <w:r w:rsidRPr="00E7708F">
        <w:rPr>
          <w:rFonts w:ascii="Time New Roman" w:eastAsia="黑体" w:hAnsi="Time New Roman"/>
        </w:rPr>
        <w:t>(</w:t>
      </w:r>
      <w:r w:rsidRPr="00E7708F">
        <w:rPr>
          <w:rFonts w:ascii="Time New Roman" w:eastAsia="黑体" w:hAnsi="Time New Roman"/>
        </w:rPr>
        <w:t>三</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要求并接受由独立医生或其自行选择的医生进行免费体检，体检应在警察和监狱工作人员听不到、看不到的情况下进行，除非相关医生明确要求采取其他方式；</w:t>
      </w:r>
    </w:p>
    <w:p w14:paraId="2594626F" w14:textId="77777777" w:rsidR="00D022DE" w:rsidRPr="00E7708F" w:rsidRDefault="00D022DE" w:rsidP="00F211DE">
      <w:pPr>
        <w:pStyle w:val="SingleTxtGC"/>
        <w:tabs>
          <w:tab w:val="clear" w:pos="1996"/>
          <w:tab w:val="left" w:pos="2127"/>
        </w:tabs>
        <w:ind w:left="1565"/>
        <w:rPr>
          <w:rFonts w:ascii="Time New Roman" w:eastAsia="黑体" w:hAnsi="Time New Roman"/>
        </w:rPr>
      </w:pPr>
      <w:r w:rsidRPr="00E7708F">
        <w:rPr>
          <w:rFonts w:ascii="Time New Roman" w:eastAsia="黑体" w:hAnsi="Time New Roman"/>
        </w:rPr>
        <w:t>(</w:t>
      </w:r>
      <w:r w:rsidRPr="00E7708F">
        <w:rPr>
          <w:rFonts w:ascii="Time New Roman" w:eastAsia="黑体" w:hAnsi="Time New Roman"/>
        </w:rPr>
        <w:t>四</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将本人被拘留情况通知家属或自己选择的任何其他人；</w:t>
      </w:r>
    </w:p>
    <w:p w14:paraId="4890F053" w14:textId="71F7AC47" w:rsidR="00D022DE" w:rsidRPr="00E7708F" w:rsidRDefault="00D022DE" w:rsidP="00F211DE">
      <w:pPr>
        <w:pStyle w:val="SingleTxtGC"/>
        <w:tabs>
          <w:tab w:val="clear" w:pos="1996"/>
          <w:tab w:val="left" w:pos="2127"/>
        </w:tabs>
        <w:ind w:left="1565"/>
        <w:rPr>
          <w:rFonts w:ascii="Time New Roman" w:eastAsia="黑体" w:hAnsi="Time New Roman"/>
        </w:rPr>
      </w:pPr>
      <w:r w:rsidRPr="00E7708F">
        <w:rPr>
          <w:rFonts w:ascii="Time New Roman" w:eastAsia="黑体" w:hAnsi="Time New Roman"/>
        </w:rPr>
        <w:t>(</w:t>
      </w:r>
      <w:r w:rsidRPr="00E7708F">
        <w:rPr>
          <w:rFonts w:ascii="Time New Roman" w:eastAsia="黑体" w:hAnsi="Time New Roman"/>
        </w:rPr>
        <w:t>五</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被警方拘留的时间不得超过</w:t>
      </w:r>
      <w:r w:rsidRPr="00E7708F">
        <w:rPr>
          <w:rFonts w:ascii="Time New Roman" w:eastAsia="黑体" w:hAnsi="Time New Roman"/>
        </w:rPr>
        <w:t>48</w:t>
      </w:r>
      <w:r w:rsidRPr="00E7708F">
        <w:rPr>
          <w:rFonts w:ascii="Time New Roman" w:eastAsia="黑体" w:hAnsi="Time New Roman"/>
        </w:rPr>
        <w:t>小时；</w:t>
      </w:r>
    </w:p>
    <w:p w14:paraId="7B607C3C" w14:textId="77777777" w:rsidR="00D022DE" w:rsidRPr="00E7708F" w:rsidRDefault="00D022DE" w:rsidP="00F211DE">
      <w:pPr>
        <w:pStyle w:val="SingleTxtGC"/>
        <w:tabs>
          <w:tab w:val="clear" w:pos="1996"/>
          <w:tab w:val="left" w:pos="2127"/>
        </w:tabs>
        <w:ind w:left="1565"/>
        <w:rPr>
          <w:rFonts w:ascii="Time New Roman" w:eastAsia="黑体" w:hAnsi="Time New Roman"/>
        </w:rPr>
      </w:pPr>
      <w:r w:rsidRPr="00E7708F">
        <w:rPr>
          <w:rFonts w:ascii="Time New Roman" w:eastAsia="黑体" w:hAnsi="Time New Roman"/>
        </w:rPr>
        <w:t>(</w:t>
      </w:r>
      <w:r w:rsidRPr="00E7708F">
        <w:rPr>
          <w:rFonts w:ascii="Time New Roman" w:eastAsia="黑体" w:hAnsi="Time New Roman"/>
        </w:rPr>
        <w:t>六</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在诉讼程序的任何阶段对其拘留的合法性提出质疑；</w:t>
      </w:r>
    </w:p>
    <w:p w14:paraId="3F8B1311" w14:textId="557A49D2" w:rsidR="00D022DE" w:rsidRPr="00E7708F" w:rsidRDefault="00F211DE" w:rsidP="00625CFC">
      <w:pPr>
        <w:pStyle w:val="SingleTxtGC"/>
        <w:rPr>
          <w:rFonts w:ascii="Time New Roman" w:eastAsia="黑体" w:hAnsi="Time New Roman"/>
        </w:rPr>
      </w:pPr>
      <w:r w:rsidRPr="00E7708F">
        <w:rPr>
          <w:rFonts w:ascii="Time New Roman" w:eastAsia="黑体" w:hAnsi="Time New Roman"/>
        </w:rPr>
        <w:lastRenderedPageBreak/>
        <w:tab/>
      </w:r>
      <w:r w:rsidR="00D022DE" w:rsidRPr="00E7708F">
        <w:rPr>
          <w:rFonts w:ascii="Time New Roman" w:eastAsia="黑体" w:hAnsi="Time New Roman"/>
        </w:rPr>
        <w:t>(</w:t>
      </w:r>
      <w:r w:rsidR="00D022DE" w:rsidRPr="00E7708F">
        <w:rPr>
          <w:rFonts w:ascii="Time New Roman" w:eastAsia="黑体" w:hAnsi="Time New Roman"/>
        </w:rPr>
        <w:t>b</w:t>
      </w:r>
      <w:r w:rsidR="00D022DE" w:rsidRPr="00E7708F">
        <w:rPr>
          <w:rFonts w:ascii="Time New Roman" w:eastAsia="黑体" w:hAnsi="Time New Roman"/>
        </w:rPr>
        <w:t>)</w:t>
      </w:r>
      <w:r w:rsidR="00D022DE" w:rsidRPr="00E7708F">
        <w:rPr>
          <w:rFonts w:ascii="Time New Roman" w:eastAsia="黑体" w:hAnsi="Time New Roman"/>
        </w:rPr>
        <w:tab/>
      </w:r>
      <w:r w:rsidR="00D022DE" w:rsidRPr="00E7708F">
        <w:rPr>
          <w:rFonts w:ascii="Time New Roman" w:eastAsia="黑体" w:hAnsi="Time New Roman"/>
        </w:rPr>
        <w:t>加快在所有拘留场所落实常规审讯音视频记录工作，并将此类记录规定为强制性要求。</w:t>
      </w:r>
    </w:p>
    <w:p w14:paraId="55674406" w14:textId="77777777" w:rsidR="00D022DE" w:rsidRPr="00625CFC" w:rsidRDefault="00D022DE" w:rsidP="00F211DE">
      <w:pPr>
        <w:pStyle w:val="H23GC"/>
      </w:pPr>
      <w:r w:rsidRPr="00625CFC">
        <w:tab/>
      </w:r>
      <w:r w:rsidRPr="00625CFC">
        <w:tab/>
      </w:r>
      <w:r w:rsidRPr="00625CFC">
        <w:t>未经授权的拘留场所</w:t>
      </w:r>
    </w:p>
    <w:p w14:paraId="75A973A4" w14:textId="5B8D67E6" w:rsidR="00D022DE" w:rsidRPr="00625CFC" w:rsidRDefault="00D022DE" w:rsidP="00625CFC">
      <w:pPr>
        <w:pStyle w:val="SingleTxtGC"/>
      </w:pPr>
      <w:r w:rsidRPr="00625CFC">
        <w:t>16</w:t>
      </w:r>
      <w:r w:rsidRPr="00625CFC">
        <w:t>.</w:t>
      </w:r>
      <w:r w:rsidRPr="00625CFC">
        <w:tab/>
      </w:r>
      <w:r w:rsidRPr="00625CFC">
        <w:t>委员会感到关切的是，有报告称，被捕者在被移交给司法当局之前，曾被关押在未经授权的拘留设施中接受审讯，其中包括反情报和军事安全总局的办公场所，即所谓的</w:t>
      </w:r>
      <w:r w:rsidRPr="00625CFC">
        <w:rPr>
          <w:rFonts w:hint="eastAsia"/>
        </w:rPr>
        <w:t>“</w:t>
      </w:r>
      <w:proofErr w:type="spellStart"/>
      <w:r w:rsidRPr="00625CFC">
        <w:t>B2</w:t>
      </w:r>
      <w:proofErr w:type="spellEnd"/>
      <w:r w:rsidRPr="00625CFC">
        <w:rPr>
          <w:rFonts w:hint="eastAsia"/>
        </w:rPr>
        <w:t>”</w:t>
      </w:r>
      <w:r w:rsidRPr="00625CFC">
        <w:t>。委员会关切地注意到，有报告称，反情报和军事安全总局的办公场所实际上作为一个</w:t>
      </w:r>
      <w:r w:rsidRPr="00625CFC">
        <w:rPr>
          <w:rFonts w:hint="eastAsia"/>
        </w:rPr>
        <w:t>“</w:t>
      </w:r>
      <w:r w:rsidRPr="00625CFC">
        <w:t>平行警察拘留</w:t>
      </w:r>
      <w:r w:rsidRPr="00625CFC">
        <w:rPr>
          <w:rFonts w:hint="eastAsia"/>
        </w:rPr>
        <w:t>”</w:t>
      </w:r>
      <w:r w:rsidRPr="00625CFC">
        <w:t>系统运作，既不遵守警察拘留的法定时限，也不落实任何其他基本法律保障。委员会还感到关切的是，有报告称，宪兵队侦查部门情报总局的办公场所也发生了拘留</w:t>
      </w:r>
      <w:r w:rsidRPr="00625CFC">
        <w:t>(</w:t>
      </w:r>
      <w:r w:rsidRPr="00625CFC">
        <w:t>第</w:t>
      </w:r>
      <w:r w:rsidRPr="00625CFC">
        <w:t>2</w:t>
      </w:r>
      <w:r w:rsidRPr="00625CFC">
        <w:t>、第</w:t>
      </w:r>
      <w:r w:rsidRPr="00625CFC">
        <w:t>11</w:t>
      </w:r>
      <w:r w:rsidRPr="00625CFC">
        <w:t>和第</w:t>
      </w:r>
      <w:r w:rsidRPr="00625CFC">
        <w:t>16</w:t>
      </w:r>
      <w:r w:rsidRPr="00625CFC">
        <w:t>条</w:t>
      </w:r>
      <w:r w:rsidRPr="00625CFC">
        <w:t>)</w:t>
      </w:r>
      <w:r w:rsidRPr="00625CFC">
        <w:t>。</w:t>
      </w:r>
    </w:p>
    <w:p w14:paraId="00C65624" w14:textId="73AB6BE0" w:rsidR="00D022DE" w:rsidRPr="00E7708F" w:rsidRDefault="00D022DE" w:rsidP="00625CFC">
      <w:pPr>
        <w:pStyle w:val="SingleTxtGC"/>
        <w:rPr>
          <w:rFonts w:ascii="Time New Roman" w:eastAsia="黑体" w:hAnsi="Time New Roman"/>
        </w:rPr>
      </w:pPr>
      <w:r w:rsidRPr="00E7708F">
        <w:rPr>
          <w:rFonts w:ascii="Time New Roman" w:eastAsia="黑体" w:hAnsi="Time New Roman"/>
        </w:rPr>
        <w:t>17</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缔约国应修改反情报和军事安全总局的法律框架，以明确将其任务仅限于军事情报和反情报事务，没有进行司法调查的一般权限，并确保其无权在普通法案件中实施逮捕或拘留。缔约国还应该：</w:t>
      </w:r>
    </w:p>
    <w:p w14:paraId="53E3446C" w14:textId="2AC50D1C"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a</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确保将反情报和军事安全总局或情报总局逮捕的任何人立即移交给刑事调查主管机关；</w:t>
      </w:r>
    </w:p>
    <w:p w14:paraId="50C4B68E" w14:textId="6494BABE"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b</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禁止在反情报和军事安全总局或情报总局或任何其他未经授权或非正式的拘留地点拘留或审讯平民；</w:t>
      </w:r>
    </w:p>
    <w:p w14:paraId="259C4A4B" w14:textId="38CD077B"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c</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命令将任何可能被拘留在这些场所的人立即置于司法监督之下；</w:t>
      </w:r>
    </w:p>
    <w:p w14:paraId="77DAD784" w14:textId="2CA4C836"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d</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建立一个独立的监督和监测安全和情报部门的机制，特别是通过有效的议会和司法监督，以防止任意拘留、使用强制审讯手段以及任何酷刑或虐待行为。</w:t>
      </w:r>
    </w:p>
    <w:p w14:paraId="218ACC9B" w14:textId="77777777" w:rsidR="00D022DE" w:rsidRPr="00625CFC" w:rsidRDefault="00D022DE" w:rsidP="00F211DE">
      <w:pPr>
        <w:pStyle w:val="H23GC"/>
      </w:pPr>
      <w:r w:rsidRPr="00625CFC">
        <w:tab/>
      </w:r>
      <w:r w:rsidRPr="00625CFC">
        <w:tab/>
      </w:r>
      <w:r w:rsidRPr="00625CFC">
        <w:t>审前拘留</w:t>
      </w:r>
    </w:p>
    <w:p w14:paraId="64D80E47" w14:textId="1E9E291D" w:rsidR="00D022DE" w:rsidRPr="00625CFC" w:rsidRDefault="00D022DE" w:rsidP="00625CFC">
      <w:pPr>
        <w:pStyle w:val="SingleTxtGC"/>
      </w:pPr>
      <w:r w:rsidRPr="00625CFC">
        <w:t>18</w:t>
      </w:r>
      <w:r w:rsidRPr="00625CFC">
        <w:t>.</w:t>
      </w:r>
      <w:r w:rsidRPr="00625CFC">
        <w:tab/>
      </w:r>
      <w:r w:rsidRPr="00625CFC">
        <w:t>委员会注意到，该国现有法律条文规定审前</w:t>
      </w:r>
      <w:proofErr w:type="gramStart"/>
      <w:r w:rsidRPr="00625CFC">
        <w:t>拘留仅</w:t>
      </w:r>
      <w:proofErr w:type="gramEnd"/>
      <w:r w:rsidRPr="00625CFC">
        <w:t>作为例外情形适用，该国还于</w:t>
      </w:r>
      <w:r w:rsidRPr="00625CFC">
        <w:t>2</w:t>
      </w:r>
      <w:r w:rsidRPr="00625CFC">
        <w:t>0</w:t>
      </w:r>
      <w:r w:rsidRPr="00625CFC">
        <w:t>26</w:t>
      </w:r>
      <w:r w:rsidRPr="00625CFC">
        <w:t>年</w:t>
      </w:r>
      <w:r w:rsidRPr="00625CFC">
        <w:t>2</w:t>
      </w:r>
      <w:r w:rsidRPr="00625CFC">
        <w:t>月在利伯维尔中央监狱设立了监狱人口行政调查委员会，该委员会共审查了</w:t>
      </w:r>
      <w:r w:rsidRPr="00625CFC">
        <w:t>513</w:t>
      </w:r>
      <w:r w:rsidRPr="00625CFC">
        <w:t>起案件，最终释放了</w:t>
      </w:r>
      <w:r w:rsidRPr="00625CFC">
        <w:t>274</w:t>
      </w:r>
      <w:r w:rsidRPr="00625CFC">
        <w:t>名审前拘留人员。然而，委员会仍严重关切过度使用审前拘留的问题，包括对轻罪的审前拘留，</w:t>
      </w:r>
      <w:proofErr w:type="gramStart"/>
      <w:r w:rsidRPr="00625CFC">
        <w:t>这加大</w:t>
      </w:r>
      <w:proofErr w:type="gramEnd"/>
      <w:r w:rsidRPr="00625CFC">
        <w:t>了遭受酷刑的风险。委员会表示关切的是，有报告</w:t>
      </w:r>
      <w:proofErr w:type="gramStart"/>
      <w:r w:rsidRPr="00625CFC">
        <w:t>称司法</w:t>
      </w:r>
      <w:proofErr w:type="gramEnd"/>
      <w:r w:rsidRPr="00625CFC">
        <w:t>系统存在缺陷，包括腐败、案卷遗失、司法程序拖延、开庭延迟、多次延期审理以及司法工作人员数量不足，特别是调查法官和执行法官，所有这些问题又加剧了审前拘留情况，损害了无罪推定原则。委员会感到遗憾的是，审前拘留是导致监狱过度拥挤的一个主要原因。例如，委员会非常关切地注意到，</w:t>
      </w:r>
      <w:r w:rsidRPr="00625CFC">
        <w:t>2</w:t>
      </w:r>
      <w:r w:rsidRPr="00625CFC">
        <w:t>0</w:t>
      </w:r>
      <w:r w:rsidRPr="00625CFC">
        <w:t>25</w:t>
      </w:r>
      <w:r w:rsidRPr="00625CFC">
        <w:t>年</w:t>
      </w:r>
      <w:r w:rsidRPr="00625CFC">
        <w:t>3</w:t>
      </w:r>
      <w:r w:rsidRPr="00625CFC">
        <w:t>月法官和检察官访问利伯维尔中央监狱时，</w:t>
      </w:r>
      <w:r w:rsidRPr="00625CFC">
        <w:t>77</w:t>
      </w:r>
      <w:r w:rsidRPr="00625CFC">
        <w:t>%</w:t>
      </w:r>
      <w:r w:rsidRPr="00625CFC">
        <w:t>的监狱人口为待审人员。委员会还深感关切的是，有报告称审前拘留时间过长，一些被拘留者等待审判长达</w:t>
      </w:r>
      <w:r w:rsidRPr="00625CFC">
        <w:t>1</w:t>
      </w:r>
      <w:r w:rsidRPr="00625CFC">
        <w:t>0</w:t>
      </w:r>
      <w:r w:rsidRPr="00625CFC">
        <w:t>至</w:t>
      </w:r>
      <w:r w:rsidRPr="00625CFC">
        <w:t>12</w:t>
      </w:r>
      <w:r w:rsidRPr="00625CFC">
        <w:t>年，还有报告称，一些被审前拘留者在监狱里度过的时间远超其可能被判处的最高刑期</w:t>
      </w:r>
      <w:r w:rsidRPr="00625CFC">
        <w:t>(</w:t>
      </w:r>
      <w:r w:rsidRPr="00625CFC">
        <w:t>第</w:t>
      </w:r>
      <w:r w:rsidRPr="00625CFC">
        <w:t>2</w:t>
      </w:r>
      <w:r w:rsidRPr="00625CFC">
        <w:t>条</w:t>
      </w:r>
      <w:r w:rsidRPr="00625CFC">
        <w:t>)</w:t>
      </w:r>
      <w:r w:rsidRPr="00625CFC">
        <w:t>。</w:t>
      </w:r>
    </w:p>
    <w:p w14:paraId="4FA8ADEE" w14:textId="54E50D47" w:rsidR="00D022DE" w:rsidRPr="00E7708F" w:rsidRDefault="00D022DE" w:rsidP="00625CFC">
      <w:pPr>
        <w:pStyle w:val="SingleTxtGC"/>
        <w:rPr>
          <w:rFonts w:ascii="Time New Roman" w:eastAsia="黑体" w:hAnsi="Time New Roman"/>
        </w:rPr>
      </w:pPr>
      <w:r w:rsidRPr="00E7708F">
        <w:rPr>
          <w:rFonts w:ascii="Time New Roman" w:eastAsia="黑体" w:hAnsi="Time New Roman"/>
        </w:rPr>
        <w:t>19</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委员会回顾，审前拘留必须作为最后手段，仅限于最严重的罪行，并且有足够理由证明剥夺自由是合理的，例如出于安全需要，或嫌疑人存在串供、潜逃、篡改证据的风险。在其他情形下，缔约国应当按照《联合国非拘禁措施最低限度标准规则》</w:t>
      </w:r>
      <w:r w:rsidRPr="00E7708F">
        <w:rPr>
          <w:rFonts w:ascii="Time New Roman" w:eastAsia="黑体" w:hAnsi="Time New Roman"/>
        </w:rPr>
        <w:t>(</w:t>
      </w:r>
      <w:r w:rsidRPr="00E7708F">
        <w:rPr>
          <w:rFonts w:ascii="Time New Roman" w:eastAsia="黑体" w:hAnsi="Time New Roman"/>
        </w:rPr>
        <w:t>《东京规则》</w:t>
      </w:r>
      <w:r w:rsidRPr="00E7708F">
        <w:rPr>
          <w:rFonts w:ascii="Time New Roman" w:eastAsia="黑体" w:hAnsi="Time New Roman"/>
        </w:rPr>
        <w:t>)</w:t>
      </w:r>
      <w:r w:rsidRPr="00E7708F">
        <w:rPr>
          <w:rFonts w:ascii="Time New Roman" w:eastAsia="黑体" w:hAnsi="Time New Roman"/>
        </w:rPr>
        <w:t>和《联合国关于女性囚犯待遇和女性罪犯非拘禁措施规则》</w:t>
      </w:r>
      <w:r w:rsidRPr="00E7708F">
        <w:rPr>
          <w:rFonts w:ascii="Time New Roman" w:eastAsia="黑体" w:hAnsi="Time New Roman"/>
        </w:rPr>
        <w:t>(</w:t>
      </w:r>
      <w:r w:rsidRPr="00E7708F">
        <w:rPr>
          <w:rFonts w:ascii="Time New Roman" w:eastAsia="黑体" w:hAnsi="Time New Roman"/>
        </w:rPr>
        <w:t>《曼谷规则》</w:t>
      </w:r>
      <w:r w:rsidRPr="00E7708F">
        <w:rPr>
          <w:rFonts w:ascii="Time New Roman" w:eastAsia="黑体" w:hAnsi="Time New Roman"/>
        </w:rPr>
        <w:t>)</w:t>
      </w:r>
      <w:r w:rsidRPr="00E7708F">
        <w:rPr>
          <w:rFonts w:ascii="Time New Roman" w:eastAsia="黑体" w:hAnsi="Time New Roman"/>
        </w:rPr>
        <w:t>的规定，使用替代剥夺自由的做法，并就此加强对法官的相关培训。缔约国还应紧急采取以下措施：</w:t>
      </w:r>
    </w:p>
    <w:p w14:paraId="15257222" w14:textId="48A180E1" w:rsidR="00D022DE" w:rsidRPr="00E7708F" w:rsidRDefault="00D022DE" w:rsidP="00625CFC">
      <w:pPr>
        <w:pStyle w:val="SingleTxtGC"/>
        <w:rPr>
          <w:rFonts w:ascii="Time New Roman" w:eastAsia="黑体" w:hAnsi="Time New Roman"/>
        </w:rPr>
      </w:pPr>
      <w:r w:rsidRPr="00E7708F">
        <w:rPr>
          <w:rFonts w:ascii="Time New Roman" w:eastAsia="黑体" w:hAnsi="Time New Roman"/>
        </w:rPr>
        <w:lastRenderedPageBreak/>
        <w:tab/>
        <w:t>(</w:t>
      </w:r>
      <w:r w:rsidRPr="00E7708F">
        <w:rPr>
          <w:rFonts w:ascii="Time New Roman" w:eastAsia="黑体" w:hAnsi="Time New Roman"/>
        </w:rPr>
        <w:t>a</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继续并扩大监狱人口行政调查委员会的工作，及时审查每起审前拘留案件，立即释放被错误拘留的人并给予适当赔偿；</w:t>
      </w:r>
    </w:p>
    <w:p w14:paraId="589840B1" w14:textId="76DA1997"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b</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释放所有审前拘留时长已超过其被控罪名最高法定刑期的在押人员，向其给予适当赔偿，并在实践中保障被审前拘留者可借助法律援助，对自身拘留的合法性提出质疑；</w:t>
      </w:r>
    </w:p>
    <w:p w14:paraId="63F6A4EF" w14:textId="2814BE9A"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c</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建立有效的案件管理系统和正式程序，通过一个</w:t>
      </w:r>
      <w:proofErr w:type="gramStart"/>
      <w:r w:rsidRPr="00E7708F">
        <w:rPr>
          <w:rFonts w:ascii="Time New Roman" w:eastAsia="黑体" w:hAnsi="Time New Roman"/>
        </w:rPr>
        <w:t>整合且</w:t>
      </w:r>
      <w:proofErr w:type="gramEnd"/>
      <w:r w:rsidRPr="00E7708F">
        <w:rPr>
          <w:rFonts w:ascii="Time New Roman" w:eastAsia="黑体" w:hAnsi="Time New Roman"/>
        </w:rPr>
        <w:t>自动化的诉讼登记系统对所有被剥夺自由人员的拘留状态全程追踪，该系统需标注审前拘留期限的到期日；</w:t>
      </w:r>
    </w:p>
    <w:p w14:paraId="08224E7A" w14:textId="3EE0E074"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d</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采取措施打击腐败，包括确保司法机构或其他机构的成员被认定犯有腐败或滥用权力罪时受到适当惩处；</w:t>
      </w:r>
    </w:p>
    <w:p w14:paraId="27295625" w14:textId="540F990E"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e</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提升司法体系的效率，推进数字化建设、保障案卷安全，大幅减少司法案件处理过程中的过度延误；</w:t>
      </w:r>
    </w:p>
    <w:p w14:paraId="77DA8947" w14:textId="756FA2E5"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f</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增加司法工作人员，重点增加法官数量。</w:t>
      </w:r>
    </w:p>
    <w:p w14:paraId="15D15FB5" w14:textId="77777777" w:rsidR="00D022DE" w:rsidRPr="00625CFC" w:rsidRDefault="00D022DE" w:rsidP="00F211DE">
      <w:pPr>
        <w:pStyle w:val="H23GC"/>
      </w:pPr>
      <w:r w:rsidRPr="00625CFC">
        <w:tab/>
      </w:r>
      <w:r w:rsidRPr="00625CFC">
        <w:tab/>
      </w:r>
      <w:r w:rsidRPr="00625CFC">
        <w:t>拘留条件</w:t>
      </w:r>
    </w:p>
    <w:p w14:paraId="1C51606C" w14:textId="2BA8BE85" w:rsidR="00D022DE" w:rsidRPr="00625CFC" w:rsidRDefault="00D022DE" w:rsidP="00625CFC">
      <w:pPr>
        <w:pStyle w:val="SingleTxtGC"/>
      </w:pPr>
      <w:r w:rsidRPr="00625CFC">
        <w:t>2</w:t>
      </w:r>
      <w:r w:rsidRPr="00625CFC">
        <w:t>0.</w:t>
      </w:r>
      <w:r w:rsidRPr="00625CFC">
        <w:tab/>
      </w:r>
      <w:r w:rsidRPr="00625CFC">
        <w:t>委员会注意到，该国代表团确认缔约国将公布防范酷刑和其他残忍、不人道或有辱人格待遇或处罚小组委员会</w:t>
      </w:r>
      <w:r w:rsidRPr="00625CFC">
        <w:t>2</w:t>
      </w:r>
      <w:r w:rsidRPr="00625CFC">
        <w:t>0</w:t>
      </w:r>
      <w:r w:rsidRPr="00625CFC">
        <w:t>24</w:t>
      </w:r>
      <w:r w:rsidRPr="00625CFC">
        <w:t>年访问的报告。然而，委员会感到震惊的是，有报告称拘留场所的条件极其令人担忧，由于过度和长期使用审前拘留以及《刑法典》第</w:t>
      </w:r>
      <w:r w:rsidRPr="00625CFC">
        <w:t>23</w:t>
      </w:r>
      <w:r w:rsidRPr="00625CFC">
        <w:t>条规定的监禁替代措施的适用有限，导致监狱长期过度拥挤。举例而言，</w:t>
      </w:r>
      <w:r w:rsidRPr="00625CFC">
        <w:t>2</w:t>
      </w:r>
      <w:r w:rsidRPr="00625CFC">
        <w:t>0</w:t>
      </w:r>
      <w:r w:rsidRPr="00625CFC">
        <w:t>26</w:t>
      </w:r>
      <w:r w:rsidRPr="00625CFC">
        <w:t>年利伯维尔监狱过度拥挤率达</w:t>
      </w:r>
      <w:r w:rsidRPr="00625CFC">
        <w:t>4</w:t>
      </w:r>
      <w:r w:rsidRPr="00625CFC">
        <w:t>00%</w:t>
      </w:r>
      <w:r w:rsidRPr="00625CFC">
        <w:t>至</w:t>
      </w:r>
      <w:r w:rsidRPr="00625CFC">
        <w:t>7</w:t>
      </w:r>
      <w:r w:rsidRPr="00625CFC">
        <w:t>00%</w:t>
      </w:r>
      <w:r w:rsidRPr="00625CFC">
        <w:t>。委员会还深为关切地注意到相关信息：基础设施破旧、缺乏有效的卫生和排污系统、通风条件差、整体卫生状况糟糕，厕所缺失或数量严重不足。这些不卫生的条件不符合拘留的最低标准，具体体现为虫害滋生蔓延、垃圾桶无遮盖、被拘留者在没有防护装备的情况下清运垃圾以及清理化粪池、膳食与饮用水供给不足、男女囚犯及未成年囚犯分区关押以及审前拘留人员与被定罪人员分开关押均落实不到位，尽管该国已就此</w:t>
      </w:r>
      <w:proofErr w:type="gramStart"/>
      <w:r w:rsidRPr="00625CFC">
        <w:t>作出</w:t>
      </w:r>
      <w:proofErr w:type="gramEnd"/>
      <w:r w:rsidRPr="00625CFC">
        <w:t>部分整改。委员会注意到缔约国代表团提供的有关利伯维尔监狱医疗基础设施扩建和现代化改造的信息，但深感关切的是，有报告称监狱医疗服务仍然严重不足，医务室设备简陋，药品费用需由囚犯自行承担，医务人员数量短缺</w:t>
      </w:r>
      <w:proofErr w:type="gramStart"/>
      <w:r w:rsidRPr="00625CFC">
        <w:t>且专业</w:t>
      </w:r>
      <w:proofErr w:type="gramEnd"/>
      <w:r w:rsidRPr="00625CFC">
        <w:t>资质不足。委员会深感关切的是，由于拘留条件不佳，被剥夺自由者面临严重的健康风险，极易造成疾病传播，已有在押人员因医疗救治不足或救治延误而死亡。委员会还感到关切的是，探视仅限于每周一天，持续时间仅为几分钟。委员会还深为关切地注意到，有报告称利伯维尔和让蒂尔港等某些监狱实行自主管理模式，助长了囚犯中普遍存在的暴力氛围。委员会尤其感到震惊的是，在牢头的掌控下，囚犯</w:t>
      </w:r>
      <w:proofErr w:type="gramStart"/>
      <w:r w:rsidRPr="00625CFC">
        <w:t>实施性侵未成年人</w:t>
      </w:r>
      <w:proofErr w:type="gramEnd"/>
      <w:r w:rsidRPr="00625CFC">
        <w:t>、严重人身暴力、体罚以及羞辱性处置</w:t>
      </w:r>
      <w:r w:rsidRPr="00625CFC">
        <w:t>(</w:t>
      </w:r>
      <w:r w:rsidRPr="00625CFC">
        <w:t>例如剃光女性囚犯头发</w:t>
      </w:r>
      <w:r w:rsidRPr="00625CFC">
        <w:t>)</w:t>
      </w:r>
      <w:r w:rsidRPr="00625CFC">
        <w:t>等行为。委员会深感关切的是，这种自主管理模式进一步加剧监狱内部本就泛滥的腐败与敲诈勒索行为，且有报告称，弱势群体、无家属接济人员</w:t>
      </w:r>
      <w:r w:rsidRPr="00625CFC">
        <w:t>(</w:t>
      </w:r>
      <w:r w:rsidRPr="00625CFC">
        <w:t>尤其是未成年人和外国人</w:t>
      </w:r>
      <w:r w:rsidRPr="00625CFC">
        <w:t>)</w:t>
      </w:r>
      <w:r w:rsidRPr="00625CFC">
        <w:t>被迫卖淫，以此换取基本生活保障</w:t>
      </w:r>
      <w:r w:rsidRPr="00625CFC">
        <w:t>(</w:t>
      </w:r>
      <w:r w:rsidRPr="00625CFC">
        <w:t>《公约》第</w:t>
      </w:r>
      <w:r w:rsidRPr="00625CFC">
        <w:t>2</w:t>
      </w:r>
      <w:r w:rsidRPr="00625CFC">
        <w:t>、第</w:t>
      </w:r>
      <w:r w:rsidRPr="00625CFC">
        <w:t>11</w:t>
      </w:r>
      <w:r w:rsidRPr="00625CFC">
        <w:t>和第</w:t>
      </w:r>
      <w:r w:rsidRPr="00625CFC">
        <w:t>16</w:t>
      </w:r>
      <w:r w:rsidRPr="00625CFC">
        <w:t>条</w:t>
      </w:r>
      <w:r w:rsidRPr="00625CFC">
        <w:t>)</w:t>
      </w:r>
      <w:r w:rsidRPr="00625CFC">
        <w:t>。</w:t>
      </w:r>
    </w:p>
    <w:p w14:paraId="78ECD584" w14:textId="25F2A04A" w:rsidR="00D022DE" w:rsidRPr="00E7708F" w:rsidRDefault="00D022DE" w:rsidP="00625CFC">
      <w:pPr>
        <w:pStyle w:val="SingleTxtGC"/>
        <w:rPr>
          <w:rFonts w:ascii="Time New Roman" w:eastAsia="黑体" w:hAnsi="Time New Roman"/>
        </w:rPr>
      </w:pPr>
      <w:r w:rsidRPr="00E7708F">
        <w:rPr>
          <w:rFonts w:ascii="Time New Roman" w:eastAsia="黑体" w:hAnsi="Time New Roman"/>
        </w:rPr>
        <w:t>21</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委员会敦促缔约国加强努力，确保拘留条件符合《联合国囚犯待遇最低限度标准规则》</w:t>
      </w:r>
      <w:r w:rsidRPr="00E7708F">
        <w:rPr>
          <w:rFonts w:ascii="Time New Roman" w:eastAsia="黑体" w:hAnsi="Time New Roman"/>
        </w:rPr>
        <w:t>(</w:t>
      </w:r>
      <w:r w:rsidRPr="00E7708F">
        <w:rPr>
          <w:rFonts w:ascii="Time New Roman" w:eastAsia="黑体" w:hAnsi="Time New Roman"/>
        </w:rPr>
        <w:t>《纳尔逊</w:t>
      </w:r>
      <w:r w:rsidR="00A63FCB" w:rsidRPr="00A63FCB">
        <w:rPr>
          <w:rFonts w:ascii="Time New Roman" w:eastAsia="黑体" w:hAnsi="Time New Roman" w:hint="eastAsia"/>
        </w:rPr>
        <w:t>·</w:t>
      </w:r>
      <w:r w:rsidRPr="00E7708F">
        <w:rPr>
          <w:rFonts w:ascii="Time New Roman" w:eastAsia="黑体" w:hAnsi="Time New Roman"/>
        </w:rPr>
        <w:t>曼德拉规则》</w:t>
      </w:r>
      <w:r w:rsidRPr="00E7708F">
        <w:rPr>
          <w:rFonts w:ascii="Time New Roman" w:eastAsia="黑体" w:hAnsi="Time New Roman"/>
        </w:rPr>
        <w:t>)</w:t>
      </w:r>
      <w:r w:rsidRPr="00E7708F">
        <w:rPr>
          <w:rFonts w:ascii="Time New Roman" w:eastAsia="黑体" w:hAnsi="Time New Roman"/>
        </w:rPr>
        <w:t>，特别是为此划拨更多资源，加强国际合作，包括签订定向合作协议，以期获得配套技术与资金援助，支撑必要改革落地。具体而言，缔约国应立即采取以下举措：</w:t>
      </w:r>
    </w:p>
    <w:p w14:paraId="30C81154" w14:textId="56C93236" w:rsidR="00D022DE" w:rsidRPr="00E7708F" w:rsidRDefault="00D022DE" w:rsidP="00625CFC">
      <w:pPr>
        <w:pStyle w:val="SingleTxtGC"/>
        <w:rPr>
          <w:rFonts w:ascii="Time New Roman" w:eastAsia="黑体" w:hAnsi="Time New Roman"/>
        </w:rPr>
      </w:pPr>
      <w:r w:rsidRPr="00E7708F">
        <w:rPr>
          <w:rFonts w:ascii="Time New Roman" w:eastAsia="黑体" w:hAnsi="Time New Roman"/>
        </w:rPr>
        <w:lastRenderedPageBreak/>
        <w:tab/>
        <w:t>(</w:t>
      </w:r>
      <w:r w:rsidRPr="00E7708F">
        <w:rPr>
          <w:rFonts w:ascii="Time New Roman" w:eastAsia="黑体" w:hAnsi="Time New Roman"/>
        </w:rPr>
        <w:t>a</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根据《东京规则》和《曼谷规则》，更多地利用拘留的替代办法，减少监狱过度拥挤现象，并确保审前</w:t>
      </w:r>
      <w:proofErr w:type="gramStart"/>
      <w:r w:rsidRPr="00E7708F">
        <w:rPr>
          <w:rFonts w:ascii="Time New Roman" w:eastAsia="黑体" w:hAnsi="Time New Roman"/>
        </w:rPr>
        <w:t>拘留仅</w:t>
      </w:r>
      <w:proofErr w:type="gramEnd"/>
      <w:r w:rsidRPr="00E7708F">
        <w:rPr>
          <w:rFonts w:ascii="Time New Roman" w:eastAsia="黑体" w:hAnsi="Time New Roman"/>
        </w:rPr>
        <w:t>作为一种例外措施</w:t>
      </w:r>
      <w:r w:rsidRPr="00E7708F">
        <w:rPr>
          <w:rFonts w:ascii="Time New Roman" w:eastAsia="黑体" w:hAnsi="Time New Roman"/>
        </w:rPr>
        <w:t>(</w:t>
      </w:r>
      <w:r w:rsidRPr="00E7708F">
        <w:rPr>
          <w:rFonts w:ascii="Time New Roman" w:eastAsia="黑体" w:hAnsi="Time New Roman"/>
        </w:rPr>
        <w:t>见上文第</w:t>
      </w:r>
      <w:r w:rsidRPr="00E7708F">
        <w:rPr>
          <w:rFonts w:ascii="Time New Roman" w:eastAsia="黑体" w:hAnsi="Time New Roman"/>
        </w:rPr>
        <w:t>19</w:t>
      </w:r>
      <w:r w:rsidRPr="00E7708F">
        <w:rPr>
          <w:rFonts w:ascii="Time New Roman" w:eastAsia="黑体" w:hAnsi="Time New Roman"/>
        </w:rPr>
        <w:t>段</w:t>
      </w:r>
      <w:r w:rsidRPr="00E7708F">
        <w:rPr>
          <w:rFonts w:ascii="Time New Roman" w:eastAsia="黑体" w:hAnsi="Time New Roman"/>
        </w:rPr>
        <w:t>)</w:t>
      </w:r>
      <w:r w:rsidRPr="00E7708F">
        <w:rPr>
          <w:rFonts w:ascii="Time New Roman" w:eastAsia="黑体" w:hAnsi="Time New Roman"/>
        </w:rPr>
        <w:t>；</w:t>
      </w:r>
    </w:p>
    <w:p w14:paraId="064D9E68" w14:textId="7F9827BE"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b</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改善拘留的物质条件，全面修缮基础设施并对所有监狱进行清洁和消毒，采取适当的卫生措施，委托专业机构统一收集、处理、清运垃圾与排泄物，配齐有效通风设施与充足卫生设施，确保自来水的持续供应，为囚犯提供足够的个人卫生用品，包括经期卫生用品，并确保食物的数量和质量符合国际标准；</w:t>
      </w:r>
    </w:p>
    <w:p w14:paraId="6AC2BBEB" w14:textId="0B3993F8"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c</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确保严格分押管理，男女囚犯、未成年囚犯分区关押，审前拘留人员与被定罪人员分开关押；针对随母拘留的儿童设定</w:t>
      </w:r>
      <w:proofErr w:type="gramStart"/>
      <w:r w:rsidRPr="00E7708F">
        <w:rPr>
          <w:rFonts w:ascii="Time New Roman" w:eastAsia="黑体" w:hAnsi="Time New Roman"/>
        </w:rPr>
        <w:t>最高留监年龄</w:t>
      </w:r>
      <w:proofErr w:type="gramEnd"/>
      <w:r w:rsidRPr="00E7708F">
        <w:rPr>
          <w:rFonts w:ascii="Time New Roman" w:eastAsia="黑体" w:hAnsi="Time New Roman"/>
        </w:rPr>
        <w:t>，超出年龄则安排监外替代安置，保障儿童利益最大化；</w:t>
      </w:r>
    </w:p>
    <w:p w14:paraId="4BB012CB" w14:textId="3AEE52F5"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d</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确保免费及时获得医疗服务的权利，并建立疾病预防、早期筛查与诊疗配套机制；</w:t>
      </w:r>
    </w:p>
    <w:p w14:paraId="3CCDC937" w14:textId="63F14DE1"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e</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增加每周探访天数，并延长单次探视时长，保障能够充分沟通；</w:t>
      </w:r>
    </w:p>
    <w:p w14:paraId="3DAD2A28" w14:textId="3B459884"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f</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对监狱管理进行根本性审查，以期确保监狱管理部门能够掌控局面，并能够保障所有人员的安全，包括防止囚犯之间的暴力行为；</w:t>
      </w:r>
    </w:p>
    <w:p w14:paraId="37371EF1" w14:textId="77F8C961"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g</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确保免费获得所有服务，并在所有拘留场所制定内部规章制度，以预防和调查腐败和敲诈勒索行为，并惩罚相关责任人。</w:t>
      </w:r>
    </w:p>
    <w:p w14:paraId="58AAD84B" w14:textId="77777777" w:rsidR="00D022DE" w:rsidRPr="00625CFC" w:rsidRDefault="00D022DE" w:rsidP="00F211DE">
      <w:pPr>
        <w:pStyle w:val="H23GC"/>
      </w:pPr>
      <w:r w:rsidRPr="00625CFC">
        <w:tab/>
      </w:r>
      <w:r w:rsidRPr="00625CFC">
        <w:tab/>
      </w:r>
      <w:r w:rsidRPr="00625CFC">
        <w:t>拘留期间死亡</w:t>
      </w:r>
    </w:p>
    <w:p w14:paraId="2D389FCC" w14:textId="3B21A7B0" w:rsidR="00D022DE" w:rsidRPr="00625CFC" w:rsidRDefault="00D022DE" w:rsidP="00625CFC">
      <w:pPr>
        <w:pStyle w:val="SingleTxtGC"/>
      </w:pPr>
      <w:r w:rsidRPr="00625CFC">
        <w:t>22</w:t>
      </w:r>
      <w:r w:rsidRPr="00625CFC">
        <w:t>.</w:t>
      </w:r>
      <w:r w:rsidRPr="00625CFC">
        <w:tab/>
      </w:r>
      <w:r w:rsidRPr="00625CFC">
        <w:t>委员会感到震惊的是，收到的资料显示，在拘留期间发生了多起死亡事件，原因包括监狱官员、警察或军事人员施加酷刑，或是被剥夺医疗救治的机会。在这方面，委员会注意到代表团提供的信息，即缔约国已为拘留期间死亡案件建造了一个专用停尸房，这似乎也反映出拘留期间死亡事件频发的严峻现状</w:t>
      </w:r>
      <w:r w:rsidRPr="00625CFC">
        <w:t>(</w:t>
      </w:r>
      <w:r w:rsidRPr="00625CFC">
        <w:t>第</w:t>
      </w:r>
      <w:r w:rsidRPr="00625CFC">
        <w:t>2</w:t>
      </w:r>
      <w:r w:rsidRPr="00625CFC">
        <w:t>条、第</w:t>
      </w:r>
      <w:r w:rsidRPr="00625CFC">
        <w:t>11</w:t>
      </w:r>
      <w:r w:rsidRPr="00625CFC">
        <w:t>-</w:t>
      </w:r>
      <w:r w:rsidRPr="00625CFC">
        <w:t>13</w:t>
      </w:r>
      <w:r w:rsidRPr="00625CFC">
        <w:t>条和第</w:t>
      </w:r>
      <w:r w:rsidRPr="00625CFC">
        <w:t>16</w:t>
      </w:r>
      <w:r w:rsidRPr="00625CFC">
        <w:t>条</w:t>
      </w:r>
      <w:r w:rsidRPr="00625CFC">
        <w:t>)</w:t>
      </w:r>
      <w:r w:rsidRPr="00625CFC">
        <w:t>。</w:t>
      </w:r>
    </w:p>
    <w:p w14:paraId="705713D2" w14:textId="6A765E36" w:rsidR="00D022DE" w:rsidRPr="00E7708F" w:rsidRDefault="00D022DE" w:rsidP="00625CFC">
      <w:pPr>
        <w:pStyle w:val="SingleTxtGC"/>
        <w:rPr>
          <w:rFonts w:ascii="Time New Roman" w:eastAsia="黑体" w:hAnsi="Time New Roman"/>
        </w:rPr>
      </w:pPr>
      <w:r w:rsidRPr="00E7708F">
        <w:rPr>
          <w:rFonts w:ascii="Time New Roman" w:eastAsia="黑体" w:hAnsi="Time New Roman"/>
        </w:rPr>
        <w:t>23</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缔约国应采取一切必要措施，防止拘留期间死亡，特别是确保有效、充分和及时地获得医疗服务</w:t>
      </w:r>
      <w:r w:rsidRPr="00E7708F">
        <w:rPr>
          <w:rFonts w:ascii="Time New Roman" w:eastAsia="黑体" w:hAnsi="Time New Roman"/>
        </w:rPr>
        <w:t>(</w:t>
      </w:r>
      <w:r w:rsidRPr="00E7708F">
        <w:rPr>
          <w:rFonts w:ascii="Time New Roman" w:eastAsia="黑体" w:hAnsi="Time New Roman"/>
        </w:rPr>
        <w:t>见上文第</w:t>
      </w:r>
      <w:r w:rsidRPr="00E7708F">
        <w:rPr>
          <w:rFonts w:ascii="Time New Roman" w:eastAsia="黑体" w:hAnsi="Time New Roman"/>
        </w:rPr>
        <w:t>21</w:t>
      </w:r>
      <w:r w:rsidRPr="00E7708F">
        <w:rPr>
          <w:rFonts w:ascii="Time New Roman" w:eastAsia="黑体" w:hAnsi="Time New Roman"/>
        </w:rPr>
        <w:t>(</w:t>
      </w:r>
      <w:r w:rsidRPr="00E7708F">
        <w:rPr>
          <w:rFonts w:ascii="Time New Roman" w:eastAsia="黑体" w:hAnsi="Time New Roman"/>
        </w:rPr>
        <w:t>d</w:t>
      </w:r>
      <w:r w:rsidRPr="00E7708F">
        <w:rPr>
          <w:rFonts w:ascii="Time New Roman" w:eastAsia="黑体" w:hAnsi="Time New Roman"/>
        </w:rPr>
        <w:t>)</w:t>
      </w:r>
      <w:r w:rsidRPr="00E7708F">
        <w:rPr>
          <w:rFonts w:ascii="Time New Roman" w:eastAsia="黑体" w:hAnsi="Time New Roman"/>
        </w:rPr>
        <w:t>段</w:t>
      </w:r>
      <w:r w:rsidRPr="00E7708F">
        <w:rPr>
          <w:rFonts w:ascii="Time New Roman" w:eastAsia="黑体" w:hAnsi="Time New Roman"/>
        </w:rPr>
        <w:t>)</w:t>
      </w:r>
      <w:r w:rsidRPr="00E7708F">
        <w:rPr>
          <w:rFonts w:ascii="Time New Roman" w:eastAsia="黑体" w:hAnsi="Time New Roman"/>
        </w:rPr>
        <w:t>，并确保有效执行《公约》和本结论性意见，以期以可持续的方式防止一切形式的酷刑和虐待。缔约国应确保所有拘留期间死亡案件由独立机构进行迅速、公正的调查，开展独立法医检验，充分参照《关于调查潜在非法死亡的明尼苏达规程》，并在必要时予以相应处罚。缔约国还应汇编并向委员会提供详细资料，说明所有拘留场所发生的暴力和死亡事件、事件原因以及调查结果。</w:t>
      </w:r>
    </w:p>
    <w:p w14:paraId="57A060C4" w14:textId="77777777" w:rsidR="00D022DE" w:rsidRPr="00625CFC" w:rsidRDefault="00D022DE" w:rsidP="00F211DE">
      <w:pPr>
        <w:pStyle w:val="H23GC"/>
      </w:pPr>
      <w:r w:rsidRPr="00625CFC">
        <w:tab/>
      </w:r>
      <w:r w:rsidRPr="00625CFC">
        <w:tab/>
      </w:r>
      <w:r w:rsidRPr="00625CFC">
        <w:t>酷刑指称和打击有罪不罚现象</w:t>
      </w:r>
    </w:p>
    <w:p w14:paraId="3EAD143F" w14:textId="288F03DD" w:rsidR="00D022DE" w:rsidRPr="00625CFC" w:rsidRDefault="00D022DE" w:rsidP="00625CFC">
      <w:pPr>
        <w:pStyle w:val="SingleTxtGC"/>
      </w:pPr>
      <w:r w:rsidRPr="00625CFC">
        <w:t>24</w:t>
      </w:r>
      <w:r w:rsidRPr="00625CFC">
        <w:t>.</w:t>
      </w:r>
      <w:r w:rsidRPr="00625CFC">
        <w:tab/>
      </w:r>
      <w:r w:rsidRPr="00625CFC">
        <w:t>委员会感到震惊的是，出现大量相互印证的酷刑和虐待指控，包括导致死亡的行为；另有报告显示，在警察局、宪兵队和刑事侦查警务设施内，被警方拘留者普遍遭受酷刑和虐待，据报这类做法已成常态，未成年人亦不能幸免。委员会还深为关切地注意到，有报告称，反情报和军事安全总局和情报总局办公场所以及监狱，特别是利伯维尔中央监狱，发生了大量酷刑和虐待案件。委员会极为关切地注意到，缺乏调查酷刑的具体框架，并注意到代表团提供的信息表明，尽管在本报告所述期间</w:t>
      </w:r>
      <w:r w:rsidRPr="00625CFC">
        <w:t>(</w:t>
      </w:r>
      <w:r w:rsidRPr="00625CFC">
        <w:t>长达</w:t>
      </w:r>
      <w:r w:rsidRPr="00625CFC">
        <w:t>13</w:t>
      </w:r>
      <w:r w:rsidRPr="00625CFC">
        <w:t>年以上</w:t>
      </w:r>
      <w:r w:rsidRPr="00625CFC">
        <w:t>)</w:t>
      </w:r>
      <w:r w:rsidRPr="00625CFC">
        <w:t>，有</w:t>
      </w:r>
      <w:r w:rsidRPr="00625CFC">
        <w:t>54</w:t>
      </w:r>
      <w:r w:rsidRPr="00625CFC">
        <w:t>名执法人员因酷刑和虐待行为面临刑事指控，但迄今为止，相关诉讼无一</w:t>
      </w:r>
      <w:proofErr w:type="gramStart"/>
      <w:r w:rsidRPr="00625CFC">
        <w:t>作出</w:t>
      </w:r>
      <w:proofErr w:type="gramEnd"/>
      <w:r w:rsidRPr="00625CFC">
        <w:t>有罪判决。委员会还感到关切的是，有报告称，针对酷刑和虐待指控开展的调查屡屡遭遇阻碍，因为调查机构缺乏独立</w:t>
      </w:r>
      <w:r w:rsidRPr="00625CFC">
        <w:lastRenderedPageBreak/>
        <w:t>性，调查人员隶属于涉嫌犯罪者所在的同一主管机关，调查缺乏透明度，受害者和证人难以获得充分保护，面临遭受报复的风险。委员会还深感关切的是，缺乏一个真正有效、易于使用、独立和保密的机制，专门用于接收和处理所有剥夺自由场所的酷刑和虐待申诉。在这方面，委员会还关切地注意到，某些监狱中实行自主管理模式，意味着囚犯与监狱管理部门之间的沟通会经过牢头、监区头目过滤，妨碍囚犯针对上述人员提出申诉</w:t>
      </w:r>
      <w:r w:rsidRPr="00625CFC">
        <w:t>(</w:t>
      </w:r>
      <w:r w:rsidRPr="00625CFC">
        <w:t>《公约》第</w:t>
      </w:r>
      <w:r w:rsidRPr="00625CFC">
        <w:t>2</w:t>
      </w:r>
      <w:r w:rsidRPr="00625CFC">
        <w:t>条、第</w:t>
      </w:r>
      <w:r w:rsidRPr="00625CFC">
        <w:t>4</w:t>
      </w:r>
      <w:r w:rsidRPr="00625CFC">
        <w:t>条、第</w:t>
      </w:r>
      <w:r w:rsidRPr="00625CFC">
        <w:t>11</w:t>
      </w:r>
      <w:r w:rsidRPr="00625CFC">
        <w:t>至</w:t>
      </w:r>
      <w:r w:rsidRPr="00625CFC">
        <w:t>13</w:t>
      </w:r>
      <w:r w:rsidRPr="00625CFC">
        <w:t>条及第</w:t>
      </w:r>
      <w:r w:rsidRPr="00625CFC">
        <w:t>16</w:t>
      </w:r>
      <w:r w:rsidRPr="00625CFC">
        <w:t>条</w:t>
      </w:r>
      <w:r w:rsidRPr="00625CFC">
        <w:t>)</w:t>
      </w:r>
      <w:r w:rsidRPr="00625CFC">
        <w:t>。</w:t>
      </w:r>
    </w:p>
    <w:p w14:paraId="10EE94F3" w14:textId="32D3113D" w:rsidR="00D022DE" w:rsidRPr="00E7708F" w:rsidRDefault="00D022DE" w:rsidP="00625CFC">
      <w:pPr>
        <w:pStyle w:val="SingleTxtGC"/>
        <w:rPr>
          <w:rFonts w:ascii="Time New Roman" w:eastAsia="黑体" w:hAnsi="Time New Roman"/>
        </w:rPr>
      </w:pPr>
      <w:r w:rsidRPr="00E7708F">
        <w:rPr>
          <w:rFonts w:ascii="Time New Roman" w:eastAsia="黑体" w:hAnsi="Time New Roman"/>
        </w:rPr>
        <w:t>25</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缔约国应采取必要措施：</w:t>
      </w:r>
    </w:p>
    <w:p w14:paraId="2BD4DC82" w14:textId="1E528EBE"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a</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确保由独立机构对所有酷刑或虐待指控自动进行迅速、有效和公正的调查，确保调查人员与涉嫌施害者之间不存在机构或层级上的关联，确保涉嫌施害者，包括担任指挥职务者，均被依法移交法院，如认定有罪，应判处与其行为严重程度相称的刑罚，并确保受害者获得适当赔偿；</w:t>
      </w:r>
    </w:p>
    <w:p w14:paraId="201C43D7" w14:textId="603AD647"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b</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确保在调查期间立即暂停此类行为涉嫌施害者的职务，同时确保恪守无罪推定原则；</w:t>
      </w:r>
    </w:p>
    <w:p w14:paraId="7763560F" w14:textId="4C3B5808"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c</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加快正在进行的有关酷刑和虐待行为的刑事诉讼，汇编并传播关于酷刑和虐待案件中提交的申诉、开展的调查、提起的诉讼和</w:t>
      </w:r>
      <w:proofErr w:type="gramStart"/>
      <w:r w:rsidRPr="00E7708F">
        <w:rPr>
          <w:rFonts w:ascii="Time New Roman" w:eastAsia="黑体" w:hAnsi="Time New Roman"/>
        </w:rPr>
        <w:t>作出</w:t>
      </w:r>
      <w:proofErr w:type="gramEnd"/>
      <w:r w:rsidRPr="00E7708F">
        <w:rPr>
          <w:rFonts w:ascii="Time New Roman" w:eastAsia="黑体" w:hAnsi="Time New Roman"/>
        </w:rPr>
        <w:t>的有罪判决的分类统计数据，并向委员会提交相关资料；</w:t>
      </w:r>
    </w:p>
    <w:p w14:paraId="38E97E2D" w14:textId="1BACF683"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d</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确保设立独立且有效的申诉机制，并覆盖所有拘留场所；确保意欲提出申诉的人员能够自由、完全保密地使用该机制，且无须担心遭受报复；采取必要措施废除监狱内的自主管理制度</w:t>
      </w:r>
      <w:r w:rsidRPr="00E7708F">
        <w:rPr>
          <w:rFonts w:ascii="Time New Roman" w:eastAsia="黑体" w:hAnsi="Time New Roman"/>
        </w:rPr>
        <w:t>(</w:t>
      </w:r>
      <w:r w:rsidRPr="00E7708F">
        <w:rPr>
          <w:rFonts w:ascii="Time New Roman" w:eastAsia="黑体" w:hAnsi="Time New Roman"/>
        </w:rPr>
        <w:t>见上文第</w:t>
      </w:r>
      <w:r w:rsidRPr="00E7708F">
        <w:rPr>
          <w:rFonts w:ascii="Time New Roman" w:eastAsia="黑体" w:hAnsi="Time New Roman"/>
        </w:rPr>
        <w:t>21</w:t>
      </w:r>
      <w:r w:rsidRPr="00E7708F">
        <w:rPr>
          <w:rFonts w:ascii="Time New Roman" w:eastAsia="黑体" w:hAnsi="Time New Roman"/>
        </w:rPr>
        <w:t>(</w:t>
      </w:r>
      <w:r w:rsidRPr="00E7708F">
        <w:rPr>
          <w:rFonts w:ascii="Time New Roman" w:eastAsia="黑体" w:hAnsi="Time New Roman"/>
        </w:rPr>
        <w:t>f</w:t>
      </w:r>
      <w:r w:rsidRPr="00E7708F">
        <w:rPr>
          <w:rFonts w:ascii="Time New Roman" w:eastAsia="黑体" w:hAnsi="Time New Roman"/>
        </w:rPr>
        <w:t>)</w:t>
      </w:r>
      <w:r w:rsidRPr="00E7708F">
        <w:rPr>
          <w:rFonts w:ascii="Time New Roman" w:eastAsia="黑体" w:hAnsi="Time New Roman"/>
        </w:rPr>
        <w:t>段</w:t>
      </w:r>
      <w:r w:rsidRPr="00E7708F">
        <w:rPr>
          <w:rFonts w:ascii="Time New Roman" w:eastAsia="黑体" w:hAnsi="Time New Roman"/>
        </w:rPr>
        <w:t>)</w:t>
      </w:r>
      <w:r w:rsidRPr="00E7708F">
        <w:rPr>
          <w:rFonts w:ascii="Time New Roman" w:eastAsia="黑体" w:hAnsi="Time New Roman"/>
        </w:rPr>
        <w:t>。</w:t>
      </w:r>
    </w:p>
    <w:p w14:paraId="709A6095" w14:textId="77777777" w:rsidR="00D022DE" w:rsidRPr="00625CFC" w:rsidRDefault="00D022DE" w:rsidP="00F211DE">
      <w:pPr>
        <w:pStyle w:val="H23GC"/>
      </w:pPr>
      <w:r w:rsidRPr="00625CFC">
        <w:tab/>
      </w:r>
      <w:r w:rsidRPr="00625CFC">
        <w:tab/>
      </w:r>
      <w:r w:rsidRPr="00625CFC">
        <w:t>不采信通过酷刑取得的供词和陈述</w:t>
      </w:r>
    </w:p>
    <w:p w14:paraId="6D7824F8" w14:textId="4FB42808" w:rsidR="00D022DE" w:rsidRPr="00625CFC" w:rsidRDefault="00D022DE" w:rsidP="00625CFC">
      <w:pPr>
        <w:pStyle w:val="SingleTxtGC"/>
      </w:pPr>
      <w:r w:rsidRPr="00625CFC">
        <w:t>26</w:t>
      </w:r>
      <w:r w:rsidRPr="00625CFC">
        <w:t>.</w:t>
      </w:r>
      <w:r w:rsidRPr="00625CFC">
        <w:tab/>
      </w:r>
      <w:r w:rsidRPr="00625CFC">
        <w:t>委员会关切地注意到，该国尚无法律条文明确禁止在司法程序中使用通过酷刑获得的供词或任何其他陈述作为证据，有报告</w:t>
      </w:r>
      <w:proofErr w:type="gramStart"/>
      <w:r w:rsidRPr="00625CFC">
        <w:t>称存在</w:t>
      </w:r>
      <w:proofErr w:type="gramEnd"/>
      <w:r w:rsidRPr="00625CFC">
        <w:t>根据通过酷刑获取的供词</w:t>
      </w:r>
      <w:proofErr w:type="gramStart"/>
      <w:r w:rsidRPr="00625CFC">
        <w:t>作出</w:t>
      </w:r>
      <w:proofErr w:type="gramEnd"/>
      <w:r w:rsidRPr="00625CFC">
        <w:t>有罪判决的情形，同时口头证据表明，警方审讯期间经常殴打嫌疑人以逼取口供。委员会注意到缔约国在定期报告中提供的信息，即根据通过酷刑获得的供词被定罪的人，始终有权向法院证明自身遭受了酷刑，并以此为由申请司法复审，</w:t>
      </w:r>
      <w:r w:rsidRPr="00625CFC">
        <w:rPr>
          <w:vertAlign w:val="superscript"/>
        </w:rPr>
        <w:footnoteReference w:id="9"/>
      </w:r>
      <w:r w:rsidR="002B3942">
        <w:rPr>
          <w:rFonts w:hint="eastAsia"/>
        </w:rPr>
        <w:t xml:space="preserve"> </w:t>
      </w:r>
      <w:r w:rsidRPr="00625CFC">
        <w:t>但委员会认为，</w:t>
      </w:r>
      <w:proofErr w:type="gramStart"/>
      <w:r w:rsidRPr="00625CFC">
        <w:t>该途径</w:t>
      </w:r>
      <w:proofErr w:type="gramEnd"/>
      <w:r w:rsidRPr="00625CFC">
        <w:t>不足以防范采信通过酷刑取得的供词和陈述，特别是考虑到缔约国在有效调查和申诉机制的使用方面存在的严重缺陷</w:t>
      </w:r>
      <w:r w:rsidRPr="00625CFC">
        <w:t>(</w:t>
      </w:r>
      <w:r w:rsidRPr="00625CFC">
        <w:t>《公约》第</w:t>
      </w:r>
      <w:r w:rsidRPr="00625CFC">
        <w:t>15</w:t>
      </w:r>
      <w:r w:rsidRPr="00625CFC">
        <w:t>条</w:t>
      </w:r>
      <w:r w:rsidRPr="00625CFC">
        <w:t>)</w:t>
      </w:r>
      <w:r w:rsidRPr="00625CFC">
        <w:t>。</w:t>
      </w:r>
    </w:p>
    <w:p w14:paraId="352F2D37" w14:textId="7071B195" w:rsidR="00D022DE" w:rsidRPr="00E7708F" w:rsidRDefault="00D022DE" w:rsidP="00625CFC">
      <w:pPr>
        <w:pStyle w:val="SingleTxtGC"/>
        <w:rPr>
          <w:rFonts w:ascii="Time New Roman" w:eastAsia="黑体" w:hAnsi="Time New Roman"/>
        </w:rPr>
      </w:pPr>
      <w:r w:rsidRPr="00E7708F">
        <w:rPr>
          <w:rFonts w:ascii="Time New Roman" w:eastAsia="黑体" w:hAnsi="Time New Roman"/>
        </w:rPr>
        <w:t>27</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w:t>
      </w:r>
    </w:p>
    <w:p w14:paraId="6DE658D7" w14:textId="5579BDA1"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a</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采取必要的立法措施和其他有效措施，确保通过酷刑或虐待取得的供词、陈述和其他证据在实践中不被采纳为证据，除非是用于指证被控实施酷刑者，证明陈述是通过逼供取得的；确保对诉讼程序中提出的所有酷刑和虐待指控进行迅速、有效、独立的调查，并起诉涉嫌犯罪者，如认定有罪，则予以惩处；</w:t>
      </w:r>
    </w:p>
    <w:p w14:paraId="38EB2359" w14:textId="3A6CB29D"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b</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确保所有警察、国防和安全部队人员、军事人员、法官和检察官接受强制培训，重点强调非强制性审讯技术、禁止酷刑和虐待以及司法机关不采纳通过酷刑所取得供词的义务之间的联系，在这方面应参照《为调查和收集信息进行有效面谈的原则》</w:t>
      </w:r>
      <w:r w:rsidRPr="00E7708F">
        <w:rPr>
          <w:rFonts w:ascii="Time New Roman" w:eastAsia="黑体" w:hAnsi="Time New Roman"/>
        </w:rPr>
        <w:t>(</w:t>
      </w:r>
      <w:r w:rsidRPr="00E7708F">
        <w:rPr>
          <w:rFonts w:ascii="Time New Roman" w:eastAsia="黑体" w:hAnsi="Time New Roman"/>
        </w:rPr>
        <w:t>《门德斯原则》</w:t>
      </w:r>
      <w:r w:rsidRPr="00E7708F">
        <w:rPr>
          <w:rFonts w:ascii="Time New Roman" w:eastAsia="黑体" w:hAnsi="Time New Roman"/>
        </w:rPr>
        <w:t>)</w:t>
      </w:r>
      <w:r w:rsidRPr="00E7708F">
        <w:rPr>
          <w:rFonts w:ascii="Time New Roman" w:eastAsia="黑体" w:hAnsi="Time New Roman"/>
        </w:rPr>
        <w:t>。</w:t>
      </w:r>
    </w:p>
    <w:p w14:paraId="2FB7CEE5" w14:textId="77777777" w:rsidR="00D022DE" w:rsidRPr="00625CFC" w:rsidRDefault="00D022DE" w:rsidP="00F211DE">
      <w:pPr>
        <w:pStyle w:val="H23GC"/>
      </w:pPr>
      <w:r w:rsidRPr="00625CFC">
        <w:lastRenderedPageBreak/>
        <w:tab/>
      </w:r>
      <w:r w:rsidRPr="00625CFC">
        <w:tab/>
      </w:r>
      <w:r w:rsidRPr="00625CFC">
        <w:t>国家人权委员会和国家防范酷刑机制</w:t>
      </w:r>
    </w:p>
    <w:p w14:paraId="3988FE8F" w14:textId="5E686707" w:rsidR="00D022DE" w:rsidRPr="00625CFC" w:rsidRDefault="00D022DE" w:rsidP="00625CFC">
      <w:pPr>
        <w:pStyle w:val="SingleTxtGC"/>
      </w:pPr>
      <w:r w:rsidRPr="00625CFC">
        <w:t>28</w:t>
      </w:r>
      <w:r w:rsidRPr="00625CFC">
        <w:t>.</w:t>
      </w:r>
      <w:r w:rsidRPr="00625CFC">
        <w:tab/>
      </w:r>
      <w:r w:rsidRPr="00625CFC">
        <w:t>委员会注意到，根据</w:t>
      </w:r>
      <w:r w:rsidRPr="00625CFC">
        <w:t>2</w:t>
      </w:r>
      <w:r w:rsidRPr="00625CFC">
        <w:t>0</w:t>
      </w:r>
      <w:r w:rsidRPr="00625CFC">
        <w:t>24</w:t>
      </w:r>
      <w:r w:rsidRPr="00625CFC">
        <w:t>年</w:t>
      </w:r>
      <w:r w:rsidRPr="00625CFC">
        <w:t>11</w:t>
      </w:r>
      <w:r w:rsidRPr="00625CFC">
        <w:t>月</w:t>
      </w:r>
      <w:r w:rsidRPr="00625CFC">
        <w:t>21</w:t>
      </w:r>
      <w:r w:rsidRPr="00625CFC">
        <w:t>日关于重组国家人权委员会的第</w:t>
      </w:r>
      <w:r w:rsidRPr="00625CFC">
        <w:t>0</w:t>
      </w:r>
      <w:r w:rsidRPr="00625CFC">
        <w:t>23</w:t>
      </w:r>
      <w:r w:rsidRPr="00625CFC">
        <w:t>/</w:t>
      </w:r>
      <w:r w:rsidRPr="00625CFC">
        <w:t>2</w:t>
      </w:r>
      <w:r w:rsidRPr="00625CFC">
        <w:t>0</w:t>
      </w:r>
      <w:r w:rsidRPr="00625CFC">
        <w:t>24</w:t>
      </w:r>
      <w:r w:rsidRPr="00625CFC">
        <w:t>号法，缔约国指定该委员会为国家防范酷刑机制。委员会感到遗憾的是，尚未采取必要措施使国家人权委员会投入运作并使其能够作为国家防范机制开始监测活动，特别是在委员任命以及切实分配充足的人力与物质资源方面。在这方面，委员会还注意到，缔约国打算修订第</w:t>
      </w:r>
      <w:r w:rsidRPr="00625CFC">
        <w:t>0</w:t>
      </w:r>
      <w:r w:rsidRPr="00625CFC">
        <w:t>23</w:t>
      </w:r>
      <w:r w:rsidRPr="00625CFC">
        <w:t>/</w:t>
      </w:r>
      <w:r w:rsidRPr="00625CFC">
        <w:t>2</w:t>
      </w:r>
      <w:r w:rsidRPr="00625CFC">
        <w:t>0</w:t>
      </w:r>
      <w:r w:rsidRPr="00625CFC">
        <w:t>24</w:t>
      </w:r>
      <w:r w:rsidRPr="00625CFC">
        <w:t>号法，以消除潜在障碍；目前该法第</w:t>
      </w:r>
      <w:r w:rsidRPr="00625CFC">
        <w:t>21</w:t>
      </w:r>
      <w:r w:rsidRPr="00625CFC">
        <w:t>条规定国家人权委员会委员身份与履行任何其他职务不相容，这阻碍了律师和医生担任委员</w:t>
      </w:r>
      <w:r w:rsidRPr="00625CFC">
        <w:t>(</w:t>
      </w:r>
      <w:r w:rsidRPr="00625CFC">
        <w:t>第</w:t>
      </w:r>
      <w:r w:rsidRPr="00625CFC">
        <w:t>2</w:t>
      </w:r>
      <w:r w:rsidRPr="00625CFC">
        <w:t>条</w:t>
      </w:r>
      <w:r w:rsidRPr="00625CFC">
        <w:t>)</w:t>
      </w:r>
      <w:r w:rsidRPr="00625CFC">
        <w:t>。</w:t>
      </w:r>
    </w:p>
    <w:p w14:paraId="579A85D8" w14:textId="50FD9956" w:rsidR="00D022DE" w:rsidRPr="00E7708F" w:rsidRDefault="00D022DE" w:rsidP="00625CFC">
      <w:pPr>
        <w:pStyle w:val="SingleTxtGC"/>
        <w:rPr>
          <w:rFonts w:ascii="Time New Roman" w:eastAsia="黑体" w:hAnsi="Time New Roman"/>
        </w:rPr>
      </w:pPr>
      <w:r w:rsidRPr="00E7708F">
        <w:rPr>
          <w:rFonts w:ascii="Time New Roman" w:eastAsia="黑体" w:hAnsi="Time New Roman"/>
        </w:rPr>
        <w:t>29</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缔约国应紧急采取措施，使国家人权委员会和国家防范机制投入运作，具体包括：</w:t>
      </w:r>
    </w:p>
    <w:p w14:paraId="5E0D9DC3" w14:textId="770D04CD"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a</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加快修订第</w:t>
      </w:r>
      <w:r w:rsidRPr="00E7708F">
        <w:rPr>
          <w:rFonts w:ascii="Time New Roman" w:eastAsia="黑体" w:hAnsi="Time New Roman"/>
        </w:rPr>
        <w:t>0</w:t>
      </w:r>
      <w:r w:rsidRPr="00E7708F">
        <w:rPr>
          <w:rFonts w:ascii="Time New Roman" w:eastAsia="黑体" w:hAnsi="Time New Roman"/>
        </w:rPr>
        <w:t>23</w:t>
      </w:r>
      <w:r w:rsidRPr="00E7708F">
        <w:rPr>
          <w:rFonts w:ascii="Time New Roman" w:eastAsia="黑体" w:hAnsi="Time New Roman"/>
        </w:rPr>
        <w:t>/</w:t>
      </w:r>
      <w:r w:rsidRPr="00E7708F">
        <w:rPr>
          <w:rFonts w:ascii="Time New Roman" w:eastAsia="黑体" w:hAnsi="Time New Roman"/>
        </w:rPr>
        <w:t>2</w:t>
      </w:r>
      <w:r w:rsidRPr="00E7708F">
        <w:rPr>
          <w:rFonts w:ascii="Time New Roman" w:eastAsia="黑体" w:hAnsi="Time New Roman"/>
        </w:rPr>
        <w:t>0</w:t>
      </w:r>
      <w:r w:rsidRPr="00E7708F">
        <w:rPr>
          <w:rFonts w:ascii="Time New Roman" w:eastAsia="黑体" w:hAnsi="Time New Roman"/>
        </w:rPr>
        <w:t>24</w:t>
      </w:r>
      <w:r w:rsidRPr="00E7708F">
        <w:rPr>
          <w:rFonts w:ascii="Time New Roman" w:eastAsia="黑体" w:hAnsi="Time New Roman"/>
        </w:rPr>
        <w:t>号法，以消除设立国家人权委员会的法律障碍，并毫不拖延地开展其委员的遴选和任命工作；确保采用透明的遴选程序，依照《禁止酷刑和其他残忍、不人道或有辱人格的待遇或处罚公约任择议定书》第</w:t>
      </w:r>
      <w:r w:rsidRPr="00E7708F">
        <w:rPr>
          <w:rFonts w:ascii="Time New Roman" w:eastAsia="黑体" w:hAnsi="Time New Roman"/>
        </w:rPr>
        <w:t>18</w:t>
      </w:r>
      <w:r w:rsidRPr="00E7708F">
        <w:rPr>
          <w:rFonts w:ascii="Time New Roman" w:eastAsia="黑体" w:hAnsi="Time New Roman"/>
        </w:rPr>
        <w:t>条以及《关于促进和保护人权的国家机构的地位的原则》</w:t>
      </w:r>
      <w:r w:rsidRPr="00E7708F">
        <w:rPr>
          <w:rFonts w:ascii="Time New Roman" w:eastAsia="黑体" w:hAnsi="Time New Roman"/>
        </w:rPr>
        <w:t>(</w:t>
      </w:r>
      <w:r w:rsidRPr="00E7708F">
        <w:rPr>
          <w:rFonts w:ascii="Time New Roman" w:eastAsia="黑体" w:hAnsi="Time New Roman"/>
        </w:rPr>
        <w:t>《巴黎原则》</w:t>
      </w:r>
      <w:r w:rsidRPr="00E7708F">
        <w:rPr>
          <w:rFonts w:ascii="Time New Roman" w:eastAsia="黑体" w:hAnsi="Time New Roman"/>
        </w:rPr>
        <w:t>)</w:t>
      </w:r>
      <w:r w:rsidRPr="00E7708F">
        <w:rPr>
          <w:rFonts w:ascii="Time New Roman" w:eastAsia="黑体" w:hAnsi="Time New Roman"/>
        </w:rPr>
        <w:t>，保证委员的独立性和公正性，确保他们在预防酷刑方面具备公认专业能力，而且委员会由多学科人员组成；</w:t>
      </w:r>
    </w:p>
    <w:p w14:paraId="4B6A2A11" w14:textId="497E2F86"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b</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确保国家人权委员会能够完全按照《巴黎原则》履行其任务；</w:t>
      </w:r>
    </w:p>
    <w:p w14:paraId="42DC9B0D" w14:textId="08F1F5AF"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c</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分配充足的人力和财政资源，确保国家人权委员会的有效运作，包括作为国家防范机制开展监测活动，并确保其在职能和财务上的独立性；</w:t>
      </w:r>
    </w:p>
    <w:p w14:paraId="24352980" w14:textId="456AF16C"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d</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为国家防范机制成员提供入职培训和持续培训，培训内容包括探视技巧、被拘留者权利保护的国际标准以及报告编写方法；</w:t>
      </w:r>
    </w:p>
    <w:p w14:paraId="2685DCEE" w14:textId="32BC9493"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e</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确保国家防范机制能够充分行使《禁止酷刑和其他残忍、不人道或有辱人格的待遇或处罚公约任择议定书》第</w:t>
      </w:r>
      <w:r w:rsidRPr="00E7708F">
        <w:rPr>
          <w:rFonts w:ascii="Time New Roman" w:eastAsia="黑体" w:hAnsi="Time New Roman"/>
        </w:rPr>
        <w:t>19</w:t>
      </w:r>
      <w:r w:rsidRPr="00E7708F">
        <w:rPr>
          <w:rFonts w:ascii="Time New Roman" w:eastAsia="黑体" w:hAnsi="Time New Roman"/>
        </w:rPr>
        <w:t>条和第</w:t>
      </w:r>
      <w:r w:rsidRPr="00E7708F">
        <w:rPr>
          <w:rFonts w:ascii="Time New Roman" w:eastAsia="黑体" w:hAnsi="Time New Roman"/>
        </w:rPr>
        <w:t>21</w:t>
      </w:r>
      <w:r w:rsidRPr="00E7708F">
        <w:rPr>
          <w:rFonts w:ascii="Time New Roman" w:eastAsia="黑体" w:hAnsi="Time New Roman"/>
        </w:rPr>
        <w:t>条规定的权力；</w:t>
      </w:r>
    </w:p>
    <w:p w14:paraId="78797099" w14:textId="079CAB2A"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f</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建立一个机制，以监测国家防范机制所提建议的后续行动，并</w:t>
      </w:r>
      <w:proofErr w:type="gramStart"/>
      <w:r w:rsidRPr="00E7708F">
        <w:rPr>
          <w:rFonts w:ascii="Time New Roman" w:eastAsia="黑体" w:hAnsi="Time New Roman"/>
        </w:rPr>
        <w:t>让相关</w:t>
      </w:r>
      <w:proofErr w:type="gramEnd"/>
      <w:r w:rsidRPr="00E7708F">
        <w:rPr>
          <w:rFonts w:ascii="Time New Roman" w:eastAsia="黑体" w:hAnsi="Time New Roman"/>
        </w:rPr>
        <w:t>部委参与其中；</w:t>
      </w:r>
    </w:p>
    <w:p w14:paraId="65E18B20" w14:textId="205F22FB"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g</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促进民间社会参与国家防范机制的活动；</w:t>
      </w:r>
    </w:p>
    <w:p w14:paraId="18A33A0C" w14:textId="7CCDBDEA"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h</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考虑向联合国人权事务高级专员办事处中非区域办事处寻求技术援助。</w:t>
      </w:r>
    </w:p>
    <w:p w14:paraId="48F695A8" w14:textId="77777777" w:rsidR="00D022DE" w:rsidRPr="00625CFC" w:rsidRDefault="00D022DE" w:rsidP="00F211DE">
      <w:pPr>
        <w:pStyle w:val="H23GC"/>
      </w:pPr>
      <w:r w:rsidRPr="00625CFC">
        <w:tab/>
      </w:r>
      <w:r w:rsidRPr="00625CFC">
        <w:tab/>
      </w:r>
      <w:r w:rsidRPr="00625CFC">
        <w:t>监测拘留场所</w:t>
      </w:r>
    </w:p>
    <w:p w14:paraId="36D829D2" w14:textId="4D708A8E" w:rsidR="00D022DE" w:rsidRPr="00625CFC" w:rsidRDefault="00D022DE" w:rsidP="00625CFC">
      <w:pPr>
        <w:pStyle w:val="SingleTxtGC"/>
      </w:pPr>
      <w:r w:rsidRPr="00625CFC">
        <w:t>3</w:t>
      </w:r>
      <w:r w:rsidRPr="00625CFC">
        <w:t>0.</w:t>
      </w:r>
      <w:r w:rsidRPr="00625CFC">
        <w:tab/>
      </w:r>
      <w:r w:rsidRPr="00625CFC">
        <w:t>委员会注意到《刑事诉讼法》第</w:t>
      </w:r>
      <w:r w:rsidRPr="00625CFC">
        <w:t>558</w:t>
      </w:r>
      <w:r w:rsidRPr="00625CFC">
        <w:t>条规定各司法机关可对监狱进行探视，代表团也解释了每次探视后都会编写一份报告，且缔约国报告提及检察官办公室、国家人权委员会及司法服务委员会为防止囚犯之间的暴力行为而开展突击探视，</w:t>
      </w:r>
      <w:r w:rsidRPr="00625CFC">
        <w:rPr>
          <w:vertAlign w:val="superscript"/>
        </w:rPr>
        <w:footnoteReference w:id="10"/>
      </w:r>
      <w:r w:rsidR="002B3942">
        <w:rPr>
          <w:rFonts w:hint="eastAsia"/>
        </w:rPr>
        <w:t xml:space="preserve"> </w:t>
      </w:r>
      <w:r w:rsidRPr="00625CFC">
        <w:t>但委员会关切地注意到，尽管存在这些监测拘留场所的系统，拘留条件依然极其恶劣，且囚犯暴力事件频发。委员会还表示关切的是，民间社会组织在监测拘留场所方面发挥的作用极其有限，并表示遗憾的是，有报告称在某些情况下，尽管有法院命令授权民间社会组织探视某些被拘留者，监狱当局仍拒绝它们进入监狱</w:t>
      </w:r>
      <w:r w:rsidRPr="00625CFC">
        <w:t>(</w:t>
      </w:r>
      <w:r w:rsidRPr="00625CFC">
        <w:t>第</w:t>
      </w:r>
      <w:r w:rsidRPr="00625CFC">
        <w:t>2</w:t>
      </w:r>
      <w:r w:rsidRPr="00625CFC">
        <w:t>、第</w:t>
      </w:r>
      <w:r w:rsidRPr="00625CFC">
        <w:t>11</w:t>
      </w:r>
      <w:r w:rsidRPr="00625CFC">
        <w:t>和第</w:t>
      </w:r>
      <w:r w:rsidRPr="00625CFC">
        <w:t>16</w:t>
      </w:r>
      <w:r w:rsidRPr="00625CFC">
        <w:t>条</w:t>
      </w:r>
      <w:r w:rsidRPr="00625CFC">
        <w:t>)</w:t>
      </w:r>
      <w:r w:rsidRPr="00625CFC">
        <w:t>。</w:t>
      </w:r>
    </w:p>
    <w:p w14:paraId="1DC92453" w14:textId="5B757041" w:rsidR="00D022DE" w:rsidRPr="00E7708F" w:rsidRDefault="00D022DE" w:rsidP="00625CFC">
      <w:pPr>
        <w:pStyle w:val="SingleTxtGC"/>
        <w:rPr>
          <w:rFonts w:ascii="Time New Roman" w:eastAsia="黑体" w:hAnsi="Time New Roman"/>
        </w:rPr>
      </w:pPr>
      <w:r w:rsidRPr="00E7708F">
        <w:rPr>
          <w:rFonts w:ascii="Time New Roman" w:eastAsia="黑体" w:hAnsi="Time New Roman"/>
        </w:rPr>
        <w:lastRenderedPageBreak/>
        <w:t>31</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委员会要求缔约国切实加强对所有剥夺自由场所的独立监测，特别是要确保主管机构的探视能够定期、有效且真正在</w:t>
      </w:r>
      <w:proofErr w:type="gramStart"/>
      <w:r w:rsidRPr="00E7708F">
        <w:rPr>
          <w:rFonts w:ascii="Time New Roman" w:eastAsia="黑体" w:hAnsi="Time New Roman"/>
        </w:rPr>
        <w:t>不</w:t>
      </w:r>
      <w:proofErr w:type="gramEnd"/>
      <w:r w:rsidRPr="00E7708F">
        <w:rPr>
          <w:rFonts w:ascii="Time New Roman" w:eastAsia="黑体" w:hAnsi="Time New Roman"/>
        </w:rPr>
        <w:t>预先通知的情况下进行。应根据这些探视后出具的报告立即采取后续措施，以解决所查明的问题领域。缔约国还应确保获得司法授权的民间社会组织能够不受阻碍地进入监狱。委员会还提请缔约国注意小组委员会关于《禁止酷刑和其他残忍、不人道或有辱人格的待遇或处罚公约任择议定书》第</w:t>
      </w:r>
      <w:r w:rsidRPr="00E7708F">
        <w:rPr>
          <w:rFonts w:ascii="Time New Roman" w:eastAsia="黑体" w:hAnsi="Time New Roman"/>
        </w:rPr>
        <w:t>4</w:t>
      </w:r>
      <w:r w:rsidRPr="00E7708F">
        <w:rPr>
          <w:rFonts w:ascii="Time New Roman" w:eastAsia="黑体" w:hAnsi="Time New Roman"/>
        </w:rPr>
        <w:t>条</w:t>
      </w:r>
      <w:r w:rsidRPr="00E7708F">
        <w:rPr>
          <w:rFonts w:ascii="Time New Roman" w:eastAsia="黑体" w:hAnsi="Time New Roman"/>
        </w:rPr>
        <w:t>(</w:t>
      </w:r>
      <w:r w:rsidRPr="00E7708F">
        <w:rPr>
          <w:rFonts w:ascii="Time New Roman" w:eastAsia="黑体" w:hAnsi="Time New Roman"/>
        </w:rPr>
        <w:t>剥夺自由场所</w:t>
      </w:r>
      <w:r w:rsidRPr="00E7708F">
        <w:rPr>
          <w:rFonts w:ascii="Time New Roman" w:eastAsia="黑体" w:hAnsi="Time New Roman"/>
        </w:rPr>
        <w:t>)</w:t>
      </w:r>
      <w:r w:rsidRPr="00E7708F">
        <w:rPr>
          <w:rFonts w:ascii="Time New Roman" w:eastAsia="黑体" w:hAnsi="Time New Roman"/>
        </w:rPr>
        <w:t>的第</w:t>
      </w:r>
      <w:r w:rsidRPr="00E7708F">
        <w:rPr>
          <w:rFonts w:ascii="Time New Roman" w:eastAsia="黑体" w:hAnsi="Time New Roman"/>
        </w:rPr>
        <w:t>1</w:t>
      </w:r>
      <w:r w:rsidRPr="00E7708F">
        <w:rPr>
          <w:rFonts w:ascii="Time New Roman" w:eastAsia="黑体" w:hAnsi="Time New Roman"/>
        </w:rPr>
        <w:t>号一般性意见</w:t>
      </w:r>
      <w:r w:rsidRPr="00E7708F">
        <w:rPr>
          <w:rFonts w:ascii="Time New Roman" w:eastAsia="黑体" w:hAnsi="Time New Roman"/>
        </w:rPr>
        <w:t>(</w:t>
      </w:r>
      <w:r w:rsidRPr="00E7708F">
        <w:rPr>
          <w:rFonts w:ascii="Time New Roman" w:eastAsia="黑体" w:hAnsi="Time New Roman"/>
        </w:rPr>
        <w:t>2</w:t>
      </w:r>
      <w:r w:rsidRPr="00E7708F">
        <w:rPr>
          <w:rFonts w:ascii="Time New Roman" w:eastAsia="黑体" w:hAnsi="Time New Roman"/>
        </w:rPr>
        <w:t>0</w:t>
      </w:r>
      <w:r w:rsidRPr="00E7708F">
        <w:rPr>
          <w:rFonts w:ascii="Time New Roman" w:eastAsia="黑体" w:hAnsi="Time New Roman"/>
        </w:rPr>
        <w:t>24</w:t>
      </w:r>
      <w:r w:rsidRPr="00E7708F">
        <w:rPr>
          <w:rFonts w:ascii="Time New Roman" w:eastAsia="黑体" w:hAnsi="Time New Roman"/>
        </w:rPr>
        <w:t>年</w:t>
      </w:r>
      <w:r w:rsidRPr="00E7708F">
        <w:rPr>
          <w:rFonts w:ascii="Time New Roman" w:eastAsia="黑体" w:hAnsi="Time New Roman"/>
        </w:rPr>
        <w:t>)</w:t>
      </w:r>
      <w:r w:rsidRPr="00E7708F">
        <w:rPr>
          <w:rFonts w:ascii="Time New Roman" w:eastAsia="黑体" w:hAnsi="Time New Roman"/>
        </w:rPr>
        <w:t>。</w:t>
      </w:r>
    </w:p>
    <w:p w14:paraId="48833F1F" w14:textId="77777777" w:rsidR="00D022DE" w:rsidRPr="00625CFC" w:rsidRDefault="00D022DE" w:rsidP="00F211DE">
      <w:pPr>
        <w:pStyle w:val="H23GC"/>
      </w:pPr>
      <w:r w:rsidRPr="00625CFC">
        <w:tab/>
      </w:r>
      <w:r w:rsidRPr="00625CFC">
        <w:tab/>
      </w:r>
      <w:proofErr w:type="gramStart"/>
      <w:r w:rsidRPr="00625CFC">
        <w:t>不</w:t>
      </w:r>
      <w:proofErr w:type="gramEnd"/>
      <w:r w:rsidRPr="00625CFC">
        <w:t>推回和庇护</w:t>
      </w:r>
    </w:p>
    <w:p w14:paraId="6E19603A" w14:textId="789425FB" w:rsidR="00D022DE" w:rsidRPr="00625CFC" w:rsidRDefault="00D022DE" w:rsidP="00625CFC">
      <w:pPr>
        <w:pStyle w:val="SingleTxtGC"/>
      </w:pPr>
      <w:r w:rsidRPr="00625CFC">
        <w:t>32</w:t>
      </w:r>
      <w:r w:rsidRPr="00625CFC">
        <w:t>.</w:t>
      </w:r>
      <w:r w:rsidRPr="00625CFC">
        <w:tab/>
      </w:r>
      <w:r w:rsidRPr="00625CFC">
        <w:t>委员会感到关切的是，</w:t>
      </w:r>
      <w:proofErr w:type="gramStart"/>
      <w:r w:rsidRPr="00625CFC">
        <w:t>不</w:t>
      </w:r>
      <w:proofErr w:type="gramEnd"/>
      <w:r w:rsidRPr="00625CFC">
        <w:t>推回原则没有被明确纳入国家立法。委员会特别感到关切的是，缺乏对酷刑风险的自动化个案评估，也缺乏具有中止效力的有效补救措施。委员会注意到《刑事诉讼法》第</w:t>
      </w:r>
      <w:r w:rsidRPr="00625CFC">
        <w:t>635</w:t>
      </w:r>
      <w:r w:rsidRPr="00625CFC">
        <w:t>条第</w:t>
      </w:r>
      <w:r w:rsidRPr="00625CFC">
        <w:t>4</w:t>
      </w:r>
      <w:r w:rsidRPr="00625CFC">
        <w:t>款，其中规定上诉法院的</w:t>
      </w:r>
      <w:proofErr w:type="gramStart"/>
      <w:r w:rsidRPr="00625CFC">
        <w:t>起诉庭若认为</w:t>
      </w:r>
      <w:proofErr w:type="gramEnd"/>
      <w:r w:rsidRPr="00625CFC">
        <w:t>不符合引渡条件或存在明显错误，可拒绝引渡，且该决定对行政部门具有约束力，但委员会表示关切的是，代表团提供的信息表明，在若干案件中，通过警方之间移交被逮捕人员，规避了引渡程序，从而规避了拒绝引渡的可能性。在这方面，委员会对数起引渡案件深表关切，特别是在有可信指称表明存在虐待风险的情况下，仍将相关人员引渡至喀麦隆和土耳其。委员会还关切地注意到，</w:t>
      </w:r>
      <w:r w:rsidRPr="00625CFC">
        <w:t>1986</w:t>
      </w:r>
      <w:r w:rsidRPr="00625CFC">
        <w:t>年</w:t>
      </w:r>
      <w:r w:rsidRPr="00625CFC">
        <w:t>6</w:t>
      </w:r>
      <w:r w:rsidRPr="00625CFC">
        <w:t>月</w:t>
      </w:r>
      <w:r w:rsidRPr="00625CFC">
        <w:t>17</w:t>
      </w:r>
      <w:r w:rsidRPr="00625CFC">
        <w:t>日第</w:t>
      </w:r>
      <w:r w:rsidRPr="00625CFC">
        <w:t>5</w:t>
      </w:r>
      <w:r w:rsidRPr="00625CFC">
        <w:t>/</w:t>
      </w:r>
      <w:r w:rsidRPr="00625CFC">
        <w:t>86</w:t>
      </w:r>
      <w:r w:rsidRPr="00625CFC">
        <w:t>号法规定了外国人在加蓬入境和停留的规则，将非正常移民定为刑事犯罪；此外，该国缺乏确定难民身份的标准操作程序，也缺乏在酷刑受害者入境寻求庇护时对其身份进行识别的具体机制，这就增加了这些人面临的被推回风险，并阻碍他们被转介到主管专门机构。委员会还感到遗憾的是，有报告称，寻求庇护者在等待关于其难民身份的决定期间实际上无法获得医疗服务</w:t>
      </w:r>
      <w:r w:rsidRPr="00625CFC">
        <w:t>(</w:t>
      </w:r>
      <w:r w:rsidRPr="00625CFC">
        <w:t>第</w:t>
      </w:r>
      <w:r w:rsidRPr="00625CFC">
        <w:t>2</w:t>
      </w:r>
      <w:r w:rsidRPr="00625CFC">
        <w:t>、第</w:t>
      </w:r>
      <w:r w:rsidRPr="00625CFC">
        <w:t>3</w:t>
      </w:r>
      <w:r w:rsidRPr="00625CFC">
        <w:t>和第</w:t>
      </w:r>
      <w:r w:rsidRPr="00625CFC">
        <w:t>16</w:t>
      </w:r>
      <w:r w:rsidRPr="00625CFC">
        <w:t>条</w:t>
      </w:r>
      <w:r w:rsidRPr="00625CFC">
        <w:t>)</w:t>
      </w:r>
      <w:r w:rsidRPr="00625CFC">
        <w:t>。</w:t>
      </w:r>
    </w:p>
    <w:p w14:paraId="5E8D7459" w14:textId="21398EB8" w:rsidR="00D022DE" w:rsidRPr="00E7708F" w:rsidRDefault="00D022DE" w:rsidP="00625CFC">
      <w:pPr>
        <w:pStyle w:val="SingleTxtGC"/>
        <w:rPr>
          <w:rFonts w:ascii="Time New Roman" w:eastAsia="黑体" w:hAnsi="Time New Roman"/>
        </w:rPr>
      </w:pPr>
      <w:r w:rsidRPr="00E7708F">
        <w:rPr>
          <w:rFonts w:ascii="Time New Roman" w:eastAsia="黑体" w:hAnsi="Time New Roman"/>
        </w:rPr>
        <w:t>33</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w:t>
      </w:r>
    </w:p>
    <w:p w14:paraId="73B56E18" w14:textId="4E964638"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a</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将</w:t>
      </w:r>
      <w:proofErr w:type="gramStart"/>
      <w:r w:rsidRPr="00E7708F">
        <w:rPr>
          <w:rFonts w:ascii="Time New Roman" w:eastAsia="黑体" w:hAnsi="Time New Roman"/>
        </w:rPr>
        <w:t>不</w:t>
      </w:r>
      <w:proofErr w:type="gramEnd"/>
      <w:r w:rsidRPr="00E7708F">
        <w:rPr>
          <w:rFonts w:ascii="Time New Roman" w:eastAsia="黑体" w:hAnsi="Time New Roman"/>
        </w:rPr>
        <w:t>推回原则切实纳入国家法律，并确保其在实践中得到落实，确保不得将任何人驱逐、遣返或引渡到有充分理由相信其将面临酷刑或虐待危险的另一国家；</w:t>
      </w:r>
    </w:p>
    <w:p w14:paraId="124D80EA" w14:textId="00159E8B"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b</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确保任何驱逐或引渡措施均须经过彻底的个案评估，包括对目的地国酷刑风险的评估；并确保</w:t>
      </w:r>
      <w:proofErr w:type="gramStart"/>
      <w:r w:rsidRPr="00E7708F">
        <w:rPr>
          <w:rFonts w:ascii="Time New Roman" w:eastAsia="黑体" w:hAnsi="Time New Roman"/>
        </w:rPr>
        <w:t>任何面临</w:t>
      </w:r>
      <w:proofErr w:type="gramEnd"/>
      <w:r w:rsidRPr="00E7708F">
        <w:rPr>
          <w:rFonts w:ascii="Time New Roman" w:eastAsia="黑体" w:hAnsi="Time New Roman"/>
        </w:rPr>
        <w:t>引渡或驱逐程序的人员，都能有效获得独立司法机关具有中止效力的补救措施；</w:t>
      </w:r>
    </w:p>
    <w:p w14:paraId="42573D97" w14:textId="586FFCF5"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c</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针对所有安全合作及向其他国家引渡个人的行为，采用符合国际人权法的透明程序，并制定明确准则，以防止规避核实引渡请求合法性的程序；</w:t>
      </w:r>
    </w:p>
    <w:p w14:paraId="27E2A69E" w14:textId="5B482144"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d</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确保当局接受有关《公约》规定的</w:t>
      </w:r>
      <w:proofErr w:type="gramStart"/>
      <w:r w:rsidRPr="00E7708F">
        <w:rPr>
          <w:rFonts w:ascii="Time New Roman" w:eastAsia="黑体" w:hAnsi="Time New Roman"/>
        </w:rPr>
        <w:t>不</w:t>
      </w:r>
      <w:proofErr w:type="gramEnd"/>
      <w:r w:rsidRPr="00E7708F">
        <w:rPr>
          <w:rFonts w:ascii="Time New Roman" w:eastAsia="黑体" w:hAnsi="Time New Roman"/>
        </w:rPr>
        <w:t>推回原则的持续培训；</w:t>
      </w:r>
    </w:p>
    <w:p w14:paraId="3D1ED04B" w14:textId="79310225"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e</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对违反</w:t>
      </w:r>
      <w:proofErr w:type="gramStart"/>
      <w:r w:rsidRPr="00E7708F">
        <w:rPr>
          <w:rFonts w:ascii="Time New Roman" w:eastAsia="黑体" w:hAnsi="Time New Roman"/>
        </w:rPr>
        <w:t>不</w:t>
      </w:r>
      <w:proofErr w:type="gramEnd"/>
      <w:r w:rsidRPr="00E7708F">
        <w:rPr>
          <w:rFonts w:ascii="Time New Roman" w:eastAsia="黑体" w:hAnsi="Time New Roman"/>
        </w:rPr>
        <w:t>推回原则而实施的驱逐和引渡行为启动调查；</w:t>
      </w:r>
    </w:p>
    <w:p w14:paraId="62299F5E" w14:textId="682C3A7A"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f</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修订</w:t>
      </w:r>
      <w:r w:rsidRPr="00E7708F">
        <w:rPr>
          <w:rFonts w:ascii="Time New Roman" w:eastAsia="黑体" w:hAnsi="Time New Roman"/>
        </w:rPr>
        <w:t>1986</w:t>
      </w:r>
      <w:r w:rsidRPr="00E7708F">
        <w:rPr>
          <w:rFonts w:ascii="Time New Roman" w:eastAsia="黑体" w:hAnsi="Time New Roman"/>
        </w:rPr>
        <w:t>年</w:t>
      </w:r>
      <w:r w:rsidRPr="00E7708F">
        <w:rPr>
          <w:rFonts w:ascii="Time New Roman" w:eastAsia="黑体" w:hAnsi="Time New Roman"/>
        </w:rPr>
        <w:t>6</w:t>
      </w:r>
      <w:r w:rsidRPr="00E7708F">
        <w:rPr>
          <w:rFonts w:ascii="Time New Roman" w:eastAsia="黑体" w:hAnsi="Time New Roman"/>
        </w:rPr>
        <w:t>月</w:t>
      </w:r>
      <w:r w:rsidRPr="00E7708F">
        <w:rPr>
          <w:rFonts w:ascii="Time New Roman" w:eastAsia="黑体" w:hAnsi="Time New Roman"/>
        </w:rPr>
        <w:t>17</w:t>
      </w:r>
      <w:r w:rsidRPr="00E7708F">
        <w:rPr>
          <w:rFonts w:ascii="Time New Roman" w:eastAsia="黑体" w:hAnsi="Time New Roman"/>
        </w:rPr>
        <w:t>日第</w:t>
      </w:r>
      <w:r w:rsidRPr="00E7708F">
        <w:rPr>
          <w:rFonts w:ascii="Time New Roman" w:eastAsia="黑体" w:hAnsi="Time New Roman"/>
        </w:rPr>
        <w:t>5</w:t>
      </w:r>
      <w:r w:rsidRPr="00E7708F">
        <w:rPr>
          <w:rFonts w:ascii="Time New Roman" w:eastAsia="黑体" w:hAnsi="Time New Roman"/>
        </w:rPr>
        <w:t>/</w:t>
      </w:r>
      <w:r w:rsidRPr="00E7708F">
        <w:rPr>
          <w:rFonts w:ascii="Time New Roman" w:eastAsia="黑体" w:hAnsi="Time New Roman"/>
        </w:rPr>
        <w:t>86</w:t>
      </w:r>
      <w:r w:rsidRPr="00E7708F">
        <w:rPr>
          <w:rFonts w:ascii="Time New Roman" w:eastAsia="黑体" w:hAnsi="Time New Roman"/>
        </w:rPr>
        <w:t>号法，废除将非正常移民定为犯罪的条款，并确保所有进入或试图进入缔约国的寻求庇护者和其他需要国际保护的人员，无论其法律地位和入境方式如何，均能利用公正有效的难民身份确定程序，且不被推回；</w:t>
      </w:r>
    </w:p>
    <w:p w14:paraId="71D3B5FB" w14:textId="03CC5009"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g</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确保及时识别酷刑受害者并提供专门服务，包括医疗服务，并采取措施确保在实践中等待难民身份最终决定的寻求庇护者能够获得初级医疗保健服务。</w:t>
      </w:r>
    </w:p>
    <w:p w14:paraId="61F96068" w14:textId="77777777" w:rsidR="00D022DE" w:rsidRPr="00625CFC" w:rsidRDefault="00D022DE" w:rsidP="00F211DE">
      <w:pPr>
        <w:pStyle w:val="H23GC"/>
      </w:pPr>
      <w:r w:rsidRPr="00625CFC">
        <w:lastRenderedPageBreak/>
        <w:tab/>
      </w:r>
      <w:r w:rsidRPr="00625CFC">
        <w:tab/>
      </w:r>
      <w:r w:rsidRPr="00625CFC">
        <w:t>仪式犯罪</w:t>
      </w:r>
    </w:p>
    <w:p w14:paraId="36F46A4C" w14:textId="50272A75" w:rsidR="00D022DE" w:rsidRPr="00625CFC" w:rsidRDefault="00D022DE" w:rsidP="00625CFC">
      <w:pPr>
        <w:pStyle w:val="SingleTxtGC"/>
      </w:pPr>
      <w:r w:rsidRPr="00625CFC">
        <w:t>34</w:t>
      </w:r>
      <w:r w:rsidRPr="00625CFC">
        <w:t>.</w:t>
      </w:r>
      <w:r w:rsidRPr="00625CFC">
        <w:tab/>
      </w:r>
      <w:r w:rsidRPr="00625CFC">
        <w:t>委员会注意到《刑法》第</w:t>
      </w:r>
      <w:r w:rsidRPr="00625CFC">
        <w:t>223</w:t>
      </w:r>
      <w:r w:rsidRPr="00625CFC">
        <w:t>-</w:t>
      </w:r>
      <w:r w:rsidRPr="00625CFC">
        <w:t>4</w:t>
      </w:r>
      <w:r w:rsidRPr="00625CFC">
        <w:t>.</w:t>
      </w:r>
      <w:r w:rsidRPr="00625CFC">
        <w:t>1</w:t>
      </w:r>
      <w:r w:rsidRPr="00625CFC">
        <w:t>条和第</w:t>
      </w:r>
      <w:r w:rsidRPr="00625CFC">
        <w:t>224</w:t>
      </w:r>
      <w:r w:rsidRPr="00625CFC">
        <w:t>-</w:t>
      </w:r>
      <w:r w:rsidRPr="00625CFC">
        <w:t>2</w:t>
      </w:r>
      <w:r w:rsidRPr="00625CFC">
        <w:t>条将仪式谋杀定为一种具体罪行，但委员会感到遗憾的是，该法律未将不构成谋杀的仪式犯罪也定为具体罪行。委员会表示严重关切的是，这些犯罪行为持续且普遍存在，行为人受获取或维系超自然能力相关迷信思想驱使，实施抽取人体血液、摘取人体器官，以及残害生者或死者躯体的行为，特别针对儿童和残疾人。委员会对民间社会提供的统计数据深感关切，根据该统计数据，</w:t>
      </w:r>
      <w:r w:rsidRPr="00625CFC">
        <w:t>2</w:t>
      </w:r>
      <w:r w:rsidRPr="00625CFC">
        <w:t>0</w:t>
      </w:r>
      <w:r w:rsidRPr="00625CFC">
        <w:t>22</w:t>
      </w:r>
      <w:r w:rsidRPr="00625CFC">
        <w:t>年</w:t>
      </w:r>
      <w:r w:rsidRPr="00625CFC">
        <w:t>8</w:t>
      </w:r>
      <w:r w:rsidRPr="00625CFC">
        <w:t>月</w:t>
      </w:r>
      <w:r w:rsidRPr="00625CFC">
        <w:t>3</w:t>
      </w:r>
      <w:r w:rsidRPr="00625CFC">
        <w:t>0</w:t>
      </w:r>
      <w:r w:rsidRPr="00625CFC">
        <w:t>日至</w:t>
      </w:r>
      <w:r w:rsidRPr="00625CFC">
        <w:t>2</w:t>
      </w:r>
      <w:r w:rsidRPr="00625CFC">
        <w:t>0</w:t>
      </w:r>
      <w:r w:rsidRPr="00625CFC">
        <w:t>26</w:t>
      </w:r>
      <w:r w:rsidRPr="00625CFC">
        <w:t>年</w:t>
      </w:r>
      <w:r w:rsidRPr="00625CFC">
        <w:t>1</w:t>
      </w:r>
      <w:r w:rsidRPr="00625CFC">
        <w:t>月</w:t>
      </w:r>
      <w:r w:rsidRPr="00625CFC">
        <w:t>25</w:t>
      </w:r>
      <w:r w:rsidRPr="00625CFC">
        <w:t>日期间记录了</w:t>
      </w:r>
      <w:r w:rsidRPr="00625CFC">
        <w:t>28</w:t>
      </w:r>
      <w:r w:rsidRPr="00625CFC">
        <w:t>起仪式犯罪案件，而且据报自</w:t>
      </w:r>
      <w:r w:rsidRPr="00625CFC">
        <w:t>2</w:t>
      </w:r>
      <w:r w:rsidRPr="00625CFC">
        <w:t>0</w:t>
      </w:r>
      <w:r w:rsidRPr="00625CFC">
        <w:t>25</w:t>
      </w:r>
      <w:r w:rsidRPr="00625CFC">
        <w:t>年底以来此类犯罪再次抬头。委员会还感到关切的是，缔约国没有提供准确、详细的信息，说明这个问题的规模、开展的调查、提起的法律诉讼、举行的审判、对此类犯罪的实施者判处的刑罚、提供的补救措施以及采取的提高认识措施</w:t>
      </w:r>
      <w:r w:rsidRPr="00625CFC">
        <w:t>(</w:t>
      </w:r>
      <w:r w:rsidRPr="00625CFC">
        <w:t>第</w:t>
      </w:r>
      <w:r w:rsidRPr="00625CFC">
        <w:t>2</w:t>
      </w:r>
      <w:r w:rsidRPr="00625CFC">
        <w:t>和第</w:t>
      </w:r>
      <w:r w:rsidRPr="00625CFC">
        <w:t>16</w:t>
      </w:r>
      <w:r w:rsidRPr="00625CFC">
        <w:t>条</w:t>
      </w:r>
      <w:r w:rsidRPr="00625CFC">
        <w:t>)</w:t>
      </w:r>
      <w:r w:rsidRPr="00625CFC">
        <w:t>。</w:t>
      </w:r>
    </w:p>
    <w:p w14:paraId="599EAA64" w14:textId="31C9FE7D" w:rsidR="00D022DE" w:rsidRPr="00E7708F" w:rsidRDefault="00D022DE" w:rsidP="00625CFC">
      <w:pPr>
        <w:pStyle w:val="SingleTxtGC"/>
        <w:rPr>
          <w:rFonts w:ascii="Time New Roman" w:eastAsia="黑体" w:hAnsi="Time New Roman"/>
        </w:rPr>
      </w:pPr>
      <w:r w:rsidRPr="00E7708F">
        <w:rPr>
          <w:rFonts w:ascii="Time New Roman" w:eastAsia="黑体" w:hAnsi="Time New Roman"/>
        </w:rPr>
        <w:t>35</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委员会强烈促请缔约国：</w:t>
      </w:r>
    </w:p>
    <w:p w14:paraId="36FBB4CA" w14:textId="0994A565"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a</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采取有效的预防和保护措施，尤其关注弱势群体，打击仪式犯罪，包括将除谋杀之外的仪式犯罪列为具体的刑事犯罪；</w:t>
      </w:r>
    </w:p>
    <w:p w14:paraId="715389E3" w14:textId="2699D3D5"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b</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调查这些犯罪行为，起诉涉嫌犯罪者，追究其责任，如果被判有罪，则予以惩罚；</w:t>
      </w:r>
    </w:p>
    <w:p w14:paraId="2CDDC7DF" w14:textId="7660586F"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c</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采取措施向受害者提供补救、赔偿或康复，如果受害者已经死亡，则向其家人提供补救、赔偿或康复；</w:t>
      </w:r>
    </w:p>
    <w:p w14:paraId="534979F9" w14:textId="692D9428"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d</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开展调查以确定问题的规模，并加大力度提高公众对此问题的认识。</w:t>
      </w:r>
    </w:p>
    <w:p w14:paraId="44D915A1" w14:textId="77777777" w:rsidR="00D022DE" w:rsidRPr="00625CFC" w:rsidRDefault="00D022DE" w:rsidP="00F211DE">
      <w:pPr>
        <w:pStyle w:val="H23GC"/>
      </w:pPr>
      <w:r w:rsidRPr="00625CFC">
        <w:tab/>
      </w:r>
      <w:r w:rsidRPr="00625CFC">
        <w:tab/>
      </w:r>
      <w:r w:rsidRPr="00625CFC">
        <w:t>人权维护者</w:t>
      </w:r>
    </w:p>
    <w:p w14:paraId="571FA8F7" w14:textId="6592BBD0" w:rsidR="00D022DE" w:rsidRPr="00625CFC" w:rsidRDefault="00D022DE" w:rsidP="00625CFC">
      <w:pPr>
        <w:pStyle w:val="SingleTxtGC"/>
      </w:pPr>
      <w:r w:rsidRPr="00625CFC">
        <w:t>36</w:t>
      </w:r>
      <w:r w:rsidRPr="00625CFC">
        <w:t>.</w:t>
      </w:r>
      <w:r w:rsidRPr="00625CFC">
        <w:tab/>
      </w:r>
      <w:r w:rsidRPr="00625CFC">
        <w:t>委员会关切地注意到，有报告</w:t>
      </w:r>
      <w:proofErr w:type="gramStart"/>
      <w:r w:rsidRPr="00625CFC">
        <w:t>称公民</w:t>
      </w:r>
      <w:proofErr w:type="gramEnd"/>
      <w:r w:rsidRPr="00625CFC">
        <w:t>活动空间受到限制，人权维护者的权利遭到侵犯，相关做法旨在阻挠其开展活动，手段包括任意逮捕、长期拘留以及恐吓行为，此类行为可能构成虐待。委员会还关切地注意到有关恶意起诉、行政限制以及诽谤运动的相关报告</w:t>
      </w:r>
      <w:r w:rsidRPr="00625CFC">
        <w:t>(</w:t>
      </w:r>
      <w:r w:rsidRPr="00625CFC">
        <w:t>第</w:t>
      </w:r>
      <w:r w:rsidRPr="00625CFC">
        <w:t>16</w:t>
      </w:r>
      <w:r w:rsidRPr="00625CFC">
        <w:t>条</w:t>
      </w:r>
      <w:r w:rsidRPr="00625CFC">
        <w:t>)</w:t>
      </w:r>
      <w:r w:rsidRPr="00625CFC">
        <w:t>。</w:t>
      </w:r>
    </w:p>
    <w:p w14:paraId="74A1DFA6" w14:textId="4A11EBD3" w:rsidR="00D022DE" w:rsidRPr="00E7708F" w:rsidRDefault="00D022DE" w:rsidP="00625CFC">
      <w:pPr>
        <w:pStyle w:val="SingleTxtGC"/>
        <w:rPr>
          <w:rFonts w:ascii="Time New Roman" w:eastAsia="黑体" w:hAnsi="Time New Roman"/>
        </w:rPr>
      </w:pPr>
      <w:r w:rsidRPr="00E7708F">
        <w:rPr>
          <w:rFonts w:ascii="Time New Roman" w:eastAsia="黑体" w:hAnsi="Time New Roman"/>
        </w:rPr>
        <w:t>37</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缔约国应采取一切必要措施，包括根据国际人权标准通过法律保护人</w:t>
      </w:r>
      <w:proofErr w:type="gramStart"/>
      <w:r w:rsidRPr="00E7708F">
        <w:rPr>
          <w:rFonts w:ascii="Time New Roman" w:eastAsia="黑体" w:hAnsi="Time New Roman"/>
        </w:rPr>
        <w:t>权维护</w:t>
      </w:r>
      <w:proofErr w:type="gramEnd"/>
      <w:r w:rsidRPr="00E7708F">
        <w:rPr>
          <w:rFonts w:ascii="Time New Roman" w:eastAsia="黑体" w:hAnsi="Time New Roman"/>
        </w:rPr>
        <w:t>者的权利，以确保有效保护其权利免遭一切形式的侵犯。缔约国应确保彻底调查针对人权维护者的所有侵犯人权行为，将责任人绳之以法，并确保受害者通常能够获得有效的补救，特别是在虐待案件中。</w:t>
      </w:r>
    </w:p>
    <w:p w14:paraId="010DCDEF" w14:textId="77777777" w:rsidR="00D022DE" w:rsidRPr="00625CFC" w:rsidRDefault="00D022DE" w:rsidP="00F211DE">
      <w:pPr>
        <w:pStyle w:val="H23GC"/>
      </w:pPr>
      <w:r w:rsidRPr="00625CFC">
        <w:tab/>
      </w:r>
      <w:r w:rsidRPr="00625CFC">
        <w:tab/>
      </w:r>
      <w:r w:rsidRPr="00625CFC">
        <w:t>人工流产服务的可及性</w:t>
      </w:r>
    </w:p>
    <w:p w14:paraId="09A1E939" w14:textId="7B022308" w:rsidR="00D022DE" w:rsidRPr="00625CFC" w:rsidRDefault="00D022DE" w:rsidP="00625CFC">
      <w:pPr>
        <w:pStyle w:val="SingleTxtGC"/>
      </w:pPr>
      <w:r w:rsidRPr="00625CFC">
        <w:t>38</w:t>
      </w:r>
      <w:r w:rsidRPr="00625CFC">
        <w:t>.</w:t>
      </w:r>
      <w:r w:rsidRPr="00625CFC">
        <w:tab/>
      </w:r>
      <w:r w:rsidRPr="00625CFC">
        <w:t>委员会关切地注意到，《刑法典》第</w:t>
      </w:r>
      <w:r w:rsidRPr="00625CFC">
        <w:t>245</w:t>
      </w:r>
      <w:r w:rsidRPr="00625CFC">
        <w:t>条规定的堕胎非罪化例外情形未涵盖怀孕危及妇女健康的情况；而关于怀孕威胁妇女生命的例外规定，似乎仅适用于妇女生命面临紧迫危险的情形。该法中使用的</w:t>
      </w:r>
      <w:r w:rsidRPr="00625CFC">
        <w:rPr>
          <w:rFonts w:hint="eastAsia"/>
        </w:rPr>
        <w:t>“</w:t>
      </w:r>
      <w:r w:rsidRPr="00625CFC">
        <w:t>当怀孕严重危及母亲生命时</w:t>
      </w:r>
      <w:r w:rsidRPr="00625CFC">
        <w:rPr>
          <w:rFonts w:hint="eastAsia"/>
        </w:rPr>
        <w:t>”</w:t>
      </w:r>
      <w:r w:rsidRPr="00625CFC">
        <w:t>这一表述限制了获得治疗性堕胎的机会，进而迫使妇女和少女寻求秘密堕胎，并使她们以及实施堕胎的医生面临刑事处罚</w:t>
      </w:r>
      <w:r w:rsidRPr="00625CFC">
        <w:t>(</w:t>
      </w:r>
      <w:r w:rsidRPr="00625CFC">
        <w:t>第</w:t>
      </w:r>
      <w:r w:rsidRPr="00625CFC">
        <w:t>2</w:t>
      </w:r>
      <w:r w:rsidRPr="00625CFC">
        <w:t>和第</w:t>
      </w:r>
      <w:r w:rsidRPr="00625CFC">
        <w:t>16</w:t>
      </w:r>
      <w:r w:rsidRPr="00625CFC">
        <w:t>条</w:t>
      </w:r>
      <w:r w:rsidRPr="00625CFC">
        <w:t>)</w:t>
      </w:r>
      <w:r w:rsidRPr="00625CFC">
        <w:t>。</w:t>
      </w:r>
    </w:p>
    <w:p w14:paraId="237CE74F" w14:textId="57AF82E5" w:rsidR="00D022DE" w:rsidRPr="00E7708F" w:rsidRDefault="00D022DE" w:rsidP="00625CFC">
      <w:pPr>
        <w:pStyle w:val="SingleTxtGC"/>
        <w:rPr>
          <w:rFonts w:ascii="Time New Roman" w:eastAsia="黑体" w:hAnsi="Time New Roman"/>
        </w:rPr>
      </w:pPr>
      <w:r w:rsidRPr="00E7708F">
        <w:rPr>
          <w:rFonts w:ascii="Time New Roman" w:eastAsia="黑体" w:hAnsi="Time New Roman"/>
        </w:rPr>
        <w:t>39</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缔约国应考虑</w:t>
      </w:r>
      <w:r w:rsidRPr="00E7708F">
        <w:rPr>
          <w:rFonts w:ascii="Time New Roman" w:eastAsia="黑体" w:hAnsi="Time New Roman"/>
        </w:rPr>
        <w:t>2</w:t>
      </w:r>
      <w:r w:rsidRPr="00E7708F">
        <w:rPr>
          <w:rFonts w:ascii="Time New Roman" w:eastAsia="黑体" w:hAnsi="Time New Roman"/>
        </w:rPr>
        <w:t>0</w:t>
      </w:r>
      <w:r w:rsidRPr="00E7708F">
        <w:rPr>
          <w:rFonts w:ascii="Time New Roman" w:eastAsia="黑体" w:hAnsi="Time New Roman"/>
        </w:rPr>
        <w:t>22</w:t>
      </w:r>
      <w:r w:rsidRPr="00E7708F">
        <w:rPr>
          <w:rFonts w:ascii="Time New Roman" w:eastAsia="黑体" w:hAnsi="Time New Roman"/>
        </w:rPr>
        <w:t>年更新的世界卫生组织堕胎护理指南。缔约国应当保障妇女能够获得安全、合法的堕胎服务，至少在缔约国法律规定情形以及怀孕危及妇女生命或健康的情形下实现上述保障。缔约国应当消除阻碍获得堕胎服务与堕胎后护理的各类障碍，并取消针对妇女和医务人员的惩罚性措施。此外，缔约国应当确保医疗服务提供者不会因提供此类护理而受到刑事或行政处罚。</w:t>
      </w:r>
    </w:p>
    <w:p w14:paraId="09C27823" w14:textId="77777777" w:rsidR="00D022DE" w:rsidRPr="00625CFC" w:rsidRDefault="00D022DE" w:rsidP="00F211DE">
      <w:pPr>
        <w:pStyle w:val="H23GC"/>
      </w:pPr>
      <w:r w:rsidRPr="00625CFC">
        <w:lastRenderedPageBreak/>
        <w:tab/>
      </w:r>
      <w:r w:rsidRPr="00625CFC">
        <w:tab/>
      </w:r>
      <w:r w:rsidRPr="00625CFC">
        <w:t>贩运人口</w:t>
      </w:r>
    </w:p>
    <w:p w14:paraId="04879BEA" w14:textId="612318B5" w:rsidR="00D022DE" w:rsidRPr="00625CFC" w:rsidRDefault="00D022DE" w:rsidP="00625CFC">
      <w:pPr>
        <w:pStyle w:val="SingleTxtGC"/>
      </w:pPr>
      <w:r w:rsidRPr="00625CFC">
        <w:t>4</w:t>
      </w:r>
      <w:r w:rsidRPr="00625CFC">
        <w:t>0.</w:t>
      </w:r>
      <w:r w:rsidRPr="00625CFC">
        <w:tab/>
      </w:r>
      <w:r w:rsidRPr="00625CFC">
        <w:t>委员会注意到</w:t>
      </w:r>
      <w:r w:rsidRPr="00625CFC">
        <w:t>2</w:t>
      </w:r>
      <w:r w:rsidRPr="00625CFC">
        <w:t>0</w:t>
      </w:r>
      <w:r w:rsidRPr="00625CFC">
        <w:t>2</w:t>
      </w:r>
      <w:r w:rsidRPr="00625CFC">
        <w:t>0</w:t>
      </w:r>
      <w:r w:rsidRPr="00625CFC">
        <w:t>年</w:t>
      </w:r>
      <w:r w:rsidRPr="00625CFC">
        <w:t>6</w:t>
      </w:r>
      <w:r w:rsidRPr="00625CFC">
        <w:t>月</w:t>
      </w:r>
      <w:r w:rsidRPr="00625CFC">
        <w:t>3</w:t>
      </w:r>
      <w:r w:rsidRPr="00625CFC">
        <w:t>0</w:t>
      </w:r>
      <w:r w:rsidRPr="00625CFC">
        <w:t>日第</w:t>
      </w:r>
      <w:r w:rsidRPr="00625CFC">
        <w:t>00</w:t>
      </w:r>
      <w:r w:rsidRPr="00625CFC">
        <w:t>6</w:t>
      </w:r>
      <w:r w:rsidRPr="00625CFC">
        <w:t>/</w:t>
      </w:r>
      <w:r w:rsidRPr="00625CFC">
        <w:t>2</w:t>
      </w:r>
      <w:r w:rsidRPr="00625CFC">
        <w:t>0</w:t>
      </w:r>
      <w:r w:rsidRPr="00625CFC">
        <w:t>2</w:t>
      </w:r>
      <w:r w:rsidRPr="00625CFC">
        <w:t>0</w:t>
      </w:r>
      <w:r w:rsidRPr="00625CFC">
        <w:t>号法案修订了第</w:t>
      </w:r>
      <w:r w:rsidRPr="00625CFC">
        <w:t>0</w:t>
      </w:r>
      <w:r w:rsidRPr="00625CFC">
        <w:t>42</w:t>
      </w:r>
      <w:r w:rsidRPr="00625CFC">
        <w:t>/</w:t>
      </w:r>
      <w:r w:rsidRPr="00625CFC">
        <w:t>2</w:t>
      </w:r>
      <w:r w:rsidRPr="00625CFC">
        <w:t>0</w:t>
      </w:r>
      <w:r w:rsidRPr="00625CFC">
        <w:t>18</w:t>
      </w:r>
      <w:r w:rsidRPr="00625CFC">
        <w:t>号法《刑法典》，明确将人口贩运定为刑事犯罪，并依照《联合国打击跨国有组织犯罪公约关于预防、禁止和惩治贩运人口特别是妇女和儿童行为的补充议定书》对人口贩运</w:t>
      </w:r>
      <w:proofErr w:type="gramStart"/>
      <w:r w:rsidRPr="00625CFC">
        <w:t>作出</w:t>
      </w:r>
      <w:proofErr w:type="gramEnd"/>
      <w:r w:rsidRPr="00625CFC">
        <w:t>界定并规定相应处罚，但委员会关切地注意到，人口贩运现象持续存在，贩运目的包括劳动剥削、性剥削、家庭奴役和乞讨，并注意到大多数受害者是移民儿童。在这方面，委员会关切地注意到</w:t>
      </w:r>
      <w:r w:rsidRPr="00625CFC">
        <w:t>2</w:t>
      </w:r>
      <w:r w:rsidRPr="00625CFC">
        <w:t>0</w:t>
      </w:r>
      <w:r w:rsidRPr="00625CFC">
        <w:t>19</w:t>
      </w:r>
      <w:r w:rsidRPr="00625CFC">
        <w:t>年有报告称加蓬恩科经济特区内印度移民工人遭受剥削，</w:t>
      </w:r>
      <w:r w:rsidRPr="00625CFC">
        <w:rPr>
          <w:vertAlign w:val="superscript"/>
        </w:rPr>
        <w:footnoteReference w:id="11"/>
      </w:r>
      <w:r w:rsidR="002B3942">
        <w:rPr>
          <w:rFonts w:hint="eastAsia"/>
        </w:rPr>
        <w:t xml:space="preserve"> </w:t>
      </w:r>
      <w:r w:rsidRPr="00625CFC">
        <w:t>正如联合国特别程序任务负责人指出的，这可能构成当代形式奴隶制和人口贩运，委员会感到遗憾的是，缺少该事件后续信息，特别是有关启动调查、为补救这种情况所采取的措施以及向受害者提供的保护</w:t>
      </w:r>
      <w:proofErr w:type="gramStart"/>
      <w:r w:rsidRPr="00625CFC">
        <w:t>和援</w:t>
      </w:r>
      <w:proofErr w:type="gramEnd"/>
      <w:r w:rsidRPr="00625CFC">
        <w:t>助的信息，并对缺乏有关外国工人享有的法律保护水平的信息表示遗憾。委员会还感到关切的是，在移民、难民和寻求庇护者中，受害者往往被发现得太晚，庇护所资源有限，缺乏有关受害者援助和康复服务的信息，以及对成年受害者的保护不足。在这方面，委员会感到关切的是，缔约国在其报告中表示拟设立</w:t>
      </w:r>
      <w:r w:rsidRPr="00625CFC">
        <w:rPr>
          <w:rFonts w:hint="eastAsia"/>
        </w:rPr>
        <w:t>“</w:t>
      </w:r>
      <w:r w:rsidRPr="00625CFC">
        <w:t>自由和拘留</w:t>
      </w:r>
      <w:r w:rsidRPr="00625CFC">
        <w:rPr>
          <w:rFonts w:hint="eastAsia"/>
        </w:rPr>
        <w:t>”</w:t>
      </w:r>
      <w:r w:rsidRPr="00625CFC">
        <w:t>法庭，该法庭除其他权力外，有权裁定对身处加蓬的人口贩运外籍受害者实施拘留，直至其身份问题得到最终解决，</w:t>
      </w:r>
      <w:r w:rsidRPr="00625CFC">
        <w:rPr>
          <w:vertAlign w:val="superscript"/>
        </w:rPr>
        <w:footnoteReference w:id="12"/>
      </w:r>
      <w:r w:rsidR="002B3942">
        <w:rPr>
          <w:rFonts w:hint="eastAsia"/>
        </w:rPr>
        <w:t xml:space="preserve"> </w:t>
      </w:r>
      <w:r w:rsidRPr="00625CFC">
        <w:t>这可能使人口贩运受害者面临遭到任意、无限期拘留的风险。委员会还感到遗憾的是，缺少人口贩运案件相关数据，包括提交的申诉、开展的调查、提起的诉讼、</w:t>
      </w:r>
      <w:proofErr w:type="gramStart"/>
      <w:r w:rsidRPr="00625CFC">
        <w:t>作出</w:t>
      </w:r>
      <w:proofErr w:type="gramEnd"/>
      <w:r w:rsidRPr="00625CFC">
        <w:t>的有罪判决、判处的刑罚以及向受害者提供的赔偿相关信息</w:t>
      </w:r>
      <w:r w:rsidRPr="00625CFC">
        <w:t>(</w:t>
      </w:r>
      <w:r w:rsidRPr="00625CFC">
        <w:t>第</w:t>
      </w:r>
      <w:r w:rsidRPr="00625CFC">
        <w:t>2</w:t>
      </w:r>
      <w:r w:rsidRPr="00625CFC">
        <w:t>和第</w:t>
      </w:r>
      <w:r w:rsidRPr="00625CFC">
        <w:t>16</w:t>
      </w:r>
      <w:r w:rsidRPr="00625CFC">
        <w:t>条</w:t>
      </w:r>
      <w:r w:rsidRPr="00625CFC">
        <w:t>)</w:t>
      </w:r>
      <w:r w:rsidRPr="00625CFC">
        <w:t>。</w:t>
      </w:r>
    </w:p>
    <w:p w14:paraId="61751CE3" w14:textId="17D24009" w:rsidR="00D022DE" w:rsidRPr="00E7708F" w:rsidRDefault="00D022DE" w:rsidP="00625CFC">
      <w:pPr>
        <w:pStyle w:val="SingleTxtGC"/>
        <w:rPr>
          <w:rFonts w:ascii="Time New Roman" w:eastAsia="黑体" w:hAnsi="Time New Roman"/>
        </w:rPr>
      </w:pPr>
      <w:r w:rsidRPr="00E7708F">
        <w:rPr>
          <w:rFonts w:ascii="Time New Roman" w:eastAsia="黑体" w:hAnsi="Time New Roman"/>
        </w:rPr>
        <w:t>41</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缔约国应通过关于加蓬预防和打击人口贩运国家委员会的设立、权力、组织和运作的文本草案，并确保该委员会符合相关国际人权标准。缔约国还应该：</w:t>
      </w:r>
    </w:p>
    <w:p w14:paraId="64E20D7D" w14:textId="1499A9DC"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a</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加大力度预防和打击人口贩运，确保现行法律得到有效执行，对人口贩运嫌疑人开展系统性调查、提起诉讼并处以适当刑罚；</w:t>
      </w:r>
    </w:p>
    <w:p w14:paraId="4F2C4E79" w14:textId="661622E7"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b</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迅速调查有关在加蓬恩科经济特区就业的移民工人遭受侵害的指控，确保追究责任人的法律责任，处以与犯罪行为严重程度相称的刑罚，并向受害者提供援助；</w:t>
      </w:r>
    </w:p>
    <w:p w14:paraId="71CB5E88" w14:textId="7A45EAC8"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c</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为外国工人提供法律保护，使其免受剥削、虐待、侵害以及身份证件被没收的情况，并建立劳动监督与监察机制；</w:t>
      </w:r>
    </w:p>
    <w:p w14:paraId="21F67ACC" w14:textId="674CE5F4"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d</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加强识别人口贩运受害者的机制，重点避免援助工作出现延误，确保人口贩运受害者不会因其移民身份而被拘留，并避免采取任何可能导致其被任意或无限期拘留的做法，包括在</w:t>
      </w:r>
      <w:r w:rsidRPr="00E7708F">
        <w:rPr>
          <w:rFonts w:ascii="Time New Roman" w:eastAsia="黑体" w:hAnsi="Time New Roman" w:hint="eastAsia"/>
        </w:rPr>
        <w:t>“</w:t>
      </w:r>
      <w:r w:rsidRPr="00E7708F">
        <w:rPr>
          <w:rFonts w:ascii="Time New Roman" w:eastAsia="黑体" w:hAnsi="Time New Roman"/>
        </w:rPr>
        <w:t>自由和拘留</w:t>
      </w:r>
      <w:r w:rsidRPr="00E7708F">
        <w:rPr>
          <w:rFonts w:ascii="Time New Roman" w:eastAsia="黑体" w:hAnsi="Time New Roman" w:hint="eastAsia"/>
        </w:rPr>
        <w:t>”</w:t>
      </w:r>
      <w:r w:rsidRPr="00E7708F">
        <w:rPr>
          <w:rFonts w:ascii="Time New Roman" w:eastAsia="黑体" w:hAnsi="Time New Roman"/>
        </w:rPr>
        <w:t>法庭框架下采取此类措施，确保解决方案符合相关国际人权标准；</w:t>
      </w:r>
    </w:p>
    <w:p w14:paraId="07D1B376" w14:textId="0C1E9FAE"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e</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加强分配给庇护所的资源，确保受害者能够有效获得支持服务，包括法律援助、医疗和心理护理，以及康复措施、合理经济赔偿、有效补救和充分保护措施，上述保障同样覆盖成年受害者；</w:t>
      </w:r>
    </w:p>
    <w:p w14:paraId="12DE770F" w14:textId="0DE0881E" w:rsidR="00D022DE" w:rsidRPr="00E7708F" w:rsidRDefault="00D022DE" w:rsidP="00625CFC">
      <w:pPr>
        <w:pStyle w:val="SingleTxtGC"/>
        <w:rPr>
          <w:rFonts w:ascii="Time New Roman" w:eastAsia="黑体" w:hAnsi="Time New Roman"/>
        </w:rPr>
      </w:pPr>
      <w:r w:rsidRPr="00E7708F">
        <w:rPr>
          <w:rFonts w:ascii="Time New Roman" w:eastAsia="黑体" w:hAnsi="Time New Roman"/>
        </w:rPr>
        <w:lastRenderedPageBreak/>
        <w:tab/>
        <w:t>(</w:t>
      </w:r>
      <w:r w:rsidRPr="00E7708F">
        <w:rPr>
          <w:rFonts w:ascii="Time New Roman" w:eastAsia="黑体" w:hAnsi="Time New Roman"/>
        </w:rPr>
        <w:t>f</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汇编人口贩运案件最新统计数据，包括提交的申诉、开展的调查、提起的诉讼、</w:t>
      </w:r>
      <w:proofErr w:type="gramStart"/>
      <w:r w:rsidRPr="00E7708F">
        <w:rPr>
          <w:rFonts w:ascii="Time New Roman" w:eastAsia="黑体" w:hAnsi="Time New Roman"/>
        </w:rPr>
        <w:t>作出</w:t>
      </w:r>
      <w:proofErr w:type="gramEnd"/>
      <w:r w:rsidRPr="00E7708F">
        <w:rPr>
          <w:rFonts w:ascii="Time New Roman" w:eastAsia="黑体" w:hAnsi="Time New Roman"/>
        </w:rPr>
        <w:t>的有罪判决、判处的刑罚以及向受害者提供的赔偿相关信息，并向委员会提交上述数据。</w:t>
      </w:r>
    </w:p>
    <w:p w14:paraId="7B8A2EF8" w14:textId="77777777" w:rsidR="00D022DE" w:rsidRPr="00625CFC" w:rsidRDefault="00D022DE" w:rsidP="00F211DE">
      <w:pPr>
        <w:pStyle w:val="H23GC"/>
      </w:pPr>
      <w:r w:rsidRPr="00625CFC">
        <w:tab/>
      </w:r>
      <w:r w:rsidRPr="00625CFC">
        <w:tab/>
      </w:r>
      <w:r w:rsidRPr="00625CFC">
        <w:t>童婚</w:t>
      </w:r>
    </w:p>
    <w:p w14:paraId="7F38ECF5" w14:textId="0967A7D0" w:rsidR="00D022DE" w:rsidRPr="00625CFC" w:rsidRDefault="00D022DE" w:rsidP="00625CFC">
      <w:pPr>
        <w:pStyle w:val="SingleTxtGC"/>
      </w:pPr>
      <w:r w:rsidRPr="00625CFC">
        <w:t>42</w:t>
      </w:r>
      <w:r w:rsidRPr="00625CFC">
        <w:t>.</w:t>
      </w:r>
      <w:r w:rsidRPr="00625CFC">
        <w:tab/>
      </w:r>
      <w:r w:rsidRPr="00625CFC">
        <w:t>委员会注意到，</w:t>
      </w:r>
      <w:r w:rsidRPr="00625CFC">
        <w:t>2</w:t>
      </w:r>
      <w:r w:rsidRPr="00625CFC">
        <w:t>0</w:t>
      </w:r>
      <w:r w:rsidRPr="00625CFC">
        <w:t>21</w:t>
      </w:r>
      <w:r w:rsidRPr="00625CFC">
        <w:t>年</w:t>
      </w:r>
      <w:r w:rsidRPr="00625CFC">
        <w:t>9</w:t>
      </w:r>
      <w:r w:rsidRPr="00625CFC">
        <w:t>月</w:t>
      </w:r>
      <w:r w:rsidRPr="00625CFC">
        <w:t>15</w:t>
      </w:r>
      <w:r w:rsidRPr="00625CFC">
        <w:t>日第</w:t>
      </w:r>
      <w:r w:rsidRPr="00625CFC">
        <w:t>00</w:t>
      </w:r>
      <w:r w:rsidRPr="00625CFC">
        <w:t>4</w:t>
      </w:r>
      <w:r w:rsidRPr="00625CFC">
        <w:t>/</w:t>
      </w:r>
      <w:r w:rsidRPr="00625CFC">
        <w:t>2</w:t>
      </w:r>
      <w:r w:rsidRPr="00625CFC">
        <w:t>0</w:t>
      </w:r>
      <w:r w:rsidRPr="00625CFC">
        <w:t>21</w:t>
      </w:r>
      <w:r w:rsidRPr="00625CFC">
        <w:t>号法对</w:t>
      </w:r>
      <w:r w:rsidRPr="00625CFC">
        <w:t>1972</w:t>
      </w:r>
      <w:r w:rsidRPr="00625CFC">
        <w:t>年</w:t>
      </w:r>
      <w:r w:rsidRPr="00625CFC">
        <w:t>7</w:t>
      </w:r>
      <w:r w:rsidRPr="00625CFC">
        <w:t>月</w:t>
      </w:r>
      <w:r w:rsidRPr="00625CFC">
        <w:t>29</w:t>
      </w:r>
      <w:r w:rsidRPr="00625CFC">
        <w:t>日第</w:t>
      </w:r>
      <w:r w:rsidRPr="00625CFC">
        <w:t>15</w:t>
      </w:r>
      <w:r w:rsidRPr="00625CFC">
        <w:t>/</w:t>
      </w:r>
      <w:r w:rsidRPr="00625CFC">
        <w:t>72</w:t>
      </w:r>
      <w:r w:rsidRPr="00625CFC">
        <w:t>号法《民法典》的某些条款进行了修订，其中第</w:t>
      </w:r>
      <w:r w:rsidRPr="00625CFC">
        <w:t>2</w:t>
      </w:r>
      <w:r w:rsidRPr="00625CFC">
        <w:t>0</w:t>
      </w:r>
      <w:r w:rsidRPr="00625CFC">
        <w:t>3</w:t>
      </w:r>
      <w:r w:rsidRPr="00625CFC">
        <w:t>条将最低结婚年龄定为</w:t>
      </w:r>
      <w:r w:rsidRPr="00625CFC">
        <w:t>18</w:t>
      </w:r>
      <w:r w:rsidRPr="00625CFC">
        <w:t>岁，但委员会表示关切的是，依据同一条款，共和国总统，若总统无法履职则由最高法院院长，可基于</w:t>
      </w:r>
      <w:r w:rsidRPr="00625CFC">
        <w:rPr>
          <w:rFonts w:hint="eastAsia"/>
        </w:rPr>
        <w:t>“</w:t>
      </w:r>
      <w:r w:rsidRPr="00625CFC">
        <w:t>正当理由准予年龄豁免</w:t>
      </w:r>
      <w:r w:rsidRPr="00625CFC">
        <w:rPr>
          <w:rFonts w:hint="eastAsia"/>
        </w:rPr>
        <w:t>”</w:t>
      </w:r>
      <w:r w:rsidRPr="00625CFC">
        <w:t>(</w:t>
      </w:r>
      <w:r w:rsidRPr="00625CFC">
        <w:t>第</w:t>
      </w:r>
      <w:r w:rsidRPr="00625CFC">
        <w:t>2</w:t>
      </w:r>
      <w:r w:rsidRPr="00625CFC">
        <w:t>和第</w:t>
      </w:r>
      <w:r w:rsidRPr="00625CFC">
        <w:t>16</w:t>
      </w:r>
      <w:r w:rsidRPr="00625CFC">
        <w:t>条</w:t>
      </w:r>
      <w:r w:rsidRPr="00625CFC">
        <w:t>)</w:t>
      </w:r>
      <w:r w:rsidRPr="00625CFC">
        <w:t>。</w:t>
      </w:r>
    </w:p>
    <w:p w14:paraId="45E75F6D" w14:textId="19FC6702" w:rsidR="00D022DE" w:rsidRPr="00E7708F" w:rsidRDefault="00D022DE" w:rsidP="00625CFC">
      <w:pPr>
        <w:pStyle w:val="SingleTxtGC"/>
        <w:rPr>
          <w:rFonts w:ascii="Time New Roman" w:eastAsia="黑体" w:hAnsi="Time New Roman"/>
        </w:rPr>
      </w:pPr>
      <w:r w:rsidRPr="00E7708F">
        <w:rPr>
          <w:rFonts w:ascii="Time New Roman" w:eastAsia="黑体" w:hAnsi="Time New Roman"/>
        </w:rPr>
        <w:t>43</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缔约国应颁布必要的法律修正案，废除任何允许在</w:t>
      </w:r>
      <w:r w:rsidRPr="00E7708F">
        <w:rPr>
          <w:rFonts w:ascii="Time New Roman" w:eastAsia="黑体" w:hAnsi="Time New Roman"/>
        </w:rPr>
        <w:t>18</w:t>
      </w:r>
      <w:r w:rsidRPr="00E7708F">
        <w:rPr>
          <w:rFonts w:ascii="Time New Roman" w:eastAsia="黑体" w:hAnsi="Time New Roman"/>
        </w:rPr>
        <w:t>岁法定最低年龄之前结婚的例外情况，不得有任何克减。</w:t>
      </w:r>
    </w:p>
    <w:p w14:paraId="5844AC24" w14:textId="77777777" w:rsidR="00D022DE" w:rsidRPr="00625CFC" w:rsidRDefault="00D022DE" w:rsidP="00F211DE">
      <w:pPr>
        <w:pStyle w:val="H23GC"/>
      </w:pPr>
      <w:r w:rsidRPr="00625CFC">
        <w:tab/>
      </w:r>
      <w:r w:rsidRPr="00625CFC">
        <w:tab/>
      </w:r>
      <w:r w:rsidRPr="00625CFC">
        <w:t>体罚</w:t>
      </w:r>
    </w:p>
    <w:p w14:paraId="5D8CCF39" w14:textId="7A947C43" w:rsidR="00D022DE" w:rsidRPr="00625CFC" w:rsidRDefault="00D022DE" w:rsidP="00625CFC">
      <w:pPr>
        <w:pStyle w:val="SingleTxtGC"/>
      </w:pPr>
      <w:r w:rsidRPr="00625CFC">
        <w:t>44</w:t>
      </w:r>
      <w:r w:rsidRPr="00625CFC">
        <w:t>.</w:t>
      </w:r>
      <w:r w:rsidRPr="00625CFC">
        <w:tab/>
      </w:r>
      <w:r w:rsidRPr="00625CFC">
        <w:t>委员会感到关切的是，有报告指出并未在所有场合</w:t>
      </w:r>
      <w:r w:rsidRPr="00625CFC">
        <w:t>(</w:t>
      </w:r>
      <w:r w:rsidRPr="00625CFC">
        <w:t>即家庭、替代照料机构和日托机构</w:t>
      </w:r>
      <w:r w:rsidRPr="00625CFC">
        <w:t>)</w:t>
      </w:r>
      <w:r w:rsidRPr="00625CFC">
        <w:t>明文禁止对儿童实施体罚，而且使用体罚管教儿童的做法仍被社会接受且十分普遍</w:t>
      </w:r>
      <w:r w:rsidRPr="00625CFC">
        <w:t>(</w:t>
      </w:r>
      <w:r w:rsidRPr="00625CFC">
        <w:t>第</w:t>
      </w:r>
      <w:r w:rsidRPr="00625CFC">
        <w:t>2</w:t>
      </w:r>
      <w:r w:rsidRPr="00625CFC">
        <w:t>和第</w:t>
      </w:r>
      <w:r w:rsidRPr="00625CFC">
        <w:t>16</w:t>
      </w:r>
      <w:r w:rsidRPr="00625CFC">
        <w:t>条</w:t>
      </w:r>
      <w:r w:rsidRPr="00625CFC">
        <w:t>)</w:t>
      </w:r>
      <w:r w:rsidRPr="00625CFC">
        <w:t>。</w:t>
      </w:r>
    </w:p>
    <w:p w14:paraId="7DF697FE" w14:textId="6818980C" w:rsidR="00D022DE" w:rsidRPr="00E7708F" w:rsidRDefault="00D022DE" w:rsidP="00625CFC">
      <w:pPr>
        <w:pStyle w:val="SingleTxtGC"/>
        <w:rPr>
          <w:rFonts w:ascii="Time New Roman" w:eastAsia="黑体" w:hAnsi="Time New Roman"/>
        </w:rPr>
      </w:pPr>
      <w:r w:rsidRPr="00E7708F">
        <w:rPr>
          <w:rFonts w:ascii="Time New Roman" w:eastAsia="黑体" w:hAnsi="Time New Roman"/>
        </w:rPr>
        <w:t>45</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当在所有场所明文禁止体罚，并将体罚列为刑事犯罪；落实该项禁令，面向家长以及从事儿童相关工作的专业人员开展提高认识活动，确保他们充分知悉并理解这一禁令，推广积极、非暴力、参与式的育儿与管教方式。</w:t>
      </w:r>
    </w:p>
    <w:p w14:paraId="7831E6C1" w14:textId="77777777" w:rsidR="00D022DE" w:rsidRPr="00625CFC" w:rsidRDefault="00D022DE" w:rsidP="00F211DE">
      <w:pPr>
        <w:pStyle w:val="H23GC"/>
      </w:pPr>
      <w:r w:rsidRPr="00625CFC">
        <w:tab/>
      </w:r>
      <w:r w:rsidRPr="00625CFC">
        <w:tab/>
      </w:r>
      <w:proofErr w:type="gramStart"/>
      <w:r w:rsidRPr="00625CFC">
        <w:t>残割女性</w:t>
      </w:r>
      <w:proofErr w:type="gramEnd"/>
      <w:r w:rsidRPr="00625CFC">
        <w:t>生殖器</w:t>
      </w:r>
    </w:p>
    <w:p w14:paraId="2D6E6124" w14:textId="4DE52618" w:rsidR="00D022DE" w:rsidRPr="00625CFC" w:rsidRDefault="00D022DE" w:rsidP="00625CFC">
      <w:pPr>
        <w:pStyle w:val="SingleTxtGC"/>
      </w:pPr>
      <w:r w:rsidRPr="00625CFC">
        <w:t>46</w:t>
      </w:r>
      <w:r w:rsidRPr="00625CFC">
        <w:t>.</w:t>
      </w:r>
      <w:r w:rsidRPr="00625CFC">
        <w:tab/>
      </w:r>
      <w:r w:rsidRPr="00625CFC">
        <w:t>委员会感到遗憾的是，缺乏关于针对被控犯有此罪</w:t>
      </w:r>
      <w:proofErr w:type="gramStart"/>
      <w:r w:rsidRPr="00625CFC">
        <w:t>者启动</w:t>
      </w:r>
      <w:proofErr w:type="gramEnd"/>
      <w:r w:rsidRPr="00625CFC">
        <w:t>的诉讼数量及其诉讼结果的信息</w:t>
      </w:r>
      <w:r w:rsidRPr="00625CFC">
        <w:t>(</w:t>
      </w:r>
      <w:r w:rsidRPr="00625CFC">
        <w:t>第</w:t>
      </w:r>
      <w:r w:rsidRPr="00625CFC">
        <w:t>2</w:t>
      </w:r>
      <w:r w:rsidRPr="00625CFC">
        <w:t>和第</w:t>
      </w:r>
      <w:r w:rsidRPr="00625CFC">
        <w:t>16</w:t>
      </w:r>
      <w:r w:rsidRPr="00625CFC">
        <w:t>条</w:t>
      </w:r>
      <w:r w:rsidRPr="00625CFC">
        <w:t>)</w:t>
      </w:r>
      <w:r w:rsidRPr="00625CFC">
        <w:t>。</w:t>
      </w:r>
    </w:p>
    <w:p w14:paraId="7E91729F" w14:textId="7B47BF48" w:rsidR="00D022DE" w:rsidRPr="00E7708F" w:rsidRDefault="00D022DE" w:rsidP="00625CFC">
      <w:pPr>
        <w:pStyle w:val="SingleTxtGC"/>
        <w:rPr>
          <w:rFonts w:ascii="Time New Roman" w:eastAsia="黑体" w:hAnsi="Time New Roman"/>
        </w:rPr>
      </w:pPr>
      <w:r w:rsidRPr="00E7708F">
        <w:rPr>
          <w:rFonts w:ascii="Time New Roman" w:eastAsia="黑体" w:hAnsi="Time New Roman"/>
        </w:rPr>
        <w:t>47</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w:t>
      </w:r>
    </w:p>
    <w:p w14:paraId="2CE74815" w14:textId="79D29952"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a</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为刑事司法系统从业人员开展培训，使其能够根据《刑法典》第</w:t>
      </w:r>
      <w:r w:rsidRPr="00E7708F">
        <w:rPr>
          <w:rFonts w:ascii="Time New Roman" w:eastAsia="黑体" w:hAnsi="Time New Roman"/>
        </w:rPr>
        <w:t>23</w:t>
      </w:r>
      <w:r w:rsidRPr="00E7708F">
        <w:rPr>
          <w:rFonts w:ascii="Time New Roman" w:eastAsia="黑体" w:hAnsi="Time New Roman"/>
        </w:rPr>
        <w:t>0</w:t>
      </w:r>
      <w:r w:rsidRPr="00E7708F">
        <w:rPr>
          <w:rFonts w:ascii="Time New Roman" w:eastAsia="黑体" w:hAnsi="Time New Roman"/>
        </w:rPr>
        <w:t>条及后续条款以及</w:t>
      </w:r>
      <w:r w:rsidRPr="00E7708F">
        <w:rPr>
          <w:rFonts w:ascii="Time New Roman" w:eastAsia="黑体" w:hAnsi="Time New Roman"/>
        </w:rPr>
        <w:t>2</w:t>
      </w:r>
      <w:r w:rsidRPr="00E7708F">
        <w:rPr>
          <w:rFonts w:ascii="Time New Roman" w:eastAsia="黑体" w:hAnsi="Time New Roman"/>
        </w:rPr>
        <w:t>0</w:t>
      </w:r>
      <w:r w:rsidRPr="00E7708F">
        <w:rPr>
          <w:rFonts w:ascii="Time New Roman" w:eastAsia="黑体" w:hAnsi="Time New Roman"/>
        </w:rPr>
        <w:t>21</w:t>
      </w:r>
      <w:r w:rsidRPr="00E7708F">
        <w:rPr>
          <w:rFonts w:ascii="Time New Roman" w:eastAsia="黑体" w:hAnsi="Time New Roman"/>
        </w:rPr>
        <w:t>年</w:t>
      </w:r>
      <w:r w:rsidRPr="00E7708F">
        <w:rPr>
          <w:rFonts w:ascii="Time New Roman" w:eastAsia="黑体" w:hAnsi="Time New Roman"/>
        </w:rPr>
        <w:t>9</w:t>
      </w:r>
      <w:r w:rsidRPr="00E7708F">
        <w:rPr>
          <w:rFonts w:ascii="Time New Roman" w:eastAsia="黑体" w:hAnsi="Time New Roman"/>
        </w:rPr>
        <w:t>月</w:t>
      </w:r>
      <w:r w:rsidRPr="00E7708F">
        <w:rPr>
          <w:rFonts w:ascii="Time New Roman" w:eastAsia="黑体" w:hAnsi="Time New Roman"/>
        </w:rPr>
        <w:t>6</w:t>
      </w:r>
      <w:r w:rsidRPr="00E7708F">
        <w:rPr>
          <w:rFonts w:ascii="Time New Roman" w:eastAsia="黑体" w:hAnsi="Time New Roman"/>
        </w:rPr>
        <w:t>日关于消除暴力侵害妇女行为的第</w:t>
      </w:r>
      <w:r w:rsidRPr="00E7708F">
        <w:rPr>
          <w:rFonts w:ascii="Time New Roman" w:eastAsia="黑体" w:hAnsi="Time New Roman"/>
        </w:rPr>
        <w:t>00</w:t>
      </w:r>
      <w:r w:rsidRPr="00E7708F">
        <w:rPr>
          <w:rFonts w:ascii="Time New Roman" w:eastAsia="黑体" w:hAnsi="Time New Roman"/>
        </w:rPr>
        <w:t>6</w:t>
      </w:r>
      <w:r w:rsidRPr="00E7708F">
        <w:rPr>
          <w:rFonts w:ascii="Time New Roman" w:eastAsia="黑体" w:hAnsi="Time New Roman"/>
        </w:rPr>
        <w:t>/</w:t>
      </w:r>
      <w:r w:rsidRPr="00E7708F">
        <w:rPr>
          <w:rFonts w:ascii="Time New Roman" w:eastAsia="黑体" w:hAnsi="Time New Roman"/>
        </w:rPr>
        <w:t>2</w:t>
      </w:r>
      <w:r w:rsidRPr="00E7708F">
        <w:rPr>
          <w:rFonts w:ascii="Time New Roman" w:eastAsia="黑体" w:hAnsi="Time New Roman"/>
        </w:rPr>
        <w:t>0</w:t>
      </w:r>
      <w:r w:rsidRPr="00E7708F">
        <w:rPr>
          <w:rFonts w:ascii="Time New Roman" w:eastAsia="黑体" w:hAnsi="Time New Roman"/>
        </w:rPr>
        <w:t>21</w:t>
      </w:r>
      <w:r w:rsidRPr="00E7708F">
        <w:rPr>
          <w:rFonts w:ascii="Time New Roman" w:eastAsia="黑体" w:hAnsi="Time New Roman"/>
        </w:rPr>
        <w:t>号法，有效执行将</w:t>
      </w:r>
      <w:proofErr w:type="gramStart"/>
      <w:r w:rsidRPr="00E7708F">
        <w:rPr>
          <w:rFonts w:ascii="Time New Roman" w:eastAsia="黑体" w:hAnsi="Time New Roman"/>
        </w:rPr>
        <w:t>残割女性</w:t>
      </w:r>
      <w:proofErr w:type="gramEnd"/>
      <w:r w:rsidRPr="00E7708F">
        <w:rPr>
          <w:rFonts w:ascii="Time New Roman" w:eastAsia="黑体" w:hAnsi="Time New Roman"/>
        </w:rPr>
        <w:t>生殖器定为犯罪的法律；</w:t>
      </w:r>
    </w:p>
    <w:p w14:paraId="3FC50D18" w14:textId="1F50E85C"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b</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向委员会提供相关数据，说明关于启动的调查、提起的诉讼、</w:t>
      </w:r>
      <w:proofErr w:type="gramStart"/>
      <w:r w:rsidRPr="00E7708F">
        <w:rPr>
          <w:rFonts w:ascii="Time New Roman" w:eastAsia="黑体" w:hAnsi="Time New Roman"/>
        </w:rPr>
        <w:t>作出</w:t>
      </w:r>
      <w:proofErr w:type="gramEnd"/>
      <w:r w:rsidRPr="00E7708F">
        <w:rPr>
          <w:rFonts w:ascii="Time New Roman" w:eastAsia="黑体" w:hAnsi="Time New Roman"/>
        </w:rPr>
        <w:t>的有罪判决、判处的刑罚以及向受害者提供补救的情况。</w:t>
      </w:r>
    </w:p>
    <w:p w14:paraId="059425CB" w14:textId="77777777" w:rsidR="00D022DE" w:rsidRPr="00625CFC" w:rsidRDefault="00D022DE" w:rsidP="00F211DE">
      <w:pPr>
        <w:pStyle w:val="H23GC"/>
      </w:pPr>
      <w:r w:rsidRPr="00625CFC">
        <w:tab/>
      </w:r>
      <w:r w:rsidRPr="00625CFC">
        <w:tab/>
      </w:r>
      <w:r w:rsidRPr="00625CFC">
        <w:t>补救</w:t>
      </w:r>
    </w:p>
    <w:p w14:paraId="1F7A8895" w14:textId="7461A2EE" w:rsidR="00D022DE" w:rsidRPr="00625CFC" w:rsidRDefault="00D022DE" w:rsidP="00625CFC">
      <w:pPr>
        <w:pStyle w:val="SingleTxtGC"/>
      </w:pPr>
      <w:r w:rsidRPr="00625CFC">
        <w:t>48</w:t>
      </w:r>
      <w:r w:rsidRPr="00625CFC">
        <w:t>.</w:t>
      </w:r>
      <w:r w:rsidRPr="00625CFC">
        <w:tab/>
      </w:r>
      <w:r w:rsidRPr="00625CFC">
        <w:t>委员会感到关切的是，有大量报告称《公约》保障的个人权利遭到侵犯且没有采取有效补救措施。委员会感到遗憾的是，缺少相关信息，无法知悉是否已为酷刑受害者设立康复方案，包含《公约》规定的各类救济形式</w:t>
      </w:r>
      <w:r w:rsidRPr="00625CFC">
        <w:t>(</w:t>
      </w:r>
      <w:r w:rsidRPr="00625CFC">
        <w:t>第</w:t>
      </w:r>
      <w:r w:rsidRPr="00625CFC">
        <w:t>14</w:t>
      </w:r>
      <w:r w:rsidRPr="00625CFC">
        <w:t>条</w:t>
      </w:r>
      <w:r w:rsidRPr="00625CFC">
        <w:t>)</w:t>
      </w:r>
      <w:r w:rsidRPr="00625CFC">
        <w:t>。</w:t>
      </w:r>
    </w:p>
    <w:p w14:paraId="3AD67992" w14:textId="1D55C389" w:rsidR="00D022DE" w:rsidRPr="00E7708F" w:rsidRDefault="00D022DE" w:rsidP="00625CFC">
      <w:pPr>
        <w:pStyle w:val="SingleTxtGC"/>
        <w:rPr>
          <w:rFonts w:ascii="Time New Roman" w:eastAsia="黑体" w:hAnsi="Time New Roman"/>
        </w:rPr>
      </w:pPr>
      <w:r w:rsidRPr="00E7708F">
        <w:rPr>
          <w:rFonts w:ascii="Time New Roman" w:eastAsia="黑体" w:hAnsi="Time New Roman"/>
        </w:rPr>
        <w:t>49</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缔约国应当在法律层面与实践中保障所有酷刑或虐待受害者获得救济，有权取得公正、充分的赔偿，并获得实现最大限度康复所需的各项支持；同时确保公众充分知晓这些事项。</w:t>
      </w:r>
    </w:p>
    <w:p w14:paraId="5102ADC8" w14:textId="77777777" w:rsidR="00D022DE" w:rsidRPr="00625CFC" w:rsidRDefault="00D022DE" w:rsidP="00F211DE">
      <w:pPr>
        <w:pStyle w:val="H23GC"/>
      </w:pPr>
      <w:r w:rsidRPr="00625CFC">
        <w:tab/>
      </w:r>
      <w:r w:rsidRPr="00625CFC">
        <w:tab/>
      </w:r>
      <w:r w:rsidRPr="00625CFC">
        <w:t>培训</w:t>
      </w:r>
    </w:p>
    <w:p w14:paraId="6ED1A007" w14:textId="6C52057E" w:rsidR="00D022DE" w:rsidRPr="00625CFC" w:rsidRDefault="00D022DE" w:rsidP="00625CFC">
      <w:pPr>
        <w:pStyle w:val="SingleTxtGC"/>
      </w:pPr>
      <w:r w:rsidRPr="00625CFC">
        <w:t>5</w:t>
      </w:r>
      <w:r w:rsidRPr="00625CFC">
        <w:t>0.</w:t>
      </w:r>
      <w:r w:rsidRPr="00625CFC">
        <w:tab/>
      </w:r>
      <w:r w:rsidRPr="00625CFC">
        <w:t>委员会注意到，缔约国已为剥夺自由场所的工作人员举办了关于《公约》的若干讲习班和研讨会，并为刑事调查警察组织了一些提高认识活动，但委员会感</w:t>
      </w:r>
      <w:r w:rsidRPr="00625CFC">
        <w:lastRenderedPageBreak/>
        <w:t>到遗憾的是，未对相关国家官员</w:t>
      </w:r>
      <w:r w:rsidRPr="00625CFC">
        <w:t>(</w:t>
      </w:r>
      <w:r w:rsidRPr="00625CFC">
        <w:t>包括执法人员、司法机关成员、监狱工作人员及医务人员</w:t>
      </w:r>
      <w:r w:rsidRPr="00625CFC">
        <w:t>)</w:t>
      </w:r>
      <w:r w:rsidRPr="00625CFC">
        <w:t>开展常态化培训，培训内容应涵盖《公约》条款</w:t>
      </w:r>
      <w:r w:rsidRPr="00625CFC">
        <w:t>(</w:t>
      </w:r>
      <w:r w:rsidRPr="00625CFC">
        <w:t>特别是绝对禁止酷刑</w:t>
      </w:r>
      <w:r w:rsidRPr="00625CFC">
        <w:t>)</w:t>
      </w:r>
      <w:r w:rsidRPr="00625CFC">
        <w:t>，以及依据修订版《酷刑和其他残忍、不人道或有辱人格的待遇或处罚的有效调查和文件记录手册》</w:t>
      </w:r>
      <w:r w:rsidRPr="00625CFC">
        <w:t>(</w:t>
      </w:r>
      <w:r w:rsidRPr="00625CFC">
        <w:t>《伊斯坦布尔规程》</w:t>
      </w:r>
      <w:r w:rsidRPr="00625CFC">
        <w:t>)</w:t>
      </w:r>
      <w:r w:rsidRPr="00625CFC">
        <w:t>所载标准识别酷刑和虐待迹象的相关准则。委员会还感到遗憾的是，尚未建立评估培训方案成效的机制</w:t>
      </w:r>
      <w:r w:rsidRPr="00625CFC">
        <w:t>(</w:t>
      </w:r>
      <w:r w:rsidRPr="00625CFC">
        <w:t>第</w:t>
      </w:r>
      <w:r w:rsidRPr="00625CFC">
        <w:t>1</w:t>
      </w:r>
      <w:r w:rsidRPr="00625CFC">
        <w:t>0</w:t>
      </w:r>
      <w:r w:rsidRPr="00625CFC">
        <w:t>条</w:t>
      </w:r>
      <w:r w:rsidRPr="00625CFC">
        <w:t>)</w:t>
      </w:r>
      <w:r w:rsidRPr="00625CFC">
        <w:t>。</w:t>
      </w:r>
    </w:p>
    <w:p w14:paraId="7AF52C98" w14:textId="03ABF05F" w:rsidR="00D022DE" w:rsidRPr="00E7708F" w:rsidRDefault="00D022DE" w:rsidP="00625CFC">
      <w:pPr>
        <w:pStyle w:val="SingleTxtGC"/>
        <w:rPr>
          <w:rFonts w:ascii="Time New Roman" w:eastAsia="黑体" w:hAnsi="Time New Roman"/>
        </w:rPr>
      </w:pPr>
      <w:r w:rsidRPr="00E7708F">
        <w:rPr>
          <w:rFonts w:ascii="Time New Roman" w:eastAsia="黑体" w:hAnsi="Time New Roman"/>
        </w:rPr>
        <w:t>51</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缔约国应：</w:t>
      </w:r>
    </w:p>
    <w:p w14:paraId="2ABCAD65" w14:textId="7DEED7C7"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a</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加强关于绝对禁止酷刑的培训，并加强对所有可能参与监督、询问或处理被剥夺自由者的官员的培训方案；</w:t>
      </w:r>
    </w:p>
    <w:p w14:paraId="2354BE01" w14:textId="4ED8DCA3"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b</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确保其培训方案包含关于《公约》条款、非强制性调查技术、经修订的《伊斯坦布尔规程》以及《为调查和收集信息进行有效面谈的原则》的强制性持续培训模块；</w:t>
      </w:r>
    </w:p>
    <w:p w14:paraId="0509FCB1" w14:textId="7095300E" w:rsidR="00D022DE" w:rsidRPr="00E7708F" w:rsidRDefault="00D022DE" w:rsidP="00625CFC">
      <w:pPr>
        <w:pStyle w:val="SingleTxtGC"/>
        <w:rPr>
          <w:rFonts w:ascii="Time New Roman" w:eastAsia="黑体" w:hAnsi="Time New Roman"/>
        </w:rPr>
      </w:pPr>
      <w:r w:rsidRPr="00E7708F">
        <w:rPr>
          <w:rFonts w:ascii="Time New Roman" w:eastAsia="黑体" w:hAnsi="Time New Roman"/>
        </w:rPr>
        <w:tab/>
        <w:t>(</w:t>
      </w:r>
      <w:r w:rsidRPr="00E7708F">
        <w:rPr>
          <w:rFonts w:ascii="Time New Roman" w:eastAsia="黑体" w:hAnsi="Time New Roman"/>
        </w:rPr>
        <w:t>c</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制定评估培训课程成效的方法体系，衡量培训在减少酷刑和虐待案件方面发挥的作用。</w:t>
      </w:r>
    </w:p>
    <w:p w14:paraId="6B2FBAFC" w14:textId="77777777" w:rsidR="00D022DE" w:rsidRPr="00625CFC" w:rsidRDefault="00D022DE" w:rsidP="00F211DE">
      <w:pPr>
        <w:pStyle w:val="H23GC"/>
      </w:pPr>
      <w:r w:rsidRPr="00625CFC">
        <w:tab/>
      </w:r>
      <w:r w:rsidRPr="00625CFC">
        <w:tab/>
      </w:r>
      <w:r w:rsidRPr="00625CFC">
        <w:t>后续程序</w:t>
      </w:r>
    </w:p>
    <w:p w14:paraId="21254797" w14:textId="533984D7" w:rsidR="00D022DE" w:rsidRPr="00E7708F" w:rsidRDefault="00D022DE" w:rsidP="00625CFC">
      <w:pPr>
        <w:pStyle w:val="SingleTxtGC"/>
        <w:rPr>
          <w:rFonts w:ascii="Time New Roman" w:eastAsia="黑体" w:hAnsi="Time New Roman"/>
        </w:rPr>
      </w:pPr>
      <w:r w:rsidRPr="00E7708F">
        <w:rPr>
          <w:rFonts w:ascii="Time New Roman" w:eastAsia="黑体" w:hAnsi="Time New Roman"/>
        </w:rPr>
        <w:t>52</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委员会请缔约国在</w:t>
      </w:r>
      <w:r w:rsidRPr="00E7708F">
        <w:rPr>
          <w:rFonts w:ascii="Time New Roman" w:eastAsia="黑体" w:hAnsi="Time New Roman"/>
        </w:rPr>
        <w:t>2</w:t>
      </w:r>
      <w:r w:rsidRPr="00E7708F">
        <w:rPr>
          <w:rFonts w:ascii="Time New Roman" w:eastAsia="黑体" w:hAnsi="Time New Roman"/>
        </w:rPr>
        <w:t>0</w:t>
      </w:r>
      <w:r w:rsidRPr="00E7708F">
        <w:rPr>
          <w:rFonts w:ascii="Time New Roman" w:eastAsia="黑体" w:hAnsi="Time New Roman"/>
        </w:rPr>
        <w:t>27</w:t>
      </w:r>
      <w:r w:rsidRPr="00E7708F">
        <w:rPr>
          <w:rFonts w:ascii="Time New Roman" w:eastAsia="黑体" w:hAnsi="Time New Roman"/>
        </w:rPr>
        <w:t>年</w:t>
      </w:r>
      <w:r w:rsidRPr="00E7708F">
        <w:rPr>
          <w:rFonts w:ascii="Time New Roman" w:eastAsia="黑体" w:hAnsi="Time New Roman"/>
        </w:rPr>
        <w:t>5</w:t>
      </w:r>
      <w:r w:rsidRPr="00E7708F">
        <w:rPr>
          <w:rFonts w:ascii="Time New Roman" w:eastAsia="黑体" w:hAnsi="Time New Roman"/>
        </w:rPr>
        <w:t>月</w:t>
      </w:r>
      <w:r w:rsidRPr="00E7708F">
        <w:rPr>
          <w:rFonts w:ascii="Time New Roman" w:eastAsia="黑体" w:hAnsi="Time New Roman"/>
        </w:rPr>
        <w:t>1</w:t>
      </w:r>
      <w:r w:rsidRPr="00E7708F">
        <w:rPr>
          <w:rFonts w:ascii="Time New Roman" w:eastAsia="黑体" w:hAnsi="Time New Roman"/>
        </w:rPr>
        <w:t>日之前提供信息，说明为落实委员会关于酷刑的定义和刑事定罪、未经授权的拘留地点、拘留条件以及国家人权委员会和国家防范酷刑机制的建议所采取的后续行动</w:t>
      </w:r>
      <w:r w:rsidRPr="00E7708F">
        <w:rPr>
          <w:rFonts w:ascii="Time New Roman" w:eastAsia="黑体" w:hAnsi="Time New Roman"/>
        </w:rPr>
        <w:t>(</w:t>
      </w:r>
      <w:r w:rsidRPr="00E7708F">
        <w:rPr>
          <w:rFonts w:ascii="Time New Roman" w:eastAsia="黑体" w:hAnsi="Time New Roman"/>
        </w:rPr>
        <w:t>见上文第</w:t>
      </w:r>
      <w:r w:rsidRPr="00E7708F">
        <w:rPr>
          <w:rFonts w:ascii="Time New Roman" w:eastAsia="黑体" w:hAnsi="Time New Roman"/>
        </w:rPr>
        <w:t>9</w:t>
      </w:r>
      <w:r w:rsidRPr="00E7708F">
        <w:rPr>
          <w:rFonts w:ascii="Time New Roman" w:eastAsia="黑体" w:hAnsi="Time New Roman"/>
        </w:rPr>
        <w:t>段、第</w:t>
      </w:r>
      <w:r w:rsidRPr="00E7708F">
        <w:rPr>
          <w:rFonts w:ascii="Time New Roman" w:eastAsia="黑体" w:hAnsi="Time New Roman"/>
        </w:rPr>
        <w:t>17</w:t>
      </w:r>
      <w:r w:rsidRPr="00E7708F">
        <w:rPr>
          <w:rFonts w:ascii="Time New Roman" w:eastAsia="黑体" w:hAnsi="Time New Roman"/>
        </w:rPr>
        <w:t>(</w:t>
      </w:r>
      <w:r w:rsidRPr="00E7708F">
        <w:rPr>
          <w:rFonts w:ascii="Time New Roman" w:eastAsia="黑体" w:hAnsi="Time New Roman"/>
        </w:rPr>
        <w:t>d</w:t>
      </w:r>
      <w:r w:rsidRPr="00E7708F">
        <w:rPr>
          <w:rFonts w:ascii="Time New Roman" w:eastAsia="黑体" w:hAnsi="Time New Roman"/>
        </w:rPr>
        <w:t>)</w:t>
      </w:r>
      <w:r w:rsidRPr="00E7708F">
        <w:rPr>
          <w:rFonts w:ascii="Time New Roman" w:eastAsia="黑体" w:hAnsi="Time New Roman"/>
        </w:rPr>
        <w:t>段、第</w:t>
      </w:r>
      <w:r w:rsidRPr="00E7708F">
        <w:rPr>
          <w:rFonts w:ascii="Time New Roman" w:eastAsia="黑体" w:hAnsi="Time New Roman"/>
        </w:rPr>
        <w:t>21</w:t>
      </w:r>
      <w:r w:rsidRPr="00E7708F">
        <w:rPr>
          <w:rFonts w:ascii="Time New Roman" w:eastAsia="黑体" w:hAnsi="Time New Roman"/>
        </w:rPr>
        <w:t>(</w:t>
      </w:r>
      <w:r w:rsidRPr="00E7708F">
        <w:rPr>
          <w:rFonts w:ascii="Time New Roman" w:eastAsia="黑体" w:hAnsi="Time New Roman"/>
        </w:rPr>
        <w:t>a</w:t>
      </w:r>
      <w:r w:rsidRPr="00E7708F">
        <w:rPr>
          <w:rFonts w:ascii="Time New Roman" w:eastAsia="黑体" w:hAnsi="Time New Roman"/>
        </w:rPr>
        <w:t>)</w:t>
      </w:r>
      <w:r w:rsidRPr="00E7708F">
        <w:rPr>
          <w:rFonts w:ascii="Time New Roman" w:eastAsia="黑体" w:hAnsi="Time New Roman"/>
        </w:rPr>
        <w:t>段和第</w:t>
      </w:r>
      <w:r w:rsidRPr="00E7708F">
        <w:rPr>
          <w:rFonts w:ascii="Time New Roman" w:eastAsia="黑体" w:hAnsi="Time New Roman"/>
        </w:rPr>
        <w:t>29</w:t>
      </w:r>
      <w:r w:rsidRPr="00E7708F">
        <w:rPr>
          <w:rFonts w:ascii="Time New Roman" w:eastAsia="黑体" w:hAnsi="Time New Roman"/>
        </w:rPr>
        <w:t>(</w:t>
      </w:r>
      <w:r w:rsidRPr="00E7708F">
        <w:rPr>
          <w:rFonts w:ascii="Time New Roman" w:eastAsia="黑体" w:hAnsi="Time New Roman"/>
        </w:rPr>
        <w:t>a</w:t>
      </w:r>
      <w:r w:rsidRPr="00E7708F">
        <w:rPr>
          <w:rFonts w:ascii="Time New Roman" w:eastAsia="黑体" w:hAnsi="Time New Roman"/>
        </w:rPr>
        <w:t>)</w:t>
      </w:r>
      <w:r w:rsidRPr="00E7708F">
        <w:rPr>
          <w:rFonts w:ascii="Time New Roman" w:eastAsia="黑体" w:hAnsi="Time New Roman"/>
        </w:rPr>
        <w:t>段</w:t>
      </w:r>
      <w:r w:rsidRPr="00E7708F">
        <w:rPr>
          <w:rFonts w:ascii="Time New Roman" w:eastAsia="黑体" w:hAnsi="Time New Roman"/>
        </w:rPr>
        <w:t>)</w:t>
      </w:r>
      <w:r w:rsidRPr="00E7708F">
        <w:rPr>
          <w:rFonts w:ascii="Time New Roman" w:eastAsia="黑体" w:hAnsi="Time New Roman"/>
        </w:rPr>
        <w:t>。在这方面，请缔约国向委员会通报计划在下一个报告期内落实结论性意见中其余各项建议的安排。</w:t>
      </w:r>
    </w:p>
    <w:p w14:paraId="2E383104" w14:textId="77777777" w:rsidR="00D022DE" w:rsidRPr="00E7708F" w:rsidRDefault="00D022DE" w:rsidP="00F211DE">
      <w:pPr>
        <w:pStyle w:val="H23GC"/>
        <w:rPr>
          <w:rFonts w:ascii="Time New Roman" w:hAnsi="Time New Roman"/>
        </w:rPr>
      </w:pPr>
      <w:r w:rsidRPr="00E7708F">
        <w:rPr>
          <w:rFonts w:ascii="Time New Roman" w:hAnsi="Time New Roman"/>
        </w:rPr>
        <w:tab/>
      </w:r>
      <w:r w:rsidRPr="00E7708F">
        <w:rPr>
          <w:rFonts w:ascii="Time New Roman" w:hAnsi="Time New Roman"/>
        </w:rPr>
        <w:tab/>
      </w:r>
      <w:r w:rsidRPr="00E7708F">
        <w:rPr>
          <w:rFonts w:ascii="Time New Roman" w:hAnsi="Time New Roman"/>
        </w:rPr>
        <w:t>其他事项</w:t>
      </w:r>
    </w:p>
    <w:p w14:paraId="3CBD3308" w14:textId="4A3E48F4" w:rsidR="00D022DE" w:rsidRPr="00E7708F" w:rsidRDefault="00D022DE" w:rsidP="00625CFC">
      <w:pPr>
        <w:pStyle w:val="SingleTxtGC"/>
        <w:rPr>
          <w:rFonts w:ascii="Time New Roman" w:eastAsia="黑体" w:hAnsi="Time New Roman"/>
        </w:rPr>
      </w:pPr>
      <w:r w:rsidRPr="00E7708F">
        <w:rPr>
          <w:rFonts w:ascii="Time New Roman" w:eastAsia="黑体" w:hAnsi="Time New Roman"/>
        </w:rPr>
        <w:t>53</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委员会鼓励缔约国考虑根据《公约》第</w:t>
      </w:r>
      <w:r w:rsidRPr="00E7708F">
        <w:rPr>
          <w:rFonts w:ascii="Time New Roman" w:eastAsia="黑体" w:hAnsi="Time New Roman"/>
        </w:rPr>
        <w:t>21</w:t>
      </w:r>
      <w:r w:rsidRPr="00E7708F">
        <w:rPr>
          <w:rFonts w:ascii="Time New Roman" w:eastAsia="黑体" w:hAnsi="Time New Roman"/>
        </w:rPr>
        <w:t>条和第</w:t>
      </w:r>
      <w:r w:rsidRPr="00E7708F">
        <w:rPr>
          <w:rFonts w:ascii="Time New Roman" w:eastAsia="黑体" w:hAnsi="Time New Roman"/>
        </w:rPr>
        <w:t>22</w:t>
      </w:r>
      <w:r w:rsidRPr="00E7708F">
        <w:rPr>
          <w:rFonts w:ascii="Time New Roman" w:eastAsia="黑体" w:hAnsi="Time New Roman"/>
        </w:rPr>
        <w:t>条</w:t>
      </w:r>
      <w:proofErr w:type="gramStart"/>
      <w:r w:rsidRPr="00E7708F">
        <w:rPr>
          <w:rFonts w:ascii="Time New Roman" w:eastAsia="黑体" w:hAnsi="Time New Roman"/>
        </w:rPr>
        <w:t>作出</w:t>
      </w:r>
      <w:proofErr w:type="gramEnd"/>
      <w:r w:rsidRPr="00E7708F">
        <w:rPr>
          <w:rFonts w:ascii="Time New Roman" w:eastAsia="黑体" w:hAnsi="Time New Roman"/>
        </w:rPr>
        <w:t>声明，承认委员会有权接受和审议国家间来文以及受该国管辖、声称因该缔约国违反《公约》规定而受害的个人或其代表提交的来文。</w:t>
      </w:r>
    </w:p>
    <w:p w14:paraId="415B85CF" w14:textId="51D453B9" w:rsidR="00D022DE" w:rsidRPr="00E7708F" w:rsidRDefault="00D022DE" w:rsidP="00625CFC">
      <w:pPr>
        <w:pStyle w:val="SingleTxtGC"/>
        <w:rPr>
          <w:rFonts w:ascii="Time New Roman" w:eastAsia="黑体" w:hAnsi="Time New Roman"/>
        </w:rPr>
      </w:pPr>
      <w:r w:rsidRPr="00E7708F">
        <w:rPr>
          <w:rFonts w:ascii="Time New Roman" w:eastAsia="黑体" w:hAnsi="Time New Roman"/>
        </w:rPr>
        <w:t>54</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委员会邀请缔约国加入其尚未加入的联合国核心人权条约。</w:t>
      </w:r>
    </w:p>
    <w:p w14:paraId="6F29301C" w14:textId="2F64A1A7" w:rsidR="00D022DE" w:rsidRPr="00E7708F" w:rsidRDefault="00D022DE" w:rsidP="00625CFC">
      <w:pPr>
        <w:pStyle w:val="SingleTxtGC"/>
        <w:rPr>
          <w:rFonts w:ascii="Time New Roman" w:eastAsia="黑体" w:hAnsi="Time New Roman"/>
        </w:rPr>
      </w:pPr>
      <w:r w:rsidRPr="00E7708F">
        <w:rPr>
          <w:rFonts w:ascii="Time New Roman" w:eastAsia="黑体" w:hAnsi="Time New Roman"/>
        </w:rPr>
        <w:t>55</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委员会请缔约国通过官方网站、媒体和非政府组织，以相关语言广泛传播提交委员会的报告和本结论性意见，并向委员会通报传播活动情况。</w:t>
      </w:r>
    </w:p>
    <w:p w14:paraId="3BB0E144" w14:textId="74B03239" w:rsidR="00F81296" w:rsidRPr="00E7708F" w:rsidRDefault="00D022DE" w:rsidP="00625CFC">
      <w:pPr>
        <w:pStyle w:val="SingleTxtGC"/>
        <w:rPr>
          <w:rFonts w:ascii="Time New Roman" w:eastAsia="黑体" w:hAnsi="Time New Roman"/>
        </w:rPr>
      </w:pPr>
      <w:r w:rsidRPr="00E7708F">
        <w:rPr>
          <w:rFonts w:ascii="Time New Roman" w:eastAsia="黑体" w:hAnsi="Time New Roman"/>
        </w:rPr>
        <w:t>56</w:t>
      </w:r>
      <w:r w:rsidRPr="00E7708F">
        <w:rPr>
          <w:rFonts w:ascii="Time New Roman" w:eastAsia="黑体" w:hAnsi="Time New Roman"/>
        </w:rPr>
        <w:t>.</w:t>
      </w:r>
      <w:r w:rsidRPr="00E7708F">
        <w:rPr>
          <w:rFonts w:ascii="Time New Roman" w:eastAsia="黑体" w:hAnsi="Time New Roman"/>
        </w:rPr>
        <w:tab/>
      </w:r>
      <w:r w:rsidRPr="00E7708F">
        <w:rPr>
          <w:rFonts w:ascii="Time New Roman" w:eastAsia="黑体" w:hAnsi="Time New Roman"/>
        </w:rPr>
        <w:t>委员会请缔约国在</w:t>
      </w:r>
      <w:r w:rsidRPr="00E7708F">
        <w:rPr>
          <w:rFonts w:ascii="Time New Roman" w:eastAsia="黑体" w:hAnsi="Time New Roman"/>
        </w:rPr>
        <w:t>2</w:t>
      </w:r>
      <w:r w:rsidRPr="00E7708F">
        <w:rPr>
          <w:rFonts w:ascii="Time New Roman" w:eastAsia="黑体" w:hAnsi="Time New Roman"/>
        </w:rPr>
        <w:t>0</w:t>
      </w:r>
      <w:r w:rsidRPr="00E7708F">
        <w:rPr>
          <w:rFonts w:ascii="Time New Roman" w:eastAsia="黑体" w:hAnsi="Time New Roman"/>
        </w:rPr>
        <w:t>3</w:t>
      </w:r>
      <w:r w:rsidRPr="00E7708F">
        <w:rPr>
          <w:rFonts w:ascii="Time New Roman" w:eastAsia="黑体" w:hAnsi="Time New Roman"/>
        </w:rPr>
        <w:t>0</w:t>
      </w:r>
      <w:r w:rsidRPr="00E7708F">
        <w:rPr>
          <w:rFonts w:ascii="Time New Roman" w:eastAsia="黑体" w:hAnsi="Time New Roman"/>
        </w:rPr>
        <w:t>年</w:t>
      </w:r>
      <w:r w:rsidRPr="00E7708F">
        <w:rPr>
          <w:rFonts w:ascii="Time New Roman" w:eastAsia="黑体" w:hAnsi="Time New Roman"/>
        </w:rPr>
        <w:t>5</w:t>
      </w:r>
      <w:r w:rsidRPr="00E7708F">
        <w:rPr>
          <w:rFonts w:ascii="Time New Roman" w:eastAsia="黑体" w:hAnsi="Time New Roman"/>
        </w:rPr>
        <w:t>月</w:t>
      </w:r>
      <w:r w:rsidRPr="00E7708F">
        <w:rPr>
          <w:rFonts w:ascii="Time New Roman" w:eastAsia="黑体" w:hAnsi="Time New Roman"/>
        </w:rPr>
        <w:t>1</w:t>
      </w:r>
      <w:r w:rsidRPr="00E7708F">
        <w:rPr>
          <w:rFonts w:ascii="Time New Roman" w:eastAsia="黑体" w:hAnsi="Time New Roman"/>
        </w:rPr>
        <w:t>日前提交下一次定期报告，即第三次定期报告。为此，并考虑到缔约国已同意按照简化报告程序向委员会提交报告，委员会将在适当时候向缔约国发送报告</w:t>
      </w:r>
      <w:proofErr w:type="gramStart"/>
      <w:r w:rsidRPr="00E7708F">
        <w:rPr>
          <w:rFonts w:ascii="Time New Roman" w:eastAsia="黑体" w:hAnsi="Time New Roman"/>
        </w:rPr>
        <w:t>前问题</w:t>
      </w:r>
      <w:proofErr w:type="gramEnd"/>
      <w:r w:rsidRPr="00E7708F">
        <w:rPr>
          <w:rFonts w:ascii="Time New Roman" w:eastAsia="黑体" w:hAnsi="Time New Roman"/>
        </w:rPr>
        <w:t>清单。缔约国对问题清单的答复将构成其根据《公约》第</w:t>
      </w:r>
      <w:r w:rsidRPr="00E7708F">
        <w:rPr>
          <w:rFonts w:ascii="Time New Roman" w:eastAsia="黑体" w:hAnsi="Time New Roman"/>
        </w:rPr>
        <w:t>19</w:t>
      </w:r>
      <w:r w:rsidRPr="00E7708F">
        <w:rPr>
          <w:rFonts w:ascii="Time New Roman" w:eastAsia="黑体" w:hAnsi="Time New Roman"/>
        </w:rPr>
        <w:t>条提交的第三次定期报告。</w:t>
      </w:r>
    </w:p>
    <w:p w14:paraId="26E0907A" w14:textId="77777777" w:rsidR="00D022DE" w:rsidRDefault="00D022DE" w:rsidP="00D022DE">
      <w:pPr>
        <w:pStyle w:val="SingleTxtGC"/>
      </w:pPr>
    </w:p>
    <w:p w14:paraId="54B084D5" w14:textId="77777777" w:rsidR="00D022DE" w:rsidRDefault="00D022DE" w:rsidP="00D022DE">
      <w:pPr>
        <w:pStyle w:val="SingleTxtGC"/>
      </w:pPr>
    </w:p>
    <w:p w14:paraId="6EB327B5" w14:textId="3DB8B26B" w:rsidR="00D022DE" w:rsidRDefault="00D022DE" w:rsidP="00D022DE">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D022DE"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31B15" w14:textId="77777777" w:rsidR="0044235E" w:rsidRPr="000D319F" w:rsidRDefault="0044235E" w:rsidP="000D319F">
      <w:pPr>
        <w:pStyle w:val="af0"/>
        <w:spacing w:after="240"/>
        <w:ind w:left="907"/>
        <w:rPr>
          <w:rFonts w:asciiTheme="majorBidi" w:eastAsia="宋体" w:hAnsiTheme="majorBidi" w:cstheme="majorBidi"/>
          <w:sz w:val="21"/>
          <w:szCs w:val="21"/>
          <w:lang w:val="en-US"/>
        </w:rPr>
      </w:pPr>
    </w:p>
    <w:p w14:paraId="4132FD60" w14:textId="77777777" w:rsidR="0044235E" w:rsidRPr="000D319F" w:rsidRDefault="0044235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4E11085" w14:textId="77777777" w:rsidR="0044235E" w:rsidRPr="000D319F" w:rsidRDefault="0044235E" w:rsidP="000D319F">
      <w:pPr>
        <w:pStyle w:val="af0"/>
      </w:pPr>
    </w:p>
  </w:endnote>
  <w:endnote w:type="continuationNotice" w:id="1">
    <w:p w14:paraId="4F7C1BDC" w14:textId="77777777" w:rsidR="0044235E" w:rsidRDefault="004423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7BE6B" w14:textId="77777777" w:rsidR="008A5894" w:rsidRPr="00F81296" w:rsidRDefault="00F81296" w:rsidP="00F8129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81296">
      <w:rPr>
        <w:rStyle w:val="af2"/>
        <w:b w:val="0"/>
        <w:snapToGrid w:val="0"/>
        <w:sz w:val="16"/>
      </w:rPr>
      <w:t>GE.26</w:t>
    </w:r>
    <w:proofErr w:type="spellEnd"/>
    <w:r w:rsidRPr="00F81296">
      <w:rPr>
        <w:rStyle w:val="af2"/>
        <w:b w:val="0"/>
        <w:snapToGrid w:val="0"/>
        <w:sz w:val="16"/>
      </w:rPr>
      <w:t>-06518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BA318" w14:textId="77777777" w:rsidR="008A5894" w:rsidRPr="00F81296" w:rsidRDefault="00F81296" w:rsidP="00F81296">
    <w:pPr>
      <w:pStyle w:val="af0"/>
      <w:tabs>
        <w:tab w:val="clear" w:pos="431"/>
        <w:tab w:val="right" w:pos="9638"/>
      </w:tabs>
      <w:rPr>
        <w:rStyle w:val="af2"/>
      </w:rPr>
    </w:pPr>
    <w:proofErr w:type="spellStart"/>
    <w:r>
      <w:t>GE.26</w:t>
    </w:r>
    <w:proofErr w:type="spellEnd"/>
    <w:r>
      <w:t>-06518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06FCE" w14:textId="5EF086B6" w:rsidR="008A5894" w:rsidRPr="00487939" w:rsidRDefault="00F81296"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A6AB7DB" wp14:editId="0B1C0655">
          <wp:simplePos x="0" y="0"/>
          <wp:positionH relativeFrom="column">
            <wp:align>right</wp:align>
          </wp:positionH>
          <wp:positionV relativeFrom="paragraph">
            <wp:posOffset>-69850</wp:posOffset>
          </wp:positionV>
          <wp:extent cx="571500" cy="571500"/>
          <wp:effectExtent l="0" t="0" r="0" b="0"/>
          <wp:wrapNone/>
          <wp:docPr id="10352655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-06518</w:t>
    </w:r>
    <w:r w:rsidR="00731A42" w:rsidRPr="00EE277A">
      <w:rPr>
        <w:sz w:val="20"/>
        <w:lang w:eastAsia="zh-CN"/>
      </w:rPr>
      <w:t xml:space="preserve"> (C)</w:t>
    </w:r>
    <w:r w:rsidR="005505A1">
      <w:rPr>
        <w:sz w:val="20"/>
        <w:lang w:eastAsia="zh-CN"/>
      </w:rPr>
      <w:tab/>
    </w:r>
    <w:r>
      <w:rPr>
        <w:rFonts w:eastAsiaTheme="minorEastAsia" w:hint="eastAsia"/>
        <w:sz w:val="20"/>
        <w:lang w:eastAsia="zh-CN"/>
      </w:rPr>
      <w:t>23</w:t>
    </w:r>
    <w:r w:rsidR="005505A1">
      <w:rPr>
        <w:sz w:val="20"/>
        <w:lang w:eastAsia="zh-CN"/>
      </w:rPr>
      <w:t>0</w:t>
    </w:r>
    <w:r>
      <w:rPr>
        <w:rFonts w:eastAsiaTheme="minorEastAsia" w:hint="eastAsia"/>
        <w:sz w:val="20"/>
        <w:lang w:eastAsia="zh-CN"/>
      </w:rPr>
      <w:t>7</w:t>
    </w:r>
    <w:r w:rsidR="00EF5464">
      <w:rPr>
        <w:sz w:val="20"/>
        <w:lang w:eastAsia="zh-CN"/>
      </w:rPr>
      <w:t>2</w:t>
    </w:r>
    <w:r w:rsidR="00FD5280">
      <w:rPr>
        <w:sz w:val="20"/>
        <w:lang w:eastAsia="zh-CN"/>
      </w:rPr>
      <w:t>6</w:t>
    </w:r>
    <w:r w:rsidR="00731A42">
      <w:rPr>
        <w:sz w:val="20"/>
        <w:lang w:eastAsia="zh-CN"/>
      </w:rPr>
      <w:tab/>
    </w:r>
    <w:r>
      <w:rPr>
        <w:rFonts w:eastAsiaTheme="minorEastAsia" w:hint="eastAsia"/>
        <w:sz w:val="20"/>
        <w:lang w:eastAsia="zh-CN"/>
      </w:rPr>
      <w:t>11</w:t>
    </w:r>
    <w:r w:rsidR="00731A42">
      <w:rPr>
        <w:sz w:val="20"/>
        <w:lang w:eastAsia="zh-CN"/>
      </w:rPr>
      <w:t>0</w:t>
    </w:r>
    <w:r>
      <w:rPr>
        <w:rFonts w:eastAsiaTheme="minorEastAsia" w:hint="eastAsia"/>
        <w:sz w:val="20"/>
        <w:lang w:eastAsia="zh-CN"/>
      </w:rPr>
      <w:t>8</w:t>
    </w:r>
    <w:r w:rsidR="00EF5464">
      <w:rPr>
        <w:sz w:val="20"/>
        <w:lang w:eastAsia="zh-CN"/>
      </w:rPr>
      <w:t>2</w:t>
    </w:r>
    <w:r w:rsidR="00FD5280">
      <w:rPr>
        <w:sz w:val="20"/>
        <w:lang w:eastAsia="zh-CN"/>
      </w:rPr>
      <w:t>6</w:t>
    </w:r>
    <w:r w:rsidR="00731A42">
      <w:rPr>
        <w:b/>
        <w:sz w:val="21"/>
      </w:rPr>
      <w:tab/>
    </w:r>
    <w:r w:rsidR="00A1364C">
      <w:rPr>
        <w:rFonts w:hint="eastAsia"/>
        <w:b/>
        <w:noProof/>
        <w:snapToGrid/>
        <w:sz w:val="21"/>
        <w:lang w:val="en-US" w:eastAsia="zh-CN"/>
      </w:rPr>
      <w:drawing>
        <wp:inline distT="0" distB="0" distL="0" distR="0" wp14:anchorId="4D2BA014" wp14:editId="1DA8F7C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46D14" w14:textId="77777777" w:rsidR="0044235E" w:rsidRPr="000157B1" w:rsidRDefault="0044235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C60E1DD" w14:textId="77777777" w:rsidR="0044235E" w:rsidRPr="000157B1" w:rsidRDefault="0044235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A32A4C4" w14:textId="77777777" w:rsidR="0044235E" w:rsidRDefault="0044235E"/>
  </w:footnote>
  <w:footnote w:id="2">
    <w:p w14:paraId="7D5F10B0" w14:textId="7E80D30F" w:rsidR="00D022DE" w:rsidRPr="00D129C6" w:rsidRDefault="00D022DE" w:rsidP="00316CBB">
      <w:pPr>
        <w:pStyle w:val="a6"/>
      </w:pPr>
      <w:r w:rsidRPr="00D129C6">
        <w:rPr>
          <w:lang w:val="zh-CN"/>
        </w:rPr>
        <w:tab/>
      </w:r>
      <w:r w:rsidRPr="00D129C6">
        <w:rPr>
          <w:sz w:val="21"/>
          <w:szCs w:val="21"/>
          <w:lang w:val="zh-CN"/>
        </w:rPr>
        <w:t>*</w:t>
      </w:r>
      <w:r w:rsidR="004F5D78" w:rsidRPr="00D129C6">
        <w:rPr>
          <w:lang w:val="zh-CN"/>
        </w:rPr>
        <w:tab/>
      </w:r>
      <w:r w:rsidRPr="00D129C6">
        <w:rPr>
          <w:lang w:val="zh-CN"/>
        </w:rPr>
        <w:t>委员会第八十四届会议</w:t>
      </w:r>
      <w:r w:rsidR="004F5D78" w:rsidRPr="00D129C6">
        <w:rPr>
          <w:lang w:val="zh-CN"/>
        </w:rPr>
        <w:t>(2</w:t>
      </w:r>
      <w:r w:rsidRPr="00D129C6">
        <w:rPr>
          <w:lang w:val="zh-CN"/>
        </w:rPr>
        <w:t>0</w:t>
      </w:r>
      <w:r w:rsidR="004F5D78" w:rsidRPr="00D129C6">
        <w:rPr>
          <w:lang w:val="zh-CN"/>
        </w:rPr>
        <w:t>26</w:t>
      </w:r>
      <w:r w:rsidRPr="00D129C6">
        <w:rPr>
          <w:lang w:val="zh-CN"/>
        </w:rPr>
        <w:t>年</w:t>
      </w:r>
      <w:r w:rsidR="004F5D78" w:rsidRPr="00D129C6">
        <w:rPr>
          <w:lang w:val="zh-CN"/>
        </w:rPr>
        <w:t>4</w:t>
      </w:r>
      <w:r w:rsidRPr="00D129C6">
        <w:rPr>
          <w:lang w:val="zh-CN"/>
        </w:rPr>
        <w:t>月</w:t>
      </w:r>
      <w:r w:rsidR="004F5D78" w:rsidRPr="00D129C6">
        <w:rPr>
          <w:lang w:val="zh-CN"/>
        </w:rPr>
        <w:t>13</w:t>
      </w:r>
      <w:r w:rsidRPr="00D129C6">
        <w:rPr>
          <w:lang w:val="zh-CN"/>
        </w:rPr>
        <w:t>日至</w:t>
      </w:r>
      <w:r w:rsidR="004F5D78" w:rsidRPr="00D129C6">
        <w:rPr>
          <w:lang w:val="zh-CN"/>
        </w:rPr>
        <w:t>5</w:t>
      </w:r>
      <w:r w:rsidRPr="00D129C6">
        <w:rPr>
          <w:lang w:val="zh-CN"/>
        </w:rPr>
        <w:t>月</w:t>
      </w:r>
      <w:r w:rsidR="004F5D78" w:rsidRPr="00D129C6">
        <w:rPr>
          <w:lang w:val="zh-CN"/>
        </w:rPr>
        <w:t>1</w:t>
      </w:r>
      <w:r w:rsidRPr="00D129C6">
        <w:rPr>
          <w:lang w:val="zh-CN"/>
        </w:rPr>
        <w:t>日</w:t>
      </w:r>
      <w:r w:rsidR="004F5D78" w:rsidRPr="00D129C6">
        <w:rPr>
          <w:lang w:val="zh-CN"/>
        </w:rPr>
        <w:t>)</w:t>
      </w:r>
      <w:r w:rsidRPr="00D129C6">
        <w:rPr>
          <w:lang w:val="zh-CN"/>
        </w:rPr>
        <w:t>通过。</w:t>
      </w:r>
    </w:p>
  </w:footnote>
  <w:footnote w:id="3">
    <w:p w14:paraId="43102BDE" w14:textId="18FAACF5" w:rsidR="00D022DE" w:rsidRPr="00D129C6" w:rsidRDefault="00D022DE" w:rsidP="00316CBB">
      <w:pPr>
        <w:pStyle w:val="a6"/>
      </w:pPr>
      <w:r w:rsidRPr="00D129C6">
        <w:rPr>
          <w:lang w:val="zh-CN"/>
        </w:rPr>
        <w:tab/>
      </w:r>
      <w:r w:rsidRPr="00D129C6">
        <w:rPr>
          <w:rStyle w:val="a8"/>
          <w:rFonts w:eastAsia="宋体"/>
          <w:lang w:val="zh-CN"/>
        </w:rPr>
        <w:footnoteRef/>
      </w:r>
      <w:r w:rsidRPr="00D129C6">
        <w:rPr>
          <w:lang w:val="zh-CN"/>
        </w:rPr>
        <w:tab/>
      </w:r>
      <w:r w:rsidRPr="00D129C6">
        <w:rPr>
          <w:lang w:val="zh-CN"/>
        </w:rPr>
        <w:t>见</w:t>
      </w:r>
      <w:r w:rsidR="00D129C6" w:rsidRPr="00D129C6">
        <w:rPr>
          <w:lang w:val="zh-CN"/>
        </w:rPr>
        <w:fldChar w:fldCharType="begin"/>
      </w:r>
      <w:r w:rsidR="00D129C6" w:rsidRPr="00D129C6">
        <w:rPr>
          <w:lang w:val="zh-CN"/>
        </w:rPr>
        <w:instrText>HYPERLINK "https://docs.un.org/zh/CAT/C/SR.2248"</w:instrText>
      </w:r>
      <w:r w:rsidR="00D129C6" w:rsidRPr="00D129C6">
        <w:rPr>
          <w:lang w:val="zh-CN"/>
        </w:rPr>
      </w:r>
      <w:r w:rsidR="00D129C6" w:rsidRPr="00D129C6">
        <w:rPr>
          <w:lang w:val="zh-CN"/>
        </w:rPr>
        <w:fldChar w:fldCharType="separate"/>
      </w:r>
      <w:r w:rsidR="004F5D78" w:rsidRPr="00D129C6">
        <w:rPr>
          <w:rStyle w:val="af6"/>
          <w:u w:val="none"/>
          <w:lang w:val="zh-CN"/>
        </w:rPr>
        <w:t>CAT/C/SR</w:t>
      </w:r>
      <w:r w:rsidRPr="00D129C6">
        <w:rPr>
          <w:rStyle w:val="af6"/>
          <w:u w:val="none"/>
          <w:lang w:val="zh-CN"/>
        </w:rPr>
        <w:t>.</w:t>
      </w:r>
      <w:r w:rsidR="004F5D78" w:rsidRPr="00D129C6">
        <w:rPr>
          <w:rStyle w:val="af6"/>
          <w:u w:val="none"/>
          <w:lang w:val="zh-CN"/>
        </w:rPr>
        <w:t>2248</w:t>
      </w:r>
      <w:r w:rsidR="00D129C6" w:rsidRPr="00D129C6">
        <w:rPr>
          <w:lang w:val="zh-CN"/>
        </w:rPr>
        <w:fldChar w:fldCharType="end"/>
      </w:r>
      <w:r w:rsidRPr="00D129C6">
        <w:rPr>
          <w:lang w:val="zh-CN"/>
        </w:rPr>
        <w:t>和</w:t>
      </w:r>
      <w:hyperlink r:id="rId1" w:history="1">
        <w:r w:rsidR="004F5D78" w:rsidRPr="00D129C6">
          <w:rPr>
            <w:rStyle w:val="af6"/>
            <w:u w:val="none"/>
            <w:lang w:val="zh-CN"/>
          </w:rPr>
          <w:t>CAT/C/SR</w:t>
        </w:r>
        <w:r w:rsidRPr="00D129C6">
          <w:rPr>
            <w:rStyle w:val="af6"/>
            <w:u w:val="none"/>
            <w:lang w:val="zh-CN"/>
          </w:rPr>
          <w:t>.</w:t>
        </w:r>
        <w:r w:rsidR="004F5D78" w:rsidRPr="00D129C6">
          <w:rPr>
            <w:rStyle w:val="af6"/>
            <w:u w:val="none"/>
            <w:lang w:val="zh-CN"/>
          </w:rPr>
          <w:t>2251</w:t>
        </w:r>
      </w:hyperlink>
      <w:r w:rsidRPr="00D129C6">
        <w:rPr>
          <w:lang w:val="zh-CN"/>
        </w:rPr>
        <w:t>。</w:t>
      </w:r>
      <w:hyperlink r:id="rId2" w:history="1"/>
      <w:hyperlink r:id="rId3" w:history="1"/>
      <w:hyperlink r:id="rId4" w:history="1"/>
      <w:hyperlink r:id="rId5" w:history="1"/>
    </w:p>
  </w:footnote>
  <w:footnote w:id="4">
    <w:p w14:paraId="5E6FCE45" w14:textId="075F53B8" w:rsidR="00D022DE" w:rsidRPr="00D129C6" w:rsidRDefault="00D022DE" w:rsidP="00316CBB">
      <w:pPr>
        <w:pStyle w:val="a6"/>
      </w:pPr>
      <w:r w:rsidRPr="00D129C6">
        <w:rPr>
          <w:lang w:val="zh-CN"/>
        </w:rPr>
        <w:tab/>
      </w:r>
      <w:r w:rsidRPr="00D129C6">
        <w:rPr>
          <w:rStyle w:val="a8"/>
          <w:rFonts w:eastAsia="宋体"/>
          <w:lang w:val="zh-CN"/>
        </w:rPr>
        <w:footnoteRef/>
      </w:r>
      <w:r w:rsidRPr="00D129C6">
        <w:rPr>
          <w:lang w:val="zh-CN"/>
        </w:rPr>
        <w:tab/>
      </w:r>
      <w:hyperlink r:id="rId6" w:history="1">
        <w:r w:rsidR="004F5D78" w:rsidRPr="00D129C6">
          <w:rPr>
            <w:rStyle w:val="af6"/>
            <w:u w:val="none"/>
            <w:lang w:val="zh-CN"/>
          </w:rPr>
          <w:t>CAT/C/GAB/2</w:t>
        </w:r>
      </w:hyperlink>
      <w:r w:rsidR="004F5D78" w:rsidRPr="00D129C6">
        <w:rPr>
          <w:lang w:val="zh-CN"/>
        </w:rPr>
        <w:t>.</w:t>
      </w:r>
      <w:hyperlink r:id="rId7" w:history="1"/>
      <w:hyperlink r:id="rId8" w:history="1"/>
    </w:p>
  </w:footnote>
  <w:footnote w:id="5">
    <w:p w14:paraId="0249191E" w14:textId="40B2C0D4" w:rsidR="00D022DE" w:rsidRPr="00D129C6" w:rsidRDefault="00D022DE" w:rsidP="00316CBB">
      <w:pPr>
        <w:pStyle w:val="a6"/>
      </w:pPr>
      <w:r w:rsidRPr="00D129C6">
        <w:rPr>
          <w:lang w:val="zh-CN"/>
        </w:rPr>
        <w:tab/>
      </w:r>
      <w:r w:rsidRPr="00D129C6">
        <w:rPr>
          <w:rStyle w:val="a8"/>
          <w:rFonts w:eastAsia="宋体"/>
          <w:lang w:val="zh-CN"/>
        </w:rPr>
        <w:footnoteRef/>
      </w:r>
      <w:r w:rsidRPr="00D129C6">
        <w:tab/>
      </w:r>
      <w:hyperlink r:id="rId9" w:history="1">
        <w:r w:rsidR="004F5D78" w:rsidRPr="00D129C6">
          <w:rPr>
            <w:rStyle w:val="af6"/>
            <w:u w:val="none"/>
          </w:rPr>
          <w:t>CAT/C/GAB/CO/1</w:t>
        </w:r>
      </w:hyperlink>
      <w:r w:rsidR="004F5D78" w:rsidRPr="00D129C6">
        <w:t>,</w:t>
      </w:r>
      <w:r w:rsidR="004F5D78" w:rsidRPr="00D129C6">
        <w:rPr>
          <w:rFonts w:hint="eastAsia"/>
        </w:rPr>
        <w:t xml:space="preserve"> </w:t>
      </w:r>
      <w:r w:rsidRPr="00D129C6">
        <w:rPr>
          <w:lang w:val="zh-CN"/>
        </w:rPr>
        <w:t>第</w:t>
      </w:r>
      <w:r w:rsidR="004F5D78" w:rsidRPr="00D129C6">
        <w:t>29</w:t>
      </w:r>
      <w:r w:rsidRPr="00D129C6">
        <w:rPr>
          <w:lang w:val="zh-CN"/>
        </w:rPr>
        <w:t>段。</w:t>
      </w:r>
      <w:r w:rsidRPr="00D129C6">
        <w:fldChar w:fldCharType="begin"/>
      </w:r>
      <w:r w:rsidRPr="00D129C6">
        <w:instrText>HYPERLINK "https://docs.un.org/en/CAT/C/GAB/CO/1"</w:instrText>
      </w:r>
      <w:r w:rsidRPr="00D129C6">
        <w:fldChar w:fldCharType="separate"/>
      </w:r>
      <w:r w:rsidRPr="00D129C6">
        <w:fldChar w:fldCharType="end"/>
      </w:r>
      <w:hyperlink r:id="rId10" w:history="1"/>
    </w:p>
  </w:footnote>
  <w:footnote w:id="6">
    <w:p w14:paraId="49554487" w14:textId="4A4A51AD" w:rsidR="00D022DE" w:rsidRPr="00396DC7" w:rsidRDefault="00D022DE" w:rsidP="00732D0A">
      <w:pPr>
        <w:pStyle w:val="a6"/>
        <w:wordWrap w:val="0"/>
      </w:pPr>
      <w:r w:rsidRPr="00396DC7">
        <w:tab/>
      </w:r>
      <w:r w:rsidRPr="00396DC7">
        <w:rPr>
          <w:rStyle w:val="a8"/>
          <w:rFonts w:eastAsia="宋体"/>
          <w:lang w:val="zh-CN"/>
        </w:rPr>
        <w:footnoteRef/>
      </w:r>
      <w:r w:rsidRPr="00396DC7">
        <w:tab/>
      </w:r>
      <w:hyperlink r:id="rId11" w:history="1">
        <w:r w:rsidR="00396DC7" w:rsidRPr="00396DC7">
          <w:rPr>
            <w:rStyle w:val="af6"/>
            <w:u w:val="none"/>
          </w:rPr>
          <w:t>https://tbinternet.ohchr.org/_layouts/15/treatybodyexternal/Download.aspx?symbolno=INT%2FCAT%2FFUL%2FGAB%2F15839&amp;Lang=en</w:t>
        </w:r>
      </w:hyperlink>
      <w:r w:rsidR="004F5D78" w:rsidRPr="00396DC7">
        <w:t>.</w:t>
      </w:r>
      <w:hyperlink r:id="rId12" w:history="1"/>
      <w:hyperlink r:id="rId13" w:history="1"/>
    </w:p>
  </w:footnote>
  <w:footnote w:id="7">
    <w:p w14:paraId="6732C476" w14:textId="12CDC254" w:rsidR="00D022DE" w:rsidRPr="00D129C6" w:rsidRDefault="00D022DE" w:rsidP="00316CBB">
      <w:pPr>
        <w:pStyle w:val="a6"/>
        <w:rPr>
          <w:lang w:val="de-CH"/>
        </w:rPr>
      </w:pPr>
      <w:r w:rsidRPr="00D129C6">
        <w:tab/>
      </w:r>
      <w:r w:rsidRPr="00D129C6">
        <w:rPr>
          <w:rStyle w:val="a8"/>
          <w:rFonts w:eastAsia="宋体"/>
          <w:lang w:val="zh-CN"/>
        </w:rPr>
        <w:footnoteRef/>
      </w:r>
      <w:r w:rsidRPr="00D129C6">
        <w:rPr>
          <w:lang w:val="de-CH"/>
        </w:rPr>
        <w:tab/>
      </w:r>
      <w:hyperlink r:id="rId14" w:history="1">
        <w:r w:rsidR="004F5D78" w:rsidRPr="00D129C6">
          <w:rPr>
            <w:rStyle w:val="af6"/>
            <w:u w:val="none"/>
            <w:lang w:val="de-CH"/>
          </w:rPr>
          <w:t>CAT/C/GAB/2</w:t>
        </w:r>
      </w:hyperlink>
      <w:r w:rsidR="004F5D78" w:rsidRPr="00D129C6">
        <w:rPr>
          <w:lang w:val="de-CH"/>
        </w:rPr>
        <w:t>,</w:t>
      </w:r>
      <w:r w:rsidR="002728A7" w:rsidRPr="00D129C6">
        <w:rPr>
          <w:rFonts w:hint="eastAsia"/>
          <w:lang w:val="de-CH"/>
        </w:rPr>
        <w:t xml:space="preserve"> </w:t>
      </w:r>
      <w:r w:rsidRPr="00D129C6">
        <w:rPr>
          <w:lang w:val="zh-CN"/>
        </w:rPr>
        <w:t>第</w:t>
      </w:r>
      <w:r w:rsidR="004F5D78" w:rsidRPr="00D129C6">
        <w:rPr>
          <w:lang w:val="de-CH"/>
        </w:rPr>
        <w:t>13</w:t>
      </w:r>
      <w:r w:rsidRPr="00D129C6">
        <w:rPr>
          <w:lang w:val="zh-CN"/>
        </w:rPr>
        <w:t>段。</w:t>
      </w:r>
      <w:r w:rsidRPr="00D129C6">
        <w:fldChar w:fldCharType="begin"/>
      </w:r>
      <w:r w:rsidRPr="00D129C6">
        <w:rPr>
          <w:lang w:val="de-CH"/>
        </w:rPr>
        <w:instrText>HYPERLINK "https://docs.un.org/en/CAT/C/GAB/2"</w:instrText>
      </w:r>
      <w:r w:rsidRPr="00D129C6">
        <w:fldChar w:fldCharType="separate"/>
      </w:r>
      <w:r w:rsidRPr="00D129C6">
        <w:fldChar w:fldCharType="end"/>
      </w:r>
      <w:hyperlink r:id="rId15" w:history="1"/>
    </w:p>
  </w:footnote>
  <w:footnote w:id="8">
    <w:p w14:paraId="21A7D669" w14:textId="6642A6CF" w:rsidR="00D022DE" w:rsidRPr="00D129C6" w:rsidRDefault="00D022DE" w:rsidP="00316CBB">
      <w:pPr>
        <w:pStyle w:val="a6"/>
        <w:rPr>
          <w:lang w:val="de-CH"/>
        </w:rPr>
      </w:pPr>
      <w:r w:rsidRPr="00D129C6">
        <w:rPr>
          <w:lang w:val="de-CH"/>
        </w:rPr>
        <w:tab/>
      </w:r>
      <w:r w:rsidRPr="00D129C6">
        <w:rPr>
          <w:rStyle w:val="a8"/>
          <w:rFonts w:eastAsia="宋体"/>
          <w:lang w:val="zh-CN"/>
        </w:rPr>
        <w:footnoteRef/>
      </w:r>
      <w:r w:rsidRPr="00D129C6">
        <w:rPr>
          <w:lang w:val="de-CH"/>
        </w:rPr>
        <w:tab/>
      </w:r>
      <w:hyperlink r:id="rId16" w:history="1">
        <w:r w:rsidR="004F5D78" w:rsidRPr="00D129C6">
          <w:rPr>
            <w:rStyle w:val="af6"/>
            <w:u w:val="none"/>
            <w:lang w:val="de-CH"/>
          </w:rPr>
          <w:t>CAT/C/GAB/2</w:t>
        </w:r>
      </w:hyperlink>
      <w:r w:rsidR="004F5D78" w:rsidRPr="00D129C6">
        <w:rPr>
          <w:lang w:val="de-CH"/>
        </w:rPr>
        <w:t>,</w:t>
      </w:r>
      <w:r w:rsidR="002728A7" w:rsidRPr="00D129C6">
        <w:rPr>
          <w:rFonts w:hint="eastAsia"/>
          <w:lang w:val="de-CH"/>
        </w:rPr>
        <w:t xml:space="preserve"> </w:t>
      </w:r>
      <w:r w:rsidRPr="00D129C6">
        <w:rPr>
          <w:lang w:val="zh-CN"/>
        </w:rPr>
        <w:t>第</w:t>
      </w:r>
      <w:r w:rsidR="004F5D78" w:rsidRPr="00D129C6">
        <w:rPr>
          <w:lang w:val="de-CH"/>
        </w:rPr>
        <w:t>9</w:t>
      </w:r>
      <w:r w:rsidRPr="00D129C6">
        <w:rPr>
          <w:lang w:val="zh-CN"/>
        </w:rPr>
        <w:t>段。</w:t>
      </w:r>
      <w:r w:rsidRPr="00D129C6">
        <w:fldChar w:fldCharType="begin"/>
      </w:r>
      <w:r w:rsidRPr="00D129C6">
        <w:rPr>
          <w:lang w:val="de-CH"/>
        </w:rPr>
        <w:instrText>HYPERLINK "https://docs.un.org/en/CAT/C/GAB/2"</w:instrText>
      </w:r>
      <w:r w:rsidRPr="00D129C6">
        <w:fldChar w:fldCharType="separate"/>
      </w:r>
      <w:r w:rsidRPr="00D129C6">
        <w:fldChar w:fldCharType="end"/>
      </w:r>
      <w:hyperlink r:id="rId17" w:history="1"/>
    </w:p>
  </w:footnote>
  <w:footnote w:id="9">
    <w:p w14:paraId="3ED93111" w14:textId="5E5B8424" w:rsidR="00D022DE" w:rsidRPr="00D129C6" w:rsidRDefault="00D022DE" w:rsidP="00316CBB">
      <w:pPr>
        <w:pStyle w:val="a6"/>
        <w:rPr>
          <w:lang w:val="de-CH"/>
        </w:rPr>
      </w:pPr>
      <w:r w:rsidRPr="00D129C6">
        <w:rPr>
          <w:lang w:val="de-CH"/>
        </w:rPr>
        <w:tab/>
      </w:r>
      <w:r w:rsidRPr="00D129C6">
        <w:rPr>
          <w:rStyle w:val="a8"/>
          <w:rFonts w:eastAsia="宋体"/>
          <w:lang w:val="zh-CN"/>
        </w:rPr>
        <w:footnoteRef/>
      </w:r>
      <w:r w:rsidRPr="00D129C6">
        <w:rPr>
          <w:lang w:val="de-CH"/>
        </w:rPr>
        <w:tab/>
      </w:r>
      <w:hyperlink r:id="rId18" w:history="1">
        <w:r w:rsidR="004F5D78" w:rsidRPr="00D129C6">
          <w:rPr>
            <w:rStyle w:val="af6"/>
            <w:u w:val="none"/>
            <w:lang w:val="de-CH"/>
          </w:rPr>
          <w:t>CAT/C/GAB/2</w:t>
        </w:r>
      </w:hyperlink>
      <w:r w:rsidR="004F5D78" w:rsidRPr="00D129C6">
        <w:rPr>
          <w:lang w:val="de-CH"/>
        </w:rPr>
        <w:t>,</w:t>
      </w:r>
      <w:r w:rsidR="002728A7" w:rsidRPr="00D129C6">
        <w:rPr>
          <w:rFonts w:hint="eastAsia"/>
          <w:lang w:val="de-CH"/>
        </w:rPr>
        <w:t xml:space="preserve"> </w:t>
      </w:r>
      <w:r w:rsidRPr="00D129C6">
        <w:rPr>
          <w:lang w:val="zh-CN"/>
        </w:rPr>
        <w:t>第</w:t>
      </w:r>
      <w:r w:rsidR="004F5D78" w:rsidRPr="00D129C6">
        <w:rPr>
          <w:lang w:val="de-CH"/>
        </w:rPr>
        <w:t>2</w:t>
      </w:r>
      <w:r w:rsidRPr="00D129C6">
        <w:rPr>
          <w:lang w:val="de-CH"/>
        </w:rPr>
        <w:t>0</w:t>
      </w:r>
      <w:r w:rsidR="004F5D78" w:rsidRPr="00D129C6">
        <w:rPr>
          <w:lang w:val="de-CH"/>
        </w:rPr>
        <w:t>6</w:t>
      </w:r>
      <w:r w:rsidRPr="00D129C6">
        <w:rPr>
          <w:lang w:val="zh-CN"/>
        </w:rPr>
        <w:t>段。</w:t>
      </w:r>
      <w:r w:rsidRPr="00D129C6">
        <w:fldChar w:fldCharType="begin"/>
      </w:r>
      <w:r w:rsidRPr="00D129C6">
        <w:rPr>
          <w:lang w:val="de-CH"/>
        </w:rPr>
        <w:instrText>HYPERLINK "https://docs.un.org/en/CAT/C/GAB/2"</w:instrText>
      </w:r>
      <w:r w:rsidRPr="00D129C6">
        <w:fldChar w:fldCharType="separate"/>
      </w:r>
      <w:r w:rsidRPr="00D129C6">
        <w:fldChar w:fldCharType="end"/>
      </w:r>
      <w:hyperlink r:id="rId19" w:history="1"/>
    </w:p>
  </w:footnote>
  <w:footnote w:id="10">
    <w:p w14:paraId="2D3C387C" w14:textId="4ED60697" w:rsidR="00D022DE" w:rsidRPr="00D129C6" w:rsidRDefault="00D022DE" w:rsidP="00316CBB">
      <w:pPr>
        <w:pStyle w:val="a6"/>
        <w:rPr>
          <w:lang w:val="de-CH"/>
        </w:rPr>
      </w:pPr>
      <w:r w:rsidRPr="00D129C6">
        <w:rPr>
          <w:lang w:val="de-CH"/>
        </w:rPr>
        <w:tab/>
      </w:r>
      <w:r w:rsidRPr="00D129C6">
        <w:rPr>
          <w:rStyle w:val="a8"/>
          <w:rFonts w:eastAsia="宋体"/>
          <w:lang w:val="zh-CN"/>
        </w:rPr>
        <w:footnoteRef/>
      </w:r>
      <w:r w:rsidRPr="00D129C6">
        <w:rPr>
          <w:lang w:val="de-CH"/>
        </w:rPr>
        <w:tab/>
      </w:r>
      <w:hyperlink r:id="rId20" w:history="1">
        <w:r w:rsidR="004F5D78" w:rsidRPr="00D129C6">
          <w:rPr>
            <w:rStyle w:val="af6"/>
            <w:u w:val="none"/>
            <w:lang w:val="de-CH"/>
          </w:rPr>
          <w:t>CAT/C/GAB/2</w:t>
        </w:r>
      </w:hyperlink>
      <w:r w:rsidR="004F5D78" w:rsidRPr="00D129C6">
        <w:rPr>
          <w:lang w:val="de-CH"/>
        </w:rPr>
        <w:t>,</w:t>
      </w:r>
      <w:r w:rsidR="002728A7" w:rsidRPr="00D129C6">
        <w:rPr>
          <w:rFonts w:hint="eastAsia"/>
          <w:lang w:val="de-CH"/>
        </w:rPr>
        <w:t xml:space="preserve"> </w:t>
      </w:r>
      <w:r w:rsidRPr="00D129C6">
        <w:rPr>
          <w:lang w:val="zh-CN"/>
        </w:rPr>
        <w:t>第</w:t>
      </w:r>
      <w:r w:rsidR="004F5D78" w:rsidRPr="00D129C6">
        <w:rPr>
          <w:lang w:val="de-CH"/>
        </w:rPr>
        <w:t>185</w:t>
      </w:r>
      <w:r w:rsidRPr="00D129C6">
        <w:rPr>
          <w:lang w:val="zh-CN"/>
        </w:rPr>
        <w:t>段。</w:t>
      </w:r>
      <w:r w:rsidRPr="00D129C6">
        <w:fldChar w:fldCharType="begin"/>
      </w:r>
      <w:r w:rsidRPr="00D129C6">
        <w:rPr>
          <w:lang w:val="de-CH"/>
        </w:rPr>
        <w:instrText>HYPERLINK "https://docs.un.org/en/CAT/C/GAB/2"</w:instrText>
      </w:r>
      <w:r w:rsidRPr="00D129C6">
        <w:fldChar w:fldCharType="separate"/>
      </w:r>
      <w:r w:rsidRPr="00D129C6">
        <w:fldChar w:fldCharType="end"/>
      </w:r>
      <w:hyperlink r:id="rId21" w:history="1"/>
    </w:p>
  </w:footnote>
  <w:footnote w:id="11">
    <w:p w14:paraId="7A4FC8AE" w14:textId="1509E22B" w:rsidR="00D022DE" w:rsidRPr="00E804D5" w:rsidRDefault="00D022DE" w:rsidP="00E804D5">
      <w:pPr>
        <w:pStyle w:val="a6"/>
        <w:rPr>
          <w:lang w:val="fr-CH"/>
        </w:rPr>
      </w:pPr>
      <w:r w:rsidRPr="00D129C6">
        <w:rPr>
          <w:lang w:val="de-CH"/>
        </w:rPr>
        <w:tab/>
      </w:r>
      <w:r w:rsidRPr="00D129C6">
        <w:rPr>
          <w:rStyle w:val="a8"/>
          <w:rFonts w:eastAsia="宋体"/>
          <w:lang w:val="zh-CN"/>
        </w:rPr>
        <w:footnoteRef/>
      </w:r>
      <w:r w:rsidRPr="00E804D5">
        <w:rPr>
          <w:lang w:val="fr-CH"/>
        </w:rPr>
        <w:tab/>
      </w:r>
      <w:r w:rsidR="00E804D5" w:rsidRPr="00E804D5">
        <w:rPr>
          <w:lang w:val="fr-CH"/>
        </w:rPr>
        <w:t>Haut-Commissariat des Nations Unies aux droits de l’homme, « </w:t>
      </w:r>
      <w:hyperlink r:id="rId22" w:history="1">
        <w:r w:rsidR="00E804D5" w:rsidRPr="00E804D5">
          <w:rPr>
            <w:rStyle w:val="af6"/>
            <w:u w:val="none"/>
            <w:lang w:val="fr-CH"/>
          </w:rPr>
          <w:t xml:space="preserve">UN </w:t>
        </w:r>
        <w:proofErr w:type="spellStart"/>
        <w:r w:rsidR="00E804D5" w:rsidRPr="00E804D5">
          <w:rPr>
            <w:rStyle w:val="af6"/>
            <w:u w:val="none"/>
            <w:lang w:val="fr-CH"/>
          </w:rPr>
          <w:t>human</w:t>
        </w:r>
        <w:proofErr w:type="spellEnd"/>
        <w:r w:rsidR="00E804D5" w:rsidRPr="00E804D5">
          <w:rPr>
            <w:rStyle w:val="af6"/>
            <w:u w:val="none"/>
            <w:lang w:val="fr-CH"/>
          </w:rPr>
          <w:t xml:space="preserve"> </w:t>
        </w:r>
        <w:proofErr w:type="spellStart"/>
        <w:r w:rsidR="00E804D5" w:rsidRPr="00E804D5">
          <w:rPr>
            <w:rStyle w:val="af6"/>
            <w:u w:val="none"/>
            <w:lang w:val="fr-CH"/>
          </w:rPr>
          <w:t>rights</w:t>
        </w:r>
        <w:proofErr w:type="spellEnd"/>
        <w:r w:rsidR="00E804D5" w:rsidRPr="00E804D5">
          <w:rPr>
            <w:rStyle w:val="af6"/>
            <w:u w:val="none"/>
            <w:lang w:val="fr-CH"/>
          </w:rPr>
          <w:t xml:space="preserve"> experts </w:t>
        </w:r>
        <w:proofErr w:type="spellStart"/>
        <w:r w:rsidR="00E804D5" w:rsidRPr="00E804D5">
          <w:rPr>
            <w:rStyle w:val="af6"/>
            <w:u w:val="none"/>
            <w:lang w:val="fr-CH"/>
          </w:rPr>
          <w:t>raise</w:t>
        </w:r>
        <w:proofErr w:type="spellEnd"/>
        <w:r w:rsidR="00E804D5" w:rsidRPr="00E804D5">
          <w:rPr>
            <w:rStyle w:val="af6"/>
            <w:u w:val="none"/>
            <w:lang w:val="fr-CH"/>
          </w:rPr>
          <w:t xml:space="preserve"> </w:t>
        </w:r>
        <w:proofErr w:type="spellStart"/>
        <w:r w:rsidR="00E804D5" w:rsidRPr="00E804D5">
          <w:rPr>
            <w:rStyle w:val="af6"/>
            <w:u w:val="none"/>
            <w:lang w:val="fr-CH"/>
          </w:rPr>
          <w:t>alarm</w:t>
        </w:r>
        <w:proofErr w:type="spellEnd"/>
        <w:r w:rsidR="00E804D5" w:rsidRPr="00E804D5">
          <w:rPr>
            <w:rStyle w:val="af6"/>
            <w:u w:val="none"/>
            <w:lang w:val="fr-CH"/>
          </w:rPr>
          <w:t xml:space="preserve"> about the situation of </w:t>
        </w:r>
        <w:proofErr w:type="spellStart"/>
        <w:r w:rsidR="00E804D5" w:rsidRPr="00E804D5">
          <w:rPr>
            <w:rStyle w:val="af6"/>
            <w:u w:val="none"/>
            <w:lang w:val="fr-CH"/>
          </w:rPr>
          <w:t>Indian</w:t>
        </w:r>
        <w:proofErr w:type="spellEnd"/>
        <w:r w:rsidR="00E804D5" w:rsidRPr="00E804D5">
          <w:rPr>
            <w:rStyle w:val="af6"/>
            <w:u w:val="none"/>
            <w:lang w:val="fr-CH"/>
          </w:rPr>
          <w:t xml:space="preserve"> migrant </w:t>
        </w:r>
        <w:proofErr w:type="spellStart"/>
        <w:r w:rsidR="00E804D5" w:rsidRPr="00E804D5">
          <w:rPr>
            <w:rStyle w:val="af6"/>
            <w:u w:val="none"/>
            <w:lang w:val="fr-CH"/>
          </w:rPr>
          <w:t>workers</w:t>
        </w:r>
        <w:proofErr w:type="spellEnd"/>
        <w:r w:rsidR="00E804D5" w:rsidRPr="00E804D5">
          <w:rPr>
            <w:rStyle w:val="af6"/>
            <w:u w:val="none"/>
            <w:lang w:val="fr-CH"/>
          </w:rPr>
          <w:t xml:space="preserve"> in Gabon </w:t>
        </w:r>
        <w:proofErr w:type="spellStart"/>
        <w:r w:rsidR="00E804D5" w:rsidRPr="00E804D5">
          <w:rPr>
            <w:rStyle w:val="af6"/>
            <w:u w:val="none"/>
            <w:lang w:val="fr-CH"/>
          </w:rPr>
          <w:t>Special</w:t>
        </w:r>
        <w:proofErr w:type="spellEnd"/>
        <w:r w:rsidR="00E804D5" w:rsidRPr="00E804D5">
          <w:rPr>
            <w:rStyle w:val="af6"/>
            <w:u w:val="none"/>
            <w:lang w:val="fr-CH"/>
          </w:rPr>
          <w:t xml:space="preserve"> </w:t>
        </w:r>
        <w:proofErr w:type="spellStart"/>
        <w:r w:rsidR="00E804D5" w:rsidRPr="00E804D5">
          <w:rPr>
            <w:rStyle w:val="af6"/>
            <w:u w:val="none"/>
            <w:lang w:val="fr-CH"/>
          </w:rPr>
          <w:t>Economic</w:t>
        </w:r>
        <w:proofErr w:type="spellEnd"/>
        <w:r w:rsidR="00E804D5" w:rsidRPr="00E804D5">
          <w:rPr>
            <w:rStyle w:val="af6"/>
            <w:u w:val="none"/>
            <w:lang w:val="fr-CH"/>
          </w:rPr>
          <w:t xml:space="preserve"> Zone</w:t>
        </w:r>
      </w:hyperlink>
      <w:r w:rsidR="00E804D5" w:rsidRPr="00E804D5">
        <w:rPr>
          <w:lang w:val="fr-CH"/>
        </w:rPr>
        <w:t> », communiqué de presse, 26 avril 2019.</w:t>
      </w:r>
      <w:hyperlink r:id="rId23" w:history="1"/>
      <w:hyperlink r:id="rId24" w:history="1"/>
    </w:p>
  </w:footnote>
  <w:footnote w:id="12">
    <w:p w14:paraId="61D2C108" w14:textId="6BB28590" w:rsidR="00D022DE" w:rsidRPr="00D129C6" w:rsidRDefault="00D022DE" w:rsidP="00316CBB">
      <w:pPr>
        <w:pStyle w:val="a6"/>
        <w:rPr>
          <w:lang w:val="de-CH"/>
        </w:rPr>
      </w:pPr>
      <w:r w:rsidRPr="00E804D5">
        <w:rPr>
          <w:lang w:val="fr-CH"/>
        </w:rPr>
        <w:tab/>
      </w:r>
      <w:r w:rsidRPr="00D129C6">
        <w:rPr>
          <w:rStyle w:val="a8"/>
          <w:rFonts w:eastAsia="宋体"/>
          <w:lang w:val="zh-CN"/>
        </w:rPr>
        <w:footnoteRef/>
      </w:r>
      <w:r w:rsidRPr="00D129C6">
        <w:rPr>
          <w:lang w:val="de-CH"/>
        </w:rPr>
        <w:tab/>
      </w:r>
      <w:hyperlink r:id="rId25" w:history="1">
        <w:r w:rsidR="004F5D78" w:rsidRPr="00D129C6">
          <w:rPr>
            <w:rStyle w:val="af6"/>
            <w:u w:val="none"/>
            <w:lang w:val="de-CH"/>
          </w:rPr>
          <w:t>CAT/C/GAB/2</w:t>
        </w:r>
      </w:hyperlink>
      <w:r w:rsidR="004F5D78" w:rsidRPr="00D129C6">
        <w:rPr>
          <w:lang w:val="de-CH"/>
        </w:rPr>
        <w:t>,</w:t>
      </w:r>
      <w:r w:rsidR="002728A7" w:rsidRPr="00D129C6">
        <w:rPr>
          <w:rFonts w:hint="eastAsia"/>
          <w:lang w:val="de-CH"/>
        </w:rPr>
        <w:t xml:space="preserve"> </w:t>
      </w:r>
      <w:r w:rsidRPr="00D129C6">
        <w:rPr>
          <w:lang w:val="zh-CN"/>
        </w:rPr>
        <w:t>第</w:t>
      </w:r>
      <w:r w:rsidR="004F5D78" w:rsidRPr="00D129C6">
        <w:rPr>
          <w:lang w:val="de-CH"/>
        </w:rPr>
        <w:t>112</w:t>
      </w:r>
      <w:r w:rsidRPr="00D129C6">
        <w:rPr>
          <w:lang w:val="zh-CN"/>
        </w:rPr>
        <w:t>段。</w:t>
      </w:r>
      <w:hyperlink r:id="rId26" w:history="1"/>
      <w:hyperlink r:id="rId27"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6D58F" w14:textId="77777777" w:rsidR="008A5894" w:rsidRDefault="00F81296" w:rsidP="00F81296">
    <w:pPr>
      <w:pStyle w:val="af3"/>
    </w:pPr>
    <w:r>
      <w:t>CAT/C/GAB/CO/2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57854" w14:textId="77777777" w:rsidR="008A5894" w:rsidRPr="00202A30" w:rsidRDefault="00F81296" w:rsidP="00F81296">
    <w:pPr>
      <w:pStyle w:val="af3"/>
      <w:jc w:val="right"/>
    </w:pPr>
    <w:r>
      <w:t>CAT/C/GAB/CO/2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35E"/>
    <w:rsid w:val="00005AA7"/>
    <w:rsid w:val="00011483"/>
    <w:rsid w:val="0003324B"/>
    <w:rsid w:val="00065F7E"/>
    <w:rsid w:val="000662A3"/>
    <w:rsid w:val="00080803"/>
    <w:rsid w:val="00091633"/>
    <w:rsid w:val="000A0B81"/>
    <w:rsid w:val="000B0E35"/>
    <w:rsid w:val="000D319F"/>
    <w:rsid w:val="000E4D0E"/>
    <w:rsid w:val="00121B4A"/>
    <w:rsid w:val="00124279"/>
    <w:rsid w:val="00144B69"/>
    <w:rsid w:val="00153E86"/>
    <w:rsid w:val="00155102"/>
    <w:rsid w:val="00192831"/>
    <w:rsid w:val="001973D9"/>
    <w:rsid w:val="001B1BD1"/>
    <w:rsid w:val="001C3EF2"/>
    <w:rsid w:val="001D17F6"/>
    <w:rsid w:val="0020197C"/>
    <w:rsid w:val="00204B42"/>
    <w:rsid w:val="00206268"/>
    <w:rsid w:val="00212E27"/>
    <w:rsid w:val="002231C3"/>
    <w:rsid w:val="002266FE"/>
    <w:rsid w:val="00241057"/>
    <w:rsid w:val="0024417F"/>
    <w:rsid w:val="00250F8D"/>
    <w:rsid w:val="00256EC7"/>
    <w:rsid w:val="002728A7"/>
    <w:rsid w:val="002B3942"/>
    <w:rsid w:val="002D14FC"/>
    <w:rsid w:val="002E1C97"/>
    <w:rsid w:val="002F0F24"/>
    <w:rsid w:val="002F5834"/>
    <w:rsid w:val="002F5974"/>
    <w:rsid w:val="003006AB"/>
    <w:rsid w:val="00316CBB"/>
    <w:rsid w:val="00326EBF"/>
    <w:rsid w:val="00327FE4"/>
    <w:rsid w:val="00335E8A"/>
    <w:rsid w:val="00340D99"/>
    <w:rsid w:val="00352798"/>
    <w:rsid w:val="0038611A"/>
    <w:rsid w:val="00396DC7"/>
    <w:rsid w:val="003A25BA"/>
    <w:rsid w:val="003C5C17"/>
    <w:rsid w:val="003D629B"/>
    <w:rsid w:val="003E319D"/>
    <w:rsid w:val="00426884"/>
    <w:rsid w:val="00427F63"/>
    <w:rsid w:val="00434D38"/>
    <w:rsid w:val="0044235E"/>
    <w:rsid w:val="00464281"/>
    <w:rsid w:val="00494EB8"/>
    <w:rsid w:val="004A34AA"/>
    <w:rsid w:val="004C135D"/>
    <w:rsid w:val="004C4A0A"/>
    <w:rsid w:val="004D3E00"/>
    <w:rsid w:val="004E5055"/>
    <w:rsid w:val="004F5D78"/>
    <w:rsid w:val="00501220"/>
    <w:rsid w:val="005124D0"/>
    <w:rsid w:val="005258D4"/>
    <w:rsid w:val="005505A1"/>
    <w:rsid w:val="00566A7D"/>
    <w:rsid w:val="00597013"/>
    <w:rsid w:val="005A48BF"/>
    <w:rsid w:val="005B4286"/>
    <w:rsid w:val="005B5D35"/>
    <w:rsid w:val="005D337E"/>
    <w:rsid w:val="005E403A"/>
    <w:rsid w:val="00625CFC"/>
    <w:rsid w:val="00631320"/>
    <w:rsid w:val="00640746"/>
    <w:rsid w:val="00680656"/>
    <w:rsid w:val="006B07B3"/>
    <w:rsid w:val="006B1119"/>
    <w:rsid w:val="006B4A72"/>
    <w:rsid w:val="006C70CF"/>
    <w:rsid w:val="006E3E46"/>
    <w:rsid w:val="006E71B1"/>
    <w:rsid w:val="0070593B"/>
    <w:rsid w:val="00705D89"/>
    <w:rsid w:val="00731A42"/>
    <w:rsid w:val="00732D0A"/>
    <w:rsid w:val="00767E69"/>
    <w:rsid w:val="0077079A"/>
    <w:rsid w:val="0079294F"/>
    <w:rsid w:val="0079595E"/>
    <w:rsid w:val="007A5599"/>
    <w:rsid w:val="007D1E83"/>
    <w:rsid w:val="007D7A4A"/>
    <w:rsid w:val="00831F30"/>
    <w:rsid w:val="0084154F"/>
    <w:rsid w:val="00856233"/>
    <w:rsid w:val="00860F27"/>
    <w:rsid w:val="008615E3"/>
    <w:rsid w:val="0087077E"/>
    <w:rsid w:val="00892E66"/>
    <w:rsid w:val="008A5894"/>
    <w:rsid w:val="008B0560"/>
    <w:rsid w:val="008B2BFA"/>
    <w:rsid w:val="008D149F"/>
    <w:rsid w:val="008E6A3F"/>
    <w:rsid w:val="00905E67"/>
    <w:rsid w:val="00912112"/>
    <w:rsid w:val="0093002D"/>
    <w:rsid w:val="00931C3D"/>
    <w:rsid w:val="00936F03"/>
    <w:rsid w:val="00943B69"/>
    <w:rsid w:val="00944CB3"/>
    <w:rsid w:val="00945B28"/>
    <w:rsid w:val="00951B31"/>
    <w:rsid w:val="00964BB3"/>
    <w:rsid w:val="009B09D7"/>
    <w:rsid w:val="009D35ED"/>
    <w:rsid w:val="009D4CBC"/>
    <w:rsid w:val="009E489E"/>
    <w:rsid w:val="009E54EB"/>
    <w:rsid w:val="009E5F8E"/>
    <w:rsid w:val="00A03CB6"/>
    <w:rsid w:val="00A1364C"/>
    <w:rsid w:val="00A21076"/>
    <w:rsid w:val="00A3739A"/>
    <w:rsid w:val="00A52DAF"/>
    <w:rsid w:val="00A6385B"/>
    <w:rsid w:val="00A63FCB"/>
    <w:rsid w:val="00A754DC"/>
    <w:rsid w:val="00A84072"/>
    <w:rsid w:val="00AB5964"/>
    <w:rsid w:val="00AD1985"/>
    <w:rsid w:val="00B16570"/>
    <w:rsid w:val="00B23B03"/>
    <w:rsid w:val="00B43EB7"/>
    <w:rsid w:val="00B445D1"/>
    <w:rsid w:val="00B53320"/>
    <w:rsid w:val="00B71DC1"/>
    <w:rsid w:val="00B775AB"/>
    <w:rsid w:val="00BC6522"/>
    <w:rsid w:val="00BE03FD"/>
    <w:rsid w:val="00C121D5"/>
    <w:rsid w:val="00C1625F"/>
    <w:rsid w:val="00C17349"/>
    <w:rsid w:val="00C222E7"/>
    <w:rsid w:val="00C351AA"/>
    <w:rsid w:val="00C56A6D"/>
    <w:rsid w:val="00C7253F"/>
    <w:rsid w:val="00C859B3"/>
    <w:rsid w:val="00C95189"/>
    <w:rsid w:val="00CA3B29"/>
    <w:rsid w:val="00D022DE"/>
    <w:rsid w:val="00D129C6"/>
    <w:rsid w:val="00D15533"/>
    <w:rsid w:val="00D26A05"/>
    <w:rsid w:val="00D97B98"/>
    <w:rsid w:val="00DC18BF"/>
    <w:rsid w:val="00DC671F"/>
    <w:rsid w:val="00DE2F57"/>
    <w:rsid w:val="00DE4DA7"/>
    <w:rsid w:val="00E245ED"/>
    <w:rsid w:val="00E33B38"/>
    <w:rsid w:val="00E47FE5"/>
    <w:rsid w:val="00E572EF"/>
    <w:rsid w:val="00E574AF"/>
    <w:rsid w:val="00E7708F"/>
    <w:rsid w:val="00E804D5"/>
    <w:rsid w:val="00E86EBC"/>
    <w:rsid w:val="00EF40DA"/>
    <w:rsid w:val="00EF5464"/>
    <w:rsid w:val="00EF7BB5"/>
    <w:rsid w:val="00F211DE"/>
    <w:rsid w:val="00F24E6D"/>
    <w:rsid w:val="00F57165"/>
    <w:rsid w:val="00F714DA"/>
    <w:rsid w:val="00F81296"/>
    <w:rsid w:val="00F96BD3"/>
    <w:rsid w:val="00FA1CD2"/>
    <w:rsid w:val="00FB456B"/>
    <w:rsid w:val="00FD5280"/>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FA8D8D"/>
  <w15:docId w15:val="{119626A0-6348-474B-B8F3-6419248B3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D129C6"/>
    <w:rPr>
      <w:color w:val="0000FF"/>
      <w:u w:val="single"/>
    </w:rPr>
  </w:style>
  <w:style w:type="character" w:styleId="af7">
    <w:name w:val="FollowedHyperlink"/>
    <w:basedOn w:val="a0"/>
    <w:uiPriority w:val="99"/>
    <w:semiHidden/>
    <w:unhideWhenUsed/>
    <w:rsid w:val="00D129C6"/>
    <w:rPr>
      <w:color w:val="0000FF"/>
      <w:u w:val="single"/>
    </w:rPr>
  </w:style>
  <w:style w:type="character" w:styleId="af8">
    <w:name w:val="Unresolved Mention"/>
    <w:basedOn w:val="a0"/>
    <w:uiPriority w:val="99"/>
    <w:semiHidden/>
    <w:unhideWhenUsed/>
    <w:rsid w:val="00D129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GAB/2" TargetMode="External"/><Relationship Id="rId13" Type="http://schemas.openxmlformats.org/officeDocument/2006/relationships/hyperlink" Target="https://tbinternet.ohchr.org/_layouts/15/treatybodyexternal/Download.aspx?symbolno=INT%2FCAT%2FFUL%2FGAB%2F15839&amp;Lang=en" TargetMode="External"/><Relationship Id="rId18" Type="http://schemas.openxmlformats.org/officeDocument/2006/relationships/hyperlink" Target="https://docs.un.org/zh/CAT/C/GAB/2" TargetMode="External"/><Relationship Id="rId26" Type="http://schemas.openxmlformats.org/officeDocument/2006/relationships/hyperlink" Target="https://docs.un.org/en/CAT/C/GAB/2" TargetMode="External"/><Relationship Id="rId3" Type="http://schemas.openxmlformats.org/officeDocument/2006/relationships/hyperlink" Target="https://docs.un.org/en/CAT/C/SR.2251" TargetMode="External"/><Relationship Id="rId21" Type="http://schemas.openxmlformats.org/officeDocument/2006/relationships/hyperlink" Target="https://docs.un.org/fr/CAT/C/GAB/2" TargetMode="External"/><Relationship Id="rId7" Type="http://schemas.openxmlformats.org/officeDocument/2006/relationships/hyperlink" Target="https://docs.un.org/en/CAT/C/GAB/2" TargetMode="External"/><Relationship Id="rId12" Type="http://schemas.openxmlformats.org/officeDocument/2006/relationships/hyperlink" Target="https://tbinternet.ohchr.org/_layouts/15/treatybodyexternal/Download.aspx?%20symbolno=INT%2FCAT%2FFUL%2FGAB%2F15839&amp;Lang=en" TargetMode="External"/><Relationship Id="rId17" Type="http://schemas.openxmlformats.org/officeDocument/2006/relationships/hyperlink" Target="https://docs.un.org/fr/CAT/C/GAB/2" TargetMode="External"/><Relationship Id="rId25" Type="http://schemas.openxmlformats.org/officeDocument/2006/relationships/hyperlink" Target="https://docs.un.org/zh/CAT/C/GAB/2" TargetMode="External"/><Relationship Id="rId2" Type="http://schemas.openxmlformats.org/officeDocument/2006/relationships/hyperlink" Target="https://docs.un.org/en/CAT/C/SR.2248" TargetMode="External"/><Relationship Id="rId16" Type="http://schemas.openxmlformats.org/officeDocument/2006/relationships/hyperlink" Target="https://docs.un.org/zh/CAT/C/GAB/2" TargetMode="External"/><Relationship Id="rId20" Type="http://schemas.openxmlformats.org/officeDocument/2006/relationships/hyperlink" Target="https://docs.un.org/zh/CAT/C/GAB/2" TargetMode="External"/><Relationship Id="rId1" Type="http://schemas.openxmlformats.org/officeDocument/2006/relationships/hyperlink" Target="https://docs.un.org/zh/CAT/C/SR.2251" TargetMode="External"/><Relationship Id="rId6" Type="http://schemas.openxmlformats.org/officeDocument/2006/relationships/hyperlink" Target="https://docs.un.org/zh/CAT/C/GAB/2" TargetMode="External"/><Relationship Id="rId11" Type="http://schemas.openxmlformats.org/officeDocument/2006/relationships/hyperlink" Target="https://tbinternet.ohchr.org/_layouts/15/treatybodyexternal/Download.aspx?symbolno=INT%2FCAT%2FFUL%2FGAB%2F15839&amp;Lang=en" TargetMode="External"/><Relationship Id="rId24" Type="http://schemas.openxmlformats.org/officeDocument/2006/relationships/hyperlink" Target="https://www.ohchr.org/en/press-releases/2019/04/un-human-rights-experts-raise-alarm-about-situation-indian-migrant-workers" TargetMode="External"/><Relationship Id="rId5" Type="http://schemas.openxmlformats.org/officeDocument/2006/relationships/hyperlink" Target="https://docs.un.org/fr/CAT/C/SR.2251" TargetMode="External"/><Relationship Id="rId15" Type="http://schemas.openxmlformats.org/officeDocument/2006/relationships/hyperlink" Target="https://docs.un.org/fr/CAT/C/GAB/2" TargetMode="External"/><Relationship Id="rId23" Type="http://schemas.openxmlformats.org/officeDocument/2006/relationships/hyperlink" Target="https://www.ohchr.org/en/press-releases/2019/04/un-human-rights-experts-raise-alarm-about-situation-indian-migrant-workers" TargetMode="External"/><Relationship Id="rId10" Type="http://schemas.openxmlformats.org/officeDocument/2006/relationships/hyperlink" Target="https://docs.un.org/fr/CAT/C/GAB/CO/1" TargetMode="External"/><Relationship Id="rId19" Type="http://schemas.openxmlformats.org/officeDocument/2006/relationships/hyperlink" Target="https://docs.un.org/fr/CAT/C/GAB/2" TargetMode="External"/><Relationship Id="rId4" Type="http://schemas.openxmlformats.org/officeDocument/2006/relationships/hyperlink" Target="https://docs.un.org/fr/CAT/C/SR.2248" TargetMode="External"/><Relationship Id="rId9" Type="http://schemas.openxmlformats.org/officeDocument/2006/relationships/hyperlink" Target="https://docs.un.org/zh/CAT/C/GAB/CO/1" TargetMode="External"/><Relationship Id="rId14" Type="http://schemas.openxmlformats.org/officeDocument/2006/relationships/hyperlink" Target="https://docs.un.org/zh/CAT/C/GAB/2" TargetMode="External"/><Relationship Id="rId22" Type="http://schemas.openxmlformats.org/officeDocument/2006/relationships/hyperlink" Target="https://www.ohchr.org/en/press-releases/2019/04/un-human-rights-experts-raise-alarm-about-situation-indian-migrant-workers" TargetMode="External"/><Relationship Id="rId27" Type="http://schemas.openxmlformats.org/officeDocument/2006/relationships/hyperlink" Target="https://docs.un.org/fr/CAT/C/GAB/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14</Pages>
  <Words>14175</Words>
  <Characters>14942</Characters>
  <Application>Microsoft Office Word</Application>
  <DocSecurity>0</DocSecurity>
  <Lines>517</Lines>
  <Paragraphs>168</Paragraphs>
  <ScaleCrop>false</ScaleCrop>
  <Company>DCM</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CAT/C/GAB/CO/2</dc:title>
  <dc:subject>2606518</dc:subject>
  <dc:creator>Xiaoling</dc:creator>
  <cp:keywords/>
  <dc:description/>
  <cp:lastModifiedBy>Hui XU</cp:lastModifiedBy>
  <cp:revision>2</cp:revision>
  <cp:lastPrinted>2014-05-09T11:28:00Z</cp:lastPrinted>
  <dcterms:created xsi:type="dcterms:W3CDTF">2026-08-11T13:46:00Z</dcterms:created>
  <dcterms:modified xsi:type="dcterms:W3CDTF">2026-08-11T13:46:00Z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730ab1b0-5b79-4c40-8019-7ce6a5710835</vt:lpwstr>
  </property>
</Properties>
</file>