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C14" w:rsidRDefault="00905C14">
      <w:pPr>
        <w:spacing w:line="60" w:lineRule="exact"/>
        <w:rPr>
          <w:sz w:val="6"/>
        </w:rPr>
        <w:sectPr w:rsidR="00905C14">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Pr>
        <w:commentReference w:id="0"/>
      </w:r>
    </w:p>
    <w:p w:rsidR="00905C14" w:rsidRDefault="00905C14">
      <w:pPr>
        <w:spacing w:line="60" w:lineRule="exact"/>
        <w:rPr>
          <w:rFonts w:hint="eastAsia"/>
          <w:sz w:val="6"/>
        </w:rPr>
      </w:pPr>
    </w:p>
    <w:p w:rsidR="00905C14" w:rsidRDefault="00905C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60"/>
        <w:ind w:left="1264" w:right="1259" w:hanging="1264"/>
        <w:rPr>
          <w:rFonts w:hint="eastAsia"/>
        </w:rPr>
      </w:pPr>
      <w:r>
        <w:rPr>
          <w:rFonts w:hint="eastAsia"/>
        </w:rPr>
        <w:t>消除对妇女歧视委员会</w:t>
      </w:r>
    </w:p>
    <w:p w:rsidR="00905C14" w:rsidRDefault="00905C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60"/>
        <w:ind w:left="1264" w:right="1259" w:hanging="1264"/>
        <w:rPr>
          <w:rFonts w:hint="eastAsia"/>
        </w:rPr>
      </w:pPr>
      <w:r>
        <w:rPr>
          <w:rFonts w:hint="eastAsia"/>
        </w:rPr>
        <w:t>会前工作组</w:t>
      </w:r>
    </w:p>
    <w:p w:rsidR="00905C14" w:rsidRDefault="00905C14">
      <w:pPr>
        <w:pStyle w:val="SingleTxt"/>
        <w:spacing w:after="60"/>
        <w:ind w:left="6"/>
        <w:rPr>
          <w:rFonts w:ascii="SimHei" w:eastAsia="SimHei" w:hint="eastAsia"/>
          <w:color w:val="FF0000"/>
        </w:rPr>
      </w:pPr>
      <w:r>
        <w:rPr>
          <w:rFonts w:ascii="SimHei" w:eastAsia="SimHei" w:hint="eastAsia"/>
          <w:color w:val="FF0000"/>
        </w:rPr>
        <w:t>第三十四届会议</w:t>
      </w:r>
    </w:p>
    <w:p w:rsidR="00905C14" w:rsidRDefault="00905C14">
      <w:pPr>
        <w:pStyle w:val="SingleTxt"/>
        <w:spacing w:after="60"/>
        <w:ind w:left="6"/>
        <w:rPr>
          <w:rFonts w:hint="eastAsia"/>
        </w:rPr>
      </w:pPr>
      <w:r>
        <w:rPr>
          <w:rFonts w:hint="eastAsia"/>
        </w:rPr>
        <w:t>2006年1月16日至2月3日</w:t>
      </w:r>
    </w:p>
    <w:p w:rsidR="00905C14" w:rsidRDefault="00905C14">
      <w:pPr>
        <w:pStyle w:val="SingleTxt"/>
      </w:pPr>
    </w:p>
    <w:p w:rsidR="00905C14" w:rsidRDefault="00905C1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关于审议定期报告的事项和问题清单</w:t>
      </w:r>
    </w:p>
    <w:p w:rsidR="00905C14" w:rsidRDefault="00905C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委内瑞拉玻利瓦尔共和国</w:t>
      </w:r>
    </w:p>
    <w:p w:rsidR="00905C14" w:rsidRDefault="00905C14">
      <w:pPr>
        <w:pStyle w:val="SingleTxt"/>
        <w:rPr>
          <w:rFonts w:hint="eastAsia"/>
        </w:rPr>
      </w:pPr>
      <w:r>
        <w:rPr>
          <w:rFonts w:hint="eastAsia"/>
        </w:rPr>
        <w:t>1.</w:t>
      </w:r>
      <w:r>
        <w:rPr>
          <w:rFonts w:hint="eastAsia"/>
        </w:rPr>
        <w:tab/>
        <w:t xml:space="preserve">会前工作组审议了委内瑞拉玻利瓦尔共和国合并的第四次、第五次和第六次报告 (CEDAW/C/VEN/4-6) 。 </w:t>
      </w:r>
    </w:p>
    <w:p w:rsidR="00905C14" w:rsidRDefault="00905C14">
      <w:pPr>
        <w:pStyle w:val="SingleTxt"/>
        <w:rPr>
          <w:rFonts w:ascii="SimHei" w:eastAsia="SimHei" w:hint="eastAsia"/>
          <w:color w:val="FF0000"/>
        </w:rPr>
      </w:pPr>
      <w:r>
        <w:rPr>
          <w:rFonts w:ascii="SimHei" w:eastAsia="SimHei" w:hint="eastAsia"/>
          <w:color w:val="FF0000"/>
        </w:rPr>
        <w:t>概述</w:t>
      </w:r>
    </w:p>
    <w:p w:rsidR="00905C14" w:rsidRDefault="00905C14">
      <w:pPr>
        <w:pStyle w:val="SingleTxt"/>
        <w:rPr>
          <w:rFonts w:hint="eastAsia"/>
        </w:rPr>
      </w:pPr>
      <w:r>
        <w:rPr>
          <w:rFonts w:hint="eastAsia"/>
        </w:rPr>
        <w:t>2.</w:t>
      </w:r>
      <w:r>
        <w:rPr>
          <w:rFonts w:hint="eastAsia"/>
        </w:rPr>
        <w:tab/>
        <w:t>请说明传播委员会关于第三次定期报告最后意见的战略，以及批准本报告的机制，并具体说明是否曾同非政府组织和妇女团体进行协商，以及是否曾将报告提交国民议会。</w:t>
      </w:r>
    </w:p>
    <w:p w:rsidR="00905C14" w:rsidRDefault="00905C14">
      <w:pPr>
        <w:pStyle w:val="SingleTxt"/>
        <w:rPr>
          <w:rFonts w:ascii="SimHei" w:eastAsia="SimHei" w:hint="eastAsia"/>
          <w:color w:val="FF0000"/>
        </w:rPr>
      </w:pPr>
      <w:r>
        <w:rPr>
          <w:rFonts w:ascii="SimHei" w:eastAsia="SimHei" w:hint="eastAsia"/>
          <w:color w:val="FF0000"/>
        </w:rPr>
        <w:t>宪法与法律</w:t>
      </w:r>
    </w:p>
    <w:p w:rsidR="00905C14" w:rsidRDefault="00905C14">
      <w:pPr>
        <w:pStyle w:val="SingleTxt"/>
        <w:rPr>
          <w:rFonts w:hint="eastAsia"/>
        </w:rPr>
      </w:pPr>
      <w:r>
        <w:rPr>
          <w:rFonts w:hint="eastAsia"/>
        </w:rPr>
        <w:t>3.</w:t>
      </w:r>
      <w:r>
        <w:rPr>
          <w:rFonts w:hint="eastAsia"/>
        </w:rPr>
        <w:tab/>
        <w:t>根据《宪法》第23条，“人权条约和公约具有宪法地位……法院和其他国家权力机关立即直接予以执行”（第21段）。请说明为确保妇女了解这项规定作出哪些努力，并告知法院是否援引《消除对妇女一切形式歧视公约》。</w:t>
      </w:r>
    </w:p>
    <w:p w:rsidR="00905C14" w:rsidRDefault="00905C14">
      <w:pPr>
        <w:pStyle w:val="SingleTxt"/>
        <w:rPr>
          <w:rFonts w:hint="eastAsia"/>
        </w:rPr>
      </w:pPr>
      <w:r>
        <w:rPr>
          <w:rFonts w:hint="eastAsia"/>
        </w:rPr>
        <w:t>4.</w:t>
      </w:r>
      <w:r>
        <w:rPr>
          <w:rFonts w:hint="eastAsia"/>
        </w:rPr>
        <w:tab/>
        <w:t>为根据1999年通过的新《宪法》规定修改《刑法典》和《民法典》作出哪些努力？此外，请具体说明是否已经删除1937年《刑法典》中所载的“违背良好习俗和良好家庭秩序罪”，以及2002年妇女运动向国民议会提出的《负责任养育法》现状（第50段）。</w:t>
      </w:r>
    </w:p>
    <w:p w:rsidR="00905C14" w:rsidRDefault="00905C14">
      <w:pPr>
        <w:pStyle w:val="SingleTxt"/>
        <w:rPr>
          <w:rFonts w:hint="eastAsia"/>
        </w:rPr>
      </w:pPr>
      <w:r>
        <w:rPr>
          <w:rFonts w:hint="eastAsia"/>
        </w:rPr>
        <w:t>5.</w:t>
      </w:r>
      <w:r>
        <w:rPr>
          <w:rFonts w:hint="eastAsia"/>
        </w:rPr>
        <w:tab/>
        <w:t>请说明采取哪些措施宣传1982年《民法典》中有关婚姻责任与权利的修改内容、《妇女机会平等法》以及《宪法》中关于承认家庭主妇的家务劳动和社会保障权的第88条。此外，请说明采取哪些行动确保有效实施这些法律。</w:t>
      </w:r>
    </w:p>
    <w:p w:rsidR="00905C14" w:rsidRDefault="00905C14">
      <w:pPr>
        <w:pStyle w:val="SingleTxt"/>
        <w:rPr>
          <w:rFonts w:ascii="SimHei" w:eastAsia="SimHei" w:hint="eastAsia"/>
          <w:color w:val="FF0000"/>
        </w:rPr>
      </w:pPr>
      <w:r>
        <w:rPr>
          <w:rFonts w:ascii="SimHei" w:eastAsia="SimHei" w:hint="eastAsia"/>
          <w:color w:val="FF0000"/>
        </w:rPr>
        <w:t>国家机构</w:t>
      </w:r>
    </w:p>
    <w:p w:rsidR="00905C14" w:rsidRDefault="00905C14">
      <w:pPr>
        <w:pStyle w:val="SingleTxt"/>
        <w:rPr>
          <w:rFonts w:hint="eastAsia"/>
        </w:rPr>
      </w:pPr>
      <w:r>
        <w:rPr>
          <w:rFonts w:hint="eastAsia"/>
        </w:rPr>
        <w:t>6.</w:t>
      </w:r>
      <w:r>
        <w:rPr>
          <w:rFonts w:hint="eastAsia"/>
        </w:rPr>
        <w:tab/>
        <w:t xml:space="preserve">请说明取消议会妇女权利委员会的原因。此外，请说明作出哪些努力确保国民议会批准的各项法律具有不歧视性和平等性，促进立法以保证妇女权利。 </w:t>
      </w:r>
    </w:p>
    <w:p w:rsidR="00905C14" w:rsidRDefault="00905C14">
      <w:pPr>
        <w:pStyle w:val="SingleTxt"/>
        <w:rPr>
          <w:rFonts w:hint="eastAsia"/>
        </w:rPr>
      </w:pPr>
      <w:r>
        <w:rPr>
          <w:rFonts w:hint="eastAsia"/>
        </w:rPr>
        <w:t>7.</w:t>
      </w:r>
      <w:r>
        <w:rPr>
          <w:rFonts w:hint="eastAsia"/>
        </w:rPr>
        <w:tab/>
        <w:t xml:space="preserve">请说明《2003年机会平等计划》所载的战略领域及取得的成果，并具体说明将性别观点纳入委内瑞拉各级政府主流的效果 (第32段)。 </w:t>
      </w:r>
    </w:p>
    <w:p w:rsidR="00905C14" w:rsidRDefault="00905C14">
      <w:pPr>
        <w:pStyle w:val="SingleTxt"/>
        <w:rPr>
          <w:rFonts w:hint="eastAsia"/>
        </w:rPr>
      </w:pPr>
      <w:r>
        <w:rPr>
          <w:rFonts w:hint="eastAsia"/>
        </w:rPr>
        <w:t>8.</w:t>
      </w:r>
      <w:r>
        <w:rPr>
          <w:rFonts w:hint="eastAsia"/>
        </w:rPr>
        <w:tab/>
        <w:t>1997年，委员会建议促进批准成立充分纳入政治体制的国家机构，并拨予足够的人力资源和财政资源(见A/52/38/Rev.1)。请说明全国妇女研究所的地位，研究所有效运作所需的人力资源和财政资源配备情况，以及全国区域妇女研究所和妇女委员会及妇女中心和妇女之家的现状。</w:t>
      </w:r>
    </w:p>
    <w:p w:rsidR="00905C14" w:rsidRDefault="00905C14">
      <w:pPr>
        <w:pStyle w:val="SingleTxt"/>
        <w:rPr>
          <w:rFonts w:hint="eastAsia"/>
        </w:rPr>
      </w:pPr>
      <w:r>
        <w:rPr>
          <w:rFonts w:hint="eastAsia"/>
        </w:rPr>
        <w:t>9.</w:t>
      </w:r>
      <w:r>
        <w:rPr>
          <w:rFonts w:hint="eastAsia"/>
        </w:rPr>
        <w:tab/>
        <w:t>报告指出“各个‘妇女研究所联系中心’构成基层组织，是社区与政府机关之间的联系中心”（第32段）。哪些机构负责确保妇女和现有社区组织以各种方式加入这些联系中心？</w:t>
      </w:r>
    </w:p>
    <w:p w:rsidR="00905C14" w:rsidRDefault="00905C14">
      <w:pPr>
        <w:pStyle w:val="SingleTxt"/>
        <w:rPr>
          <w:rFonts w:ascii="SimHei" w:eastAsia="SimHei" w:hint="eastAsia"/>
          <w:color w:val="FF0000"/>
        </w:rPr>
      </w:pPr>
      <w:r>
        <w:rPr>
          <w:rFonts w:ascii="SimHei" w:eastAsia="SimHei" w:hint="eastAsia"/>
          <w:color w:val="FF0000"/>
        </w:rPr>
        <w:t>陈规定型观念与教育</w:t>
      </w:r>
    </w:p>
    <w:p w:rsidR="00905C14" w:rsidRDefault="00905C14">
      <w:pPr>
        <w:pStyle w:val="SingleTxt"/>
        <w:rPr>
          <w:rFonts w:hint="eastAsia"/>
        </w:rPr>
      </w:pPr>
      <w:r>
        <w:rPr>
          <w:rFonts w:hint="eastAsia"/>
        </w:rPr>
        <w:t>10.</w:t>
      </w:r>
      <w:r>
        <w:rPr>
          <w:rFonts w:hint="eastAsia"/>
        </w:rPr>
        <w:tab/>
        <w:t>请说明采取哪些措施禁止媒体使用性别歧视语言和以妇女为性对象的图像，以及这些措施取得的成果。此外，请说明《广播电视社会责任法》草案的情况，其中规定“传播提倡（……歧视妇女）的广播和电视业者应受处罚”（第29段）。</w:t>
      </w:r>
    </w:p>
    <w:p w:rsidR="00905C14" w:rsidRDefault="00905C14">
      <w:pPr>
        <w:pStyle w:val="SingleTxt"/>
        <w:rPr>
          <w:rFonts w:hint="eastAsia"/>
        </w:rPr>
      </w:pPr>
      <w:r>
        <w:rPr>
          <w:rFonts w:hint="eastAsia"/>
        </w:rPr>
        <w:t>11.</w:t>
      </w:r>
      <w:r>
        <w:rPr>
          <w:rFonts w:hint="eastAsia"/>
        </w:rPr>
        <w:tab/>
        <w:t>报告第97段阐述《教育促进平等计划》（第二阶段），的目的是促进修订教材、改革学习计划和改变知识传播方式。希望说明该方案取得的成果及其对年轻人技术职业培训的影响。</w:t>
      </w:r>
    </w:p>
    <w:p w:rsidR="00905C14" w:rsidRDefault="00905C14">
      <w:pPr>
        <w:pStyle w:val="SingleTxt"/>
        <w:rPr>
          <w:rFonts w:hint="eastAsia"/>
        </w:rPr>
      </w:pPr>
      <w:r>
        <w:rPr>
          <w:rFonts w:hint="eastAsia"/>
        </w:rPr>
        <w:t>12.</w:t>
      </w:r>
      <w:r>
        <w:rPr>
          <w:rFonts w:hint="eastAsia"/>
        </w:rPr>
        <w:tab/>
        <w:t xml:space="preserve">请说明在劳动和家庭方面采取哪些旨在消除陈规定型观念的其他措施以及取得的成果。请具体说明作出哪些努力宣传并确保执行《宪法》中关于父母分担子女教育和培养责任的第76条。 </w:t>
      </w:r>
    </w:p>
    <w:p w:rsidR="00905C14" w:rsidRDefault="00905C14">
      <w:pPr>
        <w:pStyle w:val="SingleTxt"/>
        <w:rPr>
          <w:rFonts w:hint="eastAsia"/>
        </w:rPr>
      </w:pPr>
      <w:r>
        <w:rPr>
          <w:rFonts w:hint="eastAsia"/>
        </w:rPr>
        <w:t>13.</w:t>
      </w:r>
      <w:r>
        <w:rPr>
          <w:rFonts w:hint="eastAsia"/>
        </w:rPr>
        <w:tab/>
        <w:t xml:space="preserve">请按性别和人口组别，包括土著人和非洲人后裔、城市和农村、教育水平和机构类型（私营机构或公营机构），列出入学率和退学率数据及其主要原因。 </w:t>
      </w:r>
    </w:p>
    <w:p w:rsidR="00905C14" w:rsidRDefault="00905C14">
      <w:pPr>
        <w:pStyle w:val="SingleTxt"/>
        <w:rPr>
          <w:rFonts w:ascii="SimHei" w:eastAsia="SimHei" w:hint="eastAsia"/>
          <w:color w:val="FF0000"/>
        </w:rPr>
      </w:pPr>
      <w:r>
        <w:rPr>
          <w:rFonts w:ascii="SimHei" w:eastAsia="SimHei" w:hint="eastAsia"/>
          <w:color w:val="FF0000"/>
        </w:rPr>
        <w:t>对妇女的暴力行为</w:t>
      </w:r>
    </w:p>
    <w:p w:rsidR="00905C14" w:rsidRDefault="00905C14">
      <w:pPr>
        <w:pStyle w:val="SingleTxt"/>
        <w:rPr>
          <w:rFonts w:hint="eastAsia"/>
        </w:rPr>
      </w:pPr>
      <w:r>
        <w:rPr>
          <w:rFonts w:hint="eastAsia"/>
        </w:rPr>
        <w:t>14.</w:t>
      </w:r>
      <w:r>
        <w:rPr>
          <w:rFonts w:hint="eastAsia"/>
        </w:rPr>
        <w:tab/>
        <w:t xml:space="preserve">对妇女的暴力行为、其原因和后果特别报告是报告(E/CN.4/2003/75/Add.1)指出，《对妇女的暴力行为和家庭暴力法》没有考虑保护未与施暴人同住的受害人。请说明政府是否打算通过某种修正案，以填补该法中的这一空白，确保保护未与施暴人同住的受害人。 </w:t>
      </w:r>
    </w:p>
    <w:p w:rsidR="00905C14" w:rsidRDefault="00905C14">
      <w:pPr>
        <w:pStyle w:val="SingleTxt"/>
        <w:rPr>
          <w:rFonts w:hint="eastAsia"/>
        </w:rPr>
      </w:pPr>
      <w:r>
        <w:rPr>
          <w:rFonts w:hint="eastAsia"/>
        </w:rPr>
        <w:t>15.</w:t>
      </w:r>
      <w:r>
        <w:rPr>
          <w:rFonts w:hint="eastAsia"/>
        </w:rPr>
        <w:tab/>
        <w:t>请说明采取哪些措施宣传并保证执行《对妇女的暴力行为和家庭暴力法》，特别说明采取哪些行动加强法官、警察和保健中心人员的能力。</w:t>
      </w:r>
    </w:p>
    <w:p w:rsidR="00905C14" w:rsidRDefault="00905C14">
      <w:pPr>
        <w:pStyle w:val="SingleTxt"/>
        <w:rPr>
          <w:rFonts w:hint="eastAsia"/>
        </w:rPr>
      </w:pPr>
      <w:r>
        <w:rPr>
          <w:rFonts w:hint="eastAsia"/>
        </w:rPr>
        <w:t>16.</w:t>
      </w:r>
      <w:r>
        <w:rPr>
          <w:rFonts w:hint="eastAsia"/>
        </w:rPr>
        <w:tab/>
        <w:t>请说明采取哪些措施保证执行《对妇女的暴力行为和家庭暴力法》第19条，其中规定对性骚扰进行刑事处罚（第54段），并说明是否进行研究或分析这一规定效力产生的影响。</w:t>
      </w:r>
    </w:p>
    <w:p w:rsidR="00905C14" w:rsidRDefault="00905C14">
      <w:pPr>
        <w:pStyle w:val="SingleTxt"/>
        <w:rPr>
          <w:rFonts w:hint="eastAsia"/>
        </w:rPr>
      </w:pPr>
      <w:r>
        <w:rPr>
          <w:rFonts w:hint="eastAsia"/>
        </w:rPr>
        <w:t>17.</w:t>
      </w:r>
      <w:r>
        <w:rPr>
          <w:rFonts w:hint="eastAsia"/>
        </w:rPr>
        <w:tab/>
        <w:t>请提供进一步资料，说明检察长为何要求取消针对《对妇女的暴力行为和家庭暴力法》所指家庭施暴人采取的“防范措施”。说明在努力阻止最高法院批准该建议以及确保法官能够采取有利于暴力受害人的防范措施方面取得哪些成果。</w:t>
      </w:r>
    </w:p>
    <w:p w:rsidR="00905C14" w:rsidRDefault="00905C14">
      <w:pPr>
        <w:pStyle w:val="SingleTxt"/>
        <w:rPr>
          <w:rFonts w:hint="eastAsia"/>
        </w:rPr>
      </w:pPr>
      <w:r>
        <w:rPr>
          <w:rFonts w:hint="eastAsia"/>
        </w:rPr>
        <w:t>18.</w:t>
      </w:r>
      <w:r>
        <w:rPr>
          <w:rFonts w:hint="eastAsia"/>
        </w:rPr>
        <w:tab/>
        <w:t>报告中陈述全国捍卫妇女权利机构的职能和受照顾妇女的人数。请说明因对妇女的暴力行为而受照顾的趋势和人数；是否存在寻求和解的趋势；预防和保护措施。</w:t>
      </w:r>
    </w:p>
    <w:p w:rsidR="00905C14" w:rsidRDefault="00905C14">
      <w:pPr>
        <w:pStyle w:val="SingleTxt"/>
        <w:rPr>
          <w:rFonts w:ascii="SimHei" w:eastAsia="SimHei" w:hint="eastAsia"/>
          <w:color w:val="FF0000"/>
        </w:rPr>
      </w:pPr>
      <w:r>
        <w:rPr>
          <w:rFonts w:ascii="SimHei" w:eastAsia="SimHei" w:hint="eastAsia"/>
          <w:color w:val="FF0000"/>
        </w:rPr>
        <w:t>贩卖妇女和女童及意图营利使她们卖淫</w:t>
      </w:r>
    </w:p>
    <w:p w:rsidR="00905C14" w:rsidRDefault="00905C14">
      <w:pPr>
        <w:pStyle w:val="SingleTxt"/>
        <w:rPr>
          <w:rFonts w:hint="eastAsia"/>
        </w:rPr>
      </w:pPr>
      <w:r>
        <w:rPr>
          <w:rFonts w:hint="eastAsia"/>
        </w:rPr>
        <w:t>19.</w:t>
      </w:r>
      <w:r>
        <w:rPr>
          <w:rFonts w:hint="eastAsia"/>
        </w:rPr>
        <w:tab/>
        <w:t>请提供关于贩卖妇女和女童的统计数据，并详细说明这一现象在边界地区的严重程度。</w:t>
      </w:r>
    </w:p>
    <w:p w:rsidR="00905C14" w:rsidRDefault="00905C14">
      <w:pPr>
        <w:pStyle w:val="SingleTxt"/>
        <w:rPr>
          <w:rFonts w:hint="eastAsia"/>
        </w:rPr>
      </w:pPr>
      <w:r>
        <w:rPr>
          <w:rFonts w:hint="eastAsia"/>
        </w:rPr>
        <w:t>20.</w:t>
      </w:r>
      <w:r>
        <w:rPr>
          <w:rFonts w:hint="eastAsia"/>
        </w:rPr>
        <w:tab/>
        <w:t xml:space="preserve">实施哪些措施和战略确保执行《宪法》中关于贩卖人口的第45条并监测其执行情况? 请提供资料，说明防止暴力和保护受害人及处罚应负责者的方案。 </w:t>
      </w:r>
    </w:p>
    <w:p w:rsidR="00905C14" w:rsidRDefault="00905C14">
      <w:pPr>
        <w:pStyle w:val="SingleTxt"/>
        <w:rPr>
          <w:rFonts w:hint="eastAsia"/>
        </w:rPr>
      </w:pPr>
      <w:r>
        <w:rPr>
          <w:rFonts w:hint="eastAsia"/>
        </w:rPr>
        <w:t>21.</w:t>
      </w:r>
      <w:r>
        <w:rPr>
          <w:rFonts w:hint="eastAsia"/>
        </w:rPr>
        <w:tab/>
        <w:t>请提供资料，说明禁止卖淫的法律和其他措施，并具体说明采取哪些行动打击需求，对意图营利使人卖淫进行处罚。</w:t>
      </w:r>
    </w:p>
    <w:p w:rsidR="00905C14" w:rsidRDefault="00905C14">
      <w:pPr>
        <w:pStyle w:val="SingleTxt"/>
        <w:rPr>
          <w:rFonts w:hint="eastAsia"/>
        </w:rPr>
      </w:pPr>
      <w:r>
        <w:rPr>
          <w:rFonts w:hint="eastAsia"/>
        </w:rPr>
        <w:t>22.</w:t>
      </w:r>
      <w:r>
        <w:rPr>
          <w:rFonts w:hint="eastAsia"/>
        </w:rPr>
        <w:tab/>
        <w:t>在审查第三次定期报告时，委员会感到关切的是，没有对卖淫问题作出具体答复（见A/52/38/Rev.1）。请提供更详细的资料，说明采取哪些措施，包括法律措施，减少意图营利使人卖淫的现象并减轻其影响。</w:t>
      </w:r>
    </w:p>
    <w:p w:rsidR="00905C14" w:rsidRDefault="00905C14">
      <w:pPr>
        <w:pStyle w:val="SingleTxt"/>
        <w:rPr>
          <w:rFonts w:ascii="SimHei" w:eastAsia="SimHei" w:hint="eastAsia"/>
          <w:color w:val="FF0000"/>
        </w:rPr>
      </w:pPr>
      <w:r>
        <w:rPr>
          <w:rFonts w:ascii="SimHei" w:eastAsia="SimHei" w:hint="eastAsia"/>
          <w:color w:val="FF0000"/>
        </w:rPr>
        <w:t>政治和公共生活</w:t>
      </w:r>
    </w:p>
    <w:p w:rsidR="00905C14" w:rsidRDefault="00905C14">
      <w:pPr>
        <w:pStyle w:val="SingleTxt"/>
        <w:rPr>
          <w:rFonts w:hint="eastAsia"/>
        </w:rPr>
      </w:pPr>
      <w:r>
        <w:rPr>
          <w:rFonts w:hint="eastAsia"/>
        </w:rPr>
        <w:t>23.</w:t>
      </w:r>
      <w:r>
        <w:rPr>
          <w:rFonts w:hint="eastAsia"/>
        </w:rPr>
        <w:tab/>
        <w:t>请提供按性别分列的数据，说明妇女和男子在国民议会、政党及中央和地方公共行政当局中所占的比例。</w:t>
      </w:r>
    </w:p>
    <w:p w:rsidR="00905C14" w:rsidRDefault="00905C14">
      <w:pPr>
        <w:pStyle w:val="SingleTxt"/>
        <w:rPr>
          <w:rFonts w:hint="eastAsia"/>
        </w:rPr>
      </w:pPr>
      <w:r>
        <w:rPr>
          <w:rFonts w:hint="eastAsia"/>
        </w:rPr>
        <w:t>24.</w:t>
      </w:r>
      <w:r>
        <w:rPr>
          <w:rFonts w:hint="eastAsia"/>
        </w:rPr>
        <w:tab/>
        <w:t>请阐明在国民议会中妇女代表人数低的原因，以及计划采取哪些措施促进妇女担任需要竞选的职务和国家行政职务，因为已决定取消以前根据《选举和政治参与法》规定的30％配额。</w:t>
      </w:r>
    </w:p>
    <w:p w:rsidR="00905C14" w:rsidRDefault="00905C14">
      <w:pPr>
        <w:pStyle w:val="SingleTxt"/>
        <w:rPr>
          <w:rFonts w:hint="eastAsia"/>
        </w:rPr>
      </w:pPr>
      <w:r>
        <w:rPr>
          <w:rFonts w:hint="eastAsia"/>
        </w:rPr>
        <w:t>25.</w:t>
      </w:r>
      <w:r>
        <w:rPr>
          <w:rFonts w:hint="eastAsia"/>
        </w:rPr>
        <w:tab/>
        <w:t>报告中指出，根据《公共行政机关组织法》，“公共行政机关的机构和实体应促进公民参与公共管理”，“每个公共机构或实体应登记与之相关并自由申请登记的有组织社区和非政府公共组织（第70段和第71段）。哪个公共实体负责促进妇女市民参加? 请提供资料说明负责妇女组织申请登记及批准标准和要求的现有机制。</w:t>
      </w:r>
    </w:p>
    <w:p w:rsidR="00905C14" w:rsidRDefault="00905C14">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就业</w:t>
      </w:r>
    </w:p>
    <w:p w:rsidR="00905C14" w:rsidRDefault="00905C14">
      <w:pPr>
        <w:pStyle w:val="SingleTxt"/>
        <w:rPr>
          <w:rFonts w:hint="eastAsia"/>
        </w:rPr>
      </w:pPr>
      <w:r>
        <w:rPr>
          <w:rFonts w:hint="eastAsia"/>
        </w:rPr>
        <w:t>26.</w:t>
      </w:r>
      <w:r>
        <w:rPr>
          <w:rFonts w:hint="eastAsia"/>
        </w:rPr>
        <w:tab/>
        <w:t>委员会表示关切的是，男女薪金不平等，工资低于最低薪金标准的妇女百分比高（见A/52/38/Rev.1）。请说明采取哪些措施落实委员会在此方面的最后意见及取得哪些成果，并提供关于私营部门、公营部门和非正规经济部门中男女薪级的资料。</w:t>
      </w:r>
    </w:p>
    <w:p w:rsidR="00905C14" w:rsidRDefault="00905C14">
      <w:pPr>
        <w:pStyle w:val="SingleTxt"/>
        <w:rPr>
          <w:rFonts w:hint="eastAsia"/>
        </w:rPr>
      </w:pPr>
      <w:r>
        <w:rPr>
          <w:rFonts w:hint="eastAsia"/>
        </w:rPr>
        <w:t>27.</w:t>
      </w:r>
      <w:r>
        <w:rPr>
          <w:rFonts w:hint="eastAsia"/>
        </w:rPr>
        <w:tab/>
        <w:t>在审查第三次定期报告时，委员会对妇女在非正规市场的存在及提供低薪服务表示关切（同上）。请说明已采取哪些措施使妇女融入正规经济部门并降低失业率，以及所取得的成果。</w:t>
      </w:r>
    </w:p>
    <w:p w:rsidR="00905C14" w:rsidRDefault="00905C14">
      <w:pPr>
        <w:pStyle w:val="SingleTxt"/>
        <w:rPr>
          <w:rFonts w:ascii="SimHei" w:eastAsia="SimHei" w:hint="eastAsia"/>
          <w:color w:val="FF0000"/>
        </w:rPr>
      </w:pPr>
      <w:r>
        <w:rPr>
          <w:rFonts w:ascii="SimHei" w:eastAsia="SimHei" w:hint="eastAsia"/>
          <w:color w:val="FF0000"/>
        </w:rPr>
        <w:t>保健</w:t>
      </w:r>
    </w:p>
    <w:p w:rsidR="00905C14" w:rsidRDefault="00905C14">
      <w:pPr>
        <w:pStyle w:val="SingleTxt"/>
        <w:rPr>
          <w:rFonts w:hint="eastAsia"/>
        </w:rPr>
      </w:pPr>
      <w:r>
        <w:rPr>
          <w:rFonts w:hint="eastAsia"/>
        </w:rPr>
        <w:t>28.</w:t>
      </w:r>
      <w:r>
        <w:rPr>
          <w:rFonts w:hint="eastAsia"/>
        </w:rPr>
        <w:tab/>
        <w:t>报告中强调指出，为保证母婴健康和性生殖健康采取了一系列措施（第156段至170段）。然而，取得的成果没有反映出这些方案的效力。请提供补充资料，说明出现这一现象的原因及采取哪些紧急措施扭转这种情况。</w:t>
      </w:r>
    </w:p>
    <w:p w:rsidR="00905C14" w:rsidRDefault="00905C14">
      <w:pPr>
        <w:pStyle w:val="SingleTxt"/>
        <w:rPr>
          <w:rFonts w:hint="eastAsia"/>
        </w:rPr>
      </w:pPr>
      <w:r>
        <w:rPr>
          <w:rFonts w:hint="eastAsia"/>
        </w:rPr>
        <w:t>29.</w:t>
      </w:r>
      <w:r>
        <w:rPr>
          <w:rFonts w:hint="eastAsia"/>
        </w:rPr>
        <w:tab/>
        <w:t xml:space="preserve">报告中指出，目前有明确的监测制度和关于性传播疾病/艾滋病毒/艾滋病的综合措施方案。但提供的数据没有反映出该制度和方案的效力。请提供详细实际资料，按年龄、城市和农村、土著人和非洲人后裔列出性传播疾病/艾滋病毒/艾滋病在妇女的发生率，并说明监测制度和综合措施产生的影响。 </w:t>
      </w:r>
    </w:p>
    <w:p w:rsidR="00905C14" w:rsidRDefault="00905C14">
      <w:pPr>
        <w:pStyle w:val="SingleTxt"/>
        <w:rPr>
          <w:rFonts w:hint="eastAsia"/>
        </w:rPr>
      </w:pPr>
      <w:r>
        <w:rPr>
          <w:rFonts w:hint="eastAsia"/>
        </w:rPr>
        <w:t>30.</w:t>
      </w:r>
      <w:r>
        <w:rPr>
          <w:rFonts w:hint="eastAsia"/>
        </w:rPr>
        <w:tab/>
        <w:t>对妇女的暴力行为、其原因和后果特别报告员指出，她对感染艾滋病毒/艾滋病的妇女被迫绝育表示关切(见E/CN.4/2005/72)。请说明采取哪些措施避免这一做法，并告知是否着重将性别观点纳入预防和关注孕妇感染艾滋病毒/艾滋病的方案中。</w:t>
      </w:r>
    </w:p>
    <w:p w:rsidR="00905C14" w:rsidRDefault="00905C14">
      <w:pPr>
        <w:pStyle w:val="SingleTxt"/>
        <w:rPr>
          <w:rFonts w:ascii="SimHei" w:eastAsia="SimHei" w:hint="eastAsia"/>
          <w:color w:val="FF0000"/>
        </w:rPr>
      </w:pPr>
      <w:r>
        <w:rPr>
          <w:rFonts w:ascii="SimHei" w:eastAsia="SimHei" w:hint="eastAsia"/>
          <w:color w:val="FF0000"/>
        </w:rPr>
        <w:t>农村妇女</w:t>
      </w:r>
    </w:p>
    <w:p w:rsidR="00905C14" w:rsidRDefault="00905C14">
      <w:pPr>
        <w:pStyle w:val="SingleTxt"/>
        <w:rPr>
          <w:rFonts w:hint="eastAsia"/>
        </w:rPr>
      </w:pPr>
      <w:r>
        <w:rPr>
          <w:rFonts w:hint="eastAsia"/>
        </w:rPr>
        <w:t>31.</w:t>
      </w:r>
      <w:r>
        <w:rPr>
          <w:rFonts w:hint="eastAsia"/>
        </w:rPr>
        <w:tab/>
        <w:t>请提供详细实际资料，说明关注农村地区特别是边界社区土著人、非洲人后裔和妇女的方案和行动及其影响，从而说明获得教育、保健服务、就业和基本服务的程度。</w:t>
      </w:r>
    </w:p>
    <w:p w:rsidR="00905C14" w:rsidRDefault="00905C14">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905C14">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05C14" w:rsidRDefault="00905C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NO&gt;&gt;N0545859C&lt;&lt;ODS JOB NO&gt;&gt;</w:t>
      </w:r>
    </w:p>
    <w:p w:rsidR="00905C14" w:rsidRDefault="00905C14">
      <w:pPr>
        <w:pStyle w:val="CommentText"/>
      </w:pPr>
      <w:r>
        <w:t>&lt;&lt;ODS DOC SYMBOL1&gt;&gt;CEDAW/C/VEN/Q/4-6&lt;&lt;ODS DOC SYMBOL1&gt;&gt;</w:t>
      </w:r>
    </w:p>
    <w:p w:rsidR="00905C14" w:rsidRDefault="00905C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C14" w:rsidRDefault="00905C14">
      <w:pPr>
        <w:pStyle w:val="SingleTxt"/>
      </w:pPr>
      <w:r>
        <w:separator/>
      </w:r>
    </w:p>
  </w:endnote>
  <w:endnote w:type="continuationSeparator" w:id="0">
    <w:p w:rsidR="00905C14" w:rsidRDefault="00905C14">
      <w:pPr>
        <w:pStyle w:val="SingleT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905C14">
      <w:tblPrEx>
        <w:tblCellMar>
          <w:top w:w="0" w:type="dxa"/>
          <w:bottom w:w="0" w:type="dxa"/>
        </w:tblCellMar>
      </w:tblPrEx>
      <w:tc>
        <w:tcPr>
          <w:tcW w:w="5034" w:type="dxa"/>
          <w:vAlign w:val="bottom"/>
        </w:tcPr>
        <w:p w:rsidR="00905C14" w:rsidRDefault="00905C14">
          <w:pPr>
            <w:pStyle w:val="Footer"/>
            <w:jc w:val="left"/>
          </w:pPr>
          <w:r>
            <w:fldChar w:fldCharType="begin"/>
          </w:r>
          <w:r>
            <w:instrText xml:space="preserve"> PAGE  \* MERGEFORMAT </w:instrText>
          </w:r>
          <w:r>
            <w:fldChar w:fldCharType="separate"/>
          </w:r>
          <w:r>
            <w:t>2</w:t>
          </w:r>
          <w:r>
            <w:fldChar w:fldCharType="end"/>
          </w:r>
        </w:p>
      </w:tc>
      <w:tc>
        <w:tcPr>
          <w:tcW w:w="5034" w:type="dxa"/>
          <w:vAlign w:val="bottom"/>
        </w:tcPr>
        <w:p w:rsidR="00905C14" w:rsidRDefault="00905C14">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05-45859</w:t>
          </w:r>
          <w:r>
            <w:rPr>
              <w:b w:val="0"/>
              <w:sz w:val="14"/>
            </w:rPr>
            <w:fldChar w:fldCharType="end"/>
          </w:r>
        </w:p>
      </w:tc>
    </w:tr>
  </w:tbl>
  <w:p w:rsidR="00905C14" w:rsidRDefault="00905C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905C14">
      <w:tblPrEx>
        <w:tblCellMar>
          <w:top w:w="0" w:type="dxa"/>
          <w:bottom w:w="0" w:type="dxa"/>
        </w:tblCellMar>
      </w:tblPrEx>
      <w:tc>
        <w:tcPr>
          <w:tcW w:w="5034" w:type="dxa"/>
          <w:vAlign w:val="bottom"/>
        </w:tcPr>
        <w:p w:rsidR="00905C14" w:rsidRDefault="00905C14">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05-45859</w:t>
          </w:r>
          <w:r>
            <w:rPr>
              <w:b w:val="0"/>
              <w:sz w:val="14"/>
            </w:rPr>
            <w:fldChar w:fldCharType="end"/>
          </w:r>
        </w:p>
      </w:tc>
      <w:tc>
        <w:tcPr>
          <w:tcW w:w="5034" w:type="dxa"/>
          <w:vAlign w:val="bottom"/>
        </w:tcPr>
        <w:p w:rsidR="00905C14" w:rsidRDefault="00905C14">
          <w:pPr>
            <w:pStyle w:val="Footer"/>
            <w:jc w:val="right"/>
          </w:pPr>
          <w:r>
            <w:fldChar w:fldCharType="begin"/>
          </w:r>
          <w:r>
            <w:instrText xml:space="preserve"> PAGE  \* MERGEFORMAT </w:instrText>
          </w:r>
          <w:r>
            <w:fldChar w:fldCharType="separate"/>
          </w:r>
          <w:r>
            <w:t>3</w:t>
          </w:r>
          <w:r>
            <w:fldChar w:fldCharType="end"/>
          </w:r>
        </w:p>
      </w:tc>
    </w:tr>
  </w:tbl>
  <w:p w:rsidR="00905C14" w:rsidRDefault="00905C1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C14" w:rsidRDefault="00905C14">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05-45859 (C)</w:t>
    </w:r>
    <w:r>
      <w:rPr>
        <w:b w:val="0"/>
        <w:sz w:val="21"/>
      </w:rPr>
      <w:fldChar w:fldCharType="end"/>
    </w:r>
  </w:p>
  <w:p w:rsidR="00905C14" w:rsidRDefault="00905C14">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*0545859*</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C14" w:rsidRDefault="00905C14">
      <w:pPr>
        <w:pStyle w:val="SingleTxt"/>
      </w:pPr>
      <w:r>
        <w:separator/>
      </w:r>
    </w:p>
  </w:footnote>
  <w:footnote w:type="continuationSeparator" w:id="0">
    <w:p w:rsidR="00905C14" w:rsidRDefault="00905C14">
      <w:pPr>
        <w:pStyle w:val="SingleTxt"/>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905C14">
      <w:tblPrEx>
        <w:tblCellMar>
          <w:top w:w="0" w:type="dxa"/>
          <w:bottom w:w="0" w:type="dxa"/>
        </w:tblCellMar>
      </w:tblPrEx>
      <w:trPr>
        <w:trHeight w:hRule="exact" w:val="864"/>
      </w:trPr>
      <w:tc>
        <w:tcPr>
          <w:tcW w:w="4838" w:type="dxa"/>
          <w:vAlign w:val="bottom"/>
        </w:tcPr>
        <w:p w:rsidR="00905C14" w:rsidRDefault="00905C14">
          <w:pPr>
            <w:pStyle w:val="Header"/>
            <w:spacing w:after="80"/>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CEDAW/C/VEN/Q/4-6</w:t>
          </w:r>
          <w:r>
            <w:rPr>
              <w:b/>
              <w:sz w:val="17"/>
            </w:rPr>
            <w:fldChar w:fldCharType="end"/>
          </w:r>
        </w:p>
      </w:tc>
      <w:tc>
        <w:tcPr>
          <w:tcW w:w="5034" w:type="dxa"/>
          <w:vAlign w:val="bottom"/>
        </w:tcPr>
        <w:p w:rsidR="00905C14" w:rsidRDefault="00905C14">
          <w:pPr>
            <w:pStyle w:val="Header"/>
          </w:pPr>
        </w:p>
      </w:tc>
    </w:tr>
  </w:tbl>
  <w:p w:rsidR="00905C14" w:rsidRDefault="00905C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905C14">
      <w:tblPrEx>
        <w:tblCellMar>
          <w:top w:w="0" w:type="dxa"/>
          <w:bottom w:w="0" w:type="dxa"/>
        </w:tblCellMar>
      </w:tblPrEx>
      <w:trPr>
        <w:trHeight w:hRule="exact" w:val="864"/>
      </w:trPr>
      <w:tc>
        <w:tcPr>
          <w:tcW w:w="4838" w:type="dxa"/>
          <w:vAlign w:val="bottom"/>
        </w:tcPr>
        <w:p w:rsidR="00905C14" w:rsidRDefault="00905C14">
          <w:pPr>
            <w:pStyle w:val="Header"/>
          </w:pPr>
        </w:p>
      </w:tc>
      <w:tc>
        <w:tcPr>
          <w:tcW w:w="5034" w:type="dxa"/>
          <w:vAlign w:val="bottom"/>
        </w:tcPr>
        <w:p w:rsidR="00905C14" w:rsidRDefault="00905C14">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CEDAW/C/VEN/Q/4-6</w:t>
          </w:r>
          <w:r>
            <w:rPr>
              <w:b/>
              <w:sz w:val="17"/>
            </w:rPr>
            <w:fldChar w:fldCharType="end"/>
          </w:r>
        </w:p>
      </w:tc>
    </w:tr>
  </w:tbl>
  <w:p w:rsidR="00905C14" w:rsidRDefault="00905C1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05C14">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905C14" w:rsidRDefault="00905C14">
          <w:pPr>
            <w:pStyle w:val="Header"/>
            <w:spacing w:after="120"/>
          </w:pPr>
        </w:p>
      </w:tc>
      <w:tc>
        <w:tcPr>
          <w:tcW w:w="1872" w:type="dxa"/>
          <w:tcBorders>
            <w:bottom w:val="single" w:sz="4" w:space="0" w:color="auto"/>
          </w:tcBorders>
          <w:vAlign w:val="bottom"/>
        </w:tcPr>
        <w:p w:rsidR="00905C14" w:rsidRDefault="00905C14">
          <w:pPr>
            <w:pStyle w:val="HCh"/>
            <w:spacing w:after="80"/>
            <w:rPr>
              <w:rFonts w:eastAsia="SimSun"/>
              <w:spacing w:val="40"/>
              <w:w w:val="96"/>
            </w:rPr>
          </w:pPr>
        </w:p>
      </w:tc>
      <w:tc>
        <w:tcPr>
          <w:tcW w:w="245" w:type="dxa"/>
          <w:tcBorders>
            <w:bottom w:val="single" w:sz="4" w:space="0" w:color="auto"/>
          </w:tcBorders>
          <w:vAlign w:val="bottom"/>
        </w:tcPr>
        <w:p w:rsidR="00905C14" w:rsidRDefault="00905C14">
          <w:pPr>
            <w:pStyle w:val="Header"/>
            <w:spacing w:after="120"/>
          </w:pPr>
        </w:p>
      </w:tc>
      <w:tc>
        <w:tcPr>
          <w:tcW w:w="6523" w:type="dxa"/>
          <w:gridSpan w:val="3"/>
          <w:tcBorders>
            <w:bottom w:val="single" w:sz="4" w:space="0" w:color="auto"/>
          </w:tcBorders>
          <w:vAlign w:val="bottom"/>
        </w:tcPr>
        <w:p w:rsidR="00905C14" w:rsidRDefault="00905C14">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/C/VEN/Q/4-6</w:t>
          </w:r>
        </w:p>
      </w:tc>
    </w:tr>
    <w:tr w:rsidR="00905C14">
      <w:tblPrEx>
        <w:tblCellMar>
          <w:top w:w="0" w:type="dxa"/>
          <w:bottom w:w="0" w:type="dxa"/>
        </w:tblCellMar>
      </w:tblPrEx>
      <w:trPr>
        <w:trHeight w:hRule="exact" w:val="2880"/>
      </w:trPr>
      <w:tc>
        <w:tcPr>
          <w:tcW w:w="1267" w:type="dxa"/>
          <w:tcBorders>
            <w:top w:val="single" w:sz="4" w:space="0" w:color="auto"/>
            <w:bottom w:val="single" w:sz="12" w:space="0" w:color="auto"/>
          </w:tcBorders>
        </w:tcPr>
        <w:p w:rsidR="00905C14" w:rsidRDefault="00905C14">
          <w:pPr>
            <w:pStyle w:val="Header"/>
            <w:spacing w:before="109"/>
            <w:ind w:left="-72"/>
          </w:pPr>
          <w:r>
            <w:t xml:space="preserve"> </w:t>
          </w:r>
        </w:p>
        <w:p w:rsidR="00905C14" w:rsidRDefault="00905C14">
          <w:pPr>
            <w:pStyle w:val="Header"/>
            <w:spacing w:before="109"/>
            <w:ind w:left="-72"/>
          </w:pPr>
        </w:p>
      </w:tc>
      <w:tc>
        <w:tcPr>
          <w:tcW w:w="5227" w:type="dxa"/>
          <w:gridSpan w:val="3"/>
          <w:tcBorders>
            <w:top w:val="single" w:sz="4" w:space="0" w:color="auto"/>
            <w:bottom w:val="single" w:sz="12" w:space="0" w:color="auto"/>
          </w:tcBorders>
        </w:tcPr>
        <w:p w:rsidR="00905C14" w:rsidRDefault="00905C14">
          <w:pPr>
            <w:pStyle w:val="XLarge"/>
            <w:spacing w:before="109" w:after="140" w:line="400" w:lineRule="exact"/>
            <w:rPr>
              <w:sz w:val="34"/>
            </w:rPr>
          </w:pPr>
        </w:p>
      </w:tc>
      <w:tc>
        <w:tcPr>
          <w:tcW w:w="245" w:type="dxa"/>
          <w:tcBorders>
            <w:top w:val="single" w:sz="4" w:space="0" w:color="auto"/>
            <w:bottom w:val="single" w:sz="12" w:space="0" w:color="auto"/>
          </w:tcBorders>
        </w:tcPr>
        <w:p w:rsidR="00905C14" w:rsidRDefault="00905C14">
          <w:pPr>
            <w:pStyle w:val="Header"/>
            <w:spacing w:before="109"/>
          </w:pPr>
        </w:p>
      </w:tc>
      <w:tc>
        <w:tcPr>
          <w:tcW w:w="3180" w:type="dxa"/>
          <w:gridSpan w:val="2"/>
          <w:tcBorders>
            <w:top w:val="single" w:sz="4" w:space="0" w:color="auto"/>
            <w:bottom w:val="single" w:sz="12" w:space="0" w:color="auto"/>
          </w:tcBorders>
        </w:tcPr>
        <w:p w:rsidR="00905C14" w:rsidRDefault="00905C14">
          <w:pPr>
            <w:spacing w:before="240" w:line="240" w:lineRule="exact"/>
            <w:rPr>
              <w:rFonts w:ascii="Times New Roman"/>
            </w:rPr>
          </w:pPr>
        </w:p>
        <w:p w:rsidR="00905C14" w:rsidRDefault="00905C14">
          <w:pPr>
            <w:spacing w:line="240" w:lineRule="exact"/>
            <w:rPr>
              <w:rFonts w:ascii="Times New Roman"/>
            </w:rPr>
          </w:pPr>
          <w:r>
            <w:rPr>
              <w:rFonts w:ascii="Times New Roman"/>
            </w:rPr>
            <w:t>29 July 2005</w:t>
          </w:r>
        </w:p>
        <w:p w:rsidR="00905C14" w:rsidRDefault="00905C14">
          <w:pPr>
            <w:spacing w:line="240" w:lineRule="exact"/>
            <w:rPr>
              <w:rFonts w:ascii="Times New Roman"/>
            </w:rPr>
          </w:pPr>
          <w:r>
            <w:rPr>
              <w:rFonts w:ascii="Times New Roman"/>
            </w:rPr>
            <w:t>Chinese</w:t>
          </w:r>
        </w:p>
        <w:p w:rsidR="00905C14" w:rsidRDefault="00905C14">
          <w:pPr>
            <w:spacing w:line="240" w:lineRule="exact"/>
            <w:rPr>
              <w:rFonts w:ascii="Times New Roman"/>
            </w:rPr>
          </w:pPr>
          <w:r>
            <w:rPr>
              <w:rFonts w:ascii="Times New Roman"/>
            </w:rPr>
            <w:t>Original: Spanish</w:t>
          </w:r>
        </w:p>
      </w:tc>
    </w:tr>
  </w:tbl>
  <w:p w:rsidR="00905C14" w:rsidRDefault="00905C1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859*"/>
    <w:docVar w:name="CreationDt" w:val="25/10/2005  10:55 AM"/>
    <w:docVar w:name="DocCategory" w:val="Doc"/>
    <w:docVar w:name="DocType" w:val="Final"/>
    <w:docVar w:name="FooterJN" w:val="05-45859"/>
    <w:docVar w:name="jobn" w:val="05-45859 (C)"/>
    <w:docVar w:name="jobnDT" w:val="05-45859 (C)   251005"/>
    <w:docVar w:name="jobnDTDT" w:val="05-45859 (C)   251005   251005"/>
    <w:docVar w:name="JobNo" w:val="0545859C"/>
    <w:docVar w:name="OandT" w:val=" "/>
    <w:docVar w:name="sss1" w:val="CEDAW/C/VEN/Q/4-6"/>
    <w:docVar w:name="sss2" w:val="-"/>
    <w:docVar w:name="Symbol1" w:val="CEDAW/C/VEN/Q/4-6"/>
    <w:docVar w:name="Symbol2" w:val="-"/>
  </w:docVars>
  <w:rsids>
    <w:rsidRoot w:val="00905C14"/>
    <w:rsid w:val="00905C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before="60" w:after="180"/>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spacing w:before="60" w:after="180"/>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spacing w:after="140"/>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after="0"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jc w:val="both"/>
    </w:pPr>
    <w:rPr>
      <w:b/>
      <w:noProof/>
      <w:sz w:val="18"/>
      <w:szCs w:val="18"/>
      <w:lang w:val="en-US" w:eastAsia="zh-CN"/>
    </w:rPr>
  </w:style>
  <w:style w:type="paragraph" w:styleId="BalloonText">
    <w:name w:val="Balloon Text"/>
    <w:basedOn w:val="Normal"/>
    <w:semiHidden/>
    <w:rPr>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72</TotalTime>
  <Pages>3</Pages>
  <Words>449</Words>
  <Characters>2561</Characters>
  <Application>Microsoft Office Word</Application>
  <DocSecurity>4</DocSecurity>
  <Lines>21</Lines>
  <Paragraphs>6</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3004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dezuo.cao</dc:creator>
  <cp:keywords/>
  <dc:description/>
  <cp:lastModifiedBy>Suobao.Zhang</cp:lastModifiedBy>
  <cp:revision>15</cp:revision>
  <cp:lastPrinted>2005-10-25T12:35:00Z</cp:lastPrinted>
  <dcterms:created xsi:type="dcterms:W3CDTF">2005-10-25T08:55:00Z</dcterms:created>
  <dcterms:modified xsi:type="dcterms:W3CDTF">2005-10-25T13:18:00Z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0545859</vt:lpwstr>
  </property>
  <property fmtid="{D5CDD505-2E9C-101B-9397-08002B2CF9AE}" pid="3" name="Symbol1">
    <vt:lpwstr>CEDAW/C/VEN/Q/4-6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