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4434E" w14:paraId="4F2139F4" w14:textId="77777777" w:rsidTr="00E56EE3">
        <w:trPr>
          <w:trHeight w:hRule="exact" w:val="851"/>
        </w:trPr>
        <w:tc>
          <w:tcPr>
            <w:tcW w:w="1280" w:type="dxa"/>
            <w:tcBorders>
              <w:bottom w:val="single" w:sz="4" w:space="0" w:color="auto"/>
            </w:tcBorders>
            <w:shd w:val="clear" w:color="auto" w:fill="auto"/>
          </w:tcPr>
          <w:p w14:paraId="5695306B" w14:textId="77777777" w:rsidR="002D5AAC" w:rsidRDefault="002D5AAC" w:rsidP="00E56EE3"/>
        </w:tc>
        <w:tc>
          <w:tcPr>
            <w:tcW w:w="2273" w:type="dxa"/>
            <w:tcBorders>
              <w:bottom w:val="single" w:sz="4" w:space="0" w:color="auto"/>
            </w:tcBorders>
            <w:shd w:val="clear" w:color="auto" w:fill="auto"/>
            <w:vAlign w:val="bottom"/>
          </w:tcPr>
          <w:p w14:paraId="346F6884" w14:textId="77777777" w:rsidR="002D5AAC" w:rsidRPr="00D4778E" w:rsidRDefault="0013589C"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1095C28" w14:textId="05AF44BF" w:rsidR="002D5AAC" w:rsidRPr="008E13B7" w:rsidRDefault="008E13B7" w:rsidP="008E13B7">
            <w:pPr>
              <w:jc w:val="right"/>
            </w:pPr>
            <w:r w:rsidRPr="008E13B7">
              <w:rPr>
                <w:sz w:val="40"/>
              </w:rPr>
              <w:t>E</w:t>
            </w:r>
            <w:r>
              <w:t>/C.12/PER/</w:t>
            </w:r>
            <w:proofErr w:type="spellStart"/>
            <w:r>
              <w:t>RQ</w:t>
            </w:r>
            <w:proofErr w:type="spellEnd"/>
            <w:r>
              <w:t>/5</w:t>
            </w:r>
          </w:p>
        </w:tc>
      </w:tr>
      <w:tr w:rsidR="0004434E" w14:paraId="4F3D2646" w14:textId="77777777" w:rsidTr="00E56EE3">
        <w:trPr>
          <w:trHeight w:hRule="exact" w:val="2835"/>
        </w:trPr>
        <w:tc>
          <w:tcPr>
            <w:tcW w:w="1280" w:type="dxa"/>
            <w:tcBorders>
              <w:top w:val="single" w:sz="4" w:space="0" w:color="auto"/>
              <w:bottom w:val="single" w:sz="12" w:space="0" w:color="auto"/>
            </w:tcBorders>
            <w:shd w:val="clear" w:color="auto" w:fill="auto"/>
          </w:tcPr>
          <w:p w14:paraId="48B93429" w14:textId="77777777" w:rsidR="002D5AAC" w:rsidRDefault="0013589C" w:rsidP="00E56EE3">
            <w:pPr>
              <w:spacing w:before="120"/>
              <w:jc w:val="center"/>
            </w:pPr>
            <w:r>
              <w:rPr>
                <w:noProof/>
                <w:lang w:val="fr-CH" w:eastAsia="fr-CH"/>
              </w:rPr>
              <w:drawing>
                <wp:inline distT="0" distB="0" distL="0" distR="0" wp14:anchorId="0D82DB40" wp14:editId="7021D9B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412DFAA" w14:textId="77777777" w:rsidR="002D5AAC" w:rsidRPr="00D4778E" w:rsidRDefault="0013589C"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631B3D45" w14:textId="77777777" w:rsidR="00935A0B" w:rsidRPr="004A2A0F" w:rsidRDefault="0013589C" w:rsidP="00935A0B">
            <w:pPr>
              <w:spacing w:before="240" w:line="240" w:lineRule="exact"/>
              <w:rPr>
                <w:lang w:val="fr-CH"/>
              </w:rPr>
            </w:pPr>
            <w:r w:rsidRPr="004A2A0F">
              <w:rPr>
                <w:lang w:val="fr-CH"/>
              </w:rPr>
              <w:t xml:space="preserve">Distr. </w:t>
            </w:r>
            <w:proofErr w:type="spellStart"/>
            <w:proofErr w:type="gramStart"/>
            <w:r w:rsidR="006551F6" w:rsidRPr="004A2A0F">
              <w:rPr>
                <w:lang w:val="fr-CH"/>
              </w:rPr>
              <w:t>general</w:t>
            </w:r>
            <w:proofErr w:type="spellEnd"/>
            <w:proofErr w:type="gramEnd"/>
          </w:p>
          <w:p w14:paraId="633E5213" w14:textId="145B7B02" w:rsidR="000E14A8" w:rsidRDefault="006069E2" w:rsidP="00935A0B">
            <w:pPr>
              <w:rPr>
                <w:lang w:val="fr-CH"/>
              </w:rPr>
            </w:pPr>
            <w:r>
              <w:rPr>
                <w:lang w:val="fr-CH"/>
              </w:rPr>
              <w:t>1</w:t>
            </w:r>
            <w:r w:rsidR="00B62DF1">
              <w:rPr>
                <w:lang w:val="fr-CH"/>
              </w:rPr>
              <w:t>5</w:t>
            </w:r>
            <w:r w:rsidR="0013589C" w:rsidRPr="004A2A0F">
              <w:rPr>
                <w:lang w:val="fr-CH"/>
              </w:rPr>
              <w:t xml:space="preserve"> de </w:t>
            </w:r>
            <w:proofErr w:type="spellStart"/>
            <w:r w:rsidR="00843EA1">
              <w:rPr>
                <w:lang w:val="fr-CH"/>
              </w:rPr>
              <w:t>e</w:t>
            </w:r>
            <w:r w:rsidR="006C5A98" w:rsidRPr="006C5A98">
              <w:rPr>
                <w:lang w:val="fr-CH"/>
              </w:rPr>
              <w:t>nero</w:t>
            </w:r>
            <w:proofErr w:type="spellEnd"/>
            <w:r w:rsidR="006C5A98" w:rsidRPr="006C5A98">
              <w:rPr>
                <w:lang w:val="fr-CH"/>
              </w:rPr>
              <w:t xml:space="preserve"> </w:t>
            </w:r>
            <w:r w:rsidR="0013589C" w:rsidRPr="004A2A0F">
              <w:rPr>
                <w:lang w:val="fr-CH"/>
              </w:rPr>
              <w:t>de 202</w:t>
            </w:r>
            <w:r w:rsidR="00CB6A33">
              <w:rPr>
                <w:lang w:val="fr-CH"/>
              </w:rPr>
              <w:t>5</w:t>
            </w:r>
          </w:p>
          <w:p w14:paraId="24651694" w14:textId="77777777" w:rsidR="006069E2" w:rsidRDefault="006069E2" w:rsidP="00935A0B">
            <w:pPr>
              <w:rPr>
                <w:lang w:val="fr-CH"/>
              </w:rPr>
            </w:pPr>
          </w:p>
          <w:p w14:paraId="52B6900D" w14:textId="3938A4A4" w:rsidR="00935A0B" w:rsidRPr="004A2A0F" w:rsidRDefault="00843EA1" w:rsidP="00935A0B">
            <w:pPr>
              <w:rPr>
                <w:lang w:val="fr-CH"/>
              </w:rPr>
            </w:pPr>
            <w:proofErr w:type="gramStart"/>
            <w:r w:rsidRPr="004A2A0F">
              <w:rPr>
                <w:lang w:val="fr-CH"/>
              </w:rPr>
              <w:t>Original:</w:t>
            </w:r>
            <w:proofErr w:type="gramEnd"/>
            <w:r w:rsidR="0013589C" w:rsidRPr="004A2A0F">
              <w:rPr>
                <w:lang w:val="fr-CH"/>
              </w:rPr>
              <w:t xml:space="preserve"> </w:t>
            </w:r>
            <w:proofErr w:type="spellStart"/>
            <w:r w:rsidR="0013589C" w:rsidRPr="004A2A0F">
              <w:rPr>
                <w:lang w:val="fr-CH"/>
              </w:rPr>
              <w:t>español</w:t>
            </w:r>
            <w:proofErr w:type="spellEnd"/>
          </w:p>
          <w:p w14:paraId="40C135E3" w14:textId="77777777" w:rsidR="002D5AAC" w:rsidRDefault="00935A0B" w:rsidP="00935A0B">
            <w:pPr>
              <w:spacing w:line="240" w:lineRule="exact"/>
            </w:pPr>
            <w:r w:rsidRPr="00F43810">
              <w:t>Español, francés e inglés únicamente</w:t>
            </w:r>
          </w:p>
        </w:tc>
      </w:tr>
    </w:tbl>
    <w:p w14:paraId="77F218FA" w14:textId="77777777" w:rsidR="00E3142F" w:rsidRDefault="0013589C" w:rsidP="00E939A3">
      <w:pPr>
        <w:spacing w:before="120"/>
        <w:rPr>
          <w:b/>
          <w:sz w:val="24"/>
        </w:rPr>
      </w:pPr>
      <w:r w:rsidRPr="00180B8D">
        <w:rPr>
          <w:b/>
          <w:sz w:val="24"/>
        </w:rPr>
        <w:t>Comité de Derechos Económicos, Sociales y Culturales</w:t>
      </w:r>
    </w:p>
    <w:p w14:paraId="2D70EAF8" w14:textId="205EF852" w:rsidR="00F06F76" w:rsidRPr="00EA5A06" w:rsidRDefault="00F06F76" w:rsidP="00F06F76">
      <w:pPr>
        <w:rPr>
          <w:b/>
          <w:bCs/>
          <w:lang w:val="es-ES_tradnl"/>
        </w:rPr>
      </w:pPr>
      <w:r w:rsidRPr="00EA5A06">
        <w:rPr>
          <w:b/>
          <w:bCs/>
          <w:lang w:val="es-ES_tradnl"/>
        </w:rPr>
        <w:t>77</w:t>
      </w:r>
      <w:r w:rsidR="00100908">
        <w:rPr>
          <w:b/>
          <w:bCs/>
          <w:lang w:val="es-ES_tradnl"/>
        </w:rPr>
        <w:t>º</w:t>
      </w:r>
      <w:r w:rsidRPr="00EA5A06">
        <w:rPr>
          <w:b/>
          <w:bCs/>
          <w:lang w:val="es-ES_tradnl"/>
        </w:rPr>
        <w:t xml:space="preserve"> período de sesiones</w:t>
      </w:r>
    </w:p>
    <w:p w14:paraId="5FF2EC88" w14:textId="5D539DB9" w:rsidR="00F06F76" w:rsidRDefault="007B09CD" w:rsidP="00F06F76">
      <w:pPr>
        <w:rPr>
          <w:lang w:val="es-ES_tradnl"/>
        </w:rPr>
      </w:pPr>
      <w:r>
        <w:rPr>
          <w:lang w:val="es-ES_tradnl"/>
        </w:rPr>
        <w:t xml:space="preserve">Ginebra, </w:t>
      </w:r>
      <w:r w:rsidR="00F06F76" w:rsidRPr="00EA5A06">
        <w:rPr>
          <w:lang w:val="es-ES_tradnl"/>
        </w:rPr>
        <w:t>10 a 28 de febrero de 2025</w:t>
      </w:r>
    </w:p>
    <w:p w14:paraId="296BC1BD" w14:textId="75404F4F" w:rsidR="00672734" w:rsidRPr="00672734" w:rsidRDefault="00672734" w:rsidP="00F06F76">
      <w:r>
        <w:t xml:space="preserve">Tema </w:t>
      </w:r>
      <w:r w:rsidR="0082352E">
        <w:t>6 a)</w:t>
      </w:r>
      <w:r>
        <w:t xml:space="preserve"> del programa provisional</w:t>
      </w:r>
    </w:p>
    <w:p w14:paraId="0568FF57" w14:textId="77777777" w:rsidR="00F06F76" w:rsidRPr="0013589C" w:rsidRDefault="00F06F76" w:rsidP="00F06F76">
      <w:pPr>
        <w:rPr>
          <w:b/>
          <w:bCs/>
          <w:lang w:val="es-ES_tradnl"/>
        </w:rPr>
      </w:pPr>
      <w:r w:rsidRPr="00EA5A06">
        <w:rPr>
          <w:b/>
          <w:bCs/>
          <w:lang w:val="es-ES_tradnl"/>
        </w:rPr>
        <w:t xml:space="preserve">Examen de </w:t>
      </w:r>
      <w:r w:rsidRPr="0013589C">
        <w:rPr>
          <w:b/>
          <w:bCs/>
          <w:lang w:val="es-ES_tradnl"/>
        </w:rPr>
        <w:t>los informes: informes presentados por los Estados</w:t>
      </w:r>
      <w:r w:rsidRPr="0013589C">
        <w:rPr>
          <w:b/>
          <w:bCs/>
          <w:lang w:val="es-ES_tradnl"/>
        </w:rPr>
        <w:br/>
        <w:t>partes en virtud de los artículos 16 y 17 del Pacto</w:t>
      </w:r>
    </w:p>
    <w:p w14:paraId="3AE2E5A2" w14:textId="3F69C4DA" w:rsidR="002D4163" w:rsidRPr="00750B54" w:rsidRDefault="0013589C" w:rsidP="00CB6A33">
      <w:pPr>
        <w:pStyle w:val="HMG"/>
      </w:pPr>
      <w:r w:rsidRPr="0013589C">
        <w:tab/>
      </w:r>
      <w:r w:rsidRPr="0013589C">
        <w:tab/>
        <w:t xml:space="preserve">Respuestas del Perú a la lista de </w:t>
      </w:r>
      <w:r w:rsidRPr="00750B54">
        <w:t>cuestiones</w:t>
      </w:r>
      <w:r w:rsidR="0054386B" w:rsidRPr="00750B54">
        <w:t xml:space="preserve"> relativa a su quinto informe periódico</w:t>
      </w:r>
      <w:r w:rsidRPr="00750B54">
        <w:rPr>
          <w:rStyle w:val="Refdenotaalpie"/>
          <w:b w:val="0"/>
          <w:sz w:val="20"/>
          <w:vertAlign w:val="baseline"/>
        </w:rPr>
        <w:footnoteReference w:customMarkFollows="1" w:id="1"/>
        <w:t>*</w:t>
      </w:r>
    </w:p>
    <w:p w14:paraId="2D905164" w14:textId="39914C8E" w:rsidR="002D4163" w:rsidRPr="00750B54" w:rsidRDefault="0013589C" w:rsidP="002D4163">
      <w:pPr>
        <w:pStyle w:val="SingleTxtG"/>
        <w:jc w:val="right"/>
      </w:pPr>
      <w:r w:rsidRPr="00750B54">
        <w:t xml:space="preserve">[Fecha de recepción: </w:t>
      </w:r>
      <w:r w:rsidR="006069E2" w:rsidRPr="00750B54">
        <w:t>13</w:t>
      </w:r>
      <w:r w:rsidRPr="00750B54">
        <w:t xml:space="preserve"> </w:t>
      </w:r>
      <w:r w:rsidR="00B11438" w:rsidRPr="00750B54">
        <w:rPr>
          <w:lang w:val="fr-CH"/>
        </w:rPr>
        <w:t xml:space="preserve">de </w:t>
      </w:r>
      <w:proofErr w:type="spellStart"/>
      <w:r w:rsidR="00BE6106" w:rsidRPr="00750B54">
        <w:rPr>
          <w:lang w:val="fr-CH"/>
        </w:rPr>
        <w:t>enero</w:t>
      </w:r>
      <w:proofErr w:type="spellEnd"/>
      <w:r w:rsidR="006C5A98" w:rsidRPr="00750B54">
        <w:rPr>
          <w:lang w:val="fr-CH"/>
        </w:rPr>
        <w:t xml:space="preserve"> </w:t>
      </w:r>
      <w:r w:rsidR="00B11438" w:rsidRPr="00750B54">
        <w:rPr>
          <w:lang w:val="fr-CH"/>
        </w:rPr>
        <w:t>de 202</w:t>
      </w:r>
      <w:r w:rsidR="006069E2" w:rsidRPr="00750B54">
        <w:rPr>
          <w:lang w:val="fr-CH"/>
        </w:rPr>
        <w:t>5</w:t>
      </w:r>
      <w:r w:rsidRPr="00750B54">
        <w:t>]</w:t>
      </w:r>
    </w:p>
    <w:p w14:paraId="1077265E" w14:textId="77777777" w:rsidR="000E14A8" w:rsidRDefault="00B11438">
      <w:pPr>
        <w:spacing w:line="240" w:lineRule="auto"/>
        <w:rPr>
          <w:bCs/>
        </w:rPr>
      </w:pPr>
      <w:r>
        <w:rPr>
          <w:bCs/>
          <w:color w:val="0000FF"/>
        </w:rPr>
        <w:br w:type="page"/>
      </w:r>
    </w:p>
    <w:p w14:paraId="511686B1" w14:textId="77777777" w:rsidR="00813243" w:rsidRPr="00843EA1" w:rsidRDefault="00813243" w:rsidP="00813243">
      <w:pPr>
        <w:pStyle w:val="H1G"/>
        <w:ind w:left="1080" w:firstLine="0"/>
        <w:rPr>
          <w:sz w:val="28"/>
          <w:szCs w:val="28"/>
          <w:lang w:val="es-MX"/>
        </w:rPr>
      </w:pPr>
      <w:bookmarkStart w:id="0" w:name="_Toc187168791"/>
      <w:bookmarkStart w:id="1" w:name="_Toc187168792"/>
      <w:r w:rsidRPr="00843EA1">
        <w:rPr>
          <w:sz w:val="28"/>
          <w:szCs w:val="28"/>
          <w:lang w:val="es-MX"/>
        </w:rPr>
        <w:lastRenderedPageBreak/>
        <w:t>Siglas y abreviaturas</w:t>
      </w:r>
      <w:bookmarkEnd w:id="0"/>
    </w:p>
    <w:p w14:paraId="70E142ED"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BCR</w:t>
      </w:r>
      <w:proofErr w:type="spellEnd"/>
      <w:r w:rsidRPr="00F86F66">
        <w:tab/>
        <w:t>Banco Central de Reserva del Perú</w:t>
      </w:r>
    </w:p>
    <w:p w14:paraId="0CD166A0"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CEPLAN</w:t>
      </w:r>
      <w:proofErr w:type="spellEnd"/>
      <w:r w:rsidRPr="00F86F66">
        <w:tab/>
        <w:t>Centro Nacional de Planeamiento Estratégico</w:t>
      </w:r>
    </w:p>
    <w:p w14:paraId="585ACA96"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CONACOD</w:t>
      </w:r>
      <w:proofErr w:type="spellEnd"/>
      <w:r w:rsidRPr="00F86F66">
        <w:tab/>
        <w:t>Comisión Nacional contra la Discriminación</w:t>
      </w:r>
    </w:p>
    <w:p w14:paraId="2E1ABAC1"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CNLCTF</w:t>
      </w:r>
      <w:proofErr w:type="spellEnd"/>
      <w:r w:rsidRPr="00F86F66">
        <w:tab/>
        <w:t>Comisión Nacional para la Lucha Contra el Trabajo Forzoso</w:t>
      </w:r>
    </w:p>
    <w:p w14:paraId="527B44EB"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CIFP</w:t>
      </w:r>
      <w:proofErr w:type="spellEnd"/>
      <w:r w:rsidRPr="00F86F66">
        <w:tab/>
        <w:t>Centro Integrado Formaliza Perú</w:t>
      </w:r>
    </w:p>
    <w:p w14:paraId="5E0FDE29"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DGCVG</w:t>
      </w:r>
      <w:proofErr w:type="spellEnd"/>
      <w:r w:rsidRPr="00F86F66">
        <w:tab/>
        <w:t>Dirección General Contra la Violencia de Género</w:t>
      </w:r>
    </w:p>
    <w:p w14:paraId="21CAAF3A"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DGDH</w:t>
      </w:r>
      <w:proofErr w:type="spellEnd"/>
      <w:r w:rsidRPr="00F86F66">
        <w:tab/>
        <w:t>Dirección General de Derechos Humanos</w:t>
      </w:r>
    </w:p>
    <w:p w14:paraId="77B0FFDC"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DGIGND</w:t>
      </w:r>
      <w:proofErr w:type="spellEnd"/>
      <w:r w:rsidRPr="00F86F66">
        <w:tab/>
        <w:t>Dirección General de Igualdad de Género y No Discriminación</w:t>
      </w:r>
    </w:p>
    <w:p w14:paraId="5C54992D"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DGPDAEM</w:t>
      </w:r>
      <w:proofErr w:type="spellEnd"/>
      <w:r w:rsidRPr="00F86F66">
        <w:t xml:space="preserve"> </w:t>
      </w:r>
      <w:r w:rsidRPr="00F86F66">
        <w:tab/>
        <w:t>Dirección General de Promoción y Desarrollo de la Autonomía Económica de las Mujeres</w:t>
      </w:r>
    </w:p>
    <w:p w14:paraId="34852FBC"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ENAHO</w:t>
      </w:r>
      <w:proofErr w:type="spellEnd"/>
      <w:r w:rsidRPr="00F86F66">
        <w:tab/>
        <w:t>Encuesta Nacional de Hogares</w:t>
      </w:r>
    </w:p>
    <w:p w14:paraId="748517B6"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 xml:space="preserve">GORE </w:t>
      </w:r>
      <w:r w:rsidRPr="00F86F66">
        <w:tab/>
        <w:t>Gobierno Regional</w:t>
      </w:r>
    </w:p>
    <w:p w14:paraId="30EB87D8"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ITHC</w:t>
      </w:r>
      <w:proofErr w:type="spellEnd"/>
      <w:r w:rsidRPr="00F86F66">
        <w:t xml:space="preserve"> </w:t>
      </w:r>
      <w:r w:rsidRPr="00F86F66">
        <w:tab/>
        <w:t>Intervención Temporal Hambre Cero</w:t>
      </w:r>
    </w:p>
    <w:p w14:paraId="56C74481" w14:textId="18D0E25E"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FED</w:t>
      </w:r>
      <w:r w:rsidRPr="00F86F66">
        <w:tab/>
        <w:t>Fondo de Estímulo al Desempeño y Logro de Resultados Sociales</w:t>
      </w:r>
    </w:p>
    <w:p w14:paraId="3C515727" w14:textId="46A73CB6"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INDECOPI</w:t>
      </w:r>
      <w:r w:rsidRPr="00F86F66">
        <w:tab/>
        <w:t>Instituto Nacional de Defensa de la Competencia y la Protección del Consumidor</w:t>
      </w:r>
    </w:p>
    <w:p w14:paraId="17894764"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MINJUSDH</w:t>
      </w:r>
      <w:proofErr w:type="spellEnd"/>
      <w:r w:rsidRPr="00F86F66">
        <w:tab/>
        <w:t>Ministerio de Justicia y Derechos Humanos</w:t>
      </w:r>
    </w:p>
    <w:p w14:paraId="0884811A"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MPFN</w:t>
      </w:r>
      <w:proofErr w:type="spellEnd"/>
      <w:r w:rsidRPr="00F86F66">
        <w:tab/>
        <w:t>Ministerio Publico – Fiscalía de la Nación</w:t>
      </w:r>
    </w:p>
    <w:p w14:paraId="5E5977A5" w14:textId="2088F83B"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MTPE</w:t>
      </w:r>
      <w:proofErr w:type="spellEnd"/>
      <w:r w:rsidRPr="00F86F66">
        <w:tab/>
        <w:t>Ministerio de Trabajo y Promoción del Empleo</w:t>
      </w:r>
    </w:p>
    <w:p w14:paraId="294FCD6F"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MINAM</w:t>
      </w:r>
      <w:proofErr w:type="spellEnd"/>
      <w:r w:rsidRPr="00F86F66">
        <w:tab/>
        <w:t>Ministerio del Ambiente</w:t>
      </w:r>
    </w:p>
    <w:p w14:paraId="7588E2A7"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MIDIS</w:t>
      </w:r>
      <w:proofErr w:type="spellEnd"/>
      <w:r w:rsidRPr="00F86F66">
        <w:tab/>
        <w:t>Ministerio de Desarrollo e Inclusión Social</w:t>
      </w:r>
    </w:p>
    <w:p w14:paraId="1F6C1DE0"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MIDAGRI</w:t>
      </w:r>
      <w:proofErr w:type="spellEnd"/>
      <w:r w:rsidRPr="00F86F66">
        <w:tab/>
        <w:t>Ministerio de Agricultura y Riego</w:t>
      </w:r>
    </w:p>
    <w:p w14:paraId="11C2E1EF"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MIMP</w:t>
      </w:r>
      <w:proofErr w:type="spellEnd"/>
      <w:r w:rsidRPr="00F86F66">
        <w:t xml:space="preserve"> </w:t>
      </w:r>
      <w:r w:rsidRPr="00F86F66">
        <w:tab/>
        <w:t>Ministerio de la Mujer y Poblaciones Vulnerables</w:t>
      </w:r>
    </w:p>
    <w:p w14:paraId="7C625334"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 xml:space="preserve">MINSA </w:t>
      </w:r>
      <w:r w:rsidRPr="00F86F66">
        <w:tab/>
        <w:t xml:space="preserve">Ministerio de Salud </w:t>
      </w:r>
    </w:p>
    <w:p w14:paraId="631EF9BC"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 xml:space="preserve">MINEDU </w:t>
      </w:r>
      <w:r w:rsidRPr="00F86F66">
        <w:tab/>
        <w:t>Ministerio de Educación</w:t>
      </w:r>
    </w:p>
    <w:p w14:paraId="365F8746" w14:textId="3CA1FB15"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NNA</w:t>
      </w:r>
      <w:proofErr w:type="spellEnd"/>
      <w:r w:rsidR="003405FF">
        <w:t xml:space="preserve"> </w:t>
      </w:r>
      <w:r w:rsidRPr="00F86F66">
        <w:tab/>
        <w:t>Niños, niñas y adolescentes</w:t>
      </w:r>
    </w:p>
    <w:p w14:paraId="09D56A71"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OIT</w:t>
      </w:r>
      <w:r w:rsidRPr="00F86F66">
        <w:tab/>
        <w:t>Organización Internacional del Trabajo</w:t>
      </w:r>
    </w:p>
    <w:p w14:paraId="5B6114A4" w14:textId="55D6C8F0"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PCM</w:t>
      </w:r>
      <w:proofErr w:type="spellEnd"/>
      <w:r w:rsidR="003405FF">
        <w:t xml:space="preserve"> </w:t>
      </w:r>
      <w:r w:rsidRPr="00F86F66">
        <w:tab/>
        <w:t>Presidencia del Consejo de Ministros</w:t>
      </w:r>
    </w:p>
    <w:p w14:paraId="3661BC22"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PBI</w:t>
      </w:r>
      <w:r w:rsidRPr="00F86F66">
        <w:tab/>
        <w:t>Producto Bruto Interno</w:t>
      </w:r>
    </w:p>
    <w:p w14:paraId="5E7B350C" w14:textId="22800952"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PDDH</w:t>
      </w:r>
      <w:proofErr w:type="spellEnd"/>
      <w:r w:rsidRPr="00F86F66">
        <w:tab/>
        <w:t>Personas defensoras de derechos humanos</w:t>
      </w:r>
    </w:p>
    <w:p w14:paraId="37AEFF40"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PNA</w:t>
      </w:r>
      <w:proofErr w:type="spellEnd"/>
      <w:r w:rsidRPr="00F86F66">
        <w:t xml:space="preserve"> </w:t>
      </w:r>
      <w:r w:rsidRPr="00F86F66">
        <w:tab/>
        <w:t>Plan Nacional de Acción sobre Empresas y Derechos Humanos</w:t>
      </w:r>
    </w:p>
    <w:p w14:paraId="4F8317AF" w14:textId="365DBE35"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PNDIS</w:t>
      </w:r>
      <w:proofErr w:type="spellEnd"/>
      <w:r w:rsidR="003405FF">
        <w:t xml:space="preserve"> </w:t>
      </w:r>
      <w:r w:rsidRPr="00F86F66">
        <w:tab/>
        <w:t>Política Nacional de Desarrollo e Inclusión Social</w:t>
      </w:r>
    </w:p>
    <w:p w14:paraId="733081D1" w14:textId="77777777"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PJ</w:t>
      </w:r>
      <w:proofErr w:type="spellEnd"/>
      <w:r w:rsidRPr="00F86F66">
        <w:tab/>
        <w:t>Poder Judicial</w:t>
      </w:r>
    </w:p>
    <w:p w14:paraId="26F128B0"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PP</w:t>
      </w:r>
      <w:r w:rsidRPr="00F86F66">
        <w:tab/>
        <w:t>Programa Presupuestal</w:t>
      </w:r>
    </w:p>
    <w:p w14:paraId="0CB2A1DC"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 xml:space="preserve">TPI </w:t>
      </w:r>
      <w:r w:rsidRPr="00F86F66">
        <w:tab/>
        <w:t>Transferencia adicional a la primera infancia</w:t>
      </w:r>
    </w:p>
    <w:p w14:paraId="3BF8380F"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 xml:space="preserve">TAS </w:t>
      </w:r>
      <w:r w:rsidRPr="00F86F66">
        <w:tab/>
        <w:t>Transferencias adicionales secundaria</w:t>
      </w:r>
    </w:p>
    <w:p w14:paraId="3C8B67B3"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TC</w:t>
      </w:r>
      <w:r w:rsidRPr="00F86F66">
        <w:tab/>
        <w:t>Tribunal Constitucional</w:t>
      </w:r>
    </w:p>
    <w:p w14:paraId="4B16061C" w14:textId="5DFE94C0"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SNC</w:t>
      </w:r>
      <w:proofErr w:type="spellEnd"/>
      <w:r w:rsidR="003405FF">
        <w:t xml:space="preserve"> </w:t>
      </w:r>
      <w:r w:rsidRPr="00F86F66">
        <w:tab/>
        <w:t>Sistema Nacional de Cuidados</w:t>
      </w:r>
    </w:p>
    <w:p w14:paraId="26F52FF9" w14:textId="77777777" w:rsidR="00813243" w:rsidRPr="00F86F66" w:rsidRDefault="00813243" w:rsidP="00C67E7F">
      <w:pPr>
        <w:pStyle w:val="SingleTxtG"/>
        <w:tabs>
          <w:tab w:val="clear" w:pos="1701"/>
          <w:tab w:val="clear" w:pos="2268"/>
          <w:tab w:val="clear" w:pos="2835"/>
        </w:tabs>
        <w:spacing w:after="0" w:line="320" w:lineRule="atLeast"/>
        <w:ind w:left="2874" w:hanging="1797"/>
      </w:pPr>
      <w:r w:rsidRPr="00F86F66">
        <w:t xml:space="preserve">SUNAFIL </w:t>
      </w:r>
      <w:r w:rsidRPr="00F86F66">
        <w:tab/>
        <w:t>Superintendencia Nacional de Fiscalización Laboral</w:t>
      </w:r>
    </w:p>
    <w:p w14:paraId="273E2818" w14:textId="41A7BF3C" w:rsidR="00813243" w:rsidRPr="00F86F66" w:rsidRDefault="00813243" w:rsidP="00C67E7F">
      <w:pPr>
        <w:pStyle w:val="SingleTxtG"/>
        <w:tabs>
          <w:tab w:val="clear" w:pos="1701"/>
          <w:tab w:val="clear" w:pos="2268"/>
          <w:tab w:val="clear" w:pos="2835"/>
        </w:tabs>
        <w:spacing w:after="0" w:line="320" w:lineRule="atLeast"/>
        <w:ind w:left="2874" w:hanging="1797"/>
      </w:pPr>
      <w:proofErr w:type="spellStart"/>
      <w:r w:rsidRPr="00F86F66">
        <w:t>SUNASS</w:t>
      </w:r>
      <w:proofErr w:type="spellEnd"/>
      <w:r w:rsidRPr="00F86F66">
        <w:tab/>
        <w:t>Superintendencia Nacional de Servicios de Saneamiento</w:t>
      </w:r>
    </w:p>
    <w:p w14:paraId="58C5922C" w14:textId="77777777" w:rsidR="00813243" w:rsidRDefault="00813243">
      <w:pPr>
        <w:spacing w:line="240" w:lineRule="auto"/>
        <w:rPr>
          <w:b/>
          <w:sz w:val="24"/>
          <w:lang w:val="es-MX"/>
        </w:rPr>
      </w:pPr>
      <w:r>
        <w:rPr>
          <w:lang w:val="es-MX"/>
        </w:rPr>
        <w:br w:type="page"/>
      </w:r>
    </w:p>
    <w:p w14:paraId="3C497AE6" w14:textId="6AB5BAA1" w:rsidR="000E14A8" w:rsidRPr="007D1893" w:rsidRDefault="00362916" w:rsidP="00D8113C">
      <w:pPr>
        <w:pStyle w:val="H1G"/>
        <w:ind w:left="1080" w:firstLine="0"/>
        <w:rPr>
          <w:sz w:val="28"/>
          <w:szCs w:val="28"/>
          <w:lang w:val="es-MX"/>
        </w:rPr>
      </w:pPr>
      <w:r w:rsidRPr="007D1893">
        <w:rPr>
          <w:sz w:val="28"/>
          <w:szCs w:val="28"/>
          <w:lang w:val="es-MX"/>
        </w:rPr>
        <w:lastRenderedPageBreak/>
        <w:t>Introducción</w:t>
      </w:r>
      <w:bookmarkEnd w:id="1"/>
    </w:p>
    <w:p w14:paraId="55A4A644"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El Estado peruano ratificó el Pacto Internacional de Derechos Económicos, Sociales y Culturales (</w:t>
      </w:r>
      <w:proofErr w:type="spellStart"/>
      <w:r w:rsidRPr="00362916">
        <w:rPr>
          <w:lang w:val="es-MX"/>
        </w:rPr>
        <w:t>PIDESC</w:t>
      </w:r>
      <w:proofErr w:type="spellEnd"/>
      <w:r w:rsidRPr="00362916">
        <w:rPr>
          <w:lang w:val="es-MX"/>
        </w:rPr>
        <w:t>) el 28 de abril de 1978</w:t>
      </w:r>
      <w:r w:rsidRPr="00362916">
        <w:rPr>
          <w:vertAlign w:val="superscript"/>
          <w:lang w:val="es-MX"/>
        </w:rPr>
        <w:footnoteReference w:id="2"/>
      </w:r>
      <w:r w:rsidRPr="00362916">
        <w:rPr>
          <w:lang w:val="es-MX"/>
        </w:rPr>
        <w:t>. En cumplimiento del artículo 16° del Pacto, se presenta su informe de respuesta a la Lista de cuestiones relativa al Quinto informe periódico del Perú (E/C.12/PER/Q/5).</w:t>
      </w:r>
    </w:p>
    <w:p w14:paraId="6F1E86CD"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El documento comprende información relativa al periodo diciembre de 2021 a agosto de 2024. Las respuestas formuladas han sido organizadas en atención a las cuestiones planteadas por el Comité.</w:t>
      </w:r>
    </w:p>
    <w:p w14:paraId="5E635706" w14:textId="63A35D6A" w:rsidR="000E14A8" w:rsidRPr="007D1893" w:rsidRDefault="00D8113C" w:rsidP="00D8113C">
      <w:pPr>
        <w:pStyle w:val="H1G"/>
        <w:rPr>
          <w:sz w:val="28"/>
          <w:szCs w:val="28"/>
          <w:lang w:val="es-MX"/>
        </w:rPr>
      </w:pPr>
      <w:bookmarkStart w:id="2" w:name="_Toc187168793"/>
      <w:r>
        <w:rPr>
          <w:lang w:val="es-MX"/>
        </w:rPr>
        <w:tab/>
      </w:r>
      <w:r w:rsidRPr="007D1893">
        <w:rPr>
          <w:sz w:val="28"/>
          <w:szCs w:val="28"/>
          <w:lang w:val="es-MX"/>
        </w:rPr>
        <w:t>I.</w:t>
      </w:r>
      <w:r w:rsidRPr="007D1893">
        <w:rPr>
          <w:sz w:val="28"/>
          <w:szCs w:val="28"/>
          <w:lang w:val="es-MX"/>
        </w:rPr>
        <w:tab/>
      </w:r>
      <w:r w:rsidR="00362916" w:rsidRPr="007D1893">
        <w:rPr>
          <w:sz w:val="28"/>
          <w:szCs w:val="28"/>
          <w:lang w:val="es-MX"/>
        </w:rPr>
        <w:t>Información general</w:t>
      </w:r>
      <w:bookmarkEnd w:id="2"/>
    </w:p>
    <w:p w14:paraId="262569D3"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3, el Estado ha implementado el “Mecanismo intersectorial para la protección de las personas defensoras de derechos humanos”</w:t>
      </w:r>
      <w:r w:rsidRPr="00362916">
        <w:rPr>
          <w:vertAlign w:val="superscript"/>
          <w:lang w:val="es-MX"/>
        </w:rPr>
        <w:footnoteReference w:id="3"/>
      </w:r>
      <w:r w:rsidRPr="00362916">
        <w:rPr>
          <w:lang w:val="es-MX"/>
        </w:rPr>
        <w:t xml:space="preserve"> (Mecanismo Intersectorial), con la finalidad de proteger, reconocer y garantizar el acceso a la justicia para las personas defensoras de derechos humanos (</w:t>
      </w:r>
      <w:proofErr w:type="spellStart"/>
      <w:r w:rsidRPr="00362916">
        <w:rPr>
          <w:lang w:val="es-MX"/>
        </w:rPr>
        <w:t>PDDH</w:t>
      </w:r>
      <w:proofErr w:type="spellEnd"/>
      <w:r w:rsidRPr="00362916">
        <w:rPr>
          <w:lang w:val="es-MX"/>
        </w:rPr>
        <w:t>), habiendo atendido a 450 personas defensoras de derechos del ambiente y pueblos indígenas</w:t>
      </w:r>
      <w:r w:rsidRPr="00362916">
        <w:rPr>
          <w:vertAlign w:val="superscript"/>
          <w:lang w:val="es-MX"/>
        </w:rPr>
        <w:footnoteReference w:id="4"/>
      </w:r>
      <w:r w:rsidRPr="00362916">
        <w:rPr>
          <w:lang w:val="es-MX"/>
        </w:rPr>
        <w:t>.</w:t>
      </w:r>
    </w:p>
    <w:p w14:paraId="7DF39C66" w14:textId="0FC97ABB"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el marco del Mecanismo Intersectorial el Ministerio de Justicia y Derechos Humanos (</w:t>
      </w:r>
      <w:proofErr w:type="spellStart"/>
      <w:r w:rsidRPr="00362916">
        <w:rPr>
          <w:lang w:val="es-MX"/>
        </w:rPr>
        <w:t>MINJUSDH</w:t>
      </w:r>
      <w:proofErr w:type="spellEnd"/>
      <w:r w:rsidRPr="00362916">
        <w:rPr>
          <w:lang w:val="es-MX"/>
        </w:rPr>
        <w:t>), ha promovido la instalación</w:t>
      </w:r>
      <w:r w:rsidRPr="00362916">
        <w:rPr>
          <w:vertAlign w:val="superscript"/>
          <w:lang w:val="es-MX"/>
        </w:rPr>
        <w:footnoteReference w:id="5"/>
      </w:r>
      <w:r w:rsidRPr="00362916">
        <w:rPr>
          <w:lang w:val="es-MX"/>
        </w:rPr>
        <w:t xml:space="preserve"> de 8 mesas regionales en las regiones de Ucayali, Madre de Dios, San Martín, Loreto, Amazonas, Junín, Piura y Huánuco, con el objeto de facilitar la adopción de medidas y coordinaciones entre el gobierno nacional, regional y las organizaciones de sociedad civil</w:t>
      </w:r>
      <w:r w:rsidRPr="00362916">
        <w:rPr>
          <w:vertAlign w:val="superscript"/>
          <w:lang w:val="es-MX"/>
        </w:rPr>
        <w:footnoteReference w:id="6"/>
      </w:r>
      <w:r w:rsidR="001A423B">
        <w:rPr>
          <w:lang w:val="es-MX"/>
        </w:rPr>
        <w:t>.</w:t>
      </w:r>
    </w:p>
    <w:p w14:paraId="6652A956" w14:textId="68AADD2B" w:rsidR="00362916"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Por su parte, el Ministerio Publico – Fiscalía de la Nación (</w:t>
      </w:r>
      <w:bookmarkStart w:id="3" w:name="_Hlk184724444"/>
      <w:proofErr w:type="spellStart"/>
      <w:r w:rsidRPr="00362916">
        <w:rPr>
          <w:lang w:val="es-MX"/>
        </w:rPr>
        <w:t>MPFN</w:t>
      </w:r>
      <w:bookmarkEnd w:id="3"/>
      <w:proofErr w:type="spellEnd"/>
      <w:r w:rsidRPr="00362916">
        <w:rPr>
          <w:lang w:val="es-MX"/>
        </w:rPr>
        <w:t>) ha reportado estadística sobre</w:t>
      </w:r>
      <w:r w:rsidRPr="00362916">
        <w:rPr>
          <w:vertAlign w:val="superscript"/>
          <w:lang w:val="es-MX"/>
        </w:rPr>
        <w:footnoteReference w:id="7"/>
      </w:r>
      <w:r w:rsidRPr="00362916">
        <w:rPr>
          <w:lang w:val="es-MX"/>
        </w:rPr>
        <w:t>:</w:t>
      </w:r>
    </w:p>
    <w:p w14:paraId="75A75510" w14:textId="521A7578" w:rsidR="002C735B" w:rsidRDefault="002C735B" w:rsidP="00E14E23">
      <w:pPr>
        <w:pStyle w:val="Ttulo1"/>
        <w:rPr>
          <w:b/>
          <w:bCs/>
        </w:rPr>
      </w:pPr>
      <w:r w:rsidRPr="00E14E23">
        <w:rPr>
          <w:b/>
          <w:bCs/>
        </w:rPr>
        <w:t xml:space="preserve">Actos de </w:t>
      </w:r>
      <w:proofErr w:type="spellStart"/>
      <w:r w:rsidRPr="00E14E23">
        <w:rPr>
          <w:b/>
          <w:bCs/>
        </w:rPr>
        <w:t>persecución</w:t>
      </w:r>
      <w:proofErr w:type="spellEnd"/>
      <w:r w:rsidRPr="00E14E23">
        <w:rPr>
          <w:b/>
          <w:bCs/>
        </w:rPr>
        <w:t xml:space="preserve"> y </w:t>
      </w:r>
      <w:proofErr w:type="spellStart"/>
      <w:r w:rsidRPr="00E14E23">
        <w:rPr>
          <w:b/>
          <w:bCs/>
        </w:rPr>
        <w:t>actos</w:t>
      </w:r>
      <w:proofErr w:type="spellEnd"/>
      <w:r w:rsidRPr="00E14E23">
        <w:rPr>
          <w:b/>
          <w:bCs/>
        </w:rPr>
        <w:t xml:space="preserve"> </w:t>
      </w:r>
      <w:proofErr w:type="spellStart"/>
      <w:r w:rsidRPr="00E14E23">
        <w:rPr>
          <w:b/>
          <w:bCs/>
        </w:rPr>
        <w:t>cometidos</w:t>
      </w:r>
      <w:proofErr w:type="spellEnd"/>
      <w:r w:rsidRPr="00E14E23">
        <w:rPr>
          <w:b/>
          <w:bCs/>
        </w:rPr>
        <w:t xml:space="preserve"> en contra de la vida de los </w:t>
      </w:r>
      <w:proofErr w:type="spellStart"/>
      <w:r w:rsidRPr="00E14E23">
        <w:rPr>
          <w:b/>
          <w:bCs/>
        </w:rPr>
        <w:t>defensores</w:t>
      </w:r>
      <w:proofErr w:type="spellEnd"/>
      <w:r w:rsidRPr="00E14E23">
        <w:rPr>
          <w:b/>
          <w:bCs/>
        </w:rPr>
        <w:t xml:space="preserve"> de </w:t>
      </w:r>
      <w:r w:rsidR="00E14E23">
        <w:rPr>
          <w:b/>
          <w:bCs/>
        </w:rPr>
        <w:br/>
      </w:r>
      <w:r w:rsidRPr="00E14E23">
        <w:rPr>
          <w:b/>
          <w:bCs/>
        </w:rPr>
        <w:t xml:space="preserve">derechos </w:t>
      </w:r>
      <w:proofErr w:type="spellStart"/>
      <w:r w:rsidRPr="00E14E23">
        <w:rPr>
          <w:b/>
          <w:bCs/>
        </w:rPr>
        <w:t>económicos</w:t>
      </w:r>
      <w:proofErr w:type="spellEnd"/>
      <w:r w:rsidRPr="00E14E23">
        <w:rPr>
          <w:b/>
          <w:bCs/>
        </w:rPr>
        <w:t xml:space="preserve">, sociales y culturales, y del medio </w:t>
      </w:r>
      <w:proofErr w:type="spellStart"/>
      <w:r w:rsidRPr="00E14E23">
        <w:rPr>
          <w:b/>
          <w:bCs/>
        </w:rPr>
        <w:t>ambiente</w:t>
      </w:r>
      <w:proofErr w:type="spellEnd"/>
    </w:p>
    <w:p w14:paraId="2B21F716" w14:textId="77777777" w:rsidR="002130FE" w:rsidRPr="002130FE" w:rsidRDefault="002130FE" w:rsidP="002130FE">
      <w:pPr>
        <w:pStyle w:val="SingleTxtG"/>
        <w:rPr>
          <w:lang w:val="fr-CH" w:eastAsia="en-US"/>
        </w:rPr>
      </w:pPr>
    </w:p>
    <w:tbl>
      <w:tblPr>
        <w:tblW w:w="7370" w:type="dxa"/>
        <w:tblInd w:w="1134" w:type="dxa"/>
        <w:tblLayout w:type="fixed"/>
        <w:tblCellMar>
          <w:left w:w="0" w:type="dxa"/>
          <w:right w:w="0" w:type="dxa"/>
        </w:tblCellMar>
        <w:tblLook w:val="04A0" w:firstRow="1" w:lastRow="0" w:firstColumn="1" w:lastColumn="0" w:noHBand="0" w:noVBand="1"/>
      </w:tblPr>
      <w:tblGrid>
        <w:gridCol w:w="1812"/>
        <w:gridCol w:w="967"/>
        <w:gridCol w:w="1208"/>
        <w:gridCol w:w="1329"/>
        <w:gridCol w:w="967"/>
        <w:gridCol w:w="1087"/>
      </w:tblGrid>
      <w:tr w:rsidR="00D8113C" w:rsidRPr="002C735B" w14:paraId="2A7375F1" w14:textId="77777777" w:rsidTr="002C735B">
        <w:trPr>
          <w:tblHeader/>
        </w:trPr>
        <w:tc>
          <w:tcPr>
            <w:tcW w:w="1812" w:type="dxa"/>
            <w:vMerge w:val="restart"/>
            <w:tcBorders>
              <w:top w:val="single" w:sz="4" w:space="0" w:color="auto"/>
              <w:bottom w:val="single" w:sz="4" w:space="0" w:color="auto"/>
            </w:tcBorders>
            <w:shd w:val="clear" w:color="auto" w:fill="auto"/>
            <w:vAlign w:val="bottom"/>
          </w:tcPr>
          <w:p w14:paraId="36CDFC4C" w14:textId="77777777" w:rsidR="00362916" w:rsidRPr="00362916" w:rsidRDefault="00362916" w:rsidP="002C735B">
            <w:pPr>
              <w:pStyle w:val="SingleTxtG"/>
              <w:tabs>
                <w:tab w:val="clear" w:pos="1701"/>
                <w:tab w:val="clear" w:pos="2268"/>
                <w:tab w:val="clear" w:pos="2835"/>
              </w:tabs>
              <w:spacing w:before="80" w:after="80" w:line="200" w:lineRule="exact"/>
              <w:ind w:left="0" w:right="0"/>
              <w:jc w:val="left"/>
              <w:rPr>
                <w:i/>
                <w:sz w:val="16"/>
                <w:lang w:val="es-MX"/>
              </w:rPr>
            </w:pPr>
            <w:r w:rsidRPr="00362916">
              <w:rPr>
                <w:i/>
                <w:sz w:val="16"/>
                <w:lang w:val="es-MX"/>
              </w:rPr>
              <w:t>Fiscalía</w:t>
            </w:r>
          </w:p>
        </w:tc>
        <w:tc>
          <w:tcPr>
            <w:tcW w:w="5558" w:type="dxa"/>
            <w:gridSpan w:val="5"/>
            <w:tcBorders>
              <w:top w:val="single" w:sz="4" w:space="0" w:color="auto"/>
              <w:bottom w:val="single" w:sz="4" w:space="0" w:color="auto"/>
            </w:tcBorders>
            <w:shd w:val="clear" w:color="auto" w:fill="auto"/>
            <w:vAlign w:val="bottom"/>
          </w:tcPr>
          <w:p w14:paraId="1754C76E" w14:textId="77777777" w:rsidR="00362916" w:rsidRPr="00362916" w:rsidRDefault="00362916" w:rsidP="002C735B">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Cantidad de casos según el estado procesal</w:t>
            </w:r>
          </w:p>
        </w:tc>
      </w:tr>
      <w:tr w:rsidR="00D8113C" w:rsidRPr="002C735B" w14:paraId="08854136" w14:textId="77777777" w:rsidTr="002C735B">
        <w:trPr>
          <w:tblHeader/>
        </w:trPr>
        <w:tc>
          <w:tcPr>
            <w:tcW w:w="1812" w:type="dxa"/>
            <w:vMerge/>
            <w:tcBorders>
              <w:top w:val="single" w:sz="4" w:space="0" w:color="auto"/>
              <w:bottom w:val="single" w:sz="12" w:space="0" w:color="auto"/>
            </w:tcBorders>
            <w:shd w:val="clear" w:color="auto" w:fill="auto"/>
            <w:vAlign w:val="bottom"/>
          </w:tcPr>
          <w:p w14:paraId="2A80741F" w14:textId="77777777" w:rsidR="00362916" w:rsidRPr="00362916" w:rsidRDefault="00362916" w:rsidP="002C735B">
            <w:pPr>
              <w:pStyle w:val="SingleTxtG"/>
              <w:tabs>
                <w:tab w:val="clear" w:pos="1701"/>
                <w:tab w:val="clear" w:pos="2268"/>
                <w:tab w:val="clear" w:pos="2835"/>
              </w:tabs>
              <w:spacing w:before="40" w:after="40" w:line="220" w:lineRule="exact"/>
              <w:ind w:left="0" w:right="0"/>
              <w:jc w:val="left"/>
              <w:rPr>
                <w:sz w:val="18"/>
                <w:lang w:val="es-MX"/>
              </w:rPr>
            </w:pPr>
          </w:p>
        </w:tc>
        <w:tc>
          <w:tcPr>
            <w:tcW w:w="967" w:type="dxa"/>
            <w:tcBorders>
              <w:top w:val="single" w:sz="4" w:space="0" w:color="auto"/>
              <w:bottom w:val="single" w:sz="12" w:space="0" w:color="auto"/>
            </w:tcBorders>
            <w:shd w:val="clear" w:color="auto" w:fill="auto"/>
            <w:vAlign w:val="bottom"/>
          </w:tcPr>
          <w:p w14:paraId="1CF38D60" w14:textId="77777777" w:rsidR="00362916" w:rsidRPr="00362916" w:rsidRDefault="00362916" w:rsidP="002C735B">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Denuncia</w:t>
            </w:r>
          </w:p>
        </w:tc>
        <w:tc>
          <w:tcPr>
            <w:tcW w:w="1208" w:type="dxa"/>
            <w:tcBorders>
              <w:top w:val="single" w:sz="4" w:space="0" w:color="auto"/>
              <w:bottom w:val="single" w:sz="12" w:space="0" w:color="auto"/>
            </w:tcBorders>
            <w:shd w:val="clear" w:color="auto" w:fill="auto"/>
            <w:vAlign w:val="bottom"/>
          </w:tcPr>
          <w:p w14:paraId="4683539F" w14:textId="77777777" w:rsidR="00362916" w:rsidRPr="00362916" w:rsidRDefault="00362916" w:rsidP="002C735B">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Investigación</w:t>
            </w:r>
          </w:p>
        </w:tc>
        <w:tc>
          <w:tcPr>
            <w:tcW w:w="1329" w:type="dxa"/>
            <w:tcBorders>
              <w:top w:val="single" w:sz="4" w:space="0" w:color="auto"/>
              <w:bottom w:val="single" w:sz="12" w:space="0" w:color="auto"/>
            </w:tcBorders>
            <w:shd w:val="clear" w:color="auto" w:fill="auto"/>
            <w:vAlign w:val="bottom"/>
          </w:tcPr>
          <w:p w14:paraId="372BD9FF" w14:textId="77777777" w:rsidR="00362916" w:rsidRPr="00362916" w:rsidRDefault="00362916" w:rsidP="002C735B">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Judicializados</w:t>
            </w:r>
          </w:p>
        </w:tc>
        <w:tc>
          <w:tcPr>
            <w:tcW w:w="967" w:type="dxa"/>
            <w:tcBorders>
              <w:top w:val="single" w:sz="4" w:space="0" w:color="auto"/>
              <w:bottom w:val="single" w:sz="12" w:space="0" w:color="auto"/>
            </w:tcBorders>
            <w:shd w:val="clear" w:color="auto" w:fill="auto"/>
            <w:vAlign w:val="bottom"/>
          </w:tcPr>
          <w:p w14:paraId="2856E04F" w14:textId="77777777" w:rsidR="00362916" w:rsidRPr="00362916" w:rsidRDefault="00362916" w:rsidP="002C735B">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Condena</w:t>
            </w:r>
          </w:p>
        </w:tc>
        <w:tc>
          <w:tcPr>
            <w:tcW w:w="1087" w:type="dxa"/>
            <w:tcBorders>
              <w:top w:val="single" w:sz="4" w:space="0" w:color="auto"/>
              <w:bottom w:val="single" w:sz="12" w:space="0" w:color="auto"/>
            </w:tcBorders>
            <w:shd w:val="clear" w:color="auto" w:fill="auto"/>
            <w:vAlign w:val="bottom"/>
          </w:tcPr>
          <w:p w14:paraId="27E7F3EB" w14:textId="77777777" w:rsidR="00362916" w:rsidRPr="00362916" w:rsidRDefault="00362916" w:rsidP="002C735B">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Reparación civil</w:t>
            </w:r>
          </w:p>
        </w:tc>
      </w:tr>
      <w:tr w:rsidR="00D8113C" w:rsidRPr="002C735B" w14:paraId="5A1E16D5" w14:textId="77777777" w:rsidTr="002C735B">
        <w:tc>
          <w:tcPr>
            <w:tcW w:w="1812" w:type="dxa"/>
            <w:tcBorders>
              <w:top w:val="single" w:sz="12" w:space="0" w:color="auto"/>
              <w:bottom w:val="single" w:sz="12" w:space="0" w:color="auto"/>
            </w:tcBorders>
            <w:shd w:val="clear" w:color="auto" w:fill="auto"/>
          </w:tcPr>
          <w:p w14:paraId="7B2368FD" w14:textId="77777777" w:rsidR="00362916" w:rsidRPr="00362916" w:rsidRDefault="00362916" w:rsidP="002C735B">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Fiscalías Penales Supraprovincial a nivel nacional</w:t>
            </w:r>
          </w:p>
        </w:tc>
        <w:tc>
          <w:tcPr>
            <w:tcW w:w="967" w:type="dxa"/>
            <w:tcBorders>
              <w:top w:val="single" w:sz="12" w:space="0" w:color="auto"/>
              <w:bottom w:val="single" w:sz="12" w:space="0" w:color="auto"/>
            </w:tcBorders>
            <w:shd w:val="clear" w:color="auto" w:fill="auto"/>
            <w:vAlign w:val="bottom"/>
          </w:tcPr>
          <w:p w14:paraId="187FB0D7" w14:textId="77777777" w:rsidR="00362916" w:rsidRPr="00362916" w:rsidRDefault="00362916" w:rsidP="002C735B">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36</w:t>
            </w:r>
          </w:p>
        </w:tc>
        <w:tc>
          <w:tcPr>
            <w:tcW w:w="1208" w:type="dxa"/>
            <w:tcBorders>
              <w:top w:val="single" w:sz="12" w:space="0" w:color="auto"/>
              <w:bottom w:val="single" w:sz="12" w:space="0" w:color="auto"/>
            </w:tcBorders>
            <w:shd w:val="clear" w:color="auto" w:fill="auto"/>
            <w:vAlign w:val="bottom"/>
          </w:tcPr>
          <w:p w14:paraId="75AFF68D" w14:textId="77777777" w:rsidR="00362916" w:rsidRPr="00362916" w:rsidRDefault="00362916" w:rsidP="002C735B">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110</w:t>
            </w:r>
          </w:p>
        </w:tc>
        <w:tc>
          <w:tcPr>
            <w:tcW w:w="1329" w:type="dxa"/>
            <w:tcBorders>
              <w:top w:val="single" w:sz="12" w:space="0" w:color="auto"/>
              <w:bottom w:val="single" w:sz="12" w:space="0" w:color="auto"/>
            </w:tcBorders>
            <w:shd w:val="clear" w:color="auto" w:fill="auto"/>
            <w:vAlign w:val="bottom"/>
          </w:tcPr>
          <w:p w14:paraId="7A92863D" w14:textId="77777777" w:rsidR="00362916" w:rsidRPr="00362916" w:rsidRDefault="00362916" w:rsidP="002C735B">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9</w:t>
            </w:r>
          </w:p>
        </w:tc>
        <w:tc>
          <w:tcPr>
            <w:tcW w:w="967" w:type="dxa"/>
            <w:tcBorders>
              <w:top w:val="single" w:sz="12" w:space="0" w:color="auto"/>
              <w:bottom w:val="single" w:sz="12" w:space="0" w:color="auto"/>
            </w:tcBorders>
            <w:shd w:val="clear" w:color="auto" w:fill="auto"/>
            <w:vAlign w:val="bottom"/>
          </w:tcPr>
          <w:p w14:paraId="6234DEA6" w14:textId="77777777" w:rsidR="00362916" w:rsidRPr="00362916" w:rsidRDefault="00362916" w:rsidP="002C735B">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0</w:t>
            </w:r>
          </w:p>
        </w:tc>
        <w:tc>
          <w:tcPr>
            <w:tcW w:w="1087" w:type="dxa"/>
            <w:tcBorders>
              <w:top w:val="single" w:sz="12" w:space="0" w:color="auto"/>
              <w:bottom w:val="single" w:sz="12" w:space="0" w:color="auto"/>
            </w:tcBorders>
            <w:shd w:val="clear" w:color="auto" w:fill="auto"/>
            <w:vAlign w:val="bottom"/>
          </w:tcPr>
          <w:p w14:paraId="214E7653" w14:textId="77777777" w:rsidR="00362916" w:rsidRPr="00362916" w:rsidRDefault="00362916" w:rsidP="002C735B">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0</w:t>
            </w:r>
          </w:p>
        </w:tc>
      </w:tr>
    </w:tbl>
    <w:p w14:paraId="0121F825" w14:textId="5035D0E9" w:rsidR="000E14A8" w:rsidRPr="00D32CB7" w:rsidRDefault="00362916" w:rsidP="00362916">
      <w:pPr>
        <w:pStyle w:val="SingleTxtG"/>
        <w:rPr>
          <w:sz w:val="18"/>
          <w:szCs w:val="18"/>
          <w:lang w:val="es-MX"/>
        </w:rPr>
      </w:pPr>
      <w:r w:rsidRPr="00362916">
        <w:rPr>
          <w:sz w:val="18"/>
          <w:szCs w:val="18"/>
          <w:lang w:val="es-MX"/>
        </w:rPr>
        <w:tab/>
      </w:r>
      <w:r w:rsidRPr="00C67E7F">
        <w:rPr>
          <w:i/>
          <w:iCs/>
          <w:sz w:val="18"/>
          <w:szCs w:val="18"/>
          <w:lang w:val="es-MX"/>
        </w:rPr>
        <w:t>Fuente:</w:t>
      </w:r>
      <w:r w:rsidRPr="00362916">
        <w:rPr>
          <w:sz w:val="18"/>
          <w:szCs w:val="18"/>
          <w:lang w:val="es-MX"/>
        </w:rPr>
        <w:t xml:space="preserve"> </w:t>
      </w:r>
      <w:proofErr w:type="spellStart"/>
      <w:r w:rsidRPr="00362916">
        <w:rPr>
          <w:sz w:val="18"/>
          <w:szCs w:val="18"/>
          <w:lang w:val="es-MX"/>
        </w:rPr>
        <w:t>MPFN</w:t>
      </w:r>
      <w:proofErr w:type="spellEnd"/>
    </w:p>
    <w:p w14:paraId="4D000EB7" w14:textId="5110DAFD"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Con el objeto de investigar y sancionar oportunamente los delitos cometidos en agravio de las </w:t>
      </w:r>
      <w:proofErr w:type="spellStart"/>
      <w:r w:rsidRPr="00362916">
        <w:rPr>
          <w:lang w:val="es-MX"/>
        </w:rPr>
        <w:t>PDDH</w:t>
      </w:r>
      <w:proofErr w:type="spellEnd"/>
      <w:r w:rsidRPr="00362916">
        <w:rPr>
          <w:lang w:val="es-MX"/>
        </w:rPr>
        <w:t xml:space="preserve">, se emitió el Decreto Supremo </w:t>
      </w:r>
      <w:proofErr w:type="spellStart"/>
      <w:r w:rsidRPr="00362916">
        <w:rPr>
          <w:lang w:val="es-MX"/>
        </w:rPr>
        <w:t>N°109</w:t>
      </w:r>
      <w:proofErr w:type="spellEnd"/>
      <w:r w:rsidRPr="00362916">
        <w:rPr>
          <w:lang w:val="es-MX"/>
        </w:rPr>
        <w:t xml:space="preserve">-2023-EF, de fecha 4 de junio de 2023, autorizando la transferencia de Partida en el Presupuesto del Sector Público por la suma de S/ 99 001 010 .00 para el Año Fiscal 2023, a favor del </w:t>
      </w:r>
      <w:proofErr w:type="spellStart"/>
      <w:r w:rsidRPr="00362916">
        <w:rPr>
          <w:lang w:val="es-MX"/>
        </w:rPr>
        <w:t>MPFN</w:t>
      </w:r>
      <w:proofErr w:type="spellEnd"/>
      <w:r w:rsidRPr="00362916">
        <w:rPr>
          <w:vertAlign w:val="superscript"/>
          <w:lang w:val="es-MX"/>
        </w:rPr>
        <w:footnoteReference w:id="8"/>
      </w:r>
      <w:r w:rsidRPr="00362916">
        <w:rPr>
          <w:lang w:val="es-MX"/>
        </w:rPr>
        <w:t xml:space="preserve">, para financiar la creación de despachos fiscales de derechos humanos e interculturalidad, con competencia nacional para conocer, todos los delitos en agravio de </w:t>
      </w:r>
      <w:proofErr w:type="spellStart"/>
      <w:r w:rsidRPr="00362916">
        <w:rPr>
          <w:lang w:val="es-MX"/>
        </w:rPr>
        <w:t>PDDH</w:t>
      </w:r>
      <w:proofErr w:type="spellEnd"/>
      <w:r w:rsidRPr="00362916">
        <w:rPr>
          <w:lang w:val="es-MX"/>
        </w:rPr>
        <w:t xml:space="preserve"> siempre que sean en razón a su labor de defensa</w:t>
      </w:r>
      <w:r w:rsidRPr="00362916">
        <w:rPr>
          <w:vertAlign w:val="superscript"/>
          <w:lang w:val="es-MX"/>
        </w:rPr>
        <w:footnoteReference w:id="9"/>
      </w:r>
      <w:r w:rsidRPr="00362916">
        <w:rPr>
          <w:lang w:val="es-MX"/>
        </w:rPr>
        <w:t>.</w:t>
      </w:r>
    </w:p>
    <w:p w14:paraId="3EA05C51"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lastRenderedPageBreak/>
        <w:t>En respuesta al párrafo 4, la Dirección General de Derechos Humanos (</w:t>
      </w:r>
      <w:proofErr w:type="spellStart"/>
      <w:r w:rsidRPr="00362916">
        <w:rPr>
          <w:lang w:val="es-MX"/>
        </w:rPr>
        <w:t>DGDH</w:t>
      </w:r>
      <w:proofErr w:type="spellEnd"/>
      <w:r w:rsidRPr="00362916">
        <w:rPr>
          <w:lang w:val="es-MX"/>
        </w:rPr>
        <w:t xml:space="preserve">) del </w:t>
      </w:r>
      <w:proofErr w:type="spellStart"/>
      <w:r w:rsidRPr="00362916">
        <w:rPr>
          <w:lang w:val="es-MX"/>
        </w:rPr>
        <w:t>MINJUSDH</w:t>
      </w:r>
      <w:proofErr w:type="spellEnd"/>
      <w:r w:rsidRPr="00362916">
        <w:rPr>
          <w:lang w:val="es-MX"/>
        </w:rPr>
        <w:t xml:space="preserve"> es la entidad competente para la implementación </w:t>
      </w:r>
      <w:bookmarkStart w:id="4" w:name="_Hlk184724487"/>
      <w:r w:rsidRPr="00362916">
        <w:rPr>
          <w:lang w:val="es-MX"/>
        </w:rPr>
        <w:t>del Plan Nacional de Acción sobre Empresas y Derechos Humanos</w:t>
      </w:r>
      <w:bookmarkEnd w:id="4"/>
      <w:r w:rsidRPr="00362916">
        <w:rPr>
          <w:lang w:val="es-MX"/>
        </w:rPr>
        <w:t xml:space="preserve"> (</w:t>
      </w:r>
      <w:proofErr w:type="spellStart"/>
      <w:r w:rsidRPr="00362916">
        <w:rPr>
          <w:lang w:val="es-MX"/>
        </w:rPr>
        <w:t>PNA</w:t>
      </w:r>
      <w:proofErr w:type="spellEnd"/>
      <w:r w:rsidRPr="00362916">
        <w:rPr>
          <w:lang w:val="es-MX"/>
        </w:rPr>
        <w:t>), siendo los principales resultados</w:t>
      </w:r>
      <w:r w:rsidRPr="00362916">
        <w:rPr>
          <w:vertAlign w:val="superscript"/>
          <w:lang w:val="es-MX"/>
        </w:rPr>
        <w:footnoteReference w:id="10"/>
      </w:r>
      <w:r w:rsidRPr="00362916">
        <w:rPr>
          <w:lang w:val="es-MX"/>
        </w:rPr>
        <w:t>:</w:t>
      </w:r>
    </w:p>
    <w:p w14:paraId="4B58734A" w14:textId="6749A6EB" w:rsidR="000E14A8" w:rsidRDefault="00362916" w:rsidP="000D314C">
      <w:pPr>
        <w:pStyle w:val="Bullet1G"/>
        <w:rPr>
          <w:lang w:val="es-MX"/>
        </w:rPr>
      </w:pPr>
      <w:r w:rsidRPr="00362916">
        <w:rPr>
          <w:lang w:val="es-MX"/>
        </w:rPr>
        <w:t>Sobre el fortalecimiento del Estado resalta, i) la presentación del Informe de seguimiento de los avances de los sectores en la implementación del Plan Nacional de Acción sobre Empresas y Derechos Humanos (</w:t>
      </w:r>
      <w:proofErr w:type="spellStart"/>
      <w:r w:rsidRPr="00362916">
        <w:rPr>
          <w:lang w:val="es-MX"/>
        </w:rPr>
        <w:t>PNA</w:t>
      </w:r>
      <w:proofErr w:type="spellEnd"/>
      <w:r w:rsidRPr="00362916">
        <w:rPr>
          <w:lang w:val="es-MX"/>
        </w:rPr>
        <w:t>) 2021-2025, correspondiente a los años 2021-2022</w:t>
      </w:r>
      <w:r w:rsidRPr="00362916">
        <w:rPr>
          <w:vertAlign w:val="superscript"/>
          <w:lang w:val="es-MX"/>
        </w:rPr>
        <w:footnoteReference w:id="11"/>
      </w:r>
      <w:r w:rsidRPr="00362916">
        <w:rPr>
          <w:lang w:val="es-MX"/>
        </w:rPr>
        <w:t xml:space="preserve">, </w:t>
      </w:r>
      <w:proofErr w:type="spellStart"/>
      <w:r w:rsidRPr="00362916">
        <w:rPr>
          <w:lang w:val="es-MX"/>
        </w:rPr>
        <w:t>ii</w:t>
      </w:r>
      <w:proofErr w:type="spellEnd"/>
      <w:r w:rsidRPr="00362916">
        <w:rPr>
          <w:lang w:val="es-MX"/>
        </w:rPr>
        <w:t xml:space="preserve">) el inicio del proceso de elaboración del documento que da cuenta sobre los avances de los sectores en la implementación del </w:t>
      </w:r>
      <w:proofErr w:type="spellStart"/>
      <w:r w:rsidRPr="00362916">
        <w:rPr>
          <w:lang w:val="es-MX"/>
        </w:rPr>
        <w:t>PNA</w:t>
      </w:r>
      <w:proofErr w:type="spellEnd"/>
      <w:r w:rsidRPr="00362916">
        <w:rPr>
          <w:lang w:val="es-MX"/>
        </w:rPr>
        <w:t xml:space="preserve"> 2021-2025, </w:t>
      </w:r>
      <w:proofErr w:type="spellStart"/>
      <w:r w:rsidRPr="00362916">
        <w:rPr>
          <w:lang w:val="es-MX"/>
        </w:rPr>
        <w:t>iii</w:t>
      </w:r>
      <w:proofErr w:type="spellEnd"/>
      <w:r w:rsidRPr="00362916">
        <w:rPr>
          <w:lang w:val="es-MX"/>
        </w:rPr>
        <w:t xml:space="preserve">) la Resolución Directoral </w:t>
      </w:r>
      <w:proofErr w:type="spellStart"/>
      <w:r w:rsidRPr="00362916">
        <w:rPr>
          <w:lang w:val="es-MX"/>
        </w:rPr>
        <w:t>N°001</w:t>
      </w:r>
      <w:proofErr w:type="spellEnd"/>
      <w:r w:rsidRPr="00362916">
        <w:rPr>
          <w:lang w:val="es-MX"/>
        </w:rPr>
        <w:t>-2023-</w:t>
      </w:r>
      <w:proofErr w:type="spellStart"/>
      <w:r w:rsidRPr="00362916">
        <w:rPr>
          <w:lang w:val="es-MX"/>
        </w:rPr>
        <w:t>JUS</w:t>
      </w:r>
      <w:proofErr w:type="spellEnd"/>
      <w:r w:rsidRPr="00362916">
        <w:rPr>
          <w:lang w:val="es-MX"/>
        </w:rPr>
        <w:t>/</w:t>
      </w:r>
      <w:proofErr w:type="spellStart"/>
      <w:r w:rsidRPr="00362916">
        <w:rPr>
          <w:lang w:val="es-MX"/>
        </w:rPr>
        <w:t>DGDH</w:t>
      </w:r>
      <w:proofErr w:type="spellEnd"/>
      <w:r w:rsidRPr="00362916">
        <w:rPr>
          <w:vertAlign w:val="superscript"/>
          <w:lang w:val="es-MX"/>
        </w:rPr>
        <w:footnoteReference w:id="12"/>
      </w:r>
      <w:r w:rsidRPr="00362916">
        <w:rPr>
          <w:lang w:val="es-MX"/>
        </w:rPr>
        <w:t xml:space="preserve">, de fecha 25 de enero de 2023, que aprobó la “Estrategia de descentralización para la implementación del </w:t>
      </w:r>
      <w:proofErr w:type="spellStart"/>
      <w:r w:rsidRPr="00362916">
        <w:rPr>
          <w:lang w:val="es-MX"/>
        </w:rPr>
        <w:t>PNA</w:t>
      </w:r>
      <w:proofErr w:type="spellEnd"/>
      <w:r w:rsidRPr="00362916">
        <w:rPr>
          <w:lang w:val="es-MX"/>
        </w:rPr>
        <w:t xml:space="preserve"> 2021-2025”</w:t>
      </w:r>
      <w:r w:rsidR="007D1893">
        <w:rPr>
          <w:lang w:val="es-MX"/>
        </w:rPr>
        <w:t>;</w:t>
      </w:r>
    </w:p>
    <w:p w14:paraId="10027B19" w14:textId="70A629F5" w:rsidR="000E14A8" w:rsidRDefault="00362916" w:rsidP="000D314C">
      <w:pPr>
        <w:pStyle w:val="Bullet1G"/>
        <w:rPr>
          <w:lang w:val="es-MX"/>
        </w:rPr>
      </w:pPr>
      <w:r w:rsidRPr="00362916">
        <w:rPr>
          <w:lang w:val="es-MX"/>
        </w:rPr>
        <w:t xml:space="preserve">El 31 de enero de </w:t>
      </w:r>
      <w:proofErr w:type="spellStart"/>
      <w:r w:rsidRPr="00362916">
        <w:rPr>
          <w:lang w:val="es-MX"/>
        </w:rPr>
        <w:t>2023se</w:t>
      </w:r>
      <w:proofErr w:type="spellEnd"/>
      <w:r w:rsidRPr="00362916">
        <w:rPr>
          <w:lang w:val="es-MX"/>
        </w:rPr>
        <w:t xml:space="preserve"> aprobó el “Programa de capacitación en empresas y derechos humanos del </w:t>
      </w:r>
      <w:proofErr w:type="spellStart"/>
      <w:r w:rsidRPr="00362916">
        <w:rPr>
          <w:lang w:val="es-MX"/>
        </w:rPr>
        <w:t>PNA</w:t>
      </w:r>
      <w:proofErr w:type="spellEnd"/>
      <w:r w:rsidRPr="00362916">
        <w:rPr>
          <w:lang w:val="es-MX"/>
        </w:rPr>
        <w:t xml:space="preserve"> 2021-2025”</w:t>
      </w:r>
      <w:r w:rsidRPr="00362916">
        <w:rPr>
          <w:vertAlign w:val="superscript"/>
          <w:lang w:val="es-MX"/>
        </w:rPr>
        <w:footnoteReference w:id="13"/>
      </w:r>
      <w:r w:rsidRPr="00362916">
        <w:rPr>
          <w:lang w:val="es-MX"/>
        </w:rPr>
        <w:t xml:space="preserve">, realizándose i) tres ediciones del Curso “Empresas y Derechos Humanos”, dirigido a funcionarios/as y servidores/as del sector público, con un total de 197 personas capacitadas, </w:t>
      </w:r>
      <w:proofErr w:type="spellStart"/>
      <w:r w:rsidRPr="00362916">
        <w:rPr>
          <w:lang w:val="es-MX"/>
        </w:rPr>
        <w:t>ii</w:t>
      </w:r>
      <w:proofErr w:type="spellEnd"/>
      <w:r w:rsidRPr="00362916">
        <w:rPr>
          <w:lang w:val="es-MX"/>
        </w:rPr>
        <w:t>) Se aprobó el Plan de Capacitación a sindicatos sobre Principios Rectores y Conducta Empresarial Responsable, con énfasis en mujeres</w:t>
      </w:r>
      <w:r w:rsidR="007D1893">
        <w:rPr>
          <w:lang w:val="es-MX"/>
        </w:rPr>
        <w:t>;</w:t>
      </w:r>
    </w:p>
    <w:p w14:paraId="26A2EA21" w14:textId="1359EB62" w:rsidR="000E14A8" w:rsidRDefault="00362916" w:rsidP="000D314C">
      <w:pPr>
        <w:pStyle w:val="Bullet1G"/>
        <w:rPr>
          <w:lang w:val="es-MX"/>
        </w:rPr>
      </w:pPr>
      <w:r w:rsidRPr="00362916">
        <w:rPr>
          <w:lang w:val="es-MX"/>
        </w:rPr>
        <w:t xml:space="preserve">Sobre la debida diligencia, se aprobó i) la publicación de la “Cartilla informativa; Medida de debida diligencia de respeto a los derechos laborales colectivos” Elaborada de manera conjunta con el </w:t>
      </w:r>
      <w:bookmarkStart w:id="5" w:name="_Hlk184724568"/>
      <w:r w:rsidRPr="00362916">
        <w:rPr>
          <w:lang w:val="es-MX"/>
        </w:rPr>
        <w:t xml:space="preserve">Ministerio de Trabajo y Promoción del Empleo </w:t>
      </w:r>
      <w:bookmarkEnd w:id="5"/>
      <w:r w:rsidRPr="00362916">
        <w:rPr>
          <w:lang w:val="es-MX"/>
        </w:rPr>
        <w:t>(</w:t>
      </w:r>
      <w:bookmarkStart w:id="6" w:name="_Hlk184724538"/>
      <w:proofErr w:type="spellStart"/>
      <w:r w:rsidRPr="00362916">
        <w:rPr>
          <w:lang w:val="es-MX"/>
        </w:rPr>
        <w:t>MTPE</w:t>
      </w:r>
      <w:bookmarkEnd w:id="6"/>
      <w:proofErr w:type="spellEnd"/>
      <w:r w:rsidRPr="00362916">
        <w:rPr>
          <w:lang w:val="es-MX"/>
        </w:rPr>
        <w:t xml:space="preserve">) y con el apoyo de Organización Internacional del Trabajo (OIT) </w:t>
      </w:r>
      <w:proofErr w:type="spellStart"/>
      <w:r w:rsidRPr="00362916">
        <w:rPr>
          <w:lang w:val="es-MX"/>
        </w:rPr>
        <w:t>ii</w:t>
      </w:r>
      <w:proofErr w:type="spellEnd"/>
      <w:r w:rsidRPr="00362916">
        <w:rPr>
          <w:lang w:val="es-MX"/>
        </w:rPr>
        <w:t xml:space="preserve">) se encuentra en elaboración una guía de debida diligencia enfocada en la población </w:t>
      </w:r>
      <w:proofErr w:type="spellStart"/>
      <w:r w:rsidRPr="00362916">
        <w:rPr>
          <w:lang w:val="es-MX"/>
        </w:rPr>
        <w:t>LGBTIQ</w:t>
      </w:r>
      <w:proofErr w:type="spellEnd"/>
      <w:r w:rsidRPr="00362916">
        <w:rPr>
          <w:lang w:val="es-MX"/>
        </w:rPr>
        <w:t>+, sobre la cual se cuenta con una versión final en etapa de diagramación</w:t>
      </w:r>
      <w:r w:rsidRPr="00362916">
        <w:rPr>
          <w:vertAlign w:val="superscript"/>
          <w:lang w:val="es-MX"/>
        </w:rPr>
        <w:footnoteReference w:id="14"/>
      </w:r>
      <w:r w:rsidR="007D1893">
        <w:rPr>
          <w:lang w:val="es-MX"/>
        </w:rPr>
        <w:t>;</w:t>
      </w:r>
    </w:p>
    <w:p w14:paraId="1E3E8C6E" w14:textId="77777777" w:rsidR="000E14A8" w:rsidRDefault="00362916" w:rsidP="000D314C">
      <w:pPr>
        <w:pStyle w:val="Bullet1G"/>
        <w:rPr>
          <w:lang w:val="es-MX"/>
        </w:rPr>
      </w:pPr>
      <w:r w:rsidRPr="00362916">
        <w:rPr>
          <w:lang w:val="es-MX"/>
        </w:rPr>
        <w:t>Sobre medidas legislativas y políticas adoptadas, se pude resaltar la aprobación del “Lineamientos para la gestión de instrumentos de cooperación nacional e internacional de prestación de servicios policiales”</w:t>
      </w:r>
      <w:r w:rsidRPr="00362916">
        <w:rPr>
          <w:vertAlign w:val="superscript"/>
          <w:lang w:val="es-MX"/>
        </w:rPr>
        <w:footnoteReference w:id="15"/>
      </w:r>
      <w:r w:rsidRPr="00362916">
        <w:rPr>
          <w:lang w:val="es-MX"/>
        </w:rPr>
        <w:t>.</w:t>
      </w:r>
    </w:p>
    <w:p w14:paraId="4DA041ED"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5, el Estado ante los riesgos de los efectos del cambio climático aprobó el “Plan Nacional de Adaptación al Cambio Climático”</w:t>
      </w:r>
      <w:r w:rsidRPr="00362916">
        <w:rPr>
          <w:vertAlign w:val="superscript"/>
          <w:lang w:val="es-MX"/>
        </w:rPr>
        <w:footnoteReference w:id="16"/>
      </w:r>
      <w:r w:rsidRPr="00362916">
        <w:rPr>
          <w:lang w:val="es-MX"/>
        </w:rPr>
        <w:t xml:space="preserve"> (</w:t>
      </w:r>
      <w:proofErr w:type="spellStart"/>
      <w:r w:rsidRPr="00362916">
        <w:rPr>
          <w:lang w:val="es-MX"/>
        </w:rPr>
        <w:t>NAP</w:t>
      </w:r>
      <w:proofErr w:type="spellEnd"/>
      <w:r w:rsidRPr="00362916">
        <w:rPr>
          <w:lang w:val="es-MX"/>
        </w:rPr>
        <w:t>), con prioridades claras enfocadas en reducir la exposición y la vulnerabilidad, así como en aumentar la capacidad de adaptación desencadenada por los peligros asociados con el cambio climático, además de permitir el aprovechamiento de oportunidades de mejora</w:t>
      </w:r>
      <w:r w:rsidRPr="00362916">
        <w:rPr>
          <w:vertAlign w:val="superscript"/>
          <w:lang w:val="es-MX"/>
        </w:rPr>
        <w:footnoteReference w:id="17"/>
      </w:r>
      <w:r w:rsidRPr="00362916">
        <w:rPr>
          <w:lang w:val="es-MX"/>
        </w:rPr>
        <w:t>.</w:t>
      </w:r>
    </w:p>
    <w:p w14:paraId="2A05952B"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5a</w:t>
      </w:r>
      <w:proofErr w:type="spellEnd"/>
      <w:r w:rsidRPr="00362916">
        <w:rPr>
          <w:lang w:val="es-MX"/>
        </w:rPr>
        <w:t xml:space="preserve">), en la fase de formulación del </w:t>
      </w:r>
      <w:proofErr w:type="spellStart"/>
      <w:r w:rsidRPr="00362916">
        <w:rPr>
          <w:lang w:val="es-MX"/>
        </w:rPr>
        <w:t>NAP</w:t>
      </w:r>
      <w:proofErr w:type="spellEnd"/>
      <w:r w:rsidRPr="00362916">
        <w:rPr>
          <w:lang w:val="es-MX"/>
        </w:rPr>
        <w:t xml:space="preserve"> se analizan los peligros y potenciales impactos que puede acarrear el cambio climático sobre las diferentes áreas temáticas priorizadas y las comunidades más vulnerables desde enfoques de equidad social</w:t>
      </w:r>
      <w:r w:rsidRPr="00362916">
        <w:rPr>
          <w:vertAlign w:val="superscript"/>
          <w:lang w:val="es-MX"/>
        </w:rPr>
        <w:footnoteReference w:id="18"/>
      </w:r>
      <w:r w:rsidRPr="00362916">
        <w:rPr>
          <w:lang w:val="es-MX"/>
        </w:rPr>
        <w:t>.</w:t>
      </w:r>
    </w:p>
    <w:p w14:paraId="5E22F24F" w14:textId="0077D23F"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5b</w:t>
      </w:r>
      <w:proofErr w:type="spellEnd"/>
      <w:r w:rsidRPr="00362916">
        <w:rPr>
          <w:lang w:val="es-MX"/>
        </w:rPr>
        <w:t xml:space="preserve">), como se ha mencionado en el punto 8, el Estado ha implementado </w:t>
      </w:r>
      <w:proofErr w:type="spellStart"/>
      <w:r w:rsidRPr="00362916">
        <w:rPr>
          <w:lang w:val="es-MX"/>
        </w:rPr>
        <w:t>NAP</w:t>
      </w:r>
      <w:proofErr w:type="spellEnd"/>
      <w:r w:rsidRPr="00362916">
        <w:rPr>
          <w:lang w:val="es-MX"/>
        </w:rPr>
        <w:t xml:space="preserve"> identificándose un conjunto de Programas Presupuestales (PP)</w:t>
      </w:r>
      <w:r w:rsidRPr="00362916">
        <w:rPr>
          <w:vertAlign w:val="superscript"/>
          <w:lang w:val="es-MX"/>
        </w:rPr>
        <w:footnoteReference w:id="19"/>
      </w:r>
      <w:r w:rsidRPr="00362916">
        <w:rPr>
          <w:lang w:val="es-MX"/>
        </w:rPr>
        <w:t xml:space="preserve"> </w:t>
      </w:r>
      <w:r w:rsidRPr="00362916">
        <w:rPr>
          <w:lang w:val="es-MX"/>
        </w:rPr>
        <w:lastRenderedPageBreak/>
        <w:t>relacionado con sus objetivos como PP 0144</w:t>
      </w:r>
      <w:r w:rsidRPr="00362916">
        <w:rPr>
          <w:vertAlign w:val="superscript"/>
          <w:lang w:val="es-MX"/>
        </w:rPr>
        <w:footnoteReference w:id="20"/>
      </w:r>
      <w:r w:rsidRPr="00362916">
        <w:rPr>
          <w:lang w:val="es-MX"/>
        </w:rPr>
        <w:t xml:space="preserve">, el </w:t>
      </w:r>
      <w:proofErr w:type="spellStart"/>
      <w:r w:rsidRPr="00362916">
        <w:rPr>
          <w:lang w:val="es-MX"/>
        </w:rPr>
        <w:t>PP0068</w:t>
      </w:r>
      <w:proofErr w:type="spellEnd"/>
      <w:r w:rsidRPr="00362916">
        <w:rPr>
          <w:vertAlign w:val="superscript"/>
          <w:lang w:val="es-MX"/>
        </w:rPr>
        <w:footnoteReference w:id="21"/>
      </w:r>
      <w:r w:rsidRPr="00362916">
        <w:rPr>
          <w:lang w:val="es-MX"/>
        </w:rPr>
        <w:t>, el PP 0042</w:t>
      </w:r>
      <w:r w:rsidRPr="00362916">
        <w:rPr>
          <w:vertAlign w:val="superscript"/>
          <w:lang w:val="es-MX"/>
        </w:rPr>
        <w:footnoteReference w:id="22"/>
      </w:r>
      <w:r w:rsidRPr="00362916">
        <w:rPr>
          <w:lang w:val="es-MX"/>
        </w:rPr>
        <w:t>, el PP 0130</w:t>
      </w:r>
      <w:r w:rsidRPr="00362916">
        <w:rPr>
          <w:vertAlign w:val="superscript"/>
          <w:lang w:val="es-MX"/>
        </w:rPr>
        <w:footnoteReference w:id="23"/>
      </w:r>
      <w:r w:rsidRPr="00362916">
        <w:rPr>
          <w:lang w:val="es-MX"/>
        </w:rPr>
        <w:t>, el PP 094</w:t>
      </w:r>
      <w:r w:rsidRPr="00362916">
        <w:rPr>
          <w:vertAlign w:val="superscript"/>
          <w:lang w:val="es-MX"/>
        </w:rPr>
        <w:footnoteReference w:id="24"/>
      </w:r>
      <w:r w:rsidRPr="00362916">
        <w:rPr>
          <w:lang w:val="es-MX"/>
        </w:rPr>
        <w:t>.</w:t>
      </w:r>
    </w:p>
    <w:p w14:paraId="19ED8E59" w14:textId="257691DA" w:rsidR="000E14A8" w:rsidRDefault="00362916" w:rsidP="005B33A0">
      <w:pPr>
        <w:pStyle w:val="Bullet1G"/>
        <w:numPr>
          <w:ilvl w:val="0"/>
          <w:numId w:val="17"/>
        </w:numPr>
        <w:ind w:left="1134" w:firstLine="0"/>
        <w:rPr>
          <w:lang w:val="es-MX"/>
        </w:rPr>
      </w:pPr>
      <w:r w:rsidRPr="00362916">
        <w:rPr>
          <w:lang w:val="es-MX"/>
        </w:rPr>
        <w:t xml:space="preserve">En respuesta al párrafo </w:t>
      </w:r>
      <w:proofErr w:type="spellStart"/>
      <w:r w:rsidRPr="00362916">
        <w:rPr>
          <w:lang w:val="es-MX"/>
        </w:rPr>
        <w:t>5c</w:t>
      </w:r>
      <w:proofErr w:type="spellEnd"/>
      <w:r w:rsidRPr="00362916">
        <w:rPr>
          <w:lang w:val="es-MX"/>
        </w:rPr>
        <w:t xml:space="preserve">), la </w:t>
      </w:r>
      <w:proofErr w:type="spellStart"/>
      <w:r w:rsidRPr="00362916">
        <w:rPr>
          <w:lang w:val="es-MX"/>
        </w:rPr>
        <w:t>PCM</w:t>
      </w:r>
      <w:proofErr w:type="spellEnd"/>
      <w:r w:rsidRPr="00362916">
        <w:rPr>
          <w:lang w:val="es-MX"/>
        </w:rPr>
        <w:t xml:space="preserve"> ha contemplado el PP 0068</w:t>
      </w:r>
      <w:r w:rsidRPr="00362916">
        <w:rPr>
          <w:vertAlign w:val="superscript"/>
          <w:lang w:val="es-MX"/>
        </w:rPr>
        <w:footnoteReference w:id="25"/>
      </w:r>
      <w:r w:rsidRPr="00362916">
        <w:rPr>
          <w:lang w:val="es-MX"/>
        </w:rPr>
        <w:t xml:space="preserve"> "Reducción de la Vulnerabilidad y atención de emergencias por desastres", creado mediante Decreto de Urgencia </w:t>
      </w:r>
      <w:proofErr w:type="spellStart"/>
      <w:r w:rsidRPr="00362916">
        <w:rPr>
          <w:lang w:val="es-MX"/>
        </w:rPr>
        <w:t>N°024</w:t>
      </w:r>
      <w:proofErr w:type="spellEnd"/>
      <w:r w:rsidRPr="00362916">
        <w:rPr>
          <w:lang w:val="es-MX"/>
        </w:rPr>
        <w:t xml:space="preserve">-2010, para mantener a la población protegida ante la ocurrencia de desastres, ya sea del tipo geológico, meteorológico o de remoción de masas, cuya ocurrencia puede ocasionar un desastre. </w:t>
      </w:r>
    </w:p>
    <w:p w14:paraId="18A0D637"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EL PP 0068 implementa productos orientados a atención de los procesos de la Gestión del Riesgo de Desastres, tales como la estimación, prevención y reducción del riesgo, así como la preparación para la reacción ante desastres, cuenta con 7 productos a través de los cuales brinda bienes y servicios a la población beneficiaria, siendo que en el año 2022 el PP contó con una asignación presupuestal de S/. 2 186 000.00 cifra que ascendió a S/. 3 902 000.00 al año 2023, para el presente año 2024 el presupuesto asignado es de S/ 3 625 000.00</w:t>
      </w:r>
      <w:r w:rsidRPr="00362916">
        <w:rPr>
          <w:vertAlign w:val="superscript"/>
          <w:lang w:val="es-MX"/>
        </w:rPr>
        <w:footnoteReference w:id="26"/>
      </w:r>
      <w:r w:rsidRPr="00362916">
        <w:rPr>
          <w:lang w:val="es-MX"/>
        </w:rPr>
        <w:t>.</w:t>
      </w:r>
    </w:p>
    <w:p w14:paraId="695FF814"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5d</w:t>
      </w:r>
      <w:proofErr w:type="spellEnd"/>
      <w:r w:rsidRPr="00362916">
        <w:rPr>
          <w:lang w:val="es-MX"/>
        </w:rPr>
        <w:t>), en lo correspondiente a la coordinación entre las instituciones responsables de la preparación y gestión de desastres, el Estado ha implementado el Sistema Nacional de Gestión del Riesgo de Desastres (</w:t>
      </w:r>
      <w:proofErr w:type="spellStart"/>
      <w:r w:rsidRPr="00362916">
        <w:rPr>
          <w:lang w:val="es-MX"/>
        </w:rPr>
        <w:t>SINAGERD</w:t>
      </w:r>
      <w:proofErr w:type="spellEnd"/>
      <w:r w:rsidRPr="00362916">
        <w:rPr>
          <w:lang w:val="es-MX"/>
        </w:rPr>
        <w:t>)</w:t>
      </w:r>
      <w:r w:rsidRPr="00362916">
        <w:rPr>
          <w:vertAlign w:val="superscript"/>
          <w:lang w:val="es-MX"/>
        </w:rPr>
        <w:footnoteReference w:id="27"/>
      </w:r>
      <w:r w:rsidRPr="00362916">
        <w:rPr>
          <w:lang w:val="es-MX"/>
        </w:rPr>
        <w:t>, el cual desarrolla los procesos de preparación y respuesta para emergencias y desastres.</w:t>
      </w:r>
    </w:p>
    <w:p w14:paraId="53828CA8"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Actualmente el Instituto Nacional de Defensa Civil (INDECI) con el Ministerio del Ambiente </w:t>
      </w:r>
      <w:proofErr w:type="spellStart"/>
      <w:r w:rsidRPr="00362916">
        <w:rPr>
          <w:lang w:val="es-MX"/>
        </w:rPr>
        <w:t>MINAM</w:t>
      </w:r>
      <w:proofErr w:type="spellEnd"/>
      <w:r w:rsidRPr="00362916">
        <w:rPr>
          <w:lang w:val="es-MX"/>
        </w:rPr>
        <w:t>, están implementando la Política Nacional de Gestión del Riesgo de Desastres (</w:t>
      </w:r>
      <w:proofErr w:type="spellStart"/>
      <w:r w:rsidRPr="00362916">
        <w:rPr>
          <w:lang w:val="es-MX"/>
        </w:rPr>
        <w:t>PNGRD</w:t>
      </w:r>
      <w:proofErr w:type="spellEnd"/>
      <w:r w:rsidRPr="00362916">
        <w:rPr>
          <w:lang w:val="es-MX"/>
        </w:rPr>
        <w:t xml:space="preserve">) al 2050 respecto del cual, se puede resaltar que: i) el Objetivo Prioritario 3, busca "mejorar la implementación articulada de la gestión del riesgo de desastres en el territorio", </w:t>
      </w:r>
      <w:proofErr w:type="spellStart"/>
      <w:r w:rsidRPr="00362916">
        <w:rPr>
          <w:lang w:val="es-MX"/>
        </w:rPr>
        <w:t>ii</w:t>
      </w:r>
      <w:proofErr w:type="spellEnd"/>
      <w:r w:rsidRPr="00362916">
        <w:rPr>
          <w:lang w:val="es-MX"/>
        </w:rPr>
        <w:t>) el Plan Nacional de Gestión del Riesgo de Desastres 2022-2030 incluye una acción estratégica clave para articular la gestión del riesgo de desastres (</w:t>
      </w:r>
      <w:proofErr w:type="spellStart"/>
      <w:r w:rsidRPr="00362916">
        <w:rPr>
          <w:lang w:val="es-MX"/>
        </w:rPr>
        <w:t>GRD</w:t>
      </w:r>
      <w:proofErr w:type="spellEnd"/>
      <w:r w:rsidRPr="00362916">
        <w:rPr>
          <w:lang w:val="es-MX"/>
        </w:rPr>
        <w:t>) con la adaptación al cambio climático: Actividad Operativa Multisectorial 3.5.1: Desarrollar instrumentos y mecanismos para mejorar la coordinación entre ambos enfoques (</w:t>
      </w:r>
      <w:proofErr w:type="spellStart"/>
      <w:r w:rsidRPr="00362916">
        <w:rPr>
          <w:lang w:val="es-MX"/>
        </w:rPr>
        <w:t>GRD</w:t>
      </w:r>
      <w:proofErr w:type="spellEnd"/>
      <w:r w:rsidRPr="00362916">
        <w:rPr>
          <w:lang w:val="es-MX"/>
        </w:rPr>
        <w:t xml:space="preserve"> y adaptación al cambio climático) a nivel de los tres niveles de gobierno (nacional, regional y local)</w:t>
      </w:r>
      <w:r w:rsidRPr="00362916">
        <w:rPr>
          <w:vertAlign w:val="superscript"/>
          <w:lang w:val="es-MX"/>
        </w:rPr>
        <w:footnoteReference w:id="28"/>
      </w:r>
      <w:r w:rsidRPr="00362916">
        <w:rPr>
          <w:lang w:val="es-MX"/>
        </w:rPr>
        <w:t>.</w:t>
      </w:r>
    </w:p>
    <w:p w14:paraId="04EAE258" w14:textId="4E5D66D1" w:rsidR="00362916" w:rsidRPr="00362916"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6, para abordar la exclusión social, el Estado aprobó la “</w:t>
      </w:r>
      <w:bookmarkStart w:id="7" w:name="_Hlk184724719"/>
      <w:r w:rsidRPr="00362916">
        <w:rPr>
          <w:lang w:val="es-MX"/>
        </w:rPr>
        <w:t>Política Nacional de Desarrollo e Inclusión Social</w:t>
      </w:r>
      <w:bookmarkEnd w:id="7"/>
      <w:r w:rsidRPr="00362916">
        <w:rPr>
          <w:lang w:val="es-MX"/>
        </w:rPr>
        <w:t>”</w:t>
      </w:r>
      <w:r w:rsidRPr="00362916">
        <w:rPr>
          <w:vertAlign w:val="superscript"/>
          <w:lang w:val="es-MX"/>
        </w:rPr>
        <w:footnoteReference w:id="29"/>
      </w:r>
      <w:r w:rsidRPr="00362916">
        <w:rPr>
          <w:lang w:val="es-MX"/>
        </w:rPr>
        <w:t xml:space="preserve"> (</w:t>
      </w:r>
      <w:proofErr w:type="spellStart"/>
      <w:r w:rsidRPr="00362916">
        <w:rPr>
          <w:lang w:val="es-MX"/>
        </w:rPr>
        <w:t>PNDIS</w:t>
      </w:r>
      <w:proofErr w:type="spellEnd"/>
      <w:r w:rsidRPr="00362916">
        <w:rPr>
          <w:lang w:val="es-MX"/>
        </w:rPr>
        <w:t>), la cual cuenta con 5 objetivos prioritarios para asegurar la inclusión social, implementado 81 acciones, a cargo de 14 ministerios</w:t>
      </w:r>
      <w:r w:rsidRPr="00362916">
        <w:rPr>
          <w:vertAlign w:val="superscript"/>
          <w:lang w:val="es-MX"/>
        </w:rPr>
        <w:footnoteReference w:id="30"/>
      </w:r>
      <w:r w:rsidRPr="00362916">
        <w:rPr>
          <w:lang w:val="es-MX"/>
        </w:rPr>
        <w:t xml:space="preserve"> y, asimismo, mediante la Octogésima Cuarta Disposición Complementaria Final de la Ley </w:t>
      </w:r>
      <w:proofErr w:type="spellStart"/>
      <w:r w:rsidRPr="00362916">
        <w:rPr>
          <w:lang w:val="es-MX"/>
        </w:rPr>
        <w:t>N°30114</w:t>
      </w:r>
      <w:proofErr w:type="spellEnd"/>
      <w:r w:rsidRPr="00362916">
        <w:rPr>
          <w:lang w:val="es-MX"/>
        </w:rPr>
        <w:t xml:space="preserve">, Ley de Presupuesto del Sector Público para el Año Fiscal 2014, se creó el </w:t>
      </w:r>
      <w:bookmarkStart w:id="8" w:name="_Hlk184724771"/>
      <w:r w:rsidRPr="00362916">
        <w:rPr>
          <w:lang w:val="es-MX"/>
        </w:rPr>
        <w:t xml:space="preserve">Fondo de Estímulo al Desempeño y Logro de Resultados Sociales </w:t>
      </w:r>
      <w:bookmarkEnd w:id="8"/>
      <w:r w:rsidRPr="00362916">
        <w:rPr>
          <w:lang w:val="es-MX"/>
        </w:rPr>
        <w:t xml:space="preserve">(FED), que tiene por objeto impulsar el logro de los resultados establecidos en la </w:t>
      </w:r>
      <w:proofErr w:type="spellStart"/>
      <w:r w:rsidRPr="00362916">
        <w:rPr>
          <w:lang w:val="es-MX"/>
        </w:rPr>
        <w:t>PNDIS</w:t>
      </w:r>
      <w:proofErr w:type="spellEnd"/>
      <w:r w:rsidRPr="00362916">
        <w:rPr>
          <w:lang w:val="es-MX"/>
        </w:rPr>
        <w:t xml:space="preserve">. Los recursos asignados al FED, han ido aumentando, </w:t>
      </w:r>
      <w:proofErr w:type="gramStart"/>
      <w:r w:rsidRPr="00362916">
        <w:rPr>
          <w:lang w:val="es-MX"/>
        </w:rPr>
        <w:t>en relación al</w:t>
      </w:r>
      <w:proofErr w:type="gramEnd"/>
      <w:r w:rsidRPr="00362916">
        <w:rPr>
          <w:lang w:val="es-MX"/>
        </w:rPr>
        <w:t xml:space="preserve"> monto recibido en el año 2021, de acuerdo al detalle siguiente</w:t>
      </w:r>
      <w:r w:rsidR="00130A42">
        <w:rPr>
          <w:lang w:val="es-MX"/>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96"/>
        <w:gridCol w:w="3874"/>
      </w:tblGrid>
      <w:tr w:rsidR="00B1665D" w:rsidRPr="00B1665D" w14:paraId="341FBEDD" w14:textId="77777777" w:rsidTr="00B1665D">
        <w:trPr>
          <w:tblHeader/>
        </w:trPr>
        <w:tc>
          <w:tcPr>
            <w:tcW w:w="3496" w:type="dxa"/>
            <w:tcBorders>
              <w:top w:val="single" w:sz="4" w:space="0" w:color="auto"/>
              <w:bottom w:val="single" w:sz="12" w:space="0" w:color="auto"/>
            </w:tcBorders>
            <w:shd w:val="clear" w:color="auto" w:fill="auto"/>
            <w:vAlign w:val="bottom"/>
          </w:tcPr>
          <w:p w14:paraId="3042FBA7" w14:textId="77777777" w:rsidR="00362916" w:rsidRPr="00362916" w:rsidRDefault="00362916" w:rsidP="00B1665D">
            <w:pPr>
              <w:pStyle w:val="SingleTxtG"/>
              <w:tabs>
                <w:tab w:val="clear" w:pos="1701"/>
                <w:tab w:val="clear" w:pos="2268"/>
                <w:tab w:val="clear" w:pos="2835"/>
              </w:tabs>
              <w:spacing w:before="80" w:after="80" w:line="200" w:lineRule="exact"/>
              <w:ind w:left="0" w:right="0"/>
              <w:jc w:val="left"/>
              <w:rPr>
                <w:i/>
                <w:sz w:val="16"/>
                <w:lang w:val="es-MX"/>
              </w:rPr>
            </w:pPr>
            <w:r w:rsidRPr="00362916">
              <w:rPr>
                <w:i/>
                <w:sz w:val="16"/>
                <w:lang w:val="es-MX"/>
              </w:rPr>
              <w:t>Año</w:t>
            </w:r>
          </w:p>
        </w:tc>
        <w:tc>
          <w:tcPr>
            <w:tcW w:w="3874" w:type="dxa"/>
            <w:tcBorders>
              <w:top w:val="single" w:sz="4" w:space="0" w:color="auto"/>
              <w:bottom w:val="single" w:sz="12" w:space="0" w:color="auto"/>
            </w:tcBorders>
            <w:shd w:val="clear" w:color="auto" w:fill="auto"/>
            <w:vAlign w:val="bottom"/>
          </w:tcPr>
          <w:p w14:paraId="14BD101C" w14:textId="77777777" w:rsidR="00362916" w:rsidRPr="00362916" w:rsidRDefault="00362916" w:rsidP="00B1665D">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Monto asignado (S/)</w:t>
            </w:r>
          </w:p>
        </w:tc>
      </w:tr>
      <w:tr w:rsidR="00B1665D" w:rsidRPr="00B1665D" w14:paraId="363200C9" w14:textId="77777777" w:rsidTr="00B1665D">
        <w:tc>
          <w:tcPr>
            <w:tcW w:w="3496" w:type="dxa"/>
            <w:tcBorders>
              <w:top w:val="single" w:sz="12" w:space="0" w:color="auto"/>
            </w:tcBorders>
            <w:shd w:val="clear" w:color="auto" w:fill="auto"/>
          </w:tcPr>
          <w:p w14:paraId="40EA0312"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2021</w:t>
            </w:r>
          </w:p>
        </w:tc>
        <w:tc>
          <w:tcPr>
            <w:tcW w:w="3874" w:type="dxa"/>
            <w:tcBorders>
              <w:top w:val="single" w:sz="12" w:space="0" w:color="auto"/>
            </w:tcBorders>
            <w:shd w:val="clear" w:color="auto" w:fill="auto"/>
            <w:vAlign w:val="bottom"/>
          </w:tcPr>
          <w:p w14:paraId="6C849AC2"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57 000 000</w:t>
            </w:r>
          </w:p>
        </w:tc>
      </w:tr>
      <w:tr w:rsidR="00B1665D" w:rsidRPr="00B1665D" w14:paraId="3EFF6259" w14:textId="77777777" w:rsidTr="00B1665D">
        <w:tc>
          <w:tcPr>
            <w:tcW w:w="3496" w:type="dxa"/>
            <w:shd w:val="clear" w:color="auto" w:fill="auto"/>
          </w:tcPr>
          <w:p w14:paraId="3754DFAF"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2022</w:t>
            </w:r>
          </w:p>
        </w:tc>
        <w:tc>
          <w:tcPr>
            <w:tcW w:w="3874" w:type="dxa"/>
            <w:shd w:val="clear" w:color="auto" w:fill="auto"/>
            <w:vAlign w:val="bottom"/>
          </w:tcPr>
          <w:p w14:paraId="4E160D0C"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95 000 000</w:t>
            </w:r>
          </w:p>
        </w:tc>
      </w:tr>
      <w:tr w:rsidR="00B1665D" w:rsidRPr="00B1665D" w14:paraId="7918181C" w14:textId="77777777" w:rsidTr="00B1665D">
        <w:tc>
          <w:tcPr>
            <w:tcW w:w="3496" w:type="dxa"/>
            <w:shd w:val="clear" w:color="auto" w:fill="auto"/>
          </w:tcPr>
          <w:p w14:paraId="666CB3C4"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2023</w:t>
            </w:r>
          </w:p>
        </w:tc>
        <w:tc>
          <w:tcPr>
            <w:tcW w:w="3874" w:type="dxa"/>
            <w:shd w:val="clear" w:color="auto" w:fill="auto"/>
            <w:vAlign w:val="bottom"/>
          </w:tcPr>
          <w:p w14:paraId="73395252"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75 000 000</w:t>
            </w:r>
          </w:p>
        </w:tc>
      </w:tr>
      <w:tr w:rsidR="00B1665D" w:rsidRPr="00B1665D" w14:paraId="7792FE5D" w14:textId="77777777" w:rsidTr="00B1665D">
        <w:tc>
          <w:tcPr>
            <w:tcW w:w="3496" w:type="dxa"/>
            <w:tcBorders>
              <w:bottom w:val="single" w:sz="12" w:space="0" w:color="auto"/>
            </w:tcBorders>
            <w:shd w:val="clear" w:color="auto" w:fill="auto"/>
          </w:tcPr>
          <w:p w14:paraId="2C61E1FC"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2024</w:t>
            </w:r>
          </w:p>
        </w:tc>
        <w:tc>
          <w:tcPr>
            <w:tcW w:w="3874" w:type="dxa"/>
            <w:tcBorders>
              <w:bottom w:val="single" w:sz="12" w:space="0" w:color="auto"/>
            </w:tcBorders>
            <w:shd w:val="clear" w:color="auto" w:fill="auto"/>
            <w:vAlign w:val="bottom"/>
          </w:tcPr>
          <w:p w14:paraId="4227451B" w14:textId="77777777" w:rsidR="00362916" w:rsidRPr="00362916" w:rsidRDefault="00362916" w:rsidP="00B1665D">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101 000 000</w:t>
            </w:r>
          </w:p>
        </w:tc>
      </w:tr>
    </w:tbl>
    <w:p w14:paraId="0354268B" w14:textId="703E45D3" w:rsidR="000E14A8" w:rsidRDefault="00362916" w:rsidP="00B1665D">
      <w:pPr>
        <w:pStyle w:val="SingleTxtG"/>
        <w:numPr>
          <w:ilvl w:val="0"/>
          <w:numId w:val="17"/>
        </w:numPr>
        <w:tabs>
          <w:tab w:val="clear" w:pos="1701"/>
          <w:tab w:val="clear" w:pos="2268"/>
          <w:tab w:val="clear" w:pos="2835"/>
        </w:tabs>
        <w:kinsoku w:val="0"/>
        <w:overflowPunct w:val="0"/>
        <w:autoSpaceDE w:val="0"/>
        <w:autoSpaceDN w:val="0"/>
        <w:adjustRightInd w:val="0"/>
        <w:snapToGrid w:val="0"/>
        <w:spacing w:before="120" w:line="259" w:lineRule="auto"/>
        <w:ind w:left="1134" w:firstLine="0"/>
        <w:rPr>
          <w:lang w:val="es-MX"/>
        </w:rPr>
      </w:pPr>
      <w:r w:rsidRPr="00362916">
        <w:rPr>
          <w:lang w:val="es-MX"/>
        </w:rPr>
        <w:lastRenderedPageBreak/>
        <w:t xml:space="preserve">En respuesta al párrafo 7, la Ley </w:t>
      </w:r>
      <w:proofErr w:type="spellStart"/>
      <w:r w:rsidRPr="00362916">
        <w:rPr>
          <w:lang w:val="es-MX"/>
        </w:rPr>
        <w:t>N°26300</w:t>
      </w:r>
      <w:proofErr w:type="spellEnd"/>
      <w:r w:rsidRPr="00362916">
        <w:rPr>
          <w:lang w:val="es-MX"/>
        </w:rPr>
        <w:t xml:space="preserve"> “Ley de los derechos de participación y control ciudadanos” contempla como uno de los derechos de participación de los ciudadanos la iniciativa en la formación de leyes, asimismo, algunos sectores han establecido procedimientos para promover la participación ciudadana en la formación de proyectos normativos.</w:t>
      </w:r>
    </w:p>
    <w:p w14:paraId="0096A5B8" w14:textId="52579C9F" w:rsidR="000E14A8" w:rsidRDefault="00362916" w:rsidP="009A4034">
      <w:pPr>
        <w:pStyle w:val="Bullet1G"/>
        <w:rPr>
          <w:lang w:val="es-MX"/>
        </w:rPr>
      </w:pPr>
      <w:r w:rsidRPr="00362916">
        <w:rPr>
          <w:lang w:val="es-MX"/>
        </w:rPr>
        <w:t xml:space="preserve">El </w:t>
      </w:r>
      <w:proofErr w:type="spellStart"/>
      <w:r w:rsidRPr="00362916">
        <w:rPr>
          <w:lang w:val="es-MX"/>
        </w:rPr>
        <w:t>MINAM</w:t>
      </w:r>
      <w:proofErr w:type="spellEnd"/>
      <w:r w:rsidRPr="00362916">
        <w:rPr>
          <w:lang w:val="es-MX"/>
        </w:rPr>
        <w:t>, mediante el Reglamento sobre Transparencia, Acceso a la Información Publica Ambiental y Participación y Consulta Ciudadana en Asuntos Ambientales</w:t>
      </w:r>
      <w:r w:rsidRPr="00362916">
        <w:rPr>
          <w:vertAlign w:val="superscript"/>
          <w:lang w:val="es-MX"/>
        </w:rPr>
        <w:footnoteReference w:id="31"/>
      </w:r>
      <w:r w:rsidRPr="00362916">
        <w:rPr>
          <w:lang w:val="es-MX"/>
        </w:rPr>
        <w:t>, ha contemplado la recepción de opiniones de la sociedad civil para la adopción de las normas del sector</w:t>
      </w:r>
      <w:r w:rsidR="00130A42">
        <w:rPr>
          <w:lang w:val="es-MX"/>
        </w:rPr>
        <w:t>;</w:t>
      </w:r>
    </w:p>
    <w:p w14:paraId="3A441916" w14:textId="248FBE4C" w:rsidR="000E14A8" w:rsidRDefault="00362916" w:rsidP="009A4034">
      <w:pPr>
        <w:pStyle w:val="Bullet1G"/>
        <w:rPr>
          <w:lang w:val="es-MX"/>
        </w:rPr>
      </w:pPr>
      <w:r w:rsidRPr="00362916">
        <w:rPr>
          <w:lang w:val="es-MX"/>
        </w:rPr>
        <w:t xml:space="preserve">Por su parte, la </w:t>
      </w:r>
      <w:bookmarkStart w:id="9" w:name="_Hlk184724814"/>
      <w:r w:rsidRPr="00362916">
        <w:rPr>
          <w:lang w:val="es-MX"/>
        </w:rPr>
        <w:t xml:space="preserve">Superintendencia Nacional de Servicios de Saneamiento </w:t>
      </w:r>
      <w:bookmarkEnd w:id="9"/>
      <w:r w:rsidRPr="00362916">
        <w:rPr>
          <w:lang w:val="es-MX"/>
        </w:rPr>
        <w:t>(</w:t>
      </w:r>
      <w:proofErr w:type="spellStart"/>
      <w:r w:rsidRPr="00362916">
        <w:rPr>
          <w:lang w:val="es-MX"/>
        </w:rPr>
        <w:t>SUNASS</w:t>
      </w:r>
      <w:proofErr w:type="spellEnd"/>
      <w:r w:rsidRPr="00362916">
        <w:rPr>
          <w:lang w:val="es-MX"/>
        </w:rPr>
        <w:t>) modificó durante 2022</w:t>
      </w:r>
      <w:r w:rsidRPr="00362916">
        <w:rPr>
          <w:vertAlign w:val="superscript"/>
          <w:lang w:val="es-MX"/>
        </w:rPr>
        <w:footnoteReference w:id="32"/>
      </w:r>
      <w:r w:rsidRPr="00362916">
        <w:rPr>
          <w:lang w:val="es-MX"/>
        </w:rPr>
        <w:t xml:space="preserve"> el “Reglamento General de Tarifas de los Servicios de Saneamiento brindados por Empresas Prestadoras”</w:t>
      </w:r>
      <w:r w:rsidRPr="00362916">
        <w:rPr>
          <w:vertAlign w:val="superscript"/>
          <w:lang w:val="es-MX"/>
        </w:rPr>
        <w:footnoteReference w:id="33"/>
      </w:r>
      <w:r w:rsidRPr="00362916">
        <w:rPr>
          <w:lang w:val="es-MX"/>
        </w:rPr>
        <w:t>, aprobando la incorporación del Anexo XIV mediante el cual se establecen “Lineamientos de consulta pública para la elaboración del Plan Maestro Optimizado”</w:t>
      </w:r>
      <w:r w:rsidRPr="00362916">
        <w:rPr>
          <w:vertAlign w:val="superscript"/>
          <w:lang w:val="es-MX"/>
        </w:rPr>
        <w:footnoteReference w:id="34"/>
      </w:r>
      <w:r w:rsidRPr="00362916">
        <w:rPr>
          <w:lang w:val="es-MX"/>
        </w:rPr>
        <w:t xml:space="preserve">. Para su implementación, </w:t>
      </w:r>
      <w:proofErr w:type="spellStart"/>
      <w:r w:rsidRPr="00362916">
        <w:rPr>
          <w:lang w:val="es-MX"/>
        </w:rPr>
        <w:t>SUNASS</w:t>
      </w:r>
      <w:proofErr w:type="spellEnd"/>
      <w:r w:rsidRPr="00362916">
        <w:rPr>
          <w:lang w:val="es-MX"/>
        </w:rPr>
        <w:t xml:space="preserve"> brindó durante 2023 asistencia técnica a 17 empresas prestadoras para la elaboración de sus planes de consulta pública, a partir de lo cual se aprobaron, entre 2023 y 2024, diez (10) planes de consulta pública con la difusión de los estudios tarifarios correspondientes</w:t>
      </w:r>
      <w:r w:rsidRPr="00362916">
        <w:rPr>
          <w:vertAlign w:val="superscript"/>
          <w:lang w:val="es-MX"/>
        </w:rPr>
        <w:footnoteReference w:id="35"/>
      </w:r>
      <w:r w:rsidR="00130A42">
        <w:rPr>
          <w:lang w:val="es-MX"/>
        </w:rPr>
        <w:t>;</w:t>
      </w:r>
    </w:p>
    <w:p w14:paraId="0B27638D" w14:textId="1F05E804" w:rsidR="000E14A8" w:rsidRDefault="00362916" w:rsidP="009A4034">
      <w:pPr>
        <w:pStyle w:val="Bullet1G"/>
        <w:rPr>
          <w:lang w:val="es-MX"/>
        </w:rPr>
      </w:pPr>
      <w:r w:rsidRPr="00362916">
        <w:rPr>
          <w:lang w:val="es-MX"/>
        </w:rPr>
        <w:t>El Ministerio de Relaciones Exteriores (</w:t>
      </w:r>
      <w:proofErr w:type="spellStart"/>
      <w:r w:rsidRPr="00362916">
        <w:rPr>
          <w:lang w:val="es-MX"/>
        </w:rPr>
        <w:t>MRE</w:t>
      </w:r>
      <w:proofErr w:type="spellEnd"/>
      <w:r w:rsidRPr="00362916">
        <w:rPr>
          <w:lang w:val="es-MX"/>
        </w:rPr>
        <w:t>), en el marco de la Mesa de Trabajo Intersectorial para la Gestión Migratoria</w:t>
      </w:r>
      <w:r w:rsidRPr="00362916">
        <w:rPr>
          <w:vertAlign w:val="superscript"/>
          <w:lang w:val="es-MX"/>
        </w:rPr>
        <w:footnoteReference w:id="36"/>
      </w:r>
      <w:r w:rsidRPr="00362916">
        <w:rPr>
          <w:lang w:val="es-MX"/>
        </w:rPr>
        <w:t xml:space="preserve"> (</w:t>
      </w:r>
      <w:proofErr w:type="spellStart"/>
      <w:r w:rsidRPr="00362916">
        <w:rPr>
          <w:lang w:val="es-MX"/>
        </w:rPr>
        <w:t>MTIGM</w:t>
      </w:r>
      <w:proofErr w:type="spellEnd"/>
      <w:r w:rsidRPr="00362916">
        <w:rPr>
          <w:lang w:val="es-MX"/>
        </w:rPr>
        <w:t xml:space="preserve">), implementa una relación fluida con instancias de coordinación de agencias de cooperación internacional y con instancias de coordinación de instituciones de la sociedad civil, la interacción con la sociedad civil se realiza a través de las Sesiones Plenarias de la </w:t>
      </w:r>
      <w:proofErr w:type="spellStart"/>
      <w:r w:rsidRPr="00362916">
        <w:rPr>
          <w:lang w:val="es-MX"/>
        </w:rPr>
        <w:t>MTIGM</w:t>
      </w:r>
      <w:proofErr w:type="spellEnd"/>
      <w:r w:rsidRPr="00362916">
        <w:rPr>
          <w:lang w:val="es-MX"/>
        </w:rPr>
        <w:t>, las cuales se celebran de manera mensual</w:t>
      </w:r>
      <w:r w:rsidRPr="00362916">
        <w:rPr>
          <w:vertAlign w:val="superscript"/>
          <w:lang w:val="es-MX"/>
        </w:rPr>
        <w:footnoteReference w:id="37"/>
      </w:r>
      <w:r w:rsidR="00130A42">
        <w:rPr>
          <w:lang w:val="es-MX"/>
        </w:rPr>
        <w:t>;</w:t>
      </w:r>
    </w:p>
    <w:p w14:paraId="573F449E" w14:textId="77777777" w:rsidR="000E14A8" w:rsidRDefault="00362916" w:rsidP="009A4034">
      <w:pPr>
        <w:pStyle w:val="Bullet1G"/>
        <w:rPr>
          <w:b/>
          <w:lang w:val="es-MX"/>
        </w:rPr>
      </w:pPr>
      <w:r w:rsidRPr="00362916">
        <w:rPr>
          <w:lang w:val="es-MX"/>
        </w:rPr>
        <w:t xml:space="preserve">Además, </w:t>
      </w:r>
      <w:proofErr w:type="spellStart"/>
      <w:r w:rsidRPr="00362916">
        <w:rPr>
          <w:lang w:val="es-MX"/>
        </w:rPr>
        <w:t>SUNASS</w:t>
      </w:r>
      <w:proofErr w:type="spellEnd"/>
      <w:r w:rsidRPr="00362916">
        <w:rPr>
          <w:lang w:val="es-MX"/>
        </w:rPr>
        <w:t xml:space="preserve"> en el 2020 dio inició al programa “¡Participa, vecino!”, mediante el que se promueve la participación de los usuarios en charlas y micro audiencias para abordar problemas que los afectan mediante acuerdos voluntarios y consensuados con su prestador de servicios de saneamiento y otros actores involucrados. A través de este programa se han realizado 3 452 actividades</w:t>
      </w:r>
      <w:r w:rsidRPr="00362916">
        <w:rPr>
          <w:vertAlign w:val="superscript"/>
          <w:lang w:val="es-MX"/>
        </w:rPr>
        <w:footnoteReference w:id="38"/>
      </w:r>
      <w:r w:rsidRPr="00362916">
        <w:rPr>
          <w:lang w:val="es-MX"/>
        </w:rPr>
        <w:t>, los cuales incluyeron la participación de comunidades campesinas o nativas, representadas por 1 739 personas, entre dirigentes y representantes de comunidades (47% hombres y 53% mujeres).</w:t>
      </w:r>
    </w:p>
    <w:p w14:paraId="2CB1713F" w14:textId="414CE7BA" w:rsidR="000E14A8" w:rsidRPr="00F10C8A" w:rsidRDefault="009A4034" w:rsidP="009A4034">
      <w:pPr>
        <w:pStyle w:val="H1G"/>
        <w:rPr>
          <w:sz w:val="28"/>
          <w:szCs w:val="28"/>
          <w:lang w:val="es-MX"/>
        </w:rPr>
      </w:pPr>
      <w:bookmarkStart w:id="10" w:name="_Toc187168794"/>
      <w:r>
        <w:rPr>
          <w:lang w:val="es-MX"/>
        </w:rPr>
        <w:tab/>
      </w:r>
      <w:r w:rsidRPr="00F10C8A">
        <w:rPr>
          <w:sz w:val="28"/>
          <w:szCs w:val="28"/>
          <w:lang w:val="es-MX"/>
        </w:rPr>
        <w:t>II.</w:t>
      </w:r>
      <w:r w:rsidRPr="00F10C8A">
        <w:rPr>
          <w:sz w:val="28"/>
          <w:szCs w:val="28"/>
          <w:lang w:val="es-MX"/>
        </w:rPr>
        <w:tab/>
      </w:r>
      <w:r w:rsidR="00362916" w:rsidRPr="00F10C8A">
        <w:rPr>
          <w:sz w:val="28"/>
          <w:szCs w:val="28"/>
          <w:lang w:val="es-MX"/>
        </w:rPr>
        <w:t>Cuestiones relativas a las disposiciones generales del Pacto (arts. 1 a 5)</w:t>
      </w:r>
      <w:bookmarkEnd w:id="10"/>
    </w:p>
    <w:p w14:paraId="4902B808" w14:textId="385D3CF4" w:rsidR="000E14A8" w:rsidRPr="00D51FEE" w:rsidRDefault="009A4034" w:rsidP="009A4034">
      <w:pPr>
        <w:pStyle w:val="H23G"/>
        <w:rPr>
          <w:sz w:val="24"/>
          <w:szCs w:val="24"/>
          <w:lang w:val="es-MX"/>
        </w:rPr>
      </w:pPr>
      <w:bookmarkStart w:id="11" w:name="_Toc187168795"/>
      <w:r>
        <w:rPr>
          <w:lang w:val="es-MX"/>
        </w:rPr>
        <w:tab/>
      </w:r>
      <w:r>
        <w:rPr>
          <w:lang w:val="es-MX"/>
        </w:rPr>
        <w:tab/>
      </w:r>
      <w:r w:rsidR="00362916" w:rsidRPr="00D51FEE">
        <w:rPr>
          <w:sz w:val="24"/>
          <w:szCs w:val="24"/>
          <w:lang w:val="es-MX"/>
        </w:rPr>
        <w:t>Derecho a la libre disposición de las riquezas y los recursos naturales (art. 1, párr. 2)</w:t>
      </w:r>
      <w:bookmarkEnd w:id="11"/>
    </w:p>
    <w:p w14:paraId="3A3708FD" w14:textId="29D3812F"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8, el derecho fundamental a la consulta previa se encuentra regulado a nivel legal en la </w:t>
      </w:r>
      <w:bookmarkStart w:id="12" w:name="_Hlk184682566"/>
      <w:r w:rsidRPr="00362916">
        <w:rPr>
          <w:lang w:val="es-MX"/>
        </w:rPr>
        <w:t>Ley 2978</w:t>
      </w:r>
      <w:bookmarkEnd w:id="12"/>
      <w:r w:rsidRPr="00362916">
        <w:rPr>
          <w:lang w:val="es-MX"/>
        </w:rPr>
        <w:t xml:space="preserve">5, Ley del derecho a la consulta previa a los pueblos indígenas y originarios, reconocido en el Convenio 169 de la Organización Internacional del Trabajo (OIT) y su Reglamento, aprobado mediante Decreto Supremo </w:t>
      </w:r>
      <w:proofErr w:type="spellStart"/>
      <w:r w:rsidRPr="00362916">
        <w:rPr>
          <w:lang w:val="es-MX"/>
        </w:rPr>
        <w:t>N°0001</w:t>
      </w:r>
      <w:proofErr w:type="spellEnd"/>
      <w:r w:rsidRPr="00362916">
        <w:rPr>
          <w:lang w:val="es-MX"/>
        </w:rPr>
        <w:t xml:space="preserve">-2012-MC, que regula los plazos y procedimientos para la participación de los pueblos originarios. </w:t>
      </w:r>
    </w:p>
    <w:p w14:paraId="37E44D11"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lastRenderedPageBreak/>
        <w:t>Además, el derecho a la consulta previa, conforme al marco legal antes mencionado reconoce a los pueblos indígenas u originarios el derecho a ser consultados de forma previa sobre las medidas legislativas o administrativas que afecten directamente sus derechos colectivos, sobre su existencia física, identidad cultural, calidad de vida o desarrollo</w:t>
      </w:r>
      <w:r w:rsidRPr="00362916">
        <w:rPr>
          <w:vertAlign w:val="superscript"/>
          <w:lang w:val="es-MX"/>
        </w:rPr>
        <w:footnoteReference w:id="39"/>
      </w:r>
      <w:r w:rsidRPr="00362916">
        <w:rPr>
          <w:lang w:val="es-MX"/>
        </w:rPr>
        <w:t>.</w:t>
      </w:r>
    </w:p>
    <w:p w14:paraId="22D8F3BC"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El Tribunal Constitucional (TC) a través de las Sentencia 310/2023</w:t>
      </w:r>
      <w:r w:rsidRPr="00362916">
        <w:rPr>
          <w:vertAlign w:val="superscript"/>
          <w:lang w:val="es-MX"/>
        </w:rPr>
        <w:footnoteReference w:id="40"/>
      </w:r>
      <w:r w:rsidRPr="00362916">
        <w:rPr>
          <w:lang w:val="es-MX"/>
        </w:rPr>
        <w:t xml:space="preserve"> de fecha 28 de junio de 2023, ha precisado que el Convenio 169 de la OIT constituye fuente de derecho interno conforme al artículo 55 de la Constitución y es de aplicación obligatoria a todas las entidades estatales y que la consulta previa es un derecho tutelado en la vía procesal de amparo.</w:t>
      </w:r>
    </w:p>
    <w:p w14:paraId="64883BA4" w14:textId="77777777" w:rsidR="000E14A8" w:rsidRPr="00D51FEE" w:rsidRDefault="00362916" w:rsidP="009A4034">
      <w:pPr>
        <w:pStyle w:val="H23G"/>
        <w:ind w:left="1080" w:firstLine="0"/>
        <w:rPr>
          <w:sz w:val="24"/>
          <w:szCs w:val="24"/>
          <w:lang w:val="es-MX"/>
        </w:rPr>
      </w:pPr>
      <w:bookmarkStart w:id="13" w:name="_Toc187168796"/>
      <w:r w:rsidRPr="00D51FEE">
        <w:rPr>
          <w:sz w:val="24"/>
          <w:szCs w:val="24"/>
          <w:lang w:val="es-MX"/>
        </w:rPr>
        <w:t>Máximo de los recursos disponibles (art. 2, párr. 1)</w:t>
      </w:r>
      <w:bookmarkEnd w:id="13"/>
    </w:p>
    <w:p w14:paraId="1883E985" w14:textId="77777777" w:rsidR="000E14A8"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9.a</w:t>
      </w:r>
      <w:proofErr w:type="spellEnd"/>
      <w:r w:rsidRPr="00362916">
        <w:rPr>
          <w:lang w:val="es-MX"/>
        </w:rPr>
        <w:t>), a través de la Encuesta Nacional de Hogares (</w:t>
      </w:r>
      <w:proofErr w:type="spellStart"/>
      <w:r w:rsidRPr="00362916">
        <w:rPr>
          <w:lang w:val="es-MX"/>
        </w:rPr>
        <w:t>ENAHO</w:t>
      </w:r>
      <w:proofErr w:type="spellEnd"/>
      <w:r w:rsidRPr="00362916">
        <w:rPr>
          <w:lang w:val="es-MX"/>
        </w:rPr>
        <w:t>) se aborda el nivel de bienestar de la población en relación con una canasta mínima de alimentos y no alimentos (vestido y calzado, alquiler de la vivienda y combustible, muebles y enseres, cuidados de la salud, transporte y comunicaciones, entretenimiento y cultura, otros servicios)</w:t>
      </w:r>
      <w:r w:rsidRPr="00362916">
        <w:rPr>
          <w:vertAlign w:val="superscript"/>
          <w:lang w:val="es-MX"/>
        </w:rPr>
        <w:footnoteReference w:id="41"/>
      </w:r>
      <w:r w:rsidRPr="00362916">
        <w:rPr>
          <w:lang w:val="es-MX"/>
        </w:rPr>
        <w:t>.</w:t>
      </w:r>
    </w:p>
    <w:p w14:paraId="5ED94785" w14:textId="34D2DD63" w:rsidR="00362916"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tal sentido, según la </w:t>
      </w:r>
      <w:proofErr w:type="spellStart"/>
      <w:r w:rsidRPr="00362916">
        <w:rPr>
          <w:lang w:val="es-MX"/>
        </w:rPr>
        <w:t>ENAHO</w:t>
      </w:r>
      <w:proofErr w:type="spellEnd"/>
      <w:r w:rsidRPr="00362916">
        <w:rPr>
          <w:lang w:val="es-MX"/>
        </w:rPr>
        <w:t xml:space="preserve"> se cuenta con la siguiente información respecto a la población en situación de pobreza monetaria.</w:t>
      </w:r>
    </w:p>
    <w:p w14:paraId="7FC629E1" w14:textId="2BAC8864" w:rsidR="006E795A" w:rsidRDefault="006E795A" w:rsidP="00C4725C">
      <w:pPr>
        <w:pStyle w:val="Ttulo1"/>
      </w:pPr>
      <w:r w:rsidRPr="00362916">
        <w:rPr>
          <w:b/>
          <w:bCs/>
        </w:rPr>
        <w:t>C</w:t>
      </w:r>
      <w:r w:rsidR="00153AF0">
        <w:rPr>
          <w:b/>
          <w:bCs/>
        </w:rPr>
        <w:t>uadro</w:t>
      </w:r>
      <w:r w:rsidRPr="00362916">
        <w:rPr>
          <w:b/>
          <w:bCs/>
        </w:rPr>
        <w:t xml:space="preserve"> </w:t>
      </w:r>
      <w:proofErr w:type="spellStart"/>
      <w:r w:rsidRPr="00362916">
        <w:rPr>
          <w:b/>
          <w:bCs/>
        </w:rPr>
        <w:t>Nº1</w:t>
      </w:r>
      <w:proofErr w:type="spellEnd"/>
      <w:r w:rsidR="003A4CF7">
        <w:rPr>
          <w:b/>
          <w:bCs/>
        </w:rPr>
        <w:t xml:space="preserve"> : </w:t>
      </w:r>
      <w:proofErr w:type="spellStart"/>
      <w:r w:rsidR="00CA3658" w:rsidRPr="00DE1145">
        <w:rPr>
          <w:b/>
          <w:bCs/>
        </w:rPr>
        <w:t>Perú</w:t>
      </w:r>
      <w:proofErr w:type="spellEnd"/>
      <w:r w:rsidR="00153AF0">
        <w:rPr>
          <w:b/>
          <w:bCs/>
        </w:rPr>
        <w:br/>
      </w:r>
      <w:proofErr w:type="spellStart"/>
      <w:r w:rsidR="00145C76" w:rsidRPr="00C4725C">
        <w:rPr>
          <w:b/>
          <w:bCs/>
        </w:rPr>
        <w:t>Población</w:t>
      </w:r>
      <w:proofErr w:type="spellEnd"/>
      <w:r w:rsidR="00145C76" w:rsidRPr="00C4725C">
        <w:rPr>
          <w:b/>
          <w:bCs/>
        </w:rPr>
        <w:t xml:space="preserve"> en </w:t>
      </w:r>
      <w:proofErr w:type="spellStart"/>
      <w:r w:rsidR="00145C76" w:rsidRPr="00C4725C">
        <w:rPr>
          <w:b/>
          <w:bCs/>
        </w:rPr>
        <w:t>situación</w:t>
      </w:r>
      <w:proofErr w:type="spellEnd"/>
      <w:r w:rsidR="00145C76" w:rsidRPr="00C4725C">
        <w:rPr>
          <w:b/>
          <w:bCs/>
        </w:rPr>
        <w:t xml:space="preserve"> de </w:t>
      </w:r>
      <w:proofErr w:type="spellStart"/>
      <w:r w:rsidR="00145C76" w:rsidRPr="00C4725C">
        <w:rPr>
          <w:b/>
          <w:bCs/>
        </w:rPr>
        <w:t>pobreza</w:t>
      </w:r>
      <w:proofErr w:type="spellEnd"/>
      <w:r w:rsidR="00145C76" w:rsidRPr="00C4725C">
        <w:rPr>
          <w:b/>
          <w:bCs/>
        </w:rPr>
        <w:t xml:space="preserve"> </w:t>
      </w:r>
      <w:proofErr w:type="spellStart"/>
      <w:r w:rsidR="00145C76" w:rsidRPr="00C4725C">
        <w:rPr>
          <w:b/>
          <w:bCs/>
        </w:rPr>
        <w:t>monetaria</w:t>
      </w:r>
      <w:proofErr w:type="spellEnd"/>
      <w:r w:rsidR="00145C76" w:rsidRPr="00C4725C">
        <w:rPr>
          <w:b/>
          <w:bCs/>
        </w:rPr>
        <w:t xml:space="preserve">, </w:t>
      </w:r>
      <w:proofErr w:type="spellStart"/>
      <w:r w:rsidR="00145C76" w:rsidRPr="00C4725C">
        <w:rPr>
          <w:b/>
          <w:bCs/>
        </w:rPr>
        <w:t>según</w:t>
      </w:r>
      <w:proofErr w:type="spellEnd"/>
      <w:r w:rsidR="00145C76" w:rsidRPr="00C4725C">
        <w:rPr>
          <w:b/>
          <w:bCs/>
        </w:rPr>
        <w:t xml:space="preserve"> </w:t>
      </w:r>
      <w:proofErr w:type="spellStart"/>
      <w:r w:rsidR="00145C76" w:rsidRPr="00C4725C">
        <w:rPr>
          <w:b/>
          <w:bCs/>
        </w:rPr>
        <w:t>área</w:t>
      </w:r>
      <w:proofErr w:type="spellEnd"/>
      <w:r w:rsidR="00145C76" w:rsidRPr="00C4725C">
        <w:rPr>
          <w:b/>
          <w:bCs/>
        </w:rPr>
        <w:t xml:space="preserve"> de </w:t>
      </w:r>
      <w:proofErr w:type="spellStart"/>
      <w:r w:rsidR="00145C76" w:rsidRPr="00C4725C">
        <w:rPr>
          <w:b/>
          <w:bCs/>
        </w:rPr>
        <w:t>residencia</w:t>
      </w:r>
      <w:proofErr w:type="spellEnd"/>
      <w:r w:rsidR="00145C76" w:rsidRPr="00C4725C">
        <w:rPr>
          <w:b/>
          <w:bCs/>
        </w:rPr>
        <w:t xml:space="preserve">, </w:t>
      </w:r>
      <w:r w:rsidR="00C4725C" w:rsidRPr="00C4725C">
        <w:rPr>
          <w:b/>
          <w:bCs/>
        </w:rPr>
        <w:t>2013–2023</w:t>
      </w:r>
      <w:r w:rsidR="00C4725C">
        <w:rPr>
          <w:b/>
          <w:bCs/>
        </w:rPr>
        <w:br/>
      </w:r>
      <w:r w:rsidRPr="00C4725C">
        <w:t>(</w:t>
      </w:r>
      <w:proofErr w:type="spellStart"/>
      <w:r w:rsidRPr="00C4725C">
        <w:t>Porcentaje</w:t>
      </w:r>
      <w:proofErr w:type="spellEnd"/>
      <w:r w:rsidRPr="00C4725C">
        <w:t xml:space="preserve"> </w:t>
      </w:r>
      <w:proofErr w:type="spellStart"/>
      <w:r w:rsidRPr="00C4725C">
        <w:t>respecto</w:t>
      </w:r>
      <w:proofErr w:type="spellEnd"/>
      <w:r w:rsidRPr="00C4725C">
        <w:t xml:space="preserve"> del total de </w:t>
      </w:r>
      <w:proofErr w:type="spellStart"/>
      <w:r w:rsidRPr="00C4725C">
        <w:t>población</w:t>
      </w:r>
      <w:proofErr w:type="spellEnd"/>
      <w:r w:rsidRPr="00C4725C">
        <w:t>)</w:t>
      </w:r>
    </w:p>
    <w:p w14:paraId="0FE18D52" w14:textId="77777777" w:rsidR="00CA3658" w:rsidRPr="00CA3658" w:rsidRDefault="00CA3658" w:rsidP="00CA3658">
      <w:pPr>
        <w:pStyle w:val="SingleTxtG"/>
        <w:rPr>
          <w:lang w:val="fr-CH" w:eastAsia="en-US"/>
        </w:rPr>
      </w:pPr>
    </w:p>
    <w:tbl>
      <w:tblPr>
        <w:tblW w:w="7370" w:type="dxa"/>
        <w:tblInd w:w="1134" w:type="dxa"/>
        <w:tblLayout w:type="fixed"/>
        <w:tblCellMar>
          <w:left w:w="0" w:type="dxa"/>
          <w:right w:w="0" w:type="dxa"/>
        </w:tblCellMar>
        <w:tblLook w:val="04A0" w:firstRow="1" w:lastRow="0" w:firstColumn="1" w:lastColumn="0" w:noHBand="0" w:noVBand="1"/>
      </w:tblPr>
      <w:tblGrid>
        <w:gridCol w:w="692"/>
        <w:gridCol w:w="607"/>
        <w:gridCol w:w="608"/>
        <w:gridCol w:w="607"/>
        <w:gridCol w:w="607"/>
        <w:gridCol w:w="607"/>
        <w:gridCol w:w="607"/>
        <w:gridCol w:w="607"/>
        <w:gridCol w:w="607"/>
        <w:gridCol w:w="607"/>
        <w:gridCol w:w="607"/>
        <w:gridCol w:w="607"/>
      </w:tblGrid>
      <w:tr w:rsidR="009A4034" w:rsidRPr="006E795A" w14:paraId="020215CD" w14:textId="77777777" w:rsidTr="006E795A">
        <w:trPr>
          <w:tblHeader/>
        </w:trPr>
        <w:tc>
          <w:tcPr>
            <w:tcW w:w="692" w:type="dxa"/>
            <w:tcBorders>
              <w:top w:val="single" w:sz="4" w:space="0" w:color="auto"/>
              <w:bottom w:val="single" w:sz="12" w:space="0" w:color="auto"/>
            </w:tcBorders>
            <w:shd w:val="clear" w:color="auto" w:fill="auto"/>
            <w:vAlign w:val="bottom"/>
            <w:hideMark/>
          </w:tcPr>
          <w:p w14:paraId="2C2C7F14"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left"/>
              <w:rPr>
                <w:bCs/>
                <w:i/>
                <w:sz w:val="16"/>
                <w:lang w:val="es-PE"/>
              </w:rPr>
            </w:pPr>
            <w:r w:rsidRPr="00362916">
              <w:rPr>
                <w:bCs/>
                <w:i/>
                <w:sz w:val="16"/>
                <w:lang w:val="es-PE"/>
              </w:rPr>
              <w:t>Área de residencia</w:t>
            </w:r>
          </w:p>
        </w:tc>
        <w:tc>
          <w:tcPr>
            <w:tcW w:w="607" w:type="dxa"/>
            <w:tcBorders>
              <w:top w:val="single" w:sz="4" w:space="0" w:color="auto"/>
              <w:bottom w:val="single" w:sz="12" w:space="0" w:color="auto"/>
            </w:tcBorders>
            <w:shd w:val="clear" w:color="auto" w:fill="auto"/>
            <w:vAlign w:val="bottom"/>
            <w:hideMark/>
          </w:tcPr>
          <w:p w14:paraId="4213F4E9"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2013</w:t>
            </w:r>
          </w:p>
        </w:tc>
        <w:tc>
          <w:tcPr>
            <w:tcW w:w="608" w:type="dxa"/>
            <w:tcBorders>
              <w:top w:val="single" w:sz="4" w:space="0" w:color="auto"/>
              <w:bottom w:val="single" w:sz="12" w:space="0" w:color="auto"/>
            </w:tcBorders>
            <w:shd w:val="clear" w:color="auto" w:fill="auto"/>
            <w:vAlign w:val="bottom"/>
            <w:hideMark/>
          </w:tcPr>
          <w:p w14:paraId="12A775E6"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2014</w:t>
            </w:r>
          </w:p>
        </w:tc>
        <w:tc>
          <w:tcPr>
            <w:tcW w:w="607" w:type="dxa"/>
            <w:tcBorders>
              <w:top w:val="single" w:sz="4" w:space="0" w:color="auto"/>
              <w:bottom w:val="single" w:sz="12" w:space="0" w:color="auto"/>
            </w:tcBorders>
            <w:shd w:val="clear" w:color="auto" w:fill="auto"/>
            <w:vAlign w:val="bottom"/>
            <w:hideMark/>
          </w:tcPr>
          <w:p w14:paraId="3D62B792"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2015</w:t>
            </w:r>
          </w:p>
        </w:tc>
        <w:tc>
          <w:tcPr>
            <w:tcW w:w="607" w:type="dxa"/>
            <w:tcBorders>
              <w:top w:val="single" w:sz="4" w:space="0" w:color="auto"/>
              <w:bottom w:val="single" w:sz="12" w:space="0" w:color="auto"/>
            </w:tcBorders>
            <w:shd w:val="clear" w:color="auto" w:fill="auto"/>
            <w:vAlign w:val="bottom"/>
            <w:hideMark/>
          </w:tcPr>
          <w:p w14:paraId="0F292CAA"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2016</w:t>
            </w:r>
          </w:p>
        </w:tc>
        <w:tc>
          <w:tcPr>
            <w:tcW w:w="607" w:type="dxa"/>
            <w:tcBorders>
              <w:top w:val="single" w:sz="4" w:space="0" w:color="auto"/>
              <w:bottom w:val="single" w:sz="12" w:space="0" w:color="auto"/>
            </w:tcBorders>
            <w:shd w:val="clear" w:color="auto" w:fill="auto"/>
            <w:vAlign w:val="bottom"/>
            <w:hideMark/>
          </w:tcPr>
          <w:p w14:paraId="39A33A51"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2017</w:t>
            </w:r>
          </w:p>
        </w:tc>
        <w:tc>
          <w:tcPr>
            <w:tcW w:w="607" w:type="dxa"/>
            <w:tcBorders>
              <w:top w:val="single" w:sz="4" w:space="0" w:color="auto"/>
              <w:bottom w:val="single" w:sz="12" w:space="0" w:color="auto"/>
            </w:tcBorders>
            <w:shd w:val="clear" w:color="auto" w:fill="auto"/>
            <w:vAlign w:val="bottom"/>
            <w:hideMark/>
          </w:tcPr>
          <w:p w14:paraId="460116FB"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2018</w:t>
            </w:r>
          </w:p>
        </w:tc>
        <w:tc>
          <w:tcPr>
            <w:tcW w:w="607" w:type="dxa"/>
            <w:tcBorders>
              <w:top w:val="single" w:sz="4" w:space="0" w:color="auto"/>
              <w:bottom w:val="single" w:sz="12" w:space="0" w:color="auto"/>
            </w:tcBorders>
            <w:shd w:val="clear" w:color="auto" w:fill="auto"/>
            <w:vAlign w:val="bottom"/>
            <w:hideMark/>
          </w:tcPr>
          <w:p w14:paraId="32DB880E"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2019</w:t>
            </w:r>
          </w:p>
        </w:tc>
        <w:tc>
          <w:tcPr>
            <w:tcW w:w="607" w:type="dxa"/>
            <w:tcBorders>
              <w:top w:val="single" w:sz="4" w:space="0" w:color="auto"/>
              <w:bottom w:val="single" w:sz="12" w:space="0" w:color="auto"/>
            </w:tcBorders>
            <w:shd w:val="clear" w:color="auto" w:fill="auto"/>
            <w:vAlign w:val="bottom"/>
            <w:hideMark/>
          </w:tcPr>
          <w:p w14:paraId="2AFF5801"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2020</w:t>
            </w:r>
          </w:p>
        </w:tc>
        <w:tc>
          <w:tcPr>
            <w:tcW w:w="607" w:type="dxa"/>
            <w:tcBorders>
              <w:top w:val="single" w:sz="4" w:space="0" w:color="auto"/>
              <w:bottom w:val="single" w:sz="12" w:space="0" w:color="auto"/>
            </w:tcBorders>
            <w:shd w:val="clear" w:color="auto" w:fill="auto"/>
            <w:vAlign w:val="bottom"/>
            <w:hideMark/>
          </w:tcPr>
          <w:p w14:paraId="20DFECD1"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2021</w:t>
            </w:r>
          </w:p>
        </w:tc>
        <w:tc>
          <w:tcPr>
            <w:tcW w:w="607" w:type="dxa"/>
            <w:tcBorders>
              <w:top w:val="single" w:sz="4" w:space="0" w:color="auto"/>
              <w:bottom w:val="single" w:sz="12" w:space="0" w:color="auto"/>
            </w:tcBorders>
            <w:shd w:val="clear" w:color="auto" w:fill="auto"/>
            <w:vAlign w:val="bottom"/>
            <w:hideMark/>
          </w:tcPr>
          <w:p w14:paraId="498CC838"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2022</w:t>
            </w:r>
          </w:p>
        </w:tc>
        <w:tc>
          <w:tcPr>
            <w:tcW w:w="607" w:type="dxa"/>
            <w:tcBorders>
              <w:top w:val="single" w:sz="4" w:space="0" w:color="auto"/>
              <w:bottom w:val="single" w:sz="12" w:space="0" w:color="auto"/>
            </w:tcBorders>
            <w:shd w:val="clear" w:color="auto" w:fill="auto"/>
            <w:vAlign w:val="bottom"/>
            <w:hideMark/>
          </w:tcPr>
          <w:p w14:paraId="38E9F252" w14:textId="77777777" w:rsidR="00362916" w:rsidRPr="00362916" w:rsidRDefault="00362916" w:rsidP="006E795A">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2023</w:t>
            </w:r>
          </w:p>
        </w:tc>
      </w:tr>
      <w:tr w:rsidR="009A4034" w:rsidRPr="006E795A" w14:paraId="27EC51E6" w14:textId="77777777" w:rsidTr="006E795A">
        <w:tc>
          <w:tcPr>
            <w:tcW w:w="692" w:type="dxa"/>
            <w:tcBorders>
              <w:top w:val="single" w:sz="12" w:space="0" w:color="auto"/>
            </w:tcBorders>
            <w:shd w:val="clear" w:color="auto" w:fill="auto"/>
            <w:noWrap/>
            <w:hideMark/>
          </w:tcPr>
          <w:p w14:paraId="250AFD11"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left"/>
              <w:rPr>
                <w:b/>
                <w:bCs/>
                <w:sz w:val="18"/>
                <w:lang w:val="es-PE"/>
              </w:rPr>
            </w:pPr>
            <w:r w:rsidRPr="00362916">
              <w:rPr>
                <w:b/>
                <w:bCs/>
                <w:sz w:val="18"/>
                <w:lang w:val="es-PE"/>
              </w:rPr>
              <w:t xml:space="preserve">Total </w:t>
            </w:r>
          </w:p>
        </w:tc>
        <w:tc>
          <w:tcPr>
            <w:tcW w:w="607" w:type="dxa"/>
            <w:tcBorders>
              <w:top w:val="single" w:sz="12" w:space="0" w:color="auto"/>
            </w:tcBorders>
            <w:shd w:val="clear" w:color="auto" w:fill="auto"/>
            <w:noWrap/>
            <w:vAlign w:val="bottom"/>
            <w:hideMark/>
          </w:tcPr>
          <w:p w14:paraId="319B335F"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23.9</w:t>
            </w:r>
          </w:p>
        </w:tc>
        <w:tc>
          <w:tcPr>
            <w:tcW w:w="608" w:type="dxa"/>
            <w:tcBorders>
              <w:top w:val="single" w:sz="12" w:space="0" w:color="auto"/>
            </w:tcBorders>
            <w:shd w:val="clear" w:color="auto" w:fill="auto"/>
            <w:noWrap/>
            <w:vAlign w:val="bottom"/>
            <w:hideMark/>
          </w:tcPr>
          <w:p w14:paraId="2A0E84DA"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22.7</w:t>
            </w:r>
          </w:p>
        </w:tc>
        <w:tc>
          <w:tcPr>
            <w:tcW w:w="607" w:type="dxa"/>
            <w:tcBorders>
              <w:top w:val="single" w:sz="12" w:space="0" w:color="auto"/>
            </w:tcBorders>
            <w:shd w:val="clear" w:color="auto" w:fill="auto"/>
            <w:noWrap/>
            <w:vAlign w:val="bottom"/>
            <w:hideMark/>
          </w:tcPr>
          <w:p w14:paraId="0A0B61A9"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21.8</w:t>
            </w:r>
          </w:p>
        </w:tc>
        <w:tc>
          <w:tcPr>
            <w:tcW w:w="607" w:type="dxa"/>
            <w:tcBorders>
              <w:top w:val="single" w:sz="12" w:space="0" w:color="auto"/>
            </w:tcBorders>
            <w:shd w:val="clear" w:color="auto" w:fill="auto"/>
            <w:noWrap/>
            <w:vAlign w:val="bottom"/>
            <w:hideMark/>
          </w:tcPr>
          <w:p w14:paraId="71AE484A"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20.7</w:t>
            </w:r>
          </w:p>
        </w:tc>
        <w:tc>
          <w:tcPr>
            <w:tcW w:w="607" w:type="dxa"/>
            <w:tcBorders>
              <w:top w:val="single" w:sz="12" w:space="0" w:color="auto"/>
            </w:tcBorders>
            <w:shd w:val="clear" w:color="auto" w:fill="auto"/>
            <w:noWrap/>
            <w:vAlign w:val="bottom"/>
            <w:hideMark/>
          </w:tcPr>
          <w:p w14:paraId="46182C0E"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21.7</w:t>
            </w:r>
          </w:p>
        </w:tc>
        <w:tc>
          <w:tcPr>
            <w:tcW w:w="607" w:type="dxa"/>
            <w:tcBorders>
              <w:top w:val="single" w:sz="12" w:space="0" w:color="auto"/>
            </w:tcBorders>
            <w:shd w:val="clear" w:color="auto" w:fill="auto"/>
            <w:noWrap/>
            <w:vAlign w:val="bottom"/>
            <w:hideMark/>
          </w:tcPr>
          <w:p w14:paraId="285EE197"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20.5</w:t>
            </w:r>
          </w:p>
        </w:tc>
        <w:tc>
          <w:tcPr>
            <w:tcW w:w="607" w:type="dxa"/>
            <w:tcBorders>
              <w:top w:val="single" w:sz="12" w:space="0" w:color="auto"/>
            </w:tcBorders>
            <w:shd w:val="clear" w:color="auto" w:fill="auto"/>
            <w:noWrap/>
            <w:vAlign w:val="bottom"/>
            <w:hideMark/>
          </w:tcPr>
          <w:p w14:paraId="5B0122CA"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20.2</w:t>
            </w:r>
          </w:p>
        </w:tc>
        <w:tc>
          <w:tcPr>
            <w:tcW w:w="607" w:type="dxa"/>
            <w:tcBorders>
              <w:top w:val="single" w:sz="12" w:space="0" w:color="auto"/>
            </w:tcBorders>
            <w:shd w:val="clear" w:color="auto" w:fill="auto"/>
            <w:noWrap/>
            <w:vAlign w:val="bottom"/>
            <w:hideMark/>
          </w:tcPr>
          <w:p w14:paraId="55A07D6B"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30.1</w:t>
            </w:r>
          </w:p>
        </w:tc>
        <w:tc>
          <w:tcPr>
            <w:tcW w:w="607" w:type="dxa"/>
            <w:tcBorders>
              <w:top w:val="single" w:sz="12" w:space="0" w:color="auto"/>
            </w:tcBorders>
            <w:shd w:val="clear" w:color="auto" w:fill="auto"/>
            <w:noWrap/>
            <w:vAlign w:val="bottom"/>
            <w:hideMark/>
          </w:tcPr>
          <w:p w14:paraId="08F84A24"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25.9</w:t>
            </w:r>
          </w:p>
        </w:tc>
        <w:tc>
          <w:tcPr>
            <w:tcW w:w="607" w:type="dxa"/>
            <w:tcBorders>
              <w:top w:val="single" w:sz="12" w:space="0" w:color="auto"/>
            </w:tcBorders>
            <w:shd w:val="clear" w:color="auto" w:fill="auto"/>
            <w:noWrap/>
            <w:vAlign w:val="bottom"/>
            <w:hideMark/>
          </w:tcPr>
          <w:p w14:paraId="3840F981"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27.5</w:t>
            </w:r>
          </w:p>
        </w:tc>
        <w:tc>
          <w:tcPr>
            <w:tcW w:w="607" w:type="dxa"/>
            <w:tcBorders>
              <w:top w:val="single" w:sz="12" w:space="0" w:color="auto"/>
            </w:tcBorders>
            <w:shd w:val="clear" w:color="auto" w:fill="auto"/>
            <w:noWrap/>
            <w:vAlign w:val="bottom"/>
            <w:hideMark/>
          </w:tcPr>
          <w:p w14:paraId="2FB0AD12"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29.0</w:t>
            </w:r>
          </w:p>
        </w:tc>
      </w:tr>
      <w:tr w:rsidR="009A4034" w:rsidRPr="006E795A" w14:paraId="0E9A08BB" w14:textId="77777777" w:rsidTr="006E795A">
        <w:tc>
          <w:tcPr>
            <w:tcW w:w="692" w:type="dxa"/>
            <w:shd w:val="clear" w:color="auto" w:fill="auto"/>
            <w:noWrap/>
            <w:hideMark/>
          </w:tcPr>
          <w:p w14:paraId="300EAD89"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Urbana</w:t>
            </w:r>
          </w:p>
        </w:tc>
        <w:tc>
          <w:tcPr>
            <w:tcW w:w="607" w:type="dxa"/>
            <w:shd w:val="clear" w:color="auto" w:fill="auto"/>
            <w:noWrap/>
            <w:vAlign w:val="bottom"/>
            <w:hideMark/>
          </w:tcPr>
          <w:p w14:paraId="3E243776"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16.1</w:t>
            </w:r>
          </w:p>
        </w:tc>
        <w:tc>
          <w:tcPr>
            <w:tcW w:w="608" w:type="dxa"/>
            <w:shd w:val="clear" w:color="auto" w:fill="auto"/>
            <w:noWrap/>
            <w:vAlign w:val="bottom"/>
            <w:hideMark/>
          </w:tcPr>
          <w:p w14:paraId="0E7089C7"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15.3</w:t>
            </w:r>
          </w:p>
        </w:tc>
        <w:tc>
          <w:tcPr>
            <w:tcW w:w="607" w:type="dxa"/>
            <w:shd w:val="clear" w:color="auto" w:fill="auto"/>
            <w:noWrap/>
            <w:vAlign w:val="bottom"/>
            <w:hideMark/>
          </w:tcPr>
          <w:p w14:paraId="0E625DF4"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14.5</w:t>
            </w:r>
          </w:p>
        </w:tc>
        <w:tc>
          <w:tcPr>
            <w:tcW w:w="607" w:type="dxa"/>
            <w:shd w:val="clear" w:color="auto" w:fill="auto"/>
            <w:noWrap/>
            <w:vAlign w:val="bottom"/>
            <w:hideMark/>
          </w:tcPr>
          <w:p w14:paraId="6EBB1821"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13.9</w:t>
            </w:r>
          </w:p>
        </w:tc>
        <w:tc>
          <w:tcPr>
            <w:tcW w:w="607" w:type="dxa"/>
            <w:shd w:val="clear" w:color="auto" w:fill="auto"/>
            <w:noWrap/>
            <w:vAlign w:val="bottom"/>
            <w:hideMark/>
          </w:tcPr>
          <w:p w14:paraId="1A999690"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15.1</w:t>
            </w:r>
          </w:p>
        </w:tc>
        <w:tc>
          <w:tcPr>
            <w:tcW w:w="607" w:type="dxa"/>
            <w:shd w:val="clear" w:color="auto" w:fill="auto"/>
            <w:noWrap/>
            <w:vAlign w:val="bottom"/>
            <w:hideMark/>
          </w:tcPr>
          <w:p w14:paraId="1131CD6F"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14.4</w:t>
            </w:r>
          </w:p>
        </w:tc>
        <w:tc>
          <w:tcPr>
            <w:tcW w:w="607" w:type="dxa"/>
            <w:shd w:val="clear" w:color="auto" w:fill="auto"/>
            <w:noWrap/>
            <w:vAlign w:val="bottom"/>
            <w:hideMark/>
          </w:tcPr>
          <w:p w14:paraId="3EA2DADD"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14.6</w:t>
            </w:r>
          </w:p>
        </w:tc>
        <w:tc>
          <w:tcPr>
            <w:tcW w:w="607" w:type="dxa"/>
            <w:shd w:val="clear" w:color="auto" w:fill="auto"/>
            <w:noWrap/>
            <w:vAlign w:val="bottom"/>
            <w:hideMark/>
          </w:tcPr>
          <w:p w14:paraId="08B32B54"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26.0</w:t>
            </w:r>
          </w:p>
        </w:tc>
        <w:tc>
          <w:tcPr>
            <w:tcW w:w="607" w:type="dxa"/>
            <w:shd w:val="clear" w:color="auto" w:fill="auto"/>
            <w:noWrap/>
            <w:vAlign w:val="bottom"/>
            <w:hideMark/>
          </w:tcPr>
          <w:p w14:paraId="5C91DD3A"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22.3</w:t>
            </w:r>
          </w:p>
        </w:tc>
        <w:tc>
          <w:tcPr>
            <w:tcW w:w="607" w:type="dxa"/>
            <w:shd w:val="clear" w:color="auto" w:fill="auto"/>
            <w:noWrap/>
            <w:vAlign w:val="bottom"/>
            <w:hideMark/>
          </w:tcPr>
          <w:p w14:paraId="62E0DE3F"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24.1</w:t>
            </w:r>
          </w:p>
        </w:tc>
        <w:tc>
          <w:tcPr>
            <w:tcW w:w="607" w:type="dxa"/>
            <w:shd w:val="clear" w:color="auto" w:fill="auto"/>
            <w:noWrap/>
            <w:vAlign w:val="bottom"/>
            <w:hideMark/>
          </w:tcPr>
          <w:p w14:paraId="67BB1178"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26.4</w:t>
            </w:r>
          </w:p>
        </w:tc>
      </w:tr>
      <w:tr w:rsidR="009A4034" w:rsidRPr="006E795A" w14:paraId="52D222B9" w14:textId="77777777" w:rsidTr="006E795A">
        <w:tc>
          <w:tcPr>
            <w:tcW w:w="692" w:type="dxa"/>
            <w:tcBorders>
              <w:bottom w:val="single" w:sz="12" w:space="0" w:color="auto"/>
            </w:tcBorders>
            <w:shd w:val="clear" w:color="auto" w:fill="auto"/>
            <w:noWrap/>
            <w:hideMark/>
          </w:tcPr>
          <w:p w14:paraId="464DA322"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Rural</w:t>
            </w:r>
          </w:p>
        </w:tc>
        <w:tc>
          <w:tcPr>
            <w:tcW w:w="607" w:type="dxa"/>
            <w:tcBorders>
              <w:bottom w:val="single" w:sz="12" w:space="0" w:color="auto"/>
            </w:tcBorders>
            <w:shd w:val="clear" w:color="auto" w:fill="auto"/>
            <w:noWrap/>
            <w:vAlign w:val="bottom"/>
            <w:hideMark/>
          </w:tcPr>
          <w:p w14:paraId="2B7827D8"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48.0</w:t>
            </w:r>
          </w:p>
        </w:tc>
        <w:tc>
          <w:tcPr>
            <w:tcW w:w="608" w:type="dxa"/>
            <w:tcBorders>
              <w:bottom w:val="single" w:sz="12" w:space="0" w:color="auto"/>
            </w:tcBorders>
            <w:shd w:val="clear" w:color="auto" w:fill="auto"/>
            <w:noWrap/>
            <w:vAlign w:val="bottom"/>
            <w:hideMark/>
          </w:tcPr>
          <w:p w14:paraId="3B9D50CD"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46.0</w:t>
            </w:r>
          </w:p>
        </w:tc>
        <w:tc>
          <w:tcPr>
            <w:tcW w:w="607" w:type="dxa"/>
            <w:tcBorders>
              <w:bottom w:val="single" w:sz="12" w:space="0" w:color="auto"/>
            </w:tcBorders>
            <w:shd w:val="clear" w:color="auto" w:fill="auto"/>
            <w:noWrap/>
            <w:vAlign w:val="bottom"/>
            <w:hideMark/>
          </w:tcPr>
          <w:p w14:paraId="1D319F51"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45.2</w:t>
            </w:r>
          </w:p>
        </w:tc>
        <w:tc>
          <w:tcPr>
            <w:tcW w:w="607" w:type="dxa"/>
            <w:tcBorders>
              <w:bottom w:val="single" w:sz="12" w:space="0" w:color="auto"/>
            </w:tcBorders>
            <w:shd w:val="clear" w:color="auto" w:fill="auto"/>
            <w:noWrap/>
            <w:vAlign w:val="bottom"/>
            <w:hideMark/>
          </w:tcPr>
          <w:p w14:paraId="13B9ADE9"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43.8</w:t>
            </w:r>
          </w:p>
        </w:tc>
        <w:tc>
          <w:tcPr>
            <w:tcW w:w="607" w:type="dxa"/>
            <w:tcBorders>
              <w:bottom w:val="single" w:sz="12" w:space="0" w:color="auto"/>
            </w:tcBorders>
            <w:shd w:val="clear" w:color="auto" w:fill="auto"/>
            <w:noWrap/>
            <w:vAlign w:val="bottom"/>
            <w:hideMark/>
          </w:tcPr>
          <w:p w14:paraId="5551820F"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44.4</w:t>
            </w:r>
          </w:p>
        </w:tc>
        <w:tc>
          <w:tcPr>
            <w:tcW w:w="607" w:type="dxa"/>
            <w:tcBorders>
              <w:bottom w:val="single" w:sz="12" w:space="0" w:color="auto"/>
            </w:tcBorders>
            <w:shd w:val="clear" w:color="auto" w:fill="auto"/>
            <w:noWrap/>
            <w:vAlign w:val="bottom"/>
            <w:hideMark/>
          </w:tcPr>
          <w:p w14:paraId="32F75F0E"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42.1</w:t>
            </w:r>
          </w:p>
        </w:tc>
        <w:tc>
          <w:tcPr>
            <w:tcW w:w="607" w:type="dxa"/>
            <w:tcBorders>
              <w:bottom w:val="single" w:sz="12" w:space="0" w:color="auto"/>
            </w:tcBorders>
            <w:shd w:val="clear" w:color="auto" w:fill="auto"/>
            <w:noWrap/>
            <w:vAlign w:val="bottom"/>
            <w:hideMark/>
          </w:tcPr>
          <w:p w14:paraId="57065B40"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40.8</w:t>
            </w:r>
          </w:p>
        </w:tc>
        <w:tc>
          <w:tcPr>
            <w:tcW w:w="607" w:type="dxa"/>
            <w:tcBorders>
              <w:bottom w:val="single" w:sz="12" w:space="0" w:color="auto"/>
            </w:tcBorders>
            <w:shd w:val="clear" w:color="auto" w:fill="auto"/>
            <w:noWrap/>
            <w:vAlign w:val="bottom"/>
            <w:hideMark/>
          </w:tcPr>
          <w:p w14:paraId="29E784D0"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45.7</w:t>
            </w:r>
          </w:p>
        </w:tc>
        <w:tc>
          <w:tcPr>
            <w:tcW w:w="607" w:type="dxa"/>
            <w:tcBorders>
              <w:bottom w:val="single" w:sz="12" w:space="0" w:color="auto"/>
            </w:tcBorders>
            <w:shd w:val="clear" w:color="auto" w:fill="auto"/>
            <w:noWrap/>
            <w:vAlign w:val="bottom"/>
            <w:hideMark/>
          </w:tcPr>
          <w:p w14:paraId="31DEDBE2"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39.7</w:t>
            </w:r>
          </w:p>
        </w:tc>
        <w:tc>
          <w:tcPr>
            <w:tcW w:w="607" w:type="dxa"/>
            <w:tcBorders>
              <w:bottom w:val="single" w:sz="12" w:space="0" w:color="auto"/>
            </w:tcBorders>
            <w:shd w:val="clear" w:color="auto" w:fill="auto"/>
            <w:noWrap/>
            <w:vAlign w:val="bottom"/>
            <w:hideMark/>
          </w:tcPr>
          <w:p w14:paraId="4DA6290B"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41.1</w:t>
            </w:r>
          </w:p>
        </w:tc>
        <w:tc>
          <w:tcPr>
            <w:tcW w:w="607" w:type="dxa"/>
            <w:tcBorders>
              <w:bottom w:val="single" w:sz="12" w:space="0" w:color="auto"/>
            </w:tcBorders>
            <w:shd w:val="clear" w:color="auto" w:fill="auto"/>
            <w:noWrap/>
            <w:vAlign w:val="bottom"/>
            <w:hideMark/>
          </w:tcPr>
          <w:p w14:paraId="7A8170D2" w14:textId="77777777" w:rsidR="00362916" w:rsidRPr="00362916" w:rsidRDefault="00362916" w:rsidP="006E795A">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39.8</w:t>
            </w:r>
          </w:p>
        </w:tc>
      </w:tr>
    </w:tbl>
    <w:p w14:paraId="215A94DB" w14:textId="55E6EBA1" w:rsidR="000E14A8" w:rsidRPr="009A4034" w:rsidRDefault="009A4034" w:rsidP="00362916">
      <w:pPr>
        <w:pStyle w:val="SingleTxtG"/>
        <w:rPr>
          <w:sz w:val="18"/>
          <w:szCs w:val="18"/>
          <w:lang w:val="es-PE"/>
        </w:rPr>
      </w:pPr>
      <w:r>
        <w:rPr>
          <w:sz w:val="18"/>
          <w:szCs w:val="18"/>
          <w:lang w:val="es-PE"/>
        </w:rPr>
        <w:tab/>
      </w:r>
      <w:r w:rsidR="00362916" w:rsidRPr="00C67E7F">
        <w:rPr>
          <w:i/>
          <w:iCs/>
          <w:sz w:val="18"/>
          <w:szCs w:val="18"/>
          <w:lang w:val="es-PE"/>
        </w:rPr>
        <w:t>Fuente:</w:t>
      </w:r>
      <w:r w:rsidR="00362916" w:rsidRPr="00362916">
        <w:rPr>
          <w:sz w:val="18"/>
          <w:szCs w:val="18"/>
          <w:lang w:val="es-PE"/>
        </w:rPr>
        <w:t xml:space="preserve"> INEI (</w:t>
      </w:r>
      <w:proofErr w:type="spellStart"/>
      <w:r w:rsidR="00362916" w:rsidRPr="00362916">
        <w:rPr>
          <w:sz w:val="18"/>
          <w:szCs w:val="18"/>
          <w:lang w:val="es-PE"/>
        </w:rPr>
        <w:t>ENAHO</w:t>
      </w:r>
      <w:proofErr w:type="spellEnd"/>
      <w:r w:rsidR="00362916" w:rsidRPr="00362916">
        <w:rPr>
          <w:sz w:val="18"/>
          <w:szCs w:val="18"/>
          <w:lang w:val="es-PE"/>
        </w:rPr>
        <w:t>)</w:t>
      </w:r>
    </w:p>
    <w:p w14:paraId="4A5D2A3B" w14:textId="65539D53" w:rsidR="00362916" w:rsidRPr="009A4034" w:rsidRDefault="00362916" w:rsidP="00684D9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PE"/>
        </w:rPr>
      </w:pPr>
      <w:r w:rsidRPr="00362916">
        <w:rPr>
          <w:lang w:val="es-MX"/>
        </w:rPr>
        <w:t xml:space="preserve">En respuesta al párrafo </w:t>
      </w:r>
      <w:proofErr w:type="spellStart"/>
      <w:r w:rsidRPr="00362916">
        <w:rPr>
          <w:lang w:val="es-MX"/>
        </w:rPr>
        <w:t>9.b</w:t>
      </w:r>
      <w:proofErr w:type="spellEnd"/>
      <w:r w:rsidRPr="00362916">
        <w:rPr>
          <w:lang w:val="es-MX"/>
        </w:rPr>
        <w:t>), el Estado a través del INEI ha implementado el sistema de Coeficiente GINI, para monitorear los niveles de desigualdad</w:t>
      </w:r>
      <w:r w:rsidRPr="00362916">
        <w:rPr>
          <w:vertAlign w:val="superscript"/>
          <w:lang w:val="es-MX"/>
        </w:rPr>
        <w:footnoteReference w:id="42"/>
      </w:r>
      <w:r w:rsidRPr="00362916">
        <w:rPr>
          <w:lang w:val="es-MX"/>
        </w:rPr>
        <w:t>. Este coeficiente varía entre 0 y 1, donde 0 significa igualdad perfecta y 1 representa la máxima desigualdad. Lo que se aprecia en el siguiente detalle</w:t>
      </w:r>
      <w:r w:rsidR="00CA3658">
        <w:rPr>
          <w:lang w:val="es-MX"/>
        </w:rPr>
        <w:t>.</w:t>
      </w:r>
    </w:p>
    <w:p w14:paraId="51D727F1" w14:textId="771F3BC4" w:rsidR="009A4034" w:rsidRDefault="009A4034" w:rsidP="009A4034">
      <w:pPr>
        <w:pStyle w:val="Ttulo1"/>
        <w:rPr>
          <w:b/>
          <w:bCs/>
        </w:rPr>
      </w:pPr>
      <w:proofErr w:type="spellStart"/>
      <w:proofErr w:type="gramStart"/>
      <w:r w:rsidRPr="00DE1145">
        <w:rPr>
          <w:b/>
          <w:bCs/>
        </w:rPr>
        <w:t>Perú</w:t>
      </w:r>
      <w:proofErr w:type="spellEnd"/>
      <w:r w:rsidRPr="00DE1145">
        <w:rPr>
          <w:b/>
          <w:bCs/>
        </w:rPr>
        <w:t>:</w:t>
      </w:r>
      <w:proofErr w:type="gramEnd"/>
      <w:r w:rsidRPr="00DE1145">
        <w:rPr>
          <w:b/>
          <w:bCs/>
        </w:rPr>
        <w:t xml:space="preserve"> </w:t>
      </w:r>
      <w:proofErr w:type="spellStart"/>
      <w:r w:rsidRPr="00DE1145">
        <w:rPr>
          <w:b/>
          <w:bCs/>
        </w:rPr>
        <w:t>coeficiente</w:t>
      </w:r>
      <w:proofErr w:type="spellEnd"/>
      <w:r w:rsidRPr="00DE1145">
        <w:rPr>
          <w:b/>
          <w:bCs/>
        </w:rPr>
        <w:t xml:space="preserve"> </w:t>
      </w:r>
      <w:proofErr w:type="spellStart"/>
      <w:r w:rsidRPr="00DE1145">
        <w:rPr>
          <w:b/>
          <w:bCs/>
        </w:rPr>
        <w:t>gini</w:t>
      </w:r>
      <w:proofErr w:type="spellEnd"/>
      <w:r w:rsidRPr="00DE1145">
        <w:rPr>
          <w:b/>
          <w:bCs/>
        </w:rPr>
        <w:t xml:space="preserve"> del </w:t>
      </w:r>
      <w:proofErr w:type="spellStart"/>
      <w:r w:rsidRPr="00DE1145">
        <w:rPr>
          <w:b/>
          <w:bCs/>
        </w:rPr>
        <w:t>ingreso</w:t>
      </w:r>
      <w:proofErr w:type="spellEnd"/>
      <w:r w:rsidRPr="00DE1145">
        <w:rPr>
          <w:b/>
          <w:bCs/>
        </w:rPr>
        <w:t xml:space="preserve">, </w:t>
      </w:r>
      <w:proofErr w:type="spellStart"/>
      <w:r w:rsidRPr="00DE1145">
        <w:rPr>
          <w:b/>
          <w:bCs/>
        </w:rPr>
        <w:t>según</w:t>
      </w:r>
      <w:proofErr w:type="spellEnd"/>
      <w:r w:rsidRPr="00DE1145">
        <w:rPr>
          <w:b/>
          <w:bCs/>
        </w:rPr>
        <w:t xml:space="preserve"> </w:t>
      </w:r>
      <w:proofErr w:type="spellStart"/>
      <w:r w:rsidRPr="00DE1145">
        <w:rPr>
          <w:b/>
          <w:bCs/>
        </w:rPr>
        <w:t>área</w:t>
      </w:r>
      <w:proofErr w:type="spellEnd"/>
      <w:r w:rsidRPr="00DE1145">
        <w:rPr>
          <w:b/>
          <w:bCs/>
        </w:rPr>
        <w:t xml:space="preserve">, </w:t>
      </w:r>
      <w:proofErr w:type="spellStart"/>
      <w:r w:rsidRPr="00DE1145">
        <w:rPr>
          <w:b/>
          <w:bCs/>
        </w:rPr>
        <w:t>ámbito</w:t>
      </w:r>
      <w:proofErr w:type="spellEnd"/>
      <w:r w:rsidRPr="00DE1145">
        <w:rPr>
          <w:b/>
          <w:bCs/>
        </w:rPr>
        <w:t xml:space="preserve"> y </w:t>
      </w:r>
      <w:proofErr w:type="spellStart"/>
      <w:r w:rsidRPr="00DE1145">
        <w:rPr>
          <w:b/>
          <w:bCs/>
        </w:rPr>
        <w:t>dominios</w:t>
      </w:r>
      <w:proofErr w:type="spellEnd"/>
      <w:r w:rsidRPr="00DE1145">
        <w:rPr>
          <w:b/>
          <w:bCs/>
        </w:rPr>
        <w:t>, 2014-2023</w:t>
      </w:r>
    </w:p>
    <w:p w14:paraId="4E15F389" w14:textId="77777777" w:rsidR="00D51FEE" w:rsidRPr="00D51FEE" w:rsidRDefault="00D51FEE" w:rsidP="00D51FEE">
      <w:pPr>
        <w:pStyle w:val="SingleTxtG"/>
        <w:rPr>
          <w:lang w:val="fr-CH" w:eastAsia="en-US"/>
        </w:rPr>
      </w:pPr>
    </w:p>
    <w:tbl>
      <w:tblPr>
        <w:tblW w:w="7370" w:type="dxa"/>
        <w:tblInd w:w="1134" w:type="dxa"/>
        <w:tblLayout w:type="fixed"/>
        <w:tblCellMar>
          <w:left w:w="0" w:type="dxa"/>
          <w:right w:w="0" w:type="dxa"/>
        </w:tblCellMar>
        <w:tblLook w:val="04A0" w:firstRow="1" w:lastRow="0" w:firstColumn="1" w:lastColumn="0" w:noHBand="0" w:noVBand="1"/>
      </w:tblPr>
      <w:tblGrid>
        <w:gridCol w:w="724"/>
        <w:gridCol w:w="600"/>
        <w:gridCol w:w="600"/>
        <w:gridCol w:w="600"/>
        <w:gridCol w:w="599"/>
        <w:gridCol w:w="599"/>
        <w:gridCol w:w="599"/>
        <w:gridCol w:w="599"/>
        <w:gridCol w:w="599"/>
        <w:gridCol w:w="599"/>
        <w:gridCol w:w="681"/>
        <w:gridCol w:w="571"/>
      </w:tblGrid>
      <w:tr w:rsidR="009A4034" w:rsidRPr="009A4034" w14:paraId="640B4202" w14:textId="77777777" w:rsidTr="009A4034">
        <w:trPr>
          <w:tblHeader/>
        </w:trPr>
        <w:tc>
          <w:tcPr>
            <w:tcW w:w="724" w:type="dxa"/>
            <w:vMerge w:val="restart"/>
            <w:tcBorders>
              <w:top w:val="single" w:sz="4" w:space="0" w:color="auto"/>
              <w:bottom w:val="single" w:sz="4" w:space="0" w:color="auto"/>
            </w:tcBorders>
            <w:shd w:val="clear" w:color="auto" w:fill="auto"/>
            <w:vAlign w:val="bottom"/>
            <w:hideMark/>
          </w:tcPr>
          <w:p w14:paraId="0044168D"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left"/>
              <w:rPr>
                <w:bCs/>
                <w:i/>
                <w:sz w:val="16"/>
                <w:lang w:val="es-PE"/>
              </w:rPr>
            </w:pPr>
            <w:r w:rsidRPr="00362916">
              <w:rPr>
                <w:bCs/>
                <w:i/>
                <w:sz w:val="16"/>
                <w:lang w:val="es-PE"/>
              </w:rPr>
              <w:t>Área</w:t>
            </w:r>
            <w:r w:rsidRPr="00362916">
              <w:rPr>
                <w:bCs/>
                <w:i/>
                <w:sz w:val="16"/>
                <w:lang w:val="es-PE"/>
              </w:rPr>
              <w:br/>
              <w:t>Dominio</w:t>
            </w:r>
          </w:p>
        </w:tc>
        <w:tc>
          <w:tcPr>
            <w:tcW w:w="600" w:type="dxa"/>
            <w:vMerge w:val="restart"/>
            <w:tcBorders>
              <w:top w:val="single" w:sz="4" w:space="0" w:color="auto"/>
              <w:bottom w:val="single" w:sz="4" w:space="0" w:color="auto"/>
            </w:tcBorders>
            <w:shd w:val="clear" w:color="auto" w:fill="auto"/>
            <w:vAlign w:val="bottom"/>
            <w:hideMark/>
          </w:tcPr>
          <w:p w14:paraId="438F3173" w14:textId="77777777" w:rsid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2014</w:t>
            </w:r>
          </w:p>
          <w:p w14:paraId="4F21BED8" w14:textId="77777777" w:rsidR="006E795A" w:rsidRPr="00362916" w:rsidRDefault="006E795A" w:rsidP="009A4034">
            <w:pPr>
              <w:pStyle w:val="SingleTxtG"/>
              <w:tabs>
                <w:tab w:val="clear" w:pos="1701"/>
                <w:tab w:val="clear" w:pos="2268"/>
                <w:tab w:val="clear" w:pos="2835"/>
              </w:tabs>
              <w:spacing w:before="80" w:after="80" w:line="200" w:lineRule="exact"/>
              <w:ind w:left="0" w:right="0"/>
              <w:jc w:val="right"/>
              <w:rPr>
                <w:bCs/>
                <w:i/>
                <w:sz w:val="16"/>
                <w:lang w:val="es-PE"/>
              </w:rPr>
            </w:pPr>
          </w:p>
        </w:tc>
        <w:tc>
          <w:tcPr>
            <w:tcW w:w="600" w:type="dxa"/>
            <w:vMerge w:val="restart"/>
            <w:tcBorders>
              <w:top w:val="single" w:sz="4" w:space="0" w:color="auto"/>
              <w:bottom w:val="single" w:sz="4" w:space="0" w:color="auto"/>
            </w:tcBorders>
            <w:shd w:val="clear" w:color="auto" w:fill="auto"/>
            <w:vAlign w:val="bottom"/>
            <w:hideMark/>
          </w:tcPr>
          <w:p w14:paraId="7B329E3F" w14:textId="77777777" w:rsid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2015</w:t>
            </w:r>
          </w:p>
          <w:p w14:paraId="5CA330F8" w14:textId="77777777" w:rsidR="006E795A" w:rsidRPr="00362916" w:rsidRDefault="006E795A" w:rsidP="009A4034">
            <w:pPr>
              <w:pStyle w:val="SingleTxtG"/>
              <w:tabs>
                <w:tab w:val="clear" w:pos="1701"/>
                <w:tab w:val="clear" w:pos="2268"/>
                <w:tab w:val="clear" w:pos="2835"/>
              </w:tabs>
              <w:spacing w:before="80" w:after="80" w:line="200" w:lineRule="exact"/>
              <w:ind w:left="0" w:right="0"/>
              <w:jc w:val="right"/>
              <w:rPr>
                <w:bCs/>
                <w:i/>
                <w:sz w:val="16"/>
                <w:lang w:val="es-PE"/>
              </w:rPr>
            </w:pPr>
          </w:p>
        </w:tc>
        <w:tc>
          <w:tcPr>
            <w:tcW w:w="600" w:type="dxa"/>
            <w:vMerge w:val="restart"/>
            <w:tcBorders>
              <w:top w:val="single" w:sz="4" w:space="0" w:color="auto"/>
              <w:bottom w:val="single" w:sz="4" w:space="0" w:color="auto"/>
            </w:tcBorders>
            <w:shd w:val="clear" w:color="auto" w:fill="auto"/>
            <w:vAlign w:val="bottom"/>
            <w:hideMark/>
          </w:tcPr>
          <w:p w14:paraId="7B9A93C6"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p w14:paraId="74241288"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2016</w:t>
            </w:r>
          </w:p>
          <w:p w14:paraId="26E7D223"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tc>
        <w:tc>
          <w:tcPr>
            <w:tcW w:w="599" w:type="dxa"/>
            <w:vMerge w:val="restart"/>
            <w:tcBorders>
              <w:top w:val="single" w:sz="4" w:space="0" w:color="auto"/>
              <w:bottom w:val="single" w:sz="4" w:space="0" w:color="auto"/>
            </w:tcBorders>
            <w:shd w:val="clear" w:color="auto" w:fill="auto"/>
            <w:vAlign w:val="bottom"/>
            <w:hideMark/>
          </w:tcPr>
          <w:p w14:paraId="26753D64"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p w14:paraId="7AC0F366"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2017</w:t>
            </w:r>
          </w:p>
          <w:p w14:paraId="57469A99"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tc>
        <w:tc>
          <w:tcPr>
            <w:tcW w:w="599" w:type="dxa"/>
            <w:vMerge w:val="restart"/>
            <w:tcBorders>
              <w:top w:val="single" w:sz="4" w:space="0" w:color="auto"/>
              <w:bottom w:val="single" w:sz="4" w:space="0" w:color="auto"/>
            </w:tcBorders>
            <w:shd w:val="clear" w:color="auto" w:fill="auto"/>
            <w:vAlign w:val="bottom"/>
            <w:hideMark/>
          </w:tcPr>
          <w:p w14:paraId="4AA5B3E0"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p w14:paraId="51F27F7A"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2018</w:t>
            </w:r>
          </w:p>
          <w:p w14:paraId="5F1142C3"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tc>
        <w:tc>
          <w:tcPr>
            <w:tcW w:w="599" w:type="dxa"/>
            <w:vMerge w:val="restart"/>
            <w:tcBorders>
              <w:top w:val="single" w:sz="4" w:space="0" w:color="auto"/>
              <w:bottom w:val="single" w:sz="4" w:space="0" w:color="auto"/>
            </w:tcBorders>
            <w:shd w:val="clear" w:color="auto" w:fill="auto"/>
            <w:vAlign w:val="bottom"/>
            <w:hideMark/>
          </w:tcPr>
          <w:p w14:paraId="343B0BB5"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p w14:paraId="583CE290"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2019</w:t>
            </w:r>
          </w:p>
          <w:p w14:paraId="32CC96EA"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tc>
        <w:tc>
          <w:tcPr>
            <w:tcW w:w="599" w:type="dxa"/>
            <w:vMerge w:val="restart"/>
            <w:tcBorders>
              <w:top w:val="single" w:sz="4" w:space="0" w:color="auto"/>
              <w:bottom w:val="single" w:sz="4" w:space="0" w:color="auto"/>
            </w:tcBorders>
            <w:shd w:val="clear" w:color="auto" w:fill="auto"/>
            <w:vAlign w:val="bottom"/>
            <w:hideMark/>
          </w:tcPr>
          <w:p w14:paraId="6DC6585C"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p w14:paraId="6D38BAF4"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2020</w:t>
            </w:r>
          </w:p>
          <w:p w14:paraId="34691475"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tc>
        <w:tc>
          <w:tcPr>
            <w:tcW w:w="599" w:type="dxa"/>
            <w:vMerge w:val="restart"/>
            <w:tcBorders>
              <w:top w:val="single" w:sz="4" w:space="0" w:color="auto"/>
              <w:bottom w:val="single" w:sz="4" w:space="0" w:color="auto"/>
            </w:tcBorders>
            <w:shd w:val="clear" w:color="auto" w:fill="auto"/>
            <w:vAlign w:val="bottom"/>
            <w:hideMark/>
          </w:tcPr>
          <w:p w14:paraId="3E42A30C"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p w14:paraId="1D75D555"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2021</w:t>
            </w:r>
          </w:p>
          <w:p w14:paraId="4C85ECC7"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tc>
        <w:tc>
          <w:tcPr>
            <w:tcW w:w="599" w:type="dxa"/>
            <w:vMerge w:val="restart"/>
            <w:tcBorders>
              <w:top w:val="single" w:sz="4" w:space="0" w:color="auto"/>
              <w:bottom w:val="single" w:sz="4" w:space="0" w:color="auto"/>
            </w:tcBorders>
            <w:shd w:val="clear" w:color="auto" w:fill="auto"/>
            <w:vAlign w:val="bottom"/>
            <w:hideMark/>
          </w:tcPr>
          <w:p w14:paraId="48D97266"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 </w:t>
            </w:r>
          </w:p>
          <w:p w14:paraId="5906804E"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2022</w:t>
            </w:r>
          </w:p>
          <w:p w14:paraId="69751496" w14:textId="574589C9" w:rsidR="00362916" w:rsidRPr="00362916" w:rsidRDefault="00362916" w:rsidP="009A4034">
            <w:pPr>
              <w:pStyle w:val="SingleTxtG"/>
              <w:tabs>
                <w:tab w:val="clear" w:pos="1701"/>
                <w:tab w:val="clear" w:pos="2268"/>
                <w:tab w:val="clear" w:pos="2835"/>
              </w:tabs>
              <w:spacing w:before="80" w:after="80" w:line="200" w:lineRule="exact"/>
              <w:ind w:left="0" w:right="0"/>
              <w:jc w:val="center"/>
              <w:rPr>
                <w:bCs/>
                <w:i/>
                <w:sz w:val="16"/>
                <w:lang w:val="es-PE"/>
              </w:rPr>
            </w:pPr>
          </w:p>
        </w:tc>
        <w:tc>
          <w:tcPr>
            <w:tcW w:w="1252" w:type="dxa"/>
            <w:gridSpan w:val="2"/>
            <w:tcBorders>
              <w:top w:val="single" w:sz="4" w:space="0" w:color="auto"/>
              <w:bottom w:val="single" w:sz="4" w:space="0" w:color="auto"/>
            </w:tcBorders>
            <w:shd w:val="clear" w:color="auto" w:fill="auto"/>
            <w:vAlign w:val="bottom"/>
            <w:hideMark/>
          </w:tcPr>
          <w:p w14:paraId="4BA3C00B"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2023</w:t>
            </w:r>
          </w:p>
        </w:tc>
      </w:tr>
      <w:tr w:rsidR="00362BB9" w:rsidRPr="009A4034" w14:paraId="267E9C52" w14:textId="77777777" w:rsidTr="009A4034">
        <w:trPr>
          <w:tblHeader/>
        </w:trPr>
        <w:tc>
          <w:tcPr>
            <w:tcW w:w="724" w:type="dxa"/>
            <w:vMerge/>
            <w:tcBorders>
              <w:top w:val="single" w:sz="4" w:space="0" w:color="auto"/>
              <w:bottom w:val="single" w:sz="12" w:space="0" w:color="auto"/>
            </w:tcBorders>
            <w:shd w:val="clear" w:color="auto" w:fill="auto"/>
            <w:vAlign w:val="bottom"/>
            <w:hideMark/>
          </w:tcPr>
          <w:p w14:paraId="1EF022A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b/>
                <w:bCs/>
                <w:sz w:val="18"/>
                <w:lang w:val="es-PE"/>
              </w:rPr>
            </w:pPr>
          </w:p>
        </w:tc>
        <w:tc>
          <w:tcPr>
            <w:tcW w:w="600" w:type="dxa"/>
            <w:vMerge/>
            <w:tcBorders>
              <w:top w:val="single" w:sz="4" w:space="0" w:color="auto"/>
              <w:bottom w:val="single" w:sz="12" w:space="0" w:color="auto"/>
            </w:tcBorders>
            <w:shd w:val="clear" w:color="auto" w:fill="auto"/>
            <w:vAlign w:val="bottom"/>
            <w:hideMark/>
          </w:tcPr>
          <w:p w14:paraId="7D6EA8B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600" w:type="dxa"/>
            <w:vMerge/>
            <w:tcBorders>
              <w:top w:val="single" w:sz="4" w:space="0" w:color="auto"/>
              <w:bottom w:val="single" w:sz="12" w:space="0" w:color="auto"/>
            </w:tcBorders>
            <w:shd w:val="clear" w:color="auto" w:fill="auto"/>
            <w:vAlign w:val="bottom"/>
            <w:hideMark/>
          </w:tcPr>
          <w:p w14:paraId="194BC0A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600" w:type="dxa"/>
            <w:vMerge/>
            <w:tcBorders>
              <w:top w:val="single" w:sz="4" w:space="0" w:color="auto"/>
              <w:bottom w:val="single" w:sz="12" w:space="0" w:color="auto"/>
            </w:tcBorders>
            <w:shd w:val="clear" w:color="auto" w:fill="auto"/>
            <w:vAlign w:val="bottom"/>
            <w:hideMark/>
          </w:tcPr>
          <w:p w14:paraId="0A2AEC3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599" w:type="dxa"/>
            <w:vMerge/>
            <w:tcBorders>
              <w:top w:val="single" w:sz="4" w:space="0" w:color="auto"/>
              <w:bottom w:val="single" w:sz="12" w:space="0" w:color="auto"/>
            </w:tcBorders>
            <w:shd w:val="clear" w:color="auto" w:fill="auto"/>
            <w:vAlign w:val="bottom"/>
            <w:hideMark/>
          </w:tcPr>
          <w:p w14:paraId="2BB3AA4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599" w:type="dxa"/>
            <w:vMerge/>
            <w:tcBorders>
              <w:top w:val="single" w:sz="4" w:space="0" w:color="auto"/>
              <w:bottom w:val="single" w:sz="12" w:space="0" w:color="auto"/>
            </w:tcBorders>
            <w:shd w:val="clear" w:color="auto" w:fill="auto"/>
            <w:vAlign w:val="bottom"/>
            <w:hideMark/>
          </w:tcPr>
          <w:p w14:paraId="2698528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599" w:type="dxa"/>
            <w:vMerge/>
            <w:tcBorders>
              <w:top w:val="single" w:sz="4" w:space="0" w:color="auto"/>
              <w:bottom w:val="single" w:sz="12" w:space="0" w:color="auto"/>
            </w:tcBorders>
            <w:shd w:val="clear" w:color="auto" w:fill="auto"/>
            <w:vAlign w:val="bottom"/>
            <w:hideMark/>
          </w:tcPr>
          <w:p w14:paraId="3CA25AE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599" w:type="dxa"/>
            <w:vMerge/>
            <w:tcBorders>
              <w:top w:val="single" w:sz="4" w:space="0" w:color="auto"/>
              <w:bottom w:val="single" w:sz="12" w:space="0" w:color="auto"/>
            </w:tcBorders>
            <w:shd w:val="clear" w:color="auto" w:fill="auto"/>
            <w:vAlign w:val="bottom"/>
            <w:hideMark/>
          </w:tcPr>
          <w:p w14:paraId="3B87598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599" w:type="dxa"/>
            <w:vMerge/>
            <w:tcBorders>
              <w:top w:val="single" w:sz="4" w:space="0" w:color="auto"/>
              <w:bottom w:val="single" w:sz="12" w:space="0" w:color="auto"/>
            </w:tcBorders>
            <w:shd w:val="clear" w:color="auto" w:fill="auto"/>
            <w:vAlign w:val="bottom"/>
            <w:hideMark/>
          </w:tcPr>
          <w:p w14:paraId="5281FCD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599" w:type="dxa"/>
            <w:vMerge/>
            <w:tcBorders>
              <w:top w:val="single" w:sz="4" w:space="0" w:color="auto"/>
              <w:bottom w:val="single" w:sz="12" w:space="0" w:color="auto"/>
            </w:tcBorders>
            <w:shd w:val="clear" w:color="auto" w:fill="auto"/>
            <w:vAlign w:val="bottom"/>
            <w:hideMark/>
          </w:tcPr>
          <w:p w14:paraId="5FCE70F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p>
        </w:tc>
        <w:tc>
          <w:tcPr>
            <w:tcW w:w="681" w:type="dxa"/>
            <w:tcBorders>
              <w:top w:val="single" w:sz="4" w:space="0" w:color="auto"/>
              <w:bottom w:val="single" w:sz="12" w:space="0" w:color="auto"/>
            </w:tcBorders>
            <w:shd w:val="clear" w:color="auto" w:fill="auto"/>
            <w:vAlign w:val="bottom"/>
            <w:hideMark/>
          </w:tcPr>
          <w:p w14:paraId="0DCFB268"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Estimador</w:t>
            </w:r>
          </w:p>
        </w:tc>
        <w:tc>
          <w:tcPr>
            <w:tcW w:w="571" w:type="dxa"/>
            <w:tcBorders>
              <w:top w:val="single" w:sz="4" w:space="0" w:color="auto"/>
              <w:bottom w:val="single" w:sz="12" w:space="0" w:color="auto"/>
            </w:tcBorders>
            <w:shd w:val="clear" w:color="auto" w:fill="auto"/>
            <w:vAlign w:val="bottom"/>
            <w:hideMark/>
          </w:tcPr>
          <w:p w14:paraId="73FC05FC" w14:textId="77777777" w:rsidR="00362916" w:rsidRPr="00362916" w:rsidRDefault="00362916" w:rsidP="009A4034">
            <w:pPr>
              <w:pStyle w:val="SingleTxtG"/>
              <w:tabs>
                <w:tab w:val="clear" w:pos="1701"/>
                <w:tab w:val="clear" w:pos="2268"/>
                <w:tab w:val="clear" w:pos="2835"/>
              </w:tabs>
              <w:spacing w:before="80" w:after="80" w:line="200" w:lineRule="exact"/>
              <w:ind w:left="0" w:right="0"/>
              <w:jc w:val="right"/>
              <w:rPr>
                <w:bCs/>
                <w:i/>
                <w:sz w:val="16"/>
                <w:lang w:val="es-PE"/>
              </w:rPr>
            </w:pPr>
            <w:r w:rsidRPr="00362916">
              <w:rPr>
                <w:bCs/>
                <w:i/>
                <w:sz w:val="16"/>
                <w:lang w:val="es-PE"/>
              </w:rPr>
              <w:t>CV</w:t>
            </w:r>
          </w:p>
        </w:tc>
      </w:tr>
      <w:tr w:rsidR="009A4034" w:rsidRPr="009A4034" w14:paraId="550C2457" w14:textId="77777777" w:rsidTr="009A4034">
        <w:tc>
          <w:tcPr>
            <w:tcW w:w="724" w:type="dxa"/>
            <w:tcBorders>
              <w:top w:val="single" w:sz="12" w:space="0" w:color="auto"/>
            </w:tcBorders>
            <w:shd w:val="clear" w:color="auto" w:fill="auto"/>
            <w:noWrap/>
            <w:hideMark/>
          </w:tcPr>
          <w:p w14:paraId="623FAE5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b/>
                <w:bCs/>
                <w:sz w:val="18"/>
                <w:lang w:val="es-PE"/>
              </w:rPr>
            </w:pPr>
            <w:r w:rsidRPr="00362916">
              <w:rPr>
                <w:b/>
                <w:bCs/>
                <w:sz w:val="18"/>
                <w:lang w:val="es-PE"/>
              </w:rPr>
              <w:t>Nacional</w:t>
            </w:r>
          </w:p>
        </w:tc>
        <w:tc>
          <w:tcPr>
            <w:tcW w:w="600" w:type="dxa"/>
            <w:tcBorders>
              <w:top w:val="single" w:sz="12" w:space="0" w:color="auto"/>
            </w:tcBorders>
            <w:shd w:val="clear" w:color="auto" w:fill="auto"/>
            <w:noWrap/>
            <w:vAlign w:val="bottom"/>
            <w:hideMark/>
          </w:tcPr>
          <w:p w14:paraId="4010DE9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0.436</w:t>
            </w:r>
          </w:p>
        </w:tc>
        <w:tc>
          <w:tcPr>
            <w:tcW w:w="600" w:type="dxa"/>
            <w:tcBorders>
              <w:top w:val="single" w:sz="12" w:space="0" w:color="auto"/>
            </w:tcBorders>
            <w:shd w:val="clear" w:color="auto" w:fill="auto"/>
            <w:noWrap/>
            <w:vAlign w:val="bottom"/>
            <w:hideMark/>
          </w:tcPr>
          <w:p w14:paraId="6237C7D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0.435</w:t>
            </w:r>
          </w:p>
        </w:tc>
        <w:tc>
          <w:tcPr>
            <w:tcW w:w="600" w:type="dxa"/>
            <w:tcBorders>
              <w:top w:val="single" w:sz="12" w:space="0" w:color="auto"/>
            </w:tcBorders>
            <w:shd w:val="clear" w:color="auto" w:fill="auto"/>
            <w:noWrap/>
            <w:vAlign w:val="bottom"/>
            <w:hideMark/>
          </w:tcPr>
          <w:p w14:paraId="10F9F7B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0.437</w:t>
            </w:r>
          </w:p>
        </w:tc>
        <w:tc>
          <w:tcPr>
            <w:tcW w:w="599" w:type="dxa"/>
            <w:tcBorders>
              <w:top w:val="single" w:sz="12" w:space="0" w:color="auto"/>
            </w:tcBorders>
            <w:shd w:val="clear" w:color="auto" w:fill="auto"/>
            <w:noWrap/>
            <w:vAlign w:val="bottom"/>
            <w:hideMark/>
          </w:tcPr>
          <w:p w14:paraId="60A1104E"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0.433</w:t>
            </w:r>
          </w:p>
        </w:tc>
        <w:tc>
          <w:tcPr>
            <w:tcW w:w="599" w:type="dxa"/>
            <w:tcBorders>
              <w:top w:val="single" w:sz="12" w:space="0" w:color="auto"/>
            </w:tcBorders>
            <w:shd w:val="clear" w:color="auto" w:fill="auto"/>
            <w:noWrap/>
            <w:vAlign w:val="bottom"/>
            <w:hideMark/>
          </w:tcPr>
          <w:p w14:paraId="1DFB5E9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0.424</w:t>
            </w:r>
          </w:p>
        </w:tc>
        <w:tc>
          <w:tcPr>
            <w:tcW w:w="599" w:type="dxa"/>
            <w:tcBorders>
              <w:top w:val="single" w:sz="12" w:space="0" w:color="auto"/>
            </w:tcBorders>
            <w:shd w:val="clear" w:color="auto" w:fill="auto"/>
            <w:noWrap/>
            <w:vAlign w:val="bottom"/>
            <w:hideMark/>
          </w:tcPr>
          <w:p w14:paraId="4F68DA6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0.416</w:t>
            </w:r>
          </w:p>
        </w:tc>
        <w:tc>
          <w:tcPr>
            <w:tcW w:w="599" w:type="dxa"/>
            <w:tcBorders>
              <w:top w:val="single" w:sz="12" w:space="0" w:color="auto"/>
            </w:tcBorders>
            <w:shd w:val="clear" w:color="auto" w:fill="auto"/>
            <w:noWrap/>
            <w:vAlign w:val="bottom"/>
            <w:hideMark/>
          </w:tcPr>
          <w:p w14:paraId="048EFAC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0.449</w:t>
            </w:r>
          </w:p>
        </w:tc>
        <w:tc>
          <w:tcPr>
            <w:tcW w:w="599" w:type="dxa"/>
            <w:tcBorders>
              <w:top w:val="single" w:sz="12" w:space="0" w:color="auto"/>
            </w:tcBorders>
            <w:shd w:val="clear" w:color="auto" w:fill="auto"/>
            <w:noWrap/>
            <w:vAlign w:val="bottom"/>
            <w:hideMark/>
          </w:tcPr>
          <w:p w14:paraId="7C36A27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0.409</w:t>
            </w:r>
          </w:p>
        </w:tc>
        <w:tc>
          <w:tcPr>
            <w:tcW w:w="599" w:type="dxa"/>
            <w:tcBorders>
              <w:top w:val="single" w:sz="12" w:space="0" w:color="auto"/>
            </w:tcBorders>
            <w:shd w:val="clear" w:color="auto" w:fill="auto"/>
            <w:noWrap/>
            <w:vAlign w:val="bottom"/>
            <w:hideMark/>
          </w:tcPr>
          <w:p w14:paraId="5702AB3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0.413</w:t>
            </w:r>
          </w:p>
        </w:tc>
        <w:tc>
          <w:tcPr>
            <w:tcW w:w="681" w:type="dxa"/>
            <w:tcBorders>
              <w:top w:val="single" w:sz="12" w:space="0" w:color="auto"/>
            </w:tcBorders>
            <w:shd w:val="clear" w:color="auto" w:fill="auto"/>
            <w:noWrap/>
            <w:vAlign w:val="bottom"/>
            <w:hideMark/>
          </w:tcPr>
          <w:p w14:paraId="1C6EE84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0.411</w:t>
            </w:r>
          </w:p>
        </w:tc>
        <w:tc>
          <w:tcPr>
            <w:tcW w:w="571" w:type="dxa"/>
            <w:tcBorders>
              <w:top w:val="single" w:sz="12" w:space="0" w:color="auto"/>
            </w:tcBorders>
            <w:shd w:val="clear" w:color="auto" w:fill="auto"/>
            <w:noWrap/>
            <w:vAlign w:val="bottom"/>
            <w:hideMark/>
          </w:tcPr>
          <w:p w14:paraId="65D26F7E"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b/>
                <w:bCs/>
                <w:sz w:val="18"/>
                <w:lang w:val="es-PE"/>
              </w:rPr>
            </w:pPr>
            <w:r w:rsidRPr="00362916">
              <w:rPr>
                <w:b/>
                <w:bCs/>
                <w:sz w:val="18"/>
                <w:lang w:val="es-PE"/>
              </w:rPr>
              <w:t>1.0</w:t>
            </w:r>
          </w:p>
        </w:tc>
      </w:tr>
      <w:tr w:rsidR="00362BB9" w:rsidRPr="009A4034" w14:paraId="66FCE36F" w14:textId="77777777" w:rsidTr="009A4034">
        <w:tc>
          <w:tcPr>
            <w:tcW w:w="7370" w:type="dxa"/>
            <w:gridSpan w:val="12"/>
            <w:shd w:val="clear" w:color="auto" w:fill="auto"/>
            <w:hideMark/>
          </w:tcPr>
          <w:p w14:paraId="4DDB093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b/>
                <w:bCs/>
                <w:sz w:val="18"/>
                <w:lang w:val="es-PE"/>
              </w:rPr>
              <w:t>Área de residencia</w:t>
            </w:r>
          </w:p>
        </w:tc>
      </w:tr>
      <w:tr w:rsidR="009A4034" w:rsidRPr="009A4034" w14:paraId="0723C193" w14:textId="77777777" w:rsidTr="009A4034">
        <w:tc>
          <w:tcPr>
            <w:tcW w:w="724" w:type="dxa"/>
            <w:shd w:val="clear" w:color="auto" w:fill="auto"/>
            <w:noWrap/>
            <w:hideMark/>
          </w:tcPr>
          <w:p w14:paraId="0EAE077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Urbana</w:t>
            </w:r>
          </w:p>
        </w:tc>
        <w:tc>
          <w:tcPr>
            <w:tcW w:w="600" w:type="dxa"/>
            <w:shd w:val="clear" w:color="auto" w:fill="auto"/>
            <w:noWrap/>
            <w:vAlign w:val="bottom"/>
            <w:hideMark/>
          </w:tcPr>
          <w:p w14:paraId="456160E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0.401</w:t>
            </w:r>
          </w:p>
        </w:tc>
        <w:tc>
          <w:tcPr>
            <w:tcW w:w="600" w:type="dxa"/>
            <w:shd w:val="clear" w:color="auto" w:fill="auto"/>
            <w:noWrap/>
            <w:vAlign w:val="bottom"/>
            <w:hideMark/>
          </w:tcPr>
          <w:p w14:paraId="43CE933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0.401</w:t>
            </w:r>
          </w:p>
        </w:tc>
        <w:tc>
          <w:tcPr>
            <w:tcW w:w="600" w:type="dxa"/>
            <w:shd w:val="clear" w:color="auto" w:fill="auto"/>
            <w:noWrap/>
            <w:vAlign w:val="bottom"/>
            <w:hideMark/>
          </w:tcPr>
          <w:p w14:paraId="66F2B25E"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0.402</w:t>
            </w:r>
          </w:p>
        </w:tc>
        <w:tc>
          <w:tcPr>
            <w:tcW w:w="599" w:type="dxa"/>
            <w:shd w:val="clear" w:color="auto" w:fill="auto"/>
            <w:noWrap/>
            <w:vAlign w:val="bottom"/>
            <w:hideMark/>
          </w:tcPr>
          <w:p w14:paraId="07B1B6F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0.399</w:t>
            </w:r>
          </w:p>
        </w:tc>
        <w:tc>
          <w:tcPr>
            <w:tcW w:w="599" w:type="dxa"/>
            <w:shd w:val="clear" w:color="auto" w:fill="auto"/>
            <w:noWrap/>
            <w:vAlign w:val="bottom"/>
            <w:hideMark/>
          </w:tcPr>
          <w:p w14:paraId="47C5BE8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0.394</w:t>
            </w:r>
          </w:p>
        </w:tc>
        <w:tc>
          <w:tcPr>
            <w:tcW w:w="599" w:type="dxa"/>
            <w:shd w:val="clear" w:color="auto" w:fill="auto"/>
            <w:noWrap/>
            <w:vAlign w:val="bottom"/>
            <w:hideMark/>
          </w:tcPr>
          <w:p w14:paraId="082B513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0.388</w:t>
            </w:r>
          </w:p>
        </w:tc>
        <w:tc>
          <w:tcPr>
            <w:tcW w:w="599" w:type="dxa"/>
            <w:shd w:val="clear" w:color="auto" w:fill="auto"/>
            <w:noWrap/>
            <w:vAlign w:val="bottom"/>
            <w:hideMark/>
          </w:tcPr>
          <w:p w14:paraId="00D7240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0.438</w:t>
            </w:r>
          </w:p>
        </w:tc>
        <w:tc>
          <w:tcPr>
            <w:tcW w:w="599" w:type="dxa"/>
            <w:shd w:val="clear" w:color="auto" w:fill="auto"/>
            <w:noWrap/>
            <w:vAlign w:val="bottom"/>
            <w:hideMark/>
          </w:tcPr>
          <w:p w14:paraId="588D650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0.394</w:t>
            </w:r>
          </w:p>
        </w:tc>
        <w:tc>
          <w:tcPr>
            <w:tcW w:w="599" w:type="dxa"/>
            <w:shd w:val="clear" w:color="auto" w:fill="auto"/>
            <w:noWrap/>
            <w:vAlign w:val="bottom"/>
            <w:hideMark/>
          </w:tcPr>
          <w:p w14:paraId="436A750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0.400</w:t>
            </w:r>
          </w:p>
        </w:tc>
        <w:tc>
          <w:tcPr>
            <w:tcW w:w="681" w:type="dxa"/>
            <w:shd w:val="clear" w:color="auto" w:fill="auto"/>
            <w:noWrap/>
            <w:vAlign w:val="bottom"/>
            <w:hideMark/>
          </w:tcPr>
          <w:p w14:paraId="6618293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0.399</w:t>
            </w:r>
          </w:p>
        </w:tc>
        <w:tc>
          <w:tcPr>
            <w:tcW w:w="571" w:type="dxa"/>
            <w:shd w:val="clear" w:color="auto" w:fill="auto"/>
            <w:noWrap/>
            <w:vAlign w:val="bottom"/>
            <w:hideMark/>
          </w:tcPr>
          <w:p w14:paraId="47F1179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1.2</w:t>
            </w:r>
          </w:p>
        </w:tc>
      </w:tr>
      <w:tr w:rsidR="009A4034" w:rsidRPr="009A4034" w14:paraId="7B83C48A" w14:textId="77777777" w:rsidTr="009A4034">
        <w:tc>
          <w:tcPr>
            <w:tcW w:w="724" w:type="dxa"/>
            <w:shd w:val="clear" w:color="auto" w:fill="auto"/>
            <w:noWrap/>
            <w:hideMark/>
          </w:tcPr>
          <w:p w14:paraId="01C5C83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Rural</w:t>
            </w:r>
          </w:p>
        </w:tc>
        <w:tc>
          <w:tcPr>
            <w:tcW w:w="600" w:type="dxa"/>
            <w:shd w:val="clear" w:color="auto" w:fill="auto"/>
            <w:noWrap/>
            <w:vAlign w:val="bottom"/>
            <w:hideMark/>
          </w:tcPr>
          <w:p w14:paraId="1B9EDF7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0.413</w:t>
            </w:r>
          </w:p>
        </w:tc>
        <w:tc>
          <w:tcPr>
            <w:tcW w:w="600" w:type="dxa"/>
            <w:shd w:val="clear" w:color="auto" w:fill="auto"/>
            <w:noWrap/>
            <w:vAlign w:val="bottom"/>
            <w:hideMark/>
          </w:tcPr>
          <w:p w14:paraId="38EEB66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0.413</w:t>
            </w:r>
          </w:p>
        </w:tc>
        <w:tc>
          <w:tcPr>
            <w:tcW w:w="600" w:type="dxa"/>
            <w:shd w:val="clear" w:color="auto" w:fill="auto"/>
            <w:noWrap/>
            <w:vAlign w:val="bottom"/>
            <w:hideMark/>
          </w:tcPr>
          <w:p w14:paraId="38D7D79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0.408</w:t>
            </w:r>
          </w:p>
        </w:tc>
        <w:tc>
          <w:tcPr>
            <w:tcW w:w="599" w:type="dxa"/>
            <w:shd w:val="clear" w:color="auto" w:fill="auto"/>
            <w:noWrap/>
            <w:vAlign w:val="bottom"/>
            <w:hideMark/>
          </w:tcPr>
          <w:p w14:paraId="4B77B89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0.404</w:t>
            </w:r>
          </w:p>
        </w:tc>
        <w:tc>
          <w:tcPr>
            <w:tcW w:w="599" w:type="dxa"/>
            <w:shd w:val="clear" w:color="auto" w:fill="auto"/>
            <w:noWrap/>
            <w:vAlign w:val="bottom"/>
            <w:hideMark/>
          </w:tcPr>
          <w:p w14:paraId="4AF0694B"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0.392</w:t>
            </w:r>
          </w:p>
        </w:tc>
        <w:tc>
          <w:tcPr>
            <w:tcW w:w="599" w:type="dxa"/>
            <w:shd w:val="clear" w:color="auto" w:fill="auto"/>
            <w:noWrap/>
            <w:vAlign w:val="bottom"/>
            <w:hideMark/>
          </w:tcPr>
          <w:p w14:paraId="04043B3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0.393</w:t>
            </w:r>
          </w:p>
        </w:tc>
        <w:tc>
          <w:tcPr>
            <w:tcW w:w="599" w:type="dxa"/>
            <w:shd w:val="clear" w:color="auto" w:fill="auto"/>
            <w:noWrap/>
            <w:vAlign w:val="bottom"/>
            <w:hideMark/>
          </w:tcPr>
          <w:p w14:paraId="315F6B3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0.400</w:t>
            </w:r>
          </w:p>
        </w:tc>
        <w:tc>
          <w:tcPr>
            <w:tcW w:w="599" w:type="dxa"/>
            <w:shd w:val="clear" w:color="auto" w:fill="auto"/>
            <w:noWrap/>
            <w:vAlign w:val="bottom"/>
            <w:hideMark/>
          </w:tcPr>
          <w:p w14:paraId="34A10176"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0.394</w:t>
            </w:r>
          </w:p>
        </w:tc>
        <w:tc>
          <w:tcPr>
            <w:tcW w:w="599" w:type="dxa"/>
            <w:shd w:val="clear" w:color="auto" w:fill="auto"/>
            <w:noWrap/>
            <w:vAlign w:val="bottom"/>
            <w:hideMark/>
          </w:tcPr>
          <w:p w14:paraId="1FC1D59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0.381</w:t>
            </w:r>
          </w:p>
        </w:tc>
        <w:tc>
          <w:tcPr>
            <w:tcW w:w="681" w:type="dxa"/>
            <w:shd w:val="clear" w:color="auto" w:fill="auto"/>
            <w:noWrap/>
            <w:vAlign w:val="bottom"/>
            <w:hideMark/>
          </w:tcPr>
          <w:p w14:paraId="6A2C1E3B"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0.387</w:t>
            </w:r>
          </w:p>
        </w:tc>
        <w:tc>
          <w:tcPr>
            <w:tcW w:w="571" w:type="dxa"/>
            <w:shd w:val="clear" w:color="auto" w:fill="auto"/>
            <w:noWrap/>
            <w:vAlign w:val="bottom"/>
            <w:hideMark/>
          </w:tcPr>
          <w:p w14:paraId="39909A7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1.2</w:t>
            </w:r>
          </w:p>
        </w:tc>
      </w:tr>
      <w:tr w:rsidR="00362BB9" w:rsidRPr="009A4034" w14:paraId="70B258AF" w14:textId="77777777" w:rsidTr="009A4034">
        <w:tc>
          <w:tcPr>
            <w:tcW w:w="7370" w:type="dxa"/>
            <w:gridSpan w:val="12"/>
            <w:shd w:val="clear" w:color="auto" w:fill="auto"/>
            <w:noWrap/>
            <w:hideMark/>
          </w:tcPr>
          <w:p w14:paraId="0917CA2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b/>
                <w:bCs/>
                <w:sz w:val="18"/>
                <w:lang w:val="es-PE"/>
              </w:rPr>
              <w:t>Ámbito Geográfico</w:t>
            </w:r>
          </w:p>
        </w:tc>
      </w:tr>
      <w:tr w:rsidR="009A4034" w:rsidRPr="009A4034" w14:paraId="1CB2D9F3" w14:textId="77777777" w:rsidTr="009A4034">
        <w:tc>
          <w:tcPr>
            <w:tcW w:w="724" w:type="dxa"/>
            <w:shd w:val="clear" w:color="auto" w:fill="auto"/>
            <w:noWrap/>
            <w:hideMark/>
          </w:tcPr>
          <w:p w14:paraId="050125B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 xml:space="preserve">Lima Metropolitana 1/ y Prov. </w:t>
            </w:r>
            <w:r w:rsidRPr="00362916">
              <w:rPr>
                <w:sz w:val="18"/>
                <w:lang w:val="es-PE"/>
              </w:rPr>
              <w:lastRenderedPageBreak/>
              <w:t>Const. Callao</w:t>
            </w:r>
          </w:p>
        </w:tc>
        <w:tc>
          <w:tcPr>
            <w:tcW w:w="600" w:type="dxa"/>
            <w:shd w:val="clear" w:color="auto" w:fill="auto"/>
            <w:noWrap/>
            <w:vAlign w:val="bottom"/>
            <w:hideMark/>
          </w:tcPr>
          <w:p w14:paraId="1810A5F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lastRenderedPageBreak/>
              <w:t>0.402</w:t>
            </w:r>
          </w:p>
        </w:tc>
        <w:tc>
          <w:tcPr>
            <w:tcW w:w="600" w:type="dxa"/>
            <w:shd w:val="clear" w:color="auto" w:fill="auto"/>
            <w:noWrap/>
            <w:vAlign w:val="bottom"/>
            <w:hideMark/>
          </w:tcPr>
          <w:p w14:paraId="51BAB477"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0.404</w:t>
            </w:r>
          </w:p>
        </w:tc>
        <w:tc>
          <w:tcPr>
            <w:tcW w:w="600" w:type="dxa"/>
            <w:shd w:val="clear" w:color="auto" w:fill="auto"/>
            <w:noWrap/>
            <w:vAlign w:val="bottom"/>
            <w:hideMark/>
          </w:tcPr>
          <w:p w14:paraId="02AA0FA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0.406</w:t>
            </w:r>
          </w:p>
        </w:tc>
        <w:tc>
          <w:tcPr>
            <w:tcW w:w="599" w:type="dxa"/>
            <w:shd w:val="clear" w:color="auto" w:fill="auto"/>
            <w:noWrap/>
            <w:vAlign w:val="bottom"/>
            <w:hideMark/>
          </w:tcPr>
          <w:p w14:paraId="5126312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0.404</w:t>
            </w:r>
          </w:p>
        </w:tc>
        <w:tc>
          <w:tcPr>
            <w:tcW w:w="599" w:type="dxa"/>
            <w:shd w:val="clear" w:color="auto" w:fill="auto"/>
            <w:noWrap/>
            <w:vAlign w:val="bottom"/>
            <w:hideMark/>
          </w:tcPr>
          <w:p w14:paraId="4138C90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0.400</w:t>
            </w:r>
          </w:p>
        </w:tc>
        <w:tc>
          <w:tcPr>
            <w:tcW w:w="599" w:type="dxa"/>
            <w:shd w:val="clear" w:color="auto" w:fill="auto"/>
            <w:noWrap/>
            <w:vAlign w:val="bottom"/>
            <w:hideMark/>
          </w:tcPr>
          <w:p w14:paraId="3A8558A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0.399</w:t>
            </w:r>
          </w:p>
        </w:tc>
        <w:tc>
          <w:tcPr>
            <w:tcW w:w="599" w:type="dxa"/>
            <w:shd w:val="clear" w:color="auto" w:fill="auto"/>
            <w:noWrap/>
            <w:vAlign w:val="bottom"/>
            <w:hideMark/>
          </w:tcPr>
          <w:p w14:paraId="28A5E3B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0.461</w:t>
            </w:r>
          </w:p>
        </w:tc>
        <w:tc>
          <w:tcPr>
            <w:tcW w:w="599" w:type="dxa"/>
            <w:shd w:val="clear" w:color="auto" w:fill="auto"/>
            <w:noWrap/>
            <w:vAlign w:val="bottom"/>
            <w:hideMark/>
          </w:tcPr>
          <w:p w14:paraId="7F1DCB67"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0.412</w:t>
            </w:r>
          </w:p>
        </w:tc>
        <w:tc>
          <w:tcPr>
            <w:tcW w:w="599" w:type="dxa"/>
            <w:shd w:val="clear" w:color="auto" w:fill="auto"/>
            <w:noWrap/>
            <w:vAlign w:val="bottom"/>
            <w:hideMark/>
          </w:tcPr>
          <w:p w14:paraId="35112C26"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0.412</w:t>
            </w:r>
          </w:p>
        </w:tc>
        <w:tc>
          <w:tcPr>
            <w:tcW w:w="681" w:type="dxa"/>
            <w:shd w:val="clear" w:color="auto" w:fill="auto"/>
            <w:noWrap/>
            <w:vAlign w:val="bottom"/>
            <w:hideMark/>
          </w:tcPr>
          <w:p w14:paraId="6ED77FD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0.407</w:t>
            </w:r>
          </w:p>
        </w:tc>
        <w:tc>
          <w:tcPr>
            <w:tcW w:w="571" w:type="dxa"/>
            <w:shd w:val="clear" w:color="auto" w:fill="auto"/>
            <w:noWrap/>
            <w:vAlign w:val="bottom"/>
            <w:hideMark/>
          </w:tcPr>
          <w:p w14:paraId="5C50A41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2.2</w:t>
            </w:r>
          </w:p>
        </w:tc>
      </w:tr>
      <w:tr w:rsidR="009A4034" w:rsidRPr="009A4034" w14:paraId="0E6EA05E" w14:textId="77777777" w:rsidTr="009A4034">
        <w:tc>
          <w:tcPr>
            <w:tcW w:w="724" w:type="dxa"/>
            <w:shd w:val="clear" w:color="auto" w:fill="auto"/>
            <w:noWrap/>
            <w:hideMark/>
          </w:tcPr>
          <w:p w14:paraId="145FF47B"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Resto urbano</w:t>
            </w:r>
          </w:p>
        </w:tc>
        <w:tc>
          <w:tcPr>
            <w:tcW w:w="600" w:type="dxa"/>
            <w:shd w:val="clear" w:color="auto" w:fill="auto"/>
            <w:noWrap/>
            <w:vAlign w:val="bottom"/>
            <w:hideMark/>
          </w:tcPr>
          <w:p w14:paraId="4032C4D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0.393</w:t>
            </w:r>
          </w:p>
        </w:tc>
        <w:tc>
          <w:tcPr>
            <w:tcW w:w="600" w:type="dxa"/>
            <w:shd w:val="clear" w:color="auto" w:fill="auto"/>
            <w:noWrap/>
            <w:vAlign w:val="bottom"/>
            <w:hideMark/>
          </w:tcPr>
          <w:p w14:paraId="76B526E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0.390</w:t>
            </w:r>
          </w:p>
        </w:tc>
        <w:tc>
          <w:tcPr>
            <w:tcW w:w="600" w:type="dxa"/>
            <w:shd w:val="clear" w:color="auto" w:fill="auto"/>
            <w:noWrap/>
            <w:vAlign w:val="bottom"/>
            <w:hideMark/>
          </w:tcPr>
          <w:p w14:paraId="1EA1F60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0.388</w:t>
            </w:r>
          </w:p>
        </w:tc>
        <w:tc>
          <w:tcPr>
            <w:tcW w:w="599" w:type="dxa"/>
            <w:shd w:val="clear" w:color="auto" w:fill="auto"/>
            <w:noWrap/>
            <w:vAlign w:val="bottom"/>
            <w:hideMark/>
          </w:tcPr>
          <w:p w14:paraId="46687ED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0.385</w:t>
            </w:r>
          </w:p>
        </w:tc>
        <w:tc>
          <w:tcPr>
            <w:tcW w:w="599" w:type="dxa"/>
            <w:shd w:val="clear" w:color="auto" w:fill="auto"/>
            <w:noWrap/>
            <w:vAlign w:val="bottom"/>
            <w:hideMark/>
          </w:tcPr>
          <w:p w14:paraId="31D65067"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0.381</w:t>
            </w:r>
          </w:p>
        </w:tc>
        <w:tc>
          <w:tcPr>
            <w:tcW w:w="599" w:type="dxa"/>
            <w:shd w:val="clear" w:color="auto" w:fill="auto"/>
            <w:noWrap/>
            <w:vAlign w:val="bottom"/>
            <w:hideMark/>
          </w:tcPr>
          <w:p w14:paraId="05D73A8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0.372</w:t>
            </w:r>
          </w:p>
        </w:tc>
        <w:tc>
          <w:tcPr>
            <w:tcW w:w="599" w:type="dxa"/>
            <w:shd w:val="clear" w:color="auto" w:fill="auto"/>
            <w:noWrap/>
            <w:vAlign w:val="bottom"/>
            <w:hideMark/>
          </w:tcPr>
          <w:p w14:paraId="2CED7FA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0.419</w:t>
            </w:r>
          </w:p>
        </w:tc>
        <w:tc>
          <w:tcPr>
            <w:tcW w:w="599" w:type="dxa"/>
            <w:shd w:val="clear" w:color="auto" w:fill="auto"/>
            <w:noWrap/>
            <w:vAlign w:val="bottom"/>
            <w:hideMark/>
          </w:tcPr>
          <w:p w14:paraId="2E47C486"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0.379</w:t>
            </w:r>
          </w:p>
        </w:tc>
        <w:tc>
          <w:tcPr>
            <w:tcW w:w="599" w:type="dxa"/>
            <w:shd w:val="clear" w:color="auto" w:fill="auto"/>
            <w:noWrap/>
            <w:vAlign w:val="bottom"/>
            <w:hideMark/>
          </w:tcPr>
          <w:p w14:paraId="124B16C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0.391</w:t>
            </w:r>
          </w:p>
        </w:tc>
        <w:tc>
          <w:tcPr>
            <w:tcW w:w="681" w:type="dxa"/>
            <w:shd w:val="clear" w:color="auto" w:fill="auto"/>
            <w:noWrap/>
            <w:vAlign w:val="bottom"/>
            <w:hideMark/>
          </w:tcPr>
          <w:p w14:paraId="65B4CE4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0.391</w:t>
            </w:r>
          </w:p>
        </w:tc>
        <w:tc>
          <w:tcPr>
            <w:tcW w:w="571" w:type="dxa"/>
            <w:shd w:val="clear" w:color="auto" w:fill="auto"/>
            <w:noWrap/>
            <w:vAlign w:val="bottom"/>
            <w:hideMark/>
          </w:tcPr>
          <w:p w14:paraId="645AE777"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1.2</w:t>
            </w:r>
          </w:p>
        </w:tc>
      </w:tr>
      <w:tr w:rsidR="009A4034" w:rsidRPr="009A4034" w14:paraId="5EE6371B" w14:textId="77777777" w:rsidTr="009A4034">
        <w:tc>
          <w:tcPr>
            <w:tcW w:w="724" w:type="dxa"/>
            <w:shd w:val="clear" w:color="auto" w:fill="auto"/>
            <w:noWrap/>
            <w:hideMark/>
          </w:tcPr>
          <w:p w14:paraId="450AEB5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Rural</w:t>
            </w:r>
          </w:p>
        </w:tc>
        <w:tc>
          <w:tcPr>
            <w:tcW w:w="600" w:type="dxa"/>
            <w:shd w:val="clear" w:color="auto" w:fill="auto"/>
            <w:noWrap/>
            <w:vAlign w:val="bottom"/>
            <w:hideMark/>
          </w:tcPr>
          <w:p w14:paraId="4EF38DD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0.413</w:t>
            </w:r>
          </w:p>
        </w:tc>
        <w:tc>
          <w:tcPr>
            <w:tcW w:w="600" w:type="dxa"/>
            <w:shd w:val="clear" w:color="auto" w:fill="auto"/>
            <w:noWrap/>
            <w:vAlign w:val="bottom"/>
            <w:hideMark/>
          </w:tcPr>
          <w:p w14:paraId="70949EFB"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0.413</w:t>
            </w:r>
          </w:p>
        </w:tc>
        <w:tc>
          <w:tcPr>
            <w:tcW w:w="600" w:type="dxa"/>
            <w:shd w:val="clear" w:color="auto" w:fill="auto"/>
            <w:noWrap/>
            <w:vAlign w:val="bottom"/>
            <w:hideMark/>
          </w:tcPr>
          <w:p w14:paraId="10A4006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0.408</w:t>
            </w:r>
          </w:p>
        </w:tc>
        <w:tc>
          <w:tcPr>
            <w:tcW w:w="599" w:type="dxa"/>
            <w:shd w:val="clear" w:color="auto" w:fill="auto"/>
            <w:noWrap/>
            <w:vAlign w:val="bottom"/>
            <w:hideMark/>
          </w:tcPr>
          <w:p w14:paraId="7EAFC3E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0.404</w:t>
            </w:r>
          </w:p>
        </w:tc>
        <w:tc>
          <w:tcPr>
            <w:tcW w:w="599" w:type="dxa"/>
            <w:shd w:val="clear" w:color="auto" w:fill="auto"/>
            <w:noWrap/>
            <w:vAlign w:val="bottom"/>
            <w:hideMark/>
          </w:tcPr>
          <w:p w14:paraId="37FAA0D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0.392</w:t>
            </w:r>
          </w:p>
        </w:tc>
        <w:tc>
          <w:tcPr>
            <w:tcW w:w="599" w:type="dxa"/>
            <w:shd w:val="clear" w:color="auto" w:fill="auto"/>
            <w:noWrap/>
            <w:vAlign w:val="bottom"/>
            <w:hideMark/>
          </w:tcPr>
          <w:p w14:paraId="24F98677"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0.393</w:t>
            </w:r>
          </w:p>
        </w:tc>
        <w:tc>
          <w:tcPr>
            <w:tcW w:w="599" w:type="dxa"/>
            <w:shd w:val="clear" w:color="auto" w:fill="auto"/>
            <w:noWrap/>
            <w:vAlign w:val="bottom"/>
            <w:hideMark/>
          </w:tcPr>
          <w:p w14:paraId="13A850B6"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0.400</w:t>
            </w:r>
          </w:p>
        </w:tc>
        <w:tc>
          <w:tcPr>
            <w:tcW w:w="599" w:type="dxa"/>
            <w:shd w:val="clear" w:color="auto" w:fill="auto"/>
            <w:noWrap/>
            <w:vAlign w:val="bottom"/>
            <w:hideMark/>
          </w:tcPr>
          <w:p w14:paraId="3B2D028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0.394</w:t>
            </w:r>
          </w:p>
        </w:tc>
        <w:tc>
          <w:tcPr>
            <w:tcW w:w="599" w:type="dxa"/>
            <w:shd w:val="clear" w:color="auto" w:fill="auto"/>
            <w:noWrap/>
            <w:vAlign w:val="bottom"/>
            <w:hideMark/>
          </w:tcPr>
          <w:p w14:paraId="48C7AA0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0.381</w:t>
            </w:r>
          </w:p>
        </w:tc>
        <w:tc>
          <w:tcPr>
            <w:tcW w:w="681" w:type="dxa"/>
            <w:shd w:val="clear" w:color="auto" w:fill="auto"/>
            <w:noWrap/>
            <w:vAlign w:val="bottom"/>
            <w:hideMark/>
          </w:tcPr>
          <w:p w14:paraId="2ED36B7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0.387</w:t>
            </w:r>
          </w:p>
        </w:tc>
        <w:tc>
          <w:tcPr>
            <w:tcW w:w="571" w:type="dxa"/>
            <w:shd w:val="clear" w:color="auto" w:fill="auto"/>
            <w:noWrap/>
            <w:vAlign w:val="bottom"/>
            <w:hideMark/>
          </w:tcPr>
          <w:p w14:paraId="7FCFB88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1.3</w:t>
            </w:r>
          </w:p>
        </w:tc>
      </w:tr>
      <w:tr w:rsidR="00362BB9" w:rsidRPr="009A4034" w14:paraId="7560C970" w14:textId="77777777" w:rsidTr="009A4034">
        <w:tc>
          <w:tcPr>
            <w:tcW w:w="7370" w:type="dxa"/>
            <w:gridSpan w:val="12"/>
            <w:shd w:val="clear" w:color="auto" w:fill="auto"/>
            <w:noWrap/>
            <w:hideMark/>
          </w:tcPr>
          <w:p w14:paraId="40DCE59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b/>
                <w:bCs/>
                <w:sz w:val="18"/>
                <w:lang w:val="es-PE"/>
              </w:rPr>
              <w:t>Dominio</w:t>
            </w:r>
          </w:p>
        </w:tc>
      </w:tr>
      <w:tr w:rsidR="009A4034" w:rsidRPr="009A4034" w14:paraId="3FB13A55" w14:textId="77777777" w:rsidTr="009A4034">
        <w:tc>
          <w:tcPr>
            <w:tcW w:w="724" w:type="dxa"/>
            <w:shd w:val="clear" w:color="auto" w:fill="auto"/>
            <w:noWrap/>
            <w:hideMark/>
          </w:tcPr>
          <w:p w14:paraId="1D1CC9F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 xml:space="preserve">Costa urbana </w:t>
            </w:r>
          </w:p>
        </w:tc>
        <w:tc>
          <w:tcPr>
            <w:tcW w:w="600" w:type="dxa"/>
            <w:shd w:val="clear" w:color="auto" w:fill="auto"/>
            <w:noWrap/>
            <w:vAlign w:val="bottom"/>
            <w:hideMark/>
          </w:tcPr>
          <w:p w14:paraId="747DFC4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0.361</w:t>
            </w:r>
          </w:p>
        </w:tc>
        <w:tc>
          <w:tcPr>
            <w:tcW w:w="600" w:type="dxa"/>
            <w:shd w:val="clear" w:color="auto" w:fill="auto"/>
            <w:noWrap/>
            <w:vAlign w:val="bottom"/>
            <w:hideMark/>
          </w:tcPr>
          <w:p w14:paraId="2044E67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0.366</w:t>
            </w:r>
          </w:p>
        </w:tc>
        <w:tc>
          <w:tcPr>
            <w:tcW w:w="600" w:type="dxa"/>
            <w:shd w:val="clear" w:color="auto" w:fill="auto"/>
            <w:noWrap/>
            <w:vAlign w:val="bottom"/>
            <w:hideMark/>
          </w:tcPr>
          <w:p w14:paraId="0E49808E"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0.357</w:t>
            </w:r>
          </w:p>
        </w:tc>
        <w:tc>
          <w:tcPr>
            <w:tcW w:w="599" w:type="dxa"/>
            <w:shd w:val="clear" w:color="auto" w:fill="auto"/>
            <w:noWrap/>
            <w:vAlign w:val="bottom"/>
            <w:hideMark/>
          </w:tcPr>
          <w:p w14:paraId="34D5729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0.360</w:t>
            </w:r>
          </w:p>
        </w:tc>
        <w:tc>
          <w:tcPr>
            <w:tcW w:w="599" w:type="dxa"/>
            <w:shd w:val="clear" w:color="auto" w:fill="auto"/>
            <w:noWrap/>
            <w:vAlign w:val="bottom"/>
            <w:hideMark/>
          </w:tcPr>
          <w:p w14:paraId="7B9A151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0.347</w:t>
            </w:r>
          </w:p>
        </w:tc>
        <w:tc>
          <w:tcPr>
            <w:tcW w:w="599" w:type="dxa"/>
            <w:shd w:val="clear" w:color="auto" w:fill="auto"/>
            <w:noWrap/>
            <w:vAlign w:val="bottom"/>
            <w:hideMark/>
          </w:tcPr>
          <w:p w14:paraId="61283EC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0.337</w:t>
            </w:r>
          </w:p>
        </w:tc>
        <w:tc>
          <w:tcPr>
            <w:tcW w:w="599" w:type="dxa"/>
            <w:shd w:val="clear" w:color="auto" w:fill="auto"/>
            <w:noWrap/>
            <w:vAlign w:val="bottom"/>
            <w:hideMark/>
          </w:tcPr>
          <w:p w14:paraId="5FFDBC0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0.387</w:t>
            </w:r>
          </w:p>
        </w:tc>
        <w:tc>
          <w:tcPr>
            <w:tcW w:w="599" w:type="dxa"/>
            <w:shd w:val="clear" w:color="auto" w:fill="auto"/>
            <w:noWrap/>
            <w:vAlign w:val="bottom"/>
            <w:hideMark/>
          </w:tcPr>
          <w:p w14:paraId="2422261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0.352</w:t>
            </w:r>
          </w:p>
        </w:tc>
        <w:tc>
          <w:tcPr>
            <w:tcW w:w="599" w:type="dxa"/>
            <w:shd w:val="clear" w:color="auto" w:fill="auto"/>
            <w:noWrap/>
            <w:vAlign w:val="bottom"/>
            <w:hideMark/>
          </w:tcPr>
          <w:p w14:paraId="4D1B1A6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0.360</w:t>
            </w:r>
          </w:p>
        </w:tc>
        <w:tc>
          <w:tcPr>
            <w:tcW w:w="681" w:type="dxa"/>
            <w:shd w:val="clear" w:color="auto" w:fill="auto"/>
            <w:noWrap/>
            <w:vAlign w:val="bottom"/>
            <w:hideMark/>
          </w:tcPr>
          <w:p w14:paraId="23D03B5B"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0.359</w:t>
            </w:r>
          </w:p>
        </w:tc>
        <w:tc>
          <w:tcPr>
            <w:tcW w:w="571" w:type="dxa"/>
            <w:shd w:val="clear" w:color="auto" w:fill="auto"/>
            <w:noWrap/>
            <w:vAlign w:val="bottom"/>
            <w:hideMark/>
          </w:tcPr>
          <w:p w14:paraId="0681E16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1.6</w:t>
            </w:r>
          </w:p>
        </w:tc>
      </w:tr>
      <w:tr w:rsidR="009A4034" w:rsidRPr="009A4034" w14:paraId="429E677B" w14:textId="77777777" w:rsidTr="009A4034">
        <w:tc>
          <w:tcPr>
            <w:tcW w:w="724" w:type="dxa"/>
            <w:shd w:val="clear" w:color="auto" w:fill="auto"/>
            <w:noWrap/>
            <w:hideMark/>
          </w:tcPr>
          <w:p w14:paraId="0D17A9C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Costa rural</w:t>
            </w:r>
          </w:p>
        </w:tc>
        <w:tc>
          <w:tcPr>
            <w:tcW w:w="600" w:type="dxa"/>
            <w:shd w:val="clear" w:color="auto" w:fill="auto"/>
            <w:noWrap/>
            <w:vAlign w:val="bottom"/>
            <w:hideMark/>
          </w:tcPr>
          <w:p w14:paraId="5FD8AAB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0.417</w:t>
            </w:r>
          </w:p>
        </w:tc>
        <w:tc>
          <w:tcPr>
            <w:tcW w:w="600" w:type="dxa"/>
            <w:shd w:val="clear" w:color="auto" w:fill="auto"/>
            <w:noWrap/>
            <w:vAlign w:val="bottom"/>
            <w:hideMark/>
          </w:tcPr>
          <w:p w14:paraId="1619A7D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0.388</w:t>
            </w:r>
          </w:p>
        </w:tc>
        <w:tc>
          <w:tcPr>
            <w:tcW w:w="600" w:type="dxa"/>
            <w:shd w:val="clear" w:color="auto" w:fill="auto"/>
            <w:noWrap/>
            <w:vAlign w:val="bottom"/>
            <w:hideMark/>
          </w:tcPr>
          <w:p w14:paraId="7147AA0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0.400</w:t>
            </w:r>
          </w:p>
        </w:tc>
        <w:tc>
          <w:tcPr>
            <w:tcW w:w="599" w:type="dxa"/>
            <w:shd w:val="clear" w:color="auto" w:fill="auto"/>
            <w:noWrap/>
            <w:vAlign w:val="bottom"/>
            <w:hideMark/>
          </w:tcPr>
          <w:p w14:paraId="6552DC1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0.382</w:t>
            </w:r>
          </w:p>
        </w:tc>
        <w:tc>
          <w:tcPr>
            <w:tcW w:w="599" w:type="dxa"/>
            <w:shd w:val="clear" w:color="auto" w:fill="auto"/>
            <w:noWrap/>
            <w:vAlign w:val="bottom"/>
            <w:hideMark/>
          </w:tcPr>
          <w:p w14:paraId="36D1F01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0.375</w:t>
            </w:r>
          </w:p>
        </w:tc>
        <w:tc>
          <w:tcPr>
            <w:tcW w:w="599" w:type="dxa"/>
            <w:shd w:val="clear" w:color="auto" w:fill="auto"/>
            <w:noWrap/>
            <w:vAlign w:val="bottom"/>
            <w:hideMark/>
          </w:tcPr>
          <w:p w14:paraId="2EF5644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0.349</w:t>
            </w:r>
          </w:p>
        </w:tc>
        <w:tc>
          <w:tcPr>
            <w:tcW w:w="599" w:type="dxa"/>
            <w:shd w:val="clear" w:color="auto" w:fill="auto"/>
            <w:noWrap/>
            <w:vAlign w:val="bottom"/>
            <w:hideMark/>
          </w:tcPr>
          <w:p w14:paraId="1713AB5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0.383</w:t>
            </w:r>
          </w:p>
        </w:tc>
        <w:tc>
          <w:tcPr>
            <w:tcW w:w="599" w:type="dxa"/>
            <w:shd w:val="clear" w:color="auto" w:fill="auto"/>
            <w:noWrap/>
            <w:vAlign w:val="bottom"/>
            <w:hideMark/>
          </w:tcPr>
          <w:p w14:paraId="68A0018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0.395</w:t>
            </w:r>
          </w:p>
        </w:tc>
        <w:tc>
          <w:tcPr>
            <w:tcW w:w="599" w:type="dxa"/>
            <w:shd w:val="clear" w:color="auto" w:fill="auto"/>
            <w:noWrap/>
            <w:vAlign w:val="bottom"/>
            <w:hideMark/>
          </w:tcPr>
          <w:p w14:paraId="5D66FC8B"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0.382</w:t>
            </w:r>
          </w:p>
        </w:tc>
        <w:tc>
          <w:tcPr>
            <w:tcW w:w="681" w:type="dxa"/>
            <w:shd w:val="clear" w:color="auto" w:fill="auto"/>
            <w:noWrap/>
            <w:vAlign w:val="bottom"/>
            <w:hideMark/>
          </w:tcPr>
          <w:p w14:paraId="52F3474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0.353</w:t>
            </w:r>
          </w:p>
        </w:tc>
        <w:tc>
          <w:tcPr>
            <w:tcW w:w="571" w:type="dxa"/>
            <w:shd w:val="clear" w:color="auto" w:fill="auto"/>
            <w:noWrap/>
            <w:vAlign w:val="bottom"/>
            <w:hideMark/>
          </w:tcPr>
          <w:p w14:paraId="5A03108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3.3</w:t>
            </w:r>
          </w:p>
        </w:tc>
      </w:tr>
      <w:tr w:rsidR="009A4034" w:rsidRPr="009A4034" w14:paraId="69636C89" w14:textId="77777777" w:rsidTr="009A4034">
        <w:tc>
          <w:tcPr>
            <w:tcW w:w="724" w:type="dxa"/>
            <w:shd w:val="clear" w:color="auto" w:fill="auto"/>
            <w:noWrap/>
            <w:hideMark/>
          </w:tcPr>
          <w:p w14:paraId="51F4C25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Sierra urbana</w:t>
            </w:r>
          </w:p>
        </w:tc>
        <w:tc>
          <w:tcPr>
            <w:tcW w:w="600" w:type="dxa"/>
            <w:shd w:val="clear" w:color="auto" w:fill="auto"/>
            <w:noWrap/>
            <w:vAlign w:val="bottom"/>
            <w:hideMark/>
          </w:tcPr>
          <w:p w14:paraId="35D113B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0.415</w:t>
            </w:r>
          </w:p>
        </w:tc>
        <w:tc>
          <w:tcPr>
            <w:tcW w:w="600" w:type="dxa"/>
            <w:shd w:val="clear" w:color="auto" w:fill="auto"/>
            <w:noWrap/>
            <w:vAlign w:val="bottom"/>
            <w:hideMark/>
          </w:tcPr>
          <w:p w14:paraId="30EF557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0.399</w:t>
            </w:r>
          </w:p>
        </w:tc>
        <w:tc>
          <w:tcPr>
            <w:tcW w:w="600" w:type="dxa"/>
            <w:shd w:val="clear" w:color="auto" w:fill="auto"/>
            <w:noWrap/>
            <w:vAlign w:val="bottom"/>
            <w:hideMark/>
          </w:tcPr>
          <w:p w14:paraId="68AD755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0.411</w:t>
            </w:r>
          </w:p>
        </w:tc>
        <w:tc>
          <w:tcPr>
            <w:tcW w:w="599" w:type="dxa"/>
            <w:shd w:val="clear" w:color="auto" w:fill="auto"/>
            <w:noWrap/>
            <w:vAlign w:val="bottom"/>
            <w:hideMark/>
          </w:tcPr>
          <w:p w14:paraId="617C5C2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0.403</w:t>
            </w:r>
          </w:p>
        </w:tc>
        <w:tc>
          <w:tcPr>
            <w:tcW w:w="599" w:type="dxa"/>
            <w:shd w:val="clear" w:color="auto" w:fill="auto"/>
            <w:noWrap/>
            <w:vAlign w:val="bottom"/>
            <w:hideMark/>
          </w:tcPr>
          <w:p w14:paraId="7AE84F8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0.406</w:t>
            </w:r>
          </w:p>
        </w:tc>
        <w:tc>
          <w:tcPr>
            <w:tcW w:w="599" w:type="dxa"/>
            <w:shd w:val="clear" w:color="auto" w:fill="auto"/>
            <w:noWrap/>
            <w:vAlign w:val="bottom"/>
            <w:hideMark/>
          </w:tcPr>
          <w:p w14:paraId="3D400EE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0.400</w:t>
            </w:r>
          </w:p>
        </w:tc>
        <w:tc>
          <w:tcPr>
            <w:tcW w:w="599" w:type="dxa"/>
            <w:shd w:val="clear" w:color="auto" w:fill="auto"/>
            <w:noWrap/>
            <w:vAlign w:val="bottom"/>
            <w:hideMark/>
          </w:tcPr>
          <w:p w14:paraId="5D89003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0.457</w:t>
            </w:r>
          </w:p>
        </w:tc>
        <w:tc>
          <w:tcPr>
            <w:tcW w:w="599" w:type="dxa"/>
            <w:shd w:val="clear" w:color="auto" w:fill="auto"/>
            <w:noWrap/>
            <w:vAlign w:val="bottom"/>
            <w:hideMark/>
          </w:tcPr>
          <w:p w14:paraId="6BDB578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0.403</w:t>
            </w:r>
          </w:p>
        </w:tc>
        <w:tc>
          <w:tcPr>
            <w:tcW w:w="599" w:type="dxa"/>
            <w:shd w:val="clear" w:color="auto" w:fill="auto"/>
            <w:noWrap/>
            <w:vAlign w:val="bottom"/>
            <w:hideMark/>
          </w:tcPr>
          <w:p w14:paraId="58BA1D2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0.413</w:t>
            </w:r>
          </w:p>
        </w:tc>
        <w:tc>
          <w:tcPr>
            <w:tcW w:w="681" w:type="dxa"/>
            <w:shd w:val="clear" w:color="auto" w:fill="auto"/>
            <w:noWrap/>
            <w:vAlign w:val="bottom"/>
            <w:hideMark/>
          </w:tcPr>
          <w:p w14:paraId="76FC464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0.417</w:t>
            </w:r>
          </w:p>
        </w:tc>
        <w:tc>
          <w:tcPr>
            <w:tcW w:w="571" w:type="dxa"/>
            <w:shd w:val="clear" w:color="auto" w:fill="auto"/>
            <w:noWrap/>
            <w:vAlign w:val="bottom"/>
            <w:hideMark/>
          </w:tcPr>
          <w:p w14:paraId="472173C7"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2.1</w:t>
            </w:r>
          </w:p>
        </w:tc>
      </w:tr>
      <w:tr w:rsidR="009A4034" w:rsidRPr="009A4034" w14:paraId="4816BB92" w14:textId="77777777" w:rsidTr="009A4034">
        <w:tc>
          <w:tcPr>
            <w:tcW w:w="724" w:type="dxa"/>
            <w:shd w:val="clear" w:color="auto" w:fill="auto"/>
            <w:noWrap/>
            <w:hideMark/>
          </w:tcPr>
          <w:p w14:paraId="2647BC6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Sierra rural</w:t>
            </w:r>
          </w:p>
        </w:tc>
        <w:tc>
          <w:tcPr>
            <w:tcW w:w="600" w:type="dxa"/>
            <w:shd w:val="clear" w:color="auto" w:fill="auto"/>
            <w:noWrap/>
            <w:vAlign w:val="bottom"/>
            <w:hideMark/>
          </w:tcPr>
          <w:p w14:paraId="2913A63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0.405</w:t>
            </w:r>
          </w:p>
        </w:tc>
        <w:tc>
          <w:tcPr>
            <w:tcW w:w="600" w:type="dxa"/>
            <w:shd w:val="clear" w:color="auto" w:fill="auto"/>
            <w:noWrap/>
            <w:vAlign w:val="bottom"/>
            <w:hideMark/>
          </w:tcPr>
          <w:p w14:paraId="71DB796B"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0.406</w:t>
            </w:r>
          </w:p>
        </w:tc>
        <w:tc>
          <w:tcPr>
            <w:tcW w:w="600" w:type="dxa"/>
            <w:shd w:val="clear" w:color="auto" w:fill="auto"/>
            <w:noWrap/>
            <w:vAlign w:val="bottom"/>
            <w:hideMark/>
          </w:tcPr>
          <w:p w14:paraId="0BCDF2F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0.394</w:t>
            </w:r>
          </w:p>
        </w:tc>
        <w:tc>
          <w:tcPr>
            <w:tcW w:w="599" w:type="dxa"/>
            <w:shd w:val="clear" w:color="auto" w:fill="auto"/>
            <w:noWrap/>
            <w:vAlign w:val="bottom"/>
            <w:hideMark/>
          </w:tcPr>
          <w:p w14:paraId="76EF83C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0.392</w:t>
            </w:r>
          </w:p>
        </w:tc>
        <w:tc>
          <w:tcPr>
            <w:tcW w:w="599" w:type="dxa"/>
            <w:shd w:val="clear" w:color="auto" w:fill="auto"/>
            <w:noWrap/>
            <w:vAlign w:val="bottom"/>
            <w:hideMark/>
          </w:tcPr>
          <w:p w14:paraId="5D9FB8D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0.380</w:t>
            </w:r>
          </w:p>
        </w:tc>
        <w:tc>
          <w:tcPr>
            <w:tcW w:w="599" w:type="dxa"/>
            <w:shd w:val="clear" w:color="auto" w:fill="auto"/>
            <w:noWrap/>
            <w:vAlign w:val="bottom"/>
            <w:hideMark/>
          </w:tcPr>
          <w:p w14:paraId="5383160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0.390</w:t>
            </w:r>
          </w:p>
        </w:tc>
        <w:tc>
          <w:tcPr>
            <w:tcW w:w="599" w:type="dxa"/>
            <w:shd w:val="clear" w:color="auto" w:fill="auto"/>
            <w:noWrap/>
            <w:vAlign w:val="bottom"/>
            <w:hideMark/>
          </w:tcPr>
          <w:p w14:paraId="66EFEE8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0.399</w:t>
            </w:r>
          </w:p>
        </w:tc>
        <w:tc>
          <w:tcPr>
            <w:tcW w:w="599" w:type="dxa"/>
            <w:shd w:val="clear" w:color="auto" w:fill="auto"/>
            <w:noWrap/>
            <w:vAlign w:val="bottom"/>
            <w:hideMark/>
          </w:tcPr>
          <w:p w14:paraId="1D9F1D9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0.388</w:t>
            </w:r>
          </w:p>
        </w:tc>
        <w:tc>
          <w:tcPr>
            <w:tcW w:w="599" w:type="dxa"/>
            <w:shd w:val="clear" w:color="auto" w:fill="auto"/>
            <w:noWrap/>
            <w:vAlign w:val="bottom"/>
            <w:hideMark/>
          </w:tcPr>
          <w:p w14:paraId="7C3F148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0.369</w:t>
            </w:r>
          </w:p>
        </w:tc>
        <w:tc>
          <w:tcPr>
            <w:tcW w:w="681" w:type="dxa"/>
            <w:shd w:val="clear" w:color="auto" w:fill="auto"/>
            <w:noWrap/>
            <w:vAlign w:val="bottom"/>
            <w:hideMark/>
          </w:tcPr>
          <w:p w14:paraId="1B04583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0.378</w:t>
            </w:r>
          </w:p>
        </w:tc>
        <w:tc>
          <w:tcPr>
            <w:tcW w:w="571" w:type="dxa"/>
            <w:shd w:val="clear" w:color="auto" w:fill="auto"/>
            <w:noWrap/>
            <w:vAlign w:val="bottom"/>
            <w:hideMark/>
          </w:tcPr>
          <w:p w14:paraId="10B9EF1C"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1.6</w:t>
            </w:r>
          </w:p>
        </w:tc>
      </w:tr>
      <w:tr w:rsidR="009A4034" w:rsidRPr="009A4034" w14:paraId="07D9B317" w14:textId="77777777" w:rsidTr="009A4034">
        <w:tc>
          <w:tcPr>
            <w:tcW w:w="724" w:type="dxa"/>
            <w:shd w:val="clear" w:color="auto" w:fill="auto"/>
            <w:noWrap/>
            <w:hideMark/>
          </w:tcPr>
          <w:p w14:paraId="2B26A4E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Selva urbana</w:t>
            </w:r>
          </w:p>
        </w:tc>
        <w:tc>
          <w:tcPr>
            <w:tcW w:w="600" w:type="dxa"/>
            <w:shd w:val="clear" w:color="auto" w:fill="auto"/>
            <w:noWrap/>
            <w:vAlign w:val="bottom"/>
            <w:hideMark/>
          </w:tcPr>
          <w:p w14:paraId="049236F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0.421</w:t>
            </w:r>
          </w:p>
        </w:tc>
        <w:tc>
          <w:tcPr>
            <w:tcW w:w="600" w:type="dxa"/>
            <w:shd w:val="clear" w:color="auto" w:fill="auto"/>
            <w:noWrap/>
            <w:vAlign w:val="bottom"/>
            <w:hideMark/>
          </w:tcPr>
          <w:p w14:paraId="7852BEB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0.424</w:t>
            </w:r>
          </w:p>
        </w:tc>
        <w:tc>
          <w:tcPr>
            <w:tcW w:w="600" w:type="dxa"/>
            <w:shd w:val="clear" w:color="auto" w:fill="auto"/>
            <w:noWrap/>
            <w:vAlign w:val="bottom"/>
            <w:hideMark/>
          </w:tcPr>
          <w:p w14:paraId="196CA79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0.413</w:t>
            </w:r>
          </w:p>
        </w:tc>
        <w:tc>
          <w:tcPr>
            <w:tcW w:w="599" w:type="dxa"/>
            <w:shd w:val="clear" w:color="auto" w:fill="auto"/>
            <w:noWrap/>
            <w:vAlign w:val="bottom"/>
            <w:hideMark/>
          </w:tcPr>
          <w:p w14:paraId="7867002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0.410</w:t>
            </w:r>
          </w:p>
        </w:tc>
        <w:tc>
          <w:tcPr>
            <w:tcW w:w="599" w:type="dxa"/>
            <w:shd w:val="clear" w:color="auto" w:fill="auto"/>
            <w:noWrap/>
            <w:vAlign w:val="bottom"/>
            <w:hideMark/>
          </w:tcPr>
          <w:p w14:paraId="227EF639"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0.410</w:t>
            </w:r>
          </w:p>
        </w:tc>
        <w:tc>
          <w:tcPr>
            <w:tcW w:w="599" w:type="dxa"/>
            <w:shd w:val="clear" w:color="auto" w:fill="auto"/>
            <w:noWrap/>
            <w:vAlign w:val="bottom"/>
            <w:hideMark/>
          </w:tcPr>
          <w:p w14:paraId="7BB8B8F4"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0.395</w:t>
            </w:r>
          </w:p>
        </w:tc>
        <w:tc>
          <w:tcPr>
            <w:tcW w:w="599" w:type="dxa"/>
            <w:shd w:val="clear" w:color="auto" w:fill="auto"/>
            <w:noWrap/>
            <w:vAlign w:val="bottom"/>
            <w:hideMark/>
          </w:tcPr>
          <w:p w14:paraId="789C571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0.411</w:t>
            </w:r>
          </w:p>
        </w:tc>
        <w:tc>
          <w:tcPr>
            <w:tcW w:w="599" w:type="dxa"/>
            <w:shd w:val="clear" w:color="auto" w:fill="auto"/>
            <w:noWrap/>
            <w:vAlign w:val="bottom"/>
            <w:hideMark/>
          </w:tcPr>
          <w:p w14:paraId="20C5B6F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0.393</w:t>
            </w:r>
          </w:p>
        </w:tc>
        <w:tc>
          <w:tcPr>
            <w:tcW w:w="599" w:type="dxa"/>
            <w:shd w:val="clear" w:color="auto" w:fill="auto"/>
            <w:noWrap/>
            <w:vAlign w:val="bottom"/>
            <w:hideMark/>
          </w:tcPr>
          <w:p w14:paraId="5C080E3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0.420</w:t>
            </w:r>
          </w:p>
        </w:tc>
        <w:tc>
          <w:tcPr>
            <w:tcW w:w="681" w:type="dxa"/>
            <w:shd w:val="clear" w:color="auto" w:fill="auto"/>
            <w:noWrap/>
            <w:vAlign w:val="bottom"/>
            <w:hideMark/>
          </w:tcPr>
          <w:p w14:paraId="3C157B6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0.406</w:t>
            </w:r>
          </w:p>
        </w:tc>
        <w:tc>
          <w:tcPr>
            <w:tcW w:w="571" w:type="dxa"/>
            <w:shd w:val="clear" w:color="auto" w:fill="auto"/>
            <w:noWrap/>
            <w:vAlign w:val="bottom"/>
            <w:hideMark/>
          </w:tcPr>
          <w:p w14:paraId="1F2C76E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2.2</w:t>
            </w:r>
          </w:p>
        </w:tc>
      </w:tr>
      <w:tr w:rsidR="009A4034" w:rsidRPr="009A4034" w14:paraId="5D2C6150" w14:textId="77777777" w:rsidTr="009A4034">
        <w:tc>
          <w:tcPr>
            <w:tcW w:w="724" w:type="dxa"/>
            <w:shd w:val="clear" w:color="auto" w:fill="auto"/>
            <w:noWrap/>
            <w:hideMark/>
          </w:tcPr>
          <w:p w14:paraId="45B83DE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Selva rural</w:t>
            </w:r>
          </w:p>
        </w:tc>
        <w:tc>
          <w:tcPr>
            <w:tcW w:w="600" w:type="dxa"/>
            <w:shd w:val="clear" w:color="auto" w:fill="auto"/>
            <w:noWrap/>
            <w:vAlign w:val="bottom"/>
            <w:hideMark/>
          </w:tcPr>
          <w:p w14:paraId="482C1B9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0.406</w:t>
            </w:r>
          </w:p>
        </w:tc>
        <w:tc>
          <w:tcPr>
            <w:tcW w:w="600" w:type="dxa"/>
            <w:shd w:val="clear" w:color="auto" w:fill="auto"/>
            <w:noWrap/>
            <w:vAlign w:val="bottom"/>
            <w:hideMark/>
          </w:tcPr>
          <w:p w14:paraId="5F2A502F"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0.427</w:t>
            </w:r>
          </w:p>
        </w:tc>
        <w:tc>
          <w:tcPr>
            <w:tcW w:w="600" w:type="dxa"/>
            <w:shd w:val="clear" w:color="auto" w:fill="auto"/>
            <w:noWrap/>
            <w:vAlign w:val="bottom"/>
            <w:hideMark/>
          </w:tcPr>
          <w:p w14:paraId="7552F1F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0.429</w:t>
            </w:r>
          </w:p>
        </w:tc>
        <w:tc>
          <w:tcPr>
            <w:tcW w:w="599" w:type="dxa"/>
            <w:shd w:val="clear" w:color="auto" w:fill="auto"/>
            <w:noWrap/>
            <w:vAlign w:val="bottom"/>
            <w:hideMark/>
          </w:tcPr>
          <w:p w14:paraId="0A1A6BB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0.414</w:t>
            </w:r>
          </w:p>
        </w:tc>
        <w:tc>
          <w:tcPr>
            <w:tcW w:w="599" w:type="dxa"/>
            <w:shd w:val="clear" w:color="auto" w:fill="auto"/>
            <w:noWrap/>
            <w:vAlign w:val="bottom"/>
            <w:hideMark/>
          </w:tcPr>
          <w:p w14:paraId="32A378F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0.406</w:t>
            </w:r>
          </w:p>
        </w:tc>
        <w:tc>
          <w:tcPr>
            <w:tcW w:w="599" w:type="dxa"/>
            <w:shd w:val="clear" w:color="auto" w:fill="auto"/>
            <w:noWrap/>
            <w:vAlign w:val="bottom"/>
            <w:hideMark/>
          </w:tcPr>
          <w:p w14:paraId="44637C2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0.392</w:t>
            </w:r>
          </w:p>
        </w:tc>
        <w:tc>
          <w:tcPr>
            <w:tcW w:w="599" w:type="dxa"/>
            <w:shd w:val="clear" w:color="auto" w:fill="auto"/>
            <w:noWrap/>
            <w:vAlign w:val="bottom"/>
            <w:hideMark/>
          </w:tcPr>
          <w:p w14:paraId="379E023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0.386</w:t>
            </w:r>
          </w:p>
        </w:tc>
        <w:tc>
          <w:tcPr>
            <w:tcW w:w="599" w:type="dxa"/>
            <w:shd w:val="clear" w:color="auto" w:fill="auto"/>
            <w:noWrap/>
            <w:vAlign w:val="bottom"/>
            <w:hideMark/>
          </w:tcPr>
          <w:p w14:paraId="43C8A87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0.384</w:t>
            </w:r>
          </w:p>
        </w:tc>
        <w:tc>
          <w:tcPr>
            <w:tcW w:w="599" w:type="dxa"/>
            <w:shd w:val="clear" w:color="auto" w:fill="auto"/>
            <w:noWrap/>
            <w:vAlign w:val="bottom"/>
            <w:hideMark/>
          </w:tcPr>
          <w:p w14:paraId="03F4A47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0.389</w:t>
            </w:r>
          </w:p>
        </w:tc>
        <w:tc>
          <w:tcPr>
            <w:tcW w:w="681" w:type="dxa"/>
            <w:shd w:val="clear" w:color="auto" w:fill="auto"/>
            <w:noWrap/>
            <w:vAlign w:val="bottom"/>
            <w:hideMark/>
          </w:tcPr>
          <w:p w14:paraId="5B556581"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0.414</w:t>
            </w:r>
          </w:p>
        </w:tc>
        <w:tc>
          <w:tcPr>
            <w:tcW w:w="571" w:type="dxa"/>
            <w:shd w:val="clear" w:color="auto" w:fill="auto"/>
            <w:noWrap/>
            <w:vAlign w:val="bottom"/>
            <w:hideMark/>
          </w:tcPr>
          <w:p w14:paraId="7623F9A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3.1</w:t>
            </w:r>
          </w:p>
        </w:tc>
      </w:tr>
      <w:tr w:rsidR="009A4034" w:rsidRPr="009A4034" w14:paraId="7277BD74" w14:textId="77777777" w:rsidTr="009A4034">
        <w:tc>
          <w:tcPr>
            <w:tcW w:w="724" w:type="dxa"/>
            <w:tcBorders>
              <w:bottom w:val="single" w:sz="12" w:space="0" w:color="auto"/>
            </w:tcBorders>
            <w:shd w:val="clear" w:color="auto" w:fill="auto"/>
            <w:noWrap/>
            <w:hideMark/>
          </w:tcPr>
          <w:p w14:paraId="0A9E3360"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left"/>
              <w:rPr>
                <w:sz w:val="18"/>
                <w:lang w:val="es-PE"/>
              </w:rPr>
            </w:pPr>
            <w:r w:rsidRPr="00362916">
              <w:rPr>
                <w:sz w:val="18"/>
                <w:lang w:val="es-PE"/>
              </w:rPr>
              <w:t>Lima Metropolitana 1/ y Prov. Const. Callao</w:t>
            </w:r>
          </w:p>
        </w:tc>
        <w:tc>
          <w:tcPr>
            <w:tcW w:w="600" w:type="dxa"/>
            <w:tcBorders>
              <w:bottom w:val="single" w:sz="12" w:space="0" w:color="auto"/>
            </w:tcBorders>
            <w:shd w:val="clear" w:color="auto" w:fill="auto"/>
            <w:noWrap/>
            <w:vAlign w:val="bottom"/>
            <w:hideMark/>
          </w:tcPr>
          <w:p w14:paraId="7225A04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0.402</w:t>
            </w:r>
          </w:p>
        </w:tc>
        <w:tc>
          <w:tcPr>
            <w:tcW w:w="600" w:type="dxa"/>
            <w:tcBorders>
              <w:bottom w:val="single" w:sz="12" w:space="0" w:color="auto"/>
            </w:tcBorders>
            <w:shd w:val="clear" w:color="auto" w:fill="auto"/>
            <w:noWrap/>
            <w:vAlign w:val="bottom"/>
            <w:hideMark/>
          </w:tcPr>
          <w:p w14:paraId="2882725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0.404</w:t>
            </w:r>
          </w:p>
        </w:tc>
        <w:tc>
          <w:tcPr>
            <w:tcW w:w="600" w:type="dxa"/>
            <w:tcBorders>
              <w:bottom w:val="single" w:sz="12" w:space="0" w:color="auto"/>
            </w:tcBorders>
            <w:shd w:val="clear" w:color="auto" w:fill="auto"/>
            <w:noWrap/>
            <w:vAlign w:val="bottom"/>
            <w:hideMark/>
          </w:tcPr>
          <w:p w14:paraId="2F68AC5A"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0.406</w:t>
            </w:r>
          </w:p>
        </w:tc>
        <w:tc>
          <w:tcPr>
            <w:tcW w:w="599" w:type="dxa"/>
            <w:tcBorders>
              <w:bottom w:val="single" w:sz="12" w:space="0" w:color="auto"/>
            </w:tcBorders>
            <w:shd w:val="clear" w:color="auto" w:fill="auto"/>
            <w:noWrap/>
            <w:vAlign w:val="bottom"/>
            <w:hideMark/>
          </w:tcPr>
          <w:p w14:paraId="5DA8B62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0.404</w:t>
            </w:r>
          </w:p>
        </w:tc>
        <w:tc>
          <w:tcPr>
            <w:tcW w:w="599" w:type="dxa"/>
            <w:tcBorders>
              <w:bottom w:val="single" w:sz="12" w:space="0" w:color="auto"/>
            </w:tcBorders>
            <w:shd w:val="clear" w:color="auto" w:fill="auto"/>
            <w:noWrap/>
            <w:vAlign w:val="bottom"/>
            <w:hideMark/>
          </w:tcPr>
          <w:p w14:paraId="2C603475"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0.400</w:t>
            </w:r>
          </w:p>
        </w:tc>
        <w:tc>
          <w:tcPr>
            <w:tcW w:w="599" w:type="dxa"/>
            <w:tcBorders>
              <w:bottom w:val="single" w:sz="12" w:space="0" w:color="auto"/>
            </w:tcBorders>
            <w:shd w:val="clear" w:color="auto" w:fill="auto"/>
            <w:noWrap/>
            <w:vAlign w:val="bottom"/>
            <w:hideMark/>
          </w:tcPr>
          <w:p w14:paraId="01C93AE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0.399</w:t>
            </w:r>
          </w:p>
        </w:tc>
        <w:tc>
          <w:tcPr>
            <w:tcW w:w="599" w:type="dxa"/>
            <w:tcBorders>
              <w:bottom w:val="single" w:sz="12" w:space="0" w:color="auto"/>
            </w:tcBorders>
            <w:shd w:val="clear" w:color="auto" w:fill="auto"/>
            <w:noWrap/>
            <w:vAlign w:val="bottom"/>
            <w:hideMark/>
          </w:tcPr>
          <w:p w14:paraId="1FE4A36E"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0.461</w:t>
            </w:r>
          </w:p>
        </w:tc>
        <w:tc>
          <w:tcPr>
            <w:tcW w:w="599" w:type="dxa"/>
            <w:tcBorders>
              <w:bottom w:val="single" w:sz="12" w:space="0" w:color="auto"/>
            </w:tcBorders>
            <w:shd w:val="clear" w:color="auto" w:fill="auto"/>
            <w:noWrap/>
            <w:vAlign w:val="bottom"/>
            <w:hideMark/>
          </w:tcPr>
          <w:p w14:paraId="215E76B3"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0.412</w:t>
            </w:r>
          </w:p>
        </w:tc>
        <w:tc>
          <w:tcPr>
            <w:tcW w:w="599" w:type="dxa"/>
            <w:tcBorders>
              <w:bottom w:val="single" w:sz="12" w:space="0" w:color="auto"/>
            </w:tcBorders>
            <w:shd w:val="clear" w:color="auto" w:fill="auto"/>
            <w:noWrap/>
            <w:vAlign w:val="bottom"/>
            <w:hideMark/>
          </w:tcPr>
          <w:p w14:paraId="3FFC834D"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0.412</w:t>
            </w:r>
          </w:p>
        </w:tc>
        <w:tc>
          <w:tcPr>
            <w:tcW w:w="681" w:type="dxa"/>
            <w:tcBorders>
              <w:bottom w:val="single" w:sz="12" w:space="0" w:color="auto"/>
            </w:tcBorders>
            <w:shd w:val="clear" w:color="auto" w:fill="auto"/>
            <w:noWrap/>
            <w:vAlign w:val="bottom"/>
            <w:hideMark/>
          </w:tcPr>
          <w:p w14:paraId="5545E562"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0.407</w:t>
            </w:r>
          </w:p>
        </w:tc>
        <w:tc>
          <w:tcPr>
            <w:tcW w:w="571" w:type="dxa"/>
            <w:tcBorders>
              <w:bottom w:val="single" w:sz="12" w:space="0" w:color="auto"/>
            </w:tcBorders>
            <w:shd w:val="clear" w:color="auto" w:fill="auto"/>
            <w:noWrap/>
            <w:vAlign w:val="bottom"/>
            <w:hideMark/>
          </w:tcPr>
          <w:p w14:paraId="757DB438" w14:textId="77777777" w:rsidR="00362916" w:rsidRPr="00362916" w:rsidRDefault="00362916" w:rsidP="009A4034">
            <w:pPr>
              <w:pStyle w:val="SingleTxtG"/>
              <w:tabs>
                <w:tab w:val="clear" w:pos="1701"/>
                <w:tab w:val="clear" w:pos="2268"/>
                <w:tab w:val="clear" w:pos="2835"/>
              </w:tabs>
              <w:spacing w:before="40" w:after="40" w:line="220" w:lineRule="exact"/>
              <w:ind w:left="0" w:right="0"/>
              <w:jc w:val="right"/>
              <w:rPr>
                <w:sz w:val="18"/>
                <w:lang w:val="es-PE"/>
              </w:rPr>
            </w:pPr>
            <w:r w:rsidRPr="00362916">
              <w:rPr>
                <w:sz w:val="18"/>
                <w:lang w:val="es-PE"/>
              </w:rPr>
              <w:t>1.9</w:t>
            </w:r>
          </w:p>
        </w:tc>
      </w:tr>
    </w:tbl>
    <w:p w14:paraId="74794DAA" w14:textId="4D7CA4A7" w:rsidR="000E14A8" w:rsidRPr="00684D99" w:rsidRDefault="00684D99" w:rsidP="00362916">
      <w:pPr>
        <w:pStyle w:val="SingleTxtG"/>
        <w:rPr>
          <w:sz w:val="18"/>
          <w:szCs w:val="18"/>
          <w:lang w:val="es-MX"/>
        </w:rPr>
      </w:pPr>
      <w:r w:rsidRPr="00684D99">
        <w:rPr>
          <w:sz w:val="18"/>
          <w:szCs w:val="18"/>
          <w:lang w:val="es-MX"/>
        </w:rPr>
        <w:tab/>
      </w:r>
      <w:r w:rsidR="00362916" w:rsidRPr="00C67E7F">
        <w:rPr>
          <w:i/>
          <w:iCs/>
          <w:sz w:val="18"/>
          <w:szCs w:val="18"/>
          <w:lang w:val="es-MX"/>
        </w:rPr>
        <w:t>Fuente</w:t>
      </w:r>
      <w:r w:rsidR="00AC04F0">
        <w:rPr>
          <w:i/>
          <w:iCs/>
          <w:sz w:val="18"/>
          <w:szCs w:val="18"/>
          <w:lang w:val="es-MX"/>
        </w:rPr>
        <w:t>:</w:t>
      </w:r>
      <w:r w:rsidR="00362916" w:rsidRPr="00C67E7F">
        <w:rPr>
          <w:i/>
          <w:iCs/>
          <w:sz w:val="18"/>
          <w:szCs w:val="18"/>
          <w:lang w:val="es-MX"/>
        </w:rPr>
        <w:t xml:space="preserve"> </w:t>
      </w:r>
      <w:r w:rsidR="00362916" w:rsidRPr="00AC04F0">
        <w:rPr>
          <w:sz w:val="18"/>
          <w:szCs w:val="18"/>
          <w:lang w:val="es-MX"/>
        </w:rPr>
        <w:t>I</w:t>
      </w:r>
      <w:r w:rsidR="00362916" w:rsidRPr="00C67E7F">
        <w:rPr>
          <w:sz w:val="18"/>
          <w:szCs w:val="18"/>
          <w:lang w:val="es-MX"/>
        </w:rPr>
        <w:t>NEI</w:t>
      </w:r>
      <w:r w:rsidR="00362916" w:rsidRPr="00362916">
        <w:rPr>
          <w:sz w:val="18"/>
          <w:szCs w:val="18"/>
          <w:lang w:val="es-MX"/>
        </w:rPr>
        <w:t xml:space="preserve"> - </w:t>
      </w:r>
      <w:proofErr w:type="spellStart"/>
      <w:r w:rsidR="00362916" w:rsidRPr="00362916">
        <w:rPr>
          <w:sz w:val="18"/>
          <w:szCs w:val="18"/>
          <w:lang w:val="es-MX"/>
        </w:rPr>
        <w:t>ENAHO</w:t>
      </w:r>
      <w:proofErr w:type="spellEnd"/>
    </w:p>
    <w:p w14:paraId="160A18DD"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9.c</w:t>
      </w:r>
      <w:proofErr w:type="spellEnd"/>
      <w:r w:rsidRPr="00362916">
        <w:rPr>
          <w:lang w:val="es-MX"/>
        </w:rPr>
        <w:t>), en el año 2020, la pandemia de COVID-19 tuvo un fuerte impacto sobre la economía, provocando una contracción del PBI del 10,9%. La recuperación en 2021 fue notable, con una tasa de 13,4 por ciento, impulsada por la flexibilización de las restricciones sanitarias tras el avance de la vacunación, la reanudación de las actividades productivas, y por el estímulo de políticas monetarias y fiscales expansivas</w:t>
      </w:r>
      <w:r w:rsidRPr="00362916">
        <w:rPr>
          <w:vertAlign w:val="superscript"/>
          <w:lang w:val="es-MX"/>
        </w:rPr>
        <w:footnoteReference w:id="43"/>
      </w:r>
      <w:r w:rsidRPr="00362916">
        <w:rPr>
          <w:lang w:val="es-MX"/>
        </w:rPr>
        <w:t xml:space="preserve">. </w:t>
      </w:r>
    </w:p>
    <w:p w14:paraId="7E32B316"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El crecimiento se desaceleró en 2022 a 2,7%, y en 2023 la economía registró una contracción del 0,6%, afectada por choques de oferta, como anomalías climáticas (El Niño costero). Con estos resultados, el PBI por habitante pasó de US$ 6,9 mil en 2014 a US$ 7,9 mil en 2023</w:t>
      </w:r>
      <w:r w:rsidRPr="00362916">
        <w:rPr>
          <w:vertAlign w:val="superscript"/>
          <w:lang w:val="es-MX"/>
        </w:rPr>
        <w:footnoteReference w:id="44"/>
      </w:r>
      <w:r w:rsidRPr="00362916">
        <w:rPr>
          <w:lang w:val="es-MX"/>
        </w:rPr>
        <w:t>.</w:t>
      </w:r>
    </w:p>
    <w:p w14:paraId="1C53A060"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El déficit promedio del gobierno se ha elevado en el contexto de la pandemia de COVID 19. En 2021 y 2022 se produjo el retiro gradual de las medidas de emergencia y se observó una mejora de los ingresos del gobierno, reduciendo el déficit fiscal. Asimismo, estas acciones estuvieron acompañadas de un manejo más dinámico de activos financieros, lo que se puede apreciar a continuación:</w:t>
      </w:r>
    </w:p>
    <w:p w14:paraId="08217D8E" w14:textId="25098C1A" w:rsidR="00362916" w:rsidRDefault="00362916" w:rsidP="00DE1145">
      <w:pPr>
        <w:pStyle w:val="Ttulo1"/>
        <w:rPr>
          <w:b/>
          <w:bCs/>
        </w:rPr>
      </w:pPr>
      <w:proofErr w:type="spellStart"/>
      <w:r w:rsidRPr="00DE1145">
        <w:rPr>
          <w:b/>
          <w:bCs/>
        </w:rPr>
        <w:t>Anexo</w:t>
      </w:r>
      <w:proofErr w:type="spellEnd"/>
      <w:r w:rsidR="003852EC">
        <w:rPr>
          <w:b/>
          <w:bCs/>
        </w:rPr>
        <w:br/>
      </w:r>
      <w:proofErr w:type="spellStart"/>
      <w:r w:rsidRPr="00DE1145">
        <w:rPr>
          <w:b/>
          <w:bCs/>
        </w:rPr>
        <w:t>Datos</w:t>
      </w:r>
      <w:proofErr w:type="spellEnd"/>
      <w:r w:rsidRPr="00DE1145">
        <w:rPr>
          <w:b/>
          <w:bCs/>
        </w:rPr>
        <w:t xml:space="preserve"> </w:t>
      </w:r>
      <w:proofErr w:type="spellStart"/>
      <w:r w:rsidRPr="00DE1145">
        <w:rPr>
          <w:b/>
          <w:bCs/>
        </w:rPr>
        <w:t>Macroeconómicos</w:t>
      </w:r>
      <w:proofErr w:type="spellEnd"/>
    </w:p>
    <w:p w14:paraId="7E9EF101" w14:textId="77777777" w:rsidR="003852EC" w:rsidRPr="003852EC" w:rsidRDefault="003852EC" w:rsidP="003852EC">
      <w:pPr>
        <w:pStyle w:val="SingleTxtG"/>
        <w:rPr>
          <w:lang w:val="fr-CH" w:eastAsia="en-US"/>
        </w:rPr>
      </w:pPr>
    </w:p>
    <w:tbl>
      <w:tblPr>
        <w:tblW w:w="7370" w:type="dxa"/>
        <w:tblInd w:w="1134" w:type="dxa"/>
        <w:tblLayout w:type="fixed"/>
        <w:tblCellMar>
          <w:left w:w="0" w:type="dxa"/>
          <w:right w:w="0" w:type="dxa"/>
        </w:tblCellMar>
        <w:tblLook w:val="04A0" w:firstRow="1" w:lastRow="0" w:firstColumn="1" w:lastColumn="0" w:noHBand="0" w:noVBand="1"/>
      </w:tblPr>
      <w:tblGrid>
        <w:gridCol w:w="1736"/>
        <w:gridCol w:w="1767"/>
        <w:gridCol w:w="1988"/>
        <w:gridCol w:w="1879"/>
      </w:tblGrid>
      <w:tr w:rsidR="00362BB9" w:rsidRPr="00362BB9" w14:paraId="7CBEE414" w14:textId="77777777" w:rsidTr="00362BB9">
        <w:trPr>
          <w:tblHeader/>
        </w:trPr>
        <w:tc>
          <w:tcPr>
            <w:tcW w:w="2268" w:type="dxa"/>
            <w:tcBorders>
              <w:top w:val="single" w:sz="4" w:space="0" w:color="auto"/>
              <w:bottom w:val="single" w:sz="12" w:space="0" w:color="auto"/>
            </w:tcBorders>
            <w:shd w:val="clear" w:color="auto" w:fill="auto"/>
            <w:noWrap/>
            <w:vAlign w:val="bottom"/>
            <w:hideMark/>
          </w:tcPr>
          <w:p w14:paraId="07DA5A8D"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left"/>
              <w:rPr>
                <w:bCs/>
                <w:i/>
                <w:sz w:val="16"/>
                <w:lang w:val="es-MX"/>
              </w:rPr>
            </w:pPr>
            <w:r w:rsidRPr="00362916">
              <w:rPr>
                <w:bCs/>
                <w:i/>
                <w:sz w:val="16"/>
                <w:lang w:val="es-MX"/>
              </w:rPr>
              <w:t> </w:t>
            </w:r>
          </w:p>
        </w:tc>
        <w:tc>
          <w:tcPr>
            <w:tcW w:w="2308" w:type="dxa"/>
            <w:tcBorders>
              <w:top w:val="single" w:sz="4" w:space="0" w:color="auto"/>
              <w:bottom w:val="single" w:sz="12" w:space="0" w:color="auto"/>
            </w:tcBorders>
            <w:shd w:val="clear" w:color="auto" w:fill="auto"/>
            <w:noWrap/>
            <w:vAlign w:val="bottom"/>
            <w:hideMark/>
          </w:tcPr>
          <w:p w14:paraId="5ED07BE8"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bCs/>
                <w:i/>
                <w:sz w:val="16"/>
                <w:lang w:val="es-MX"/>
              </w:rPr>
            </w:pPr>
            <w:r w:rsidRPr="00362916">
              <w:rPr>
                <w:bCs/>
                <w:i/>
                <w:sz w:val="16"/>
                <w:lang w:val="es-MX"/>
              </w:rPr>
              <w:t xml:space="preserve">PBI </w:t>
            </w:r>
          </w:p>
          <w:p w14:paraId="7F2E6552"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bCs/>
                <w:i/>
                <w:sz w:val="16"/>
                <w:lang w:val="es-MX"/>
              </w:rPr>
            </w:pPr>
            <w:r w:rsidRPr="00362916">
              <w:rPr>
                <w:bCs/>
                <w:i/>
                <w:sz w:val="16"/>
                <w:lang w:val="es-MX"/>
              </w:rPr>
              <w:t>(Var. % real)</w:t>
            </w:r>
          </w:p>
        </w:tc>
        <w:tc>
          <w:tcPr>
            <w:tcW w:w="2597" w:type="dxa"/>
            <w:tcBorders>
              <w:top w:val="single" w:sz="4" w:space="0" w:color="auto"/>
              <w:bottom w:val="single" w:sz="12" w:space="0" w:color="auto"/>
            </w:tcBorders>
            <w:shd w:val="clear" w:color="auto" w:fill="auto"/>
            <w:noWrap/>
            <w:vAlign w:val="bottom"/>
            <w:hideMark/>
          </w:tcPr>
          <w:p w14:paraId="31F1E62A"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bCs/>
                <w:i/>
                <w:sz w:val="16"/>
                <w:lang w:val="es-MX"/>
              </w:rPr>
            </w:pPr>
            <w:r w:rsidRPr="00362916">
              <w:rPr>
                <w:bCs/>
                <w:i/>
                <w:sz w:val="16"/>
                <w:lang w:val="es-MX"/>
              </w:rPr>
              <w:t>PBI por habitante (miles US$)</w:t>
            </w:r>
          </w:p>
        </w:tc>
        <w:tc>
          <w:tcPr>
            <w:tcW w:w="2455" w:type="dxa"/>
            <w:tcBorders>
              <w:top w:val="single" w:sz="4" w:space="0" w:color="auto"/>
              <w:bottom w:val="single" w:sz="12" w:space="0" w:color="auto"/>
            </w:tcBorders>
            <w:shd w:val="clear" w:color="auto" w:fill="auto"/>
            <w:noWrap/>
            <w:vAlign w:val="bottom"/>
            <w:hideMark/>
          </w:tcPr>
          <w:p w14:paraId="281797F9"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bCs/>
                <w:i/>
                <w:sz w:val="16"/>
                <w:lang w:val="es-MX"/>
              </w:rPr>
            </w:pPr>
            <w:r w:rsidRPr="00362916">
              <w:rPr>
                <w:bCs/>
                <w:i/>
                <w:sz w:val="16"/>
                <w:lang w:val="es-MX"/>
              </w:rPr>
              <w:t xml:space="preserve">Deuda pública </w:t>
            </w:r>
          </w:p>
          <w:p w14:paraId="2C2E0692"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bCs/>
                <w:i/>
                <w:sz w:val="16"/>
                <w:lang w:val="es-MX"/>
              </w:rPr>
            </w:pPr>
            <w:r w:rsidRPr="00362916">
              <w:rPr>
                <w:bCs/>
                <w:i/>
                <w:sz w:val="16"/>
                <w:lang w:val="es-MX"/>
              </w:rPr>
              <w:t>(% PBI)</w:t>
            </w:r>
          </w:p>
        </w:tc>
      </w:tr>
      <w:tr w:rsidR="00362BB9" w:rsidRPr="00362BB9" w14:paraId="6414AFB2" w14:textId="77777777" w:rsidTr="00362BB9">
        <w:tc>
          <w:tcPr>
            <w:tcW w:w="2268" w:type="dxa"/>
            <w:tcBorders>
              <w:top w:val="single" w:sz="12" w:space="0" w:color="auto"/>
            </w:tcBorders>
            <w:shd w:val="clear" w:color="auto" w:fill="auto"/>
            <w:noWrap/>
            <w:hideMark/>
          </w:tcPr>
          <w:p w14:paraId="4240D9B0"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2014</w:t>
            </w:r>
          </w:p>
        </w:tc>
        <w:tc>
          <w:tcPr>
            <w:tcW w:w="2308" w:type="dxa"/>
            <w:tcBorders>
              <w:top w:val="single" w:sz="12" w:space="0" w:color="auto"/>
            </w:tcBorders>
            <w:shd w:val="clear" w:color="auto" w:fill="auto"/>
            <w:noWrap/>
            <w:vAlign w:val="bottom"/>
            <w:hideMark/>
          </w:tcPr>
          <w:p w14:paraId="4CEC09AE"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2,4</w:t>
            </w:r>
          </w:p>
        </w:tc>
        <w:tc>
          <w:tcPr>
            <w:tcW w:w="2597" w:type="dxa"/>
            <w:tcBorders>
              <w:top w:val="single" w:sz="12" w:space="0" w:color="auto"/>
            </w:tcBorders>
            <w:shd w:val="clear" w:color="auto" w:fill="auto"/>
            <w:noWrap/>
            <w:vAlign w:val="bottom"/>
            <w:hideMark/>
          </w:tcPr>
          <w:p w14:paraId="163C42C3"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6,9</w:t>
            </w:r>
          </w:p>
        </w:tc>
        <w:tc>
          <w:tcPr>
            <w:tcW w:w="2455" w:type="dxa"/>
            <w:tcBorders>
              <w:top w:val="single" w:sz="12" w:space="0" w:color="auto"/>
            </w:tcBorders>
            <w:shd w:val="clear" w:color="auto" w:fill="auto"/>
            <w:noWrap/>
            <w:vAlign w:val="bottom"/>
            <w:hideMark/>
          </w:tcPr>
          <w:p w14:paraId="20D9F18F"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19,8</w:t>
            </w:r>
          </w:p>
        </w:tc>
      </w:tr>
      <w:tr w:rsidR="00362BB9" w:rsidRPr="00362BB9" w14:paraId="3E79ED53" w14:textId="77777777" w:rsidTr="00362BB9">
        <w:tc>
          <w:tcPr>
            <w:tcW w:w="2268" w:type="dxa"/>
            <w:shd w:val="clear" w:color="auto" w:fill="auto"/>
            <w:noWrap/>
            <w:hideMark/>
          </w:tcPr>
          <w:p w14:paraId="08A53B13"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2015</w:t>
            </w:r>
          </w:p>
        </w:tc>
        <w:tc>
          <w:tcPr>
            <w:tcW w:w="2308" w:type="dxa"/>
            <w:shd w:val="clear" w:color="auto" w:fill="auto"/>
            <w:noWrap/>
            <w:vAlign w:val="bottom"/>
            <w:hideMark/>
          </w:tcPr>
          <w:p w14:paraId="45D80199"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3,3</w:t>
            </w:r>
          </w:p>
        </w:tc>
        <w:tc>
          <w:tcPr>
            <w:tcW w:w="2597" w:type="dxa"/>
            <w:shd w:val="clear" w:color="auto" w:fill="auto"/>
            <w:noWrap/>
            <w:vAlign w:val="bottom"/>
            <w:hideMark/>
          </w:tcPr>
          <w:p w14:paraId="0AC21F2E"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6,4</w:t>
            </w:r>
          </w:p>
        </w:tc>
        <w:tc>
          <w:tcPr>
            <w:tcW w:w="2455" w:type="dxa"/>
            <w:shd w:val="clear" w:color="auto" w:fill="auto"/>
            <w:noWrap/>
            <w:vAlign w:val="bottom"/>
            <w:hideMark/>
          </w:tcPr>
          <w:p w14:paraId="5432DDF5"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23,2</w:t>
            </w:r>
          </w:p>
        </w:tc>
      </w:tr>
      <w:tr w:rsidR="00362BB9" w:rsidRPr="00362BB9" w14:paraId="20D135A6" w14:textId="77777777" w:rsidTr="00362BB9">
        <w:tc>
          <w:tcPr>
            <w:tcW w:w="2268" w:type="dxa"/>
            <w:shd w:val="clear" w:color="auto" w:fill="auto"/>
            <w:noWrap/>
            <w:hideMark/>
          </w:tcPr>
          <w:p w14:paraId="66926384"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lastRenderedPageBreak/>
              <w:t>2016</w:t>
            </w:r>
          </w:p>
        </w:tc>
        <w:tc>
          <w:tcPr>
            <w:tcW w:w="2308" w:type="dxa"/>
            <w:shd w:val="clear" w:color="auto" w:fill="auto"/>
            <w:noWrap/>
            <w:vAlign w:val="bottom"/>
            <w:hideMark/>
          </w:tcPr>
          <w:p w14:paraId="19009B0B"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4,0</w:t>
            </w:r>
          </w:p>
        </w:tc>
        <w:tc>
          <w:tcPr>
            <w:tcW w:w="2597" w:type="dxa"/>
            <w:shd w:val="clear" w:color="auto" w:fill="auto"/>
            <w:noWrap/>
            <w:vAlign w:val="bottom"/>
            <w:hideMark/>
          </w:tcPr>
          <w:p w14:paraId="4748B18A"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6,5</w:t>
            </w:r>
          </w:p>
        </w:tc>
        <w:tc>
          <w:tcPr>
            <w:tcW w:w="2455" w:type="dxa"/>
            <w:shd w:val="clear" w:color="auto" w:fill="auto"/>
            <w:noWrap/>
            <w:vAlign w:val="bottom"/>
            <w:hideMark/>
          </w:tcPr>
          <w:p w14:paraId="4ACFCBFB"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23,6</w:t>
            </w:r>
          </w:p>
        </w:tc>
      </w:tr>
      <w:tr w:rsidR="00362BB9" w:rsidRPr="00362BB9" w14:paraId="36CC1207" w14:textId="77777777" w:rsidTr="00362BB9">
        <w:tc>
          <w:tcPr>
            <w:tcW w:w="2268" w:type="dxa"/>
            <w:shd w:val="clear" w:color="auto" w:fill="auto"/>
            <w:noWrap/>
            <w:hideMark/>
          </w:tcPr>
          <w:p w14:paraId="1503F680"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2017</w:t>
            </w:r>
          </w:p>
        </w:tc>
        <w:tc>
          <w:tcPr>
            <w:tcW w:w="2308" w:type="dxa"/>
            <w:shd w:val="clear" w:color="auto" w:fill="auto"/>
            <w:noWrap/>
            <w:vAlign w:val="bottom"/>
            <w:hideMark/>
          </w:tcPr>
          <w:p w14:paraId="54145421"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2,5</w:t>
            </w:r>
          </w:p>
        </w:tc>
        <w:tc>
          <w:tcPr>
            <w:tcW w:w="2597" w:type="dxa"/>
            <w:shd w:val="clear" w:color="auto" w:fill="auto"/>
            <w:noWrap/>
            <w:vAlign w:val="bottom"/>
            <w:hideMark/>
          </w:tcPr>
          <w:p w14:paraId="2AEC68B5"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7,0</w:t>
            </w:r>
          </w:p>
        </w:tc>
        <w:tc>
          <w:tcPr>
            <w:tcW w:w="2455" w:type="dxa"/>
            <w:shd w:val="clear" w:color="auto" w:fill="auto"/>
            <w:noWrap/>
            <w:vAlign w:val="bottom"/>
            <w:hideMark/>
          </w:tcPr>
          <w:p w14:paraId="4A799EC0"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24,6</w:t>
            </w:r>
          </w:p>
        </w:tc>
      </w:tr>
      <w:tr w:rsidR="00362BB9" w:rsidRPr="00362BB9" w14:paraId="02496845" w14:textId="77777777" w:rsidTr="00362BB9">
        <w:tc>
          <w:tcPr>
            <w:tcW w:w="2268" w:type="dxa"/>
            <w:shd w:val="clear" w:color="auto" w:fill="auto"/>
            <w:noWrap/>
            <w:hideMark/>
          </w:tcPr>
          <w:p w14:paraId="4DDC6E0F"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2018</w:t>
            </w:r>
          </w:p>
        </w:tc>
        <w:tc>
          <w:tcPr>
            <w:tcW w:w="2308" w:type="dxa"/>
            <w:shd w:val="clear" w:color="auto" w:fill="auto"/>
            <w:noWrap/>
            <w:vAlign w:val="bottom"/>
            <w:hideMark/>
          </w:tcPr>
          <w:p w14:paraId="1C771549"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4,0</w:t>
            </w:r>
          </w:p>
        </w:tc>
        <w:tc>
          <w:tcPr>
            <w:tcW w:w="2597" w:type="dxa"/>
            <w:shd w:val="clear" w:color="auto" w:fill="auto"/>
            <w:noWrap/>
            <w:vAlign w:val="bottom"/>
            <w:hideMark/>
          </w:tcPr>
          <w:p w14:paraId="1F785136"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7,2</w:t>
            </w:r>
          </w:p>
        </w:tc>
        <w:tc>
          <w:tcPr>
            <w:tcW w:w="2455" w:type="dxa"/>
            <w:shd w:val="clear" w:color="auto" w:fill="auto"/>
            <w:noWrap/>
            <w:vAlign w:val="bottom"/>
            <w:hideMark/>
          </w:tcPr>
          <w:p w14:paraId="65D0473A"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25,5</w:t>
            </w:r>
          </w:p>
        </w:tc>
      </w:tr>
      <w:tr w:rsidR="00362BB9" w:rsidRPr="00362BB9" w14:paraId="6C049E39" w14:textId="77777777" w:rsidTr="00362BB9">
        <w:tc>
          <w:tcPr>
            <w:tcW w:w="2268" w:type="dxa"/>
            <w:shd w:val="clear" w:color="auto" w:fill="auto"/>
            <w:noWrap/>
            <w:hideMark/>
          </w:tcPr>
          <w:p w14:paraId="5531DDA1"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2019</w:t>
            </w:r>
          </w:p>
        </w:tc>
        <w:tc>
          <w:tcPr>
            <w:tcW w:w="2308" w:type="dxa"/>
            <w:shd w:val="clear" w:color="auto" w:fill="auto"/>
            <w:noWrap/>
            <w:vAlign w:val="bottom"/>
            <w:hideMark/>
          </w:tcPr>
          <w:p w14:paraId="75105D07"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2,2</w:t>
            </w:r>
          </w:p>
        </w:tc>
        <w:tc>
          <w:tcPr>
            <w:tcW w:w="2597" w:type="dxa"/>
            <w:shd w:val="clear" w:color="auto" w:fill="auto"/>
            <w:noWrap/>
            <w:vAlign w:val="bottom"/>
            <w:hideMark/>
          </w:tcPr>
          <w:p w14:paraId="0FCDC9D6"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7,3</w:t>
            </w:r>
          </w:p>
        </w:tc>
        <w:tc>
          <w:tcPr>
            <w:tcW w:w="2455" w:type="dxa"/>
            <w:shd w:val="clear" w:color="auto" w:fill="auto"/>
            <w:noWrap/>
            <w:vAlign w:val="bottom"/>
            <w:hideMark/>
          </w:tcPr>
          <w:p w14:paraId="64C4C69F"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26,5</w:t>
            </w:r>
          </w:p>
        </w:tc>
      </w:tr>
      <w:tr w:rsidR="00362BB9" w:rsidRPr="00362BB9" w14:paraId="05D89095" w14:textId="77777777" w:rsidTr="00362BB9">
        <w:tc>
          <w:tcPr>
            <w:tcW w:w="2268" w:type="dxa"/>
            <w:shd w:val="clear" w:color="auto" w:fill="auto"/>
            <w:noWrap/>
            <w:hideMark/>
          </w:tcPr>
          <w:p w14:paraId="0836D018"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2020</w:t>
            </w:r>
          </w:p>
        </w:tc>
        <w:tc>
          <w:tcPr>
            <w:tcW w:w="2308" w:type="dxa"/>
            <w:shd w:val="clear" w:color="auto" w:fill="auto"/>
            <w:noWrap/>
            <w:vAlign w:val="bottom"/>
            <w:hideMark/>
          </w:tcPr>
          <w:p w14:paraId="39D9E509"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-10,9</w:t>
            </w:r>
          </w:p>
        </w:tc>
        <w:tc>
          <w:tcPr>
            <w:tcW w:w="2597" w:type="dxa"/>
            <w:shd w:val="clear" w:color="auto" w:fill="auto"/>
            <w:noWrap/>
            <w:vAlign w:val="bottom"/>
            <w:hideMark/>
          </w:tcPr>
          <w:p w14:paraId="77346C93"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6,3</w:t>
            </w:r>
          </w:p>
        </w:tc>
        <w:tc>
          <w:tcPr>
            <w:tcW w:w="2455" w:type="dxa"/>
            <w:shd w:val="clear" w:color="auto" w:fill="auto"/>
            <w:noWrap/>
            <w:vAlign w:val="bottom"/>
            <w:hideMark/>
          </w:tcPr>
          <w:p w14:paraId="3136293B"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34,5</w:t>
            </w:r>
          </w:p>
        </w:tc>
      </w:tr>
      <w:tr w:rsidR="00362BB9" w:rsidRPr="00362BB9" w14:paraId="40729EEC" w14:textId="77777777" w:rsidTr="00362BB9">
        <w:tc>
          <w:tcPr>
            <w:tcW w:w="2268" w:type="dxa"/>
            <w:shd w:val="clear" w:color="auto" w:fill="auto"/>
            <w:noWrap/>
            <w:hideMark/>
          </w:tcPr>
          <w:p w14:paraId="602F56EE"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2021</w:t>
            </w:r>
          </w:p>
        </w:tc>
        <w:tc>
          <w:tcPr>
            <w:tcW w:w="2308" w:type="dxa"/>
            <w:shd w:val="clear" w:color="auto" w:fill="auto"/>
            <w:noWrap/>
            <w:vAlign w:val="bottom"/>
            <w:hideMark/>
          </w:tcPr>
          <w:p w14:paraId="1326C826"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13,4</w:t>
            </w:r>
          </w:p>
        </w:tc>
        <w:tc>
          <w:tcPr>
            <w:tcW w:w="2597" w:type="dxa"/>
            <w:shd w:val="clear" w:color="auto" w:fill="auto"/>
            <w:noWrap/>
            <w:vAlign w:val="bottom"/>
            <w:hideMark/>
          </w:tcPr>
          <w:p w14:paraId="51D90B8E"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6,9</w:t>
            </w:r>
          </w:p>
        </w:tc>
        <w:tc>
          <w:tcPr>
            <w:tcW w:w="2455" w:type="dxa"/>
            <w:shd w:val="clear" w:color="auto" w:fill="auto"/>
            <w:noWrap/>
            <w:vAlign w:val="bottom"/>
            <w:hideMark/>
          </w:tcPr>
          <w:p w14:paraId="0E9D37CE"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35,8</w:t>
            </w:r>
          </w:p>
        </w:tc>
      </w:tr>
      <w:tr w:rsidR="00362BB9" w:rsidRPr="00362BB9" w14:paraId="796EF314" w14:textId="77777777" w:rsidTr="00362BB9">
        <w:tc>
          <w:tcPr>
            <w:tcW w:w="2268" w:type="dxa"/>
            <w:shd w:val="clear" w:color="auto" w:fill="auto"/>
            <w:noWrap/>
            <w:hideMark/>
          </w:tcPr>
          <w:p w14:paraId="08478959"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2022</w:t>
            </w:r>
          </w:p>
        </w:tc>
        <w:tc>
          <w:tcPr>
            <w:tcW w:w="2308" w:type="dxa"/>
            <w:shd w:val="clear" w:color="auto" w:fill="auto"/>
            <w:noWrap/>
            <w:vAlign w:val="bottom"/>
            <w:hideMark/>
          </w:tcPr>
          <w:p w14:paraId="3B6CC4FE"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2,7</w:t>
            </w:r>
          </w:p>
        </w:tc>
        <w:tc>
          <w:tcPr>
            <w:tcW w:w="2597" w:type="dxa"/>
            <w:shd w:val="clear" w:color="auto" w:fill="auto"/>
            <w:noWrap/>
            <w:vAlign w:val="bottom"/>
            <w:hideMark/>
          </w:tcPr>
          <w:p w14:paraId="56CE1DD0"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7,3</w:t>
            </w:r>
          </w:p>
        </w:tc>
        <w:tc>
          <w:tcPr>
            <w:tcW w:w="2455" w:type="dxa"/>
            <w:shd w:val="clear" w:color="auto" w:fill="auto"/>
            <w:noWrap/>
            <w:vAlign w:val="bottom"/>
            <w:hideMark/>
          </w:tcPr>
          <w:p w14:paraId="3C5A90BA"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33,9</w:t>
            </w:r>
          </w:p>
        </w:tc>
      </w:tr>
      <w:tr w:rsidR="00362BB9" w:rsidRPr="00362BB9" w14:paraId="1B64E518" w14:textId="77777777" w:rsidTr="00362BB9">
        <w:tc>
          <w:tcPr>
            <w:tcW w:w="2268" w:type="dxa"/>
            <w:tcBorders>
              <w:bottom w:val="single" w:sz="12" w:space="0" w:color="auto"/>
            </w:tcBorders>
            <w:shd w:val="clear" w:color="auto" w:fill="auto"/>
            <w:noWrap/>
            <w:hideMark/>
          </w:tcPr>
          <w:p w14:paraId="3070395B"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2023</w:t>
            </w:r>
          </w:p>
        </w:tc>
        <w:tc>
          <w:tcPr>
            <w:tcW w:w="2308" w:type="dxa"/>
            <w:tcBorders>
              <w:bottom w:val="single" w:sz="12" w:space="0" w:color="auto"/>
            </w:tcBorders>
            <w:shd w:val="clear" w:color="auto" w:fill="auto"/>
            <w:noWrap/>
            <w:vAlign w:val="bottom"/>
            <w:hideMark/>
          </w:tcPr>
          <w:p w14:paraId="5C5531E5"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-0,6</w:t>
            </w:r>
          </w:p>
        </w:tc>
        <w:tc>
          <w:tcPr>
            <w:tcW w:w="2597" w:type="dxa"/>
            <w:tcBorders>
              <w:bottom w:val="single" w:sz="12" w:space="0" w:color="auto"/>
            </w:tcBorders>
            <w:shd w:val="clear" w:color="auto" w:fill="auto"/>
            <w:noWrap/>
            <w:vAlign w:val="bottom"/>
            <w:hideMark/>
          </w:tcPr>
          <w:p w14:paraId="4B68163A"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7,9</w:t>
            </w:r>
          </w:p>
        </w:tc>
        <w:tc>
          <w:tcPr>
            <w:tcW w:w="2455" w:type="dxa"/>
            <w:tcBorders>
              <w:bottom w:val="single" w:sz="12" w:space="0" w:color="auto"/>
            </w:tcBorders>
            <w:shd w:val="clear" w:color="auto" w:fill="auto"/>
            <w:noWrap/>
            <w:vAlign w:val="bottom"/>
            <w:hideMark/>
          </w:tcPr>
          <w:p w14:paraId="73298875"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32,9</w:t>
            </w:r>
          </w:p>
        </w:tc>
      </w:tr>
    </w:tbl>
    <w:p w14:paraId="7A5E4CD7" w14:textId="6BC95679" w:rsidR="000E14A8" w:rsidRPr="00362BB9" w:rsidRDefault="00362BB9" w:rsidP="00362916">
      <w:pPr>
        <w:pStyle w:val="SingleTxtG"/>
        <w:rPr>
          <w:sz w:val="18"/>
          <w:szCs w:val="18"/>
          <w:lang w:val="es-MX"/>
        </w:rPr>
      </w:pPr>
      <w:r w:rsidRPr="00362BB9">
        <w:rPr>
          <w:sz w:val="18"/>
          <w:szCs w:val="18"/>
          <w:lang w:val="es-MX"/>
        </w:rPr>
        <w:tab/>
      </w:r>
      <w:r w:rsidR="00362916" w:rsidRPr="00C67E7F">
        <w:rPr>
          <w:i/>
          <w:iCs/>
          <w:sz w:val="18"/>
          <w:szCs w:val="18"/>
          <w:lang w:val="es-MX"/>
        </w:rPr>
        <w:t>Fuente:</w:t>
      </w:r>
      <w:r w:rsidR="00362916" w:rsidRPr="00C67E7F">
        <w:rPr>
          <w:sz w:val="18"/>
          <w:szCs w:val="18"/>
          <w:lang w:val="es-MX"/>
        </w:rPr>
        <w:t xml:space="preserve"> INEI</w:t>
      </w:r>
      <w:r w:rsidR="00362916" w:rsidRPr="00362916">
        <w:rPr>
          <w:sz w:val="18"/>
          <w:szCs w:val="18"/>
          <w:lang w:val="es-MX"/>
        </w:rPr>
        <w:t xml:space="preserve"> y </w:t>
      </w:r>
      <w:proofErr w:type="spellStart"/>
      <w:r w:rsidR="00362916" w:rsidRPr="00362916">
        <w:rPr>
          <w:sz w:val="18"/>
          <w:szCs w:val="18"/>
          <w:lang w:val="es-MX"/>
        </w:rPr>
        <w:t>BCRP</w:t>
      </w:r>
      <w:proofErr w:type="spellEnd"/>
    </w:p>
    <w:p w14:paraId="616808B7"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10.d</w:t>
      </w:r>
      <w:proofErr w:type="spellEnd"/>
      <w:r w:rsidRPr="00362916">
        <w:rPr>
          <w:lang w:val="es-MX"/>
        </w:rPr>
        <w:t>), el Ministerio de Desarrollo e Inclusión Social (</w:t>
      </w:r>
      <w:proofErr w:type="spellStart"/>
      <w:r w:rsidRPr="00362916">
        <w:rPr>
          <w:lang w:val="es-MX"/>
        </w:rPr>
        <w:t>MIDIS</w:t>
      </w:r>
      <w:proofErr w:type="spellEnd"/>
      <w:r w:rsidRPr="00362916">
        <w:rPr>
          <w:lang w:val="es-MX"/>
        </w:rPr>
        <w:t>) juntamente con el Ministerio de Desarrollo Agrario y Riego (</w:t>
      </w:r>
      <w:proofErr w:type="spellStart"/>
      <w:r w:rsidRPr="00362916">
        <w:rPr>
          <w:lang w:val="es-MX"/>
        </w:rPr>
        <w:t>MIDAGRI</w:t>
      </w:r>
      <w:proofErr w:type="spellEnd"/>
      <w:r w:rsidRPr="00362916">
        <w:rPr>
          <w:lang w:val="es-MX"/>
        </w:rPr>
        <w:t>), en el año 2021 y 2023 elaboraron el estudio denominado “Perú: Evaluación de la Seguridad Alimentaria ante la Emergencia de la COVID 19 (</w:t>
      </w:r>
      <w:proofErr w:type="spellStart"/>
      <w:r w:rsidRPr="00362916">
        <w:rPr>
          <w:lang w:val="es-MX"/>
        </w:rPr>
        <w:t>ESAE</w:t>
      </w:r>
      <w:proofErr w:type="spellEnd"/>
      <w:r w:rsidRPr="00362916">
        <w:rPr>
          <w:lang w:val="es-MX"/>
        </w:rPr>
        <w:t>)”, que tuvo por objeto determinar el nivel de inseguridad alimentaria en los hogares del Perú.</w:t>
      </w:r>
    </w:p>
    <w:p w14:paraId="2A45EB9C" w14:textId="7B22085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 Frente a los resultados de dicho estudio, en el marco de la Comisión Multisectorial de Seguridad Alimentaria y Nutricional</w:t>
      </w:r>
      <w:r w:rsidRPr="00362916">
        <w:rPr>
          <w:vertAlign w:val="superscript"/>
          <w:lang w:val="es-MX"/>
        </w:rPr>
        <w:footnoteReference w:id="45"/>
      </w:r>
      <w:r w:rsidRPr="00362916">
        <w:rPr>
          <w:lang w:val="es-MX"/>
        </w:rPr>
        <w:t>, se viene elaborando la Política Nacional de Seguridad Alimentaria y Nutricional, que plantea como situación que “al año 2050, se ha reducido la inseguridad alimentaria en situación moderada o grave en un 16%, disminuyendo así la prevalencia de las enfermedades asociadas con la desnutrición, la anemia, el sobrepeso y la obesidad”</w:t>
      </w:r>
      <w:r w:rsidRPr="00362916">
        <w:rPr>
          <w:vertAlign w:val="superscript"/>
          <w:lang w:val="es-MX"/>
        </w:rPr>
        <w:footnoteReference w:id="46"/>
      </w:r>
      <w:r w:rsidR="005A3EB6">
        <w:rPr>
          <w:lang w:val="es-MX"/>
        </w:rPr>
        <w:t>.</w:t>
      </w:r>
    </w:p>
    <w:p w14:paraId="7541E638" w14:textId="5FF66ABC"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10.e</w:t>
      </w:r>
      <w:proofErr w:type="spellEnd"/>
      <w:r w:rsidRPr="00362916">
        <w:rPr>
          <w:lang w:val="es-MX"/>
        </w:rPr>
        <w:t>), el Programa Nacional Juntos (</w:t>
      </w:r>
      <w:proofErr w:type="spellStart"/>
      <w:r w:rsidRPr="00362916">
        <w:rPr>
          <w:lang w:val="es-MX"/>
        </w:rPr>
        <w:t>PNJ</w:t>
      </w:r>
      <w:proofErr w:type="spellEnd"/>
      <w:r w:rsidRPr="00362916">
        <w:rPr>
          <w:lang w:val="es-MX"/>
        </w:rPr>
        <w:t>) en el último trimestre del 2021, aprobó un nuevo esquema de corresponsabilidades y transferencias diferenciadas, considerando: i) la “</w:t>
      </w:r>
      <w:bookmarkStart w:id="15" w:name="_Hlk184725048"/>
      <w:r w:rsidRPr="00362916">
        <w:rPr>
          <w:lang w:val="es-MX"/>
        </w:rPr>
        <w:t>transferencia adicional a la primera infancia</w:t>
      </w:r>
      <w:bookmarkEnd w:id="15"/>
      <w:r w:rsidRPr="00362916">
        <w:rPr>
          <w:lang w:val="es-MX"/>
        </w:rPr>
        <w:t xml:space="preserve">” (TPI) de S/ 50.00 mensuales si todos los menores de 3 años del hogar y las gestantes acuden a las citas programadas de los servicios de paquete integrado de salud, </w:t>
      </w:r>
      <w:proofErr w:type="spellStart"/>
      <w:r w:rsidRPr="00362916">
        <w:rPr>
          <w:lang w:val="es-MX"/>
        </w:rPr>
        <w:t>ii</w:t>
      </w:r>
      <w:proofErr w:type="spellEnd"/>
      <w:r w:rsidRPr="00362916">
        <w:rPr>
          <w:lang w:val="es-MX"/>
        </w:rPr>
        <w:t xml:space="preserve">) a fin de promover resultados en educación secundaria, se contempla dos (2) </w:t>
      </w:r>
      <w:bookmarkStart w:id="16" w:name="_Hlk184725075"/>
      <w:r w:rsidRPr="00362916">
        <w:rPr>
          <w:lang w:val="es-MX"/>
        </w:rPr>
        <w:t xml:space="preserve">“transferencias adicionales secundaria” </w:t>
      </w:r>
      <w:bookmarkEnd w:id="16"/>
      <w:r w:rsidRPr="00362916">
        <w:rPr>
          <w:lang w:val="es-MX"/>
        </w:rPr>
        <w:t>(TAS), la primera transferencia de S/ 50.00 mensuales por estudiante dentro de un hogar, si éste cumple con una matrícula oportuna, una meta de asistencia escolar (mayor o igual al 90%) y la aprobación del año escolar a la baja secundaria</w:t>
      </w:r>
      <w:r w:rsidRPr="00362916">
        <w:rPr>
          <w:vertAlign w:val="superscript"/>
          <w:lang w:val="es-MX"/>
        </w:rPr>
        <w:footnoteReference w:id="47"/>
      </w:r>
      <w:r w:rsidRPr="00362916">
        <w:rPr>
          <w:lang w:val="es-MX"/>
        </w:rPr>
        <w:t xml:space="preserve"> y la segunda una transferencia de S/ 80.00 mensuales por estudiante dentro de un hogar si éste cumple con una matrícula oportuna, una meta de asistencia escolar (mayor o igual al 90 %) y la aprobación del año escolar a la alta secundaria</w:t>
      </w:r>
      <w:r w:rsidRPr="00362916">
        <w:rPr>
          <w:vertAlign w:val="superscript"/>
          <w:lang w:val="es-MX"/>
        </w:rPr>
        <w:footnoteReference w:id="48"/>
      </w:r>
      <w:r w:rsidRPr="00362916">
        <w:rPr>
          <w:lang w:val="es-MX"/>
        </w:rPr>
        <w:t>.</w:t>
      </w:r>
    </w:p>
    <w:p w14:paraId="1D95B123"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Finalmente, al tercer bimestre de 2024, se tiene una cobertura de 745,818 hogares abonados con Transferencia Base, 111,624 hogares abonados TPI y 12,464 estudiantes abonados de 3º, 4º y 5º de secundaria con TAS</w:t>
      </w:r>
      <w:r w:rsidRPr="00362916">
        <w:rPr>
          <w:vertAlign w:val="superscript"/>
          <w:lang w:val="es-MX"/>
        </w:rPr>
        <w:footnoteReference w:id="49"/>
      </w:r>
      <w:r w:rsidRPr="00362916">
        <w:rPr>
          <w:lang w:val="es-MX"/>
        </w:rPr>
        <w:t>.</w:t>
      </w:r>
    </w:p>
    <w:p w14:paraId="3BDE0DF7"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10.f</w:t>
      </w:r>
      <w:proofErr w:type="spellEnd"/>
      <w:r w:rsidRPr="00362916">
        <w:rPr>
          <w:lang w:val="es-MX"/>
        </w:rPr>
        <w:t>), la Política Nacional de Desarrollo e Inclusión Social al 2030</w:t>
      </w:r>
      <w:r w:rsidRPr="00362916">
        <w:rPr>
          <w:vertAlign w:val="superscript"/>
          <w:lang w:val="es-MX"/>
        </w:rPr>
        <w:footnoteReference w:id="50"/>
      </w:r>
      <w:r w:rsidRPr="00362916">
        <w:rPr>
          <w:lang w:val="es-MX"/>
        </w:rPr>
        <w:t xml:space="preserve">, tiene como objeto disminuir la exclusión social que genera pobreza en la población en las distintas etapas del ciclo de vida, en dicho marco las medidas adoptadas a favor de niños y adolescentes como se ha expuesto en el punto anterior, se han implementado a través del TPI y TAS. </w:t>
      </w:r>
    </w:p>
    <w:p w14:paraId="4F0C1D72"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11, el Estado ha implementado un conjunto de medidas para abordar la recepción, investigación de denuncias de actos de corrupción y protección de los denunciantes.</w:t>
      </w:r>
    </w:p>
    <w:p w14:paraId="2AA736CE" w14:textId="77777777" w:rsidR="000E14A8"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lastRenderedPageBreak/>
        <w:t xml:space="preserve">En enero de 2022 se aprobó el Decreto Legislativo </w:t>
      </w:r>
      <w:proofErr w:type="spellStart"/>
      <w:r w:rsidRPr="00362916">
        <w:rPr>
          <w:lang w:val="es-MX"/>
        </w:rPr>
        <w:t>N°</w:t>
      </w:r>
      <w:proofErr w:type="spellEnd"/>
      <w:r w:rsidRPr="00362916">
        <w:rPr>
          <w:lang w:val="es-MX"/>
        </w:rPr>
        <w:t xml:space="preserve"> 1522</w:t>
      </w:r>
      <w:r w:rsidRPr="00362916">
        <w:rPr>
          <w:vertAlign w:val="superscript"/>
          <w:lang w:val="es-MX"/>
        </w:rPr>
        <w:footnoteReference w:id="51"/>
      </w:r>
      <w:r w:rsidRPr="00362916">
        <w:rPr>
          <w:lang w:val="es-MX"/>
        </w:rPr>
        <w:t>, que modifico la Ley de Impuesto a la Renta, estableciendo expresamente que los pagos por cohecho en sus distintas modalidades no son deducibles como costo ni como gasto para determinar el impuesto a la renta.</w:t>
      </w:r>
    </w:p>
    <w:p w14:paraId="0559BBE0" w14:textId="008B7E7A" w:rsidR="00362916" w:rsidRPr="00362916"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La Plataforma Digital Única de Denuncias del Ciudadano (</w:t>
      </w:r>
      <w:proofErr w:type="spellStart"/>
      <w:r w:rsidRPr="00362916">
        <w:rPr>
          <w:lang w:val="es-MX"/>
        </w:rPr>
        <w:t>PDUDC</w:t>
      </w:r>
      <w:proofErr w:type="spellEnd"/>
      <w:r w:rsidRPr="00362916">
        <w:rPr>
          <w:lang w:val="es-MX"/>
        </w:rPr>
        <w:t>), se implementó en 378 entidades del Estado. Apreciándose un incremento en la recepción de denuncias de actos de corrupción</w:t>
      </w:r>
      <w:r w:rsidRPr="00362916">
        <w:rPr>
          <w:vertAlign w:val="superscript"/>
          <w:lang w:val="es-MX"/>
        </w:rPr>
        <w:footnoteReference w:id="52"/>
      </w:r>
      <w:r w:rsidRPr="00362916">
        <w:rPr>
          <w:lang w:val="es-MX"/>
        </w:rPr>
        <w:t>, según el detalle siguiente</w:t>
      </w:r>
      <w:r w:rsidR="00B10AA4">
        <w:rPr>
          <w:lang w:val="es-MX"/>
        </w:rPr>
        <w:t>.</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617"/>
        <w:gridCol w:w="1424"/>
        <w:gridCol w:w="1424"/>
        <w:gridCol w:w="1424"/>
        <w:gridCol w:w="1481"/>
      </w:tblGrid>
      <w:tr w:rsidR="00362BB9" w:rsidRPr="00362BB9" w14:paraId="752E9D0A" w14:textId="77777777" w:rsidTr="00362BB9">
        <w:trPr>
          <w:tblHeader/>
        </w:trPr>
        <w:tc>
          <w:tcPr>
            <w:tcW w:w="1617" w:type="dxa"/>
            <w:shd w:val="clear" w:color="auto" w:fill="auto"/>
            <w:vAlign w:val="bottom"/>
          </w:tcPr>
          <w:p w14:paraId="4E975AE3"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left"/>
              <w:rPr>
                <w:i/>
                <w:sz w:val="16"/>
                <w:lang w:val="es-MX"/>
              </w:rPr>
            </w:pPr>
          </w:p>
        </w:tc>
        <w:tc>
          <w:tcPr>
            <w:tcW w:w="1424" w:type="dxa"/>
            <w:shd w:val="clear" w:color="auto" w:fill="auto"/>
            <w:vAlign w:val="bottom"/>
          </w:tcPr>
          <w:p w14:paraId="1F869481"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2021</w:t>
            </w:r>
          </w:p>
        </w:tc>
        <w:tc>
          <w:tcPr>
            <w:tcW w:w="1424" w:type="dxa"/>
            <w:shd w:val="clear" w:color="auto" w:fill="auto"/>
            <w:vAlign w:val="bottom"/>
          </w:tcPr>
          <w:p w14:paraId="08FBCAC5"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2022</w:t>
            </w:r>
          </w:p>
        </w:tc>
        <w:tc>
          <w:tcPr>
            <w:tcW w:w="1424" w:type="dxa"/>
            <w:shd w:val="clear" w:color="auto" w:fill="auto"/>
            <w:vAlign w:val="bottom"/>
          </w:tcPr>
          <w:p w14:paraId="3E9E99FE"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2023</w:t>
            </w:r>
          </w:p>
        </w:tc>
        <w:tc>
          <w:tcPr>
            <w:tcW w:w="1481" w:type="dxa"/>
            <w:shd w:val="clear" w:color="auto" w:fill="auto"/>
            <w:vAlign w:val="bottom"/>
          </w:tcPr>
          <w:p w14:paraId="6586887A" w14:textId="77777777" w:rsidR="00362916" w:rsidRPr="00362916" w:rsidRDefault="00362916" w:rsidP="00362BB9">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2024 (Julio)</w:t>
            </w:r>
          </w:p>
        </w:tc>
      </w:tr>
      <w:tr w:rsidR="00362BB9" w:rsidRPr="00362BB9" w14:paraId="169BABEA" w14:textId="77777777" w:rsidTr="00362BB9">
        <w:tc>
          <w:tcPr>
            <w:tcW w:w="1617" w:type="dxa"/>
            <w:shd w:val="clear" w:color="auto" w:fill="auto"/>
          </w:tcPr>
          <w:p w14:paraId="184B77FB"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Cantidad de denuncias recibidas (</w:t>
            </w:r>
            <w:proofErr w:type="spellStart"/>
            <w:r w:rsidRPr="00362916">
              <w:rPr>
                <w:sz w:val="18"/>
                <w:lang w:val="es-MX"/>
              </w:rPr>
              <w:t>PDUDC</w:t>
            </w:r>
            <w:proofErr w:type="spellEnd"/>
            <w:r w:rsidRPr="00362916">
              <w:rPr>
                <w:sz w:val="18"/>
                <w:lang w:val="es-MX"/>
              </w:rPr>
              <w:t>)</w:t>
            </w:r>
          </w:p>
        </w:tc>
        <w:tc>
          <w:tcPr>
            <w:tcW w:w="1424" w:type="dxa"/>
            <w:shd w:val="clear" w:color="auto" w:fill="auto"/>
            <w:vAlign w:val="bottom"/>
          </w:tcPr>
          <w:p w14:paraId="224688AA"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5 477</w:t>
            </w:r>
          </w:p>
        </w:tc>
        <w:tc>
          <w:tcPr>
            <w:tcW w:w="1424" w:type="dxa"/>
            <w:shd w:val="clear" w:color="auto" w:fill="auto"/>
            <w:vAlign w:val="bottom"/>
          </w:tcPr>
          <w:p w14:paraId="06F5A93E"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10 470</w:t>
            </w:r>
          </w:p>
        </w:tc>
        <w:tc>
          <w:tcPr>
            <w:tcW w:w="1424" w:type="dxa"/>
            <w:shd w:val="clear" w:color="auto" w:fill="auto"/>
            <w:vAlign w:val="bottom"/>
          </w:tcPr>
          <w:p w14:paraId="196A6DF1"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16 631</w:t>
            </w:r>
          </w:p>
        </w:tc>
        <w:tc>
          <w:tcPr>
            <w:tcW w:w="1481" w:type="dxa"/>
            <w:shd w:val="clear" w:color="auto" w:fill="auto"/>
            <w:vAlign w:val="bottom"/>
          </w:tcPr>
          <w:p w14:paraId="230875CB" w14:textId="77777777" w:rsidR="00362916" w:rsidRPr="00362916" w:rsidRDefault="00362916" w:rsidP="00362BB9">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12 719</w:t>
            </w:r>
          </w:p>
        </w:tc>
      </w:tr>
    </w:tbl>
    <w:p w14:paraId="55BEF592" w14:textId="1F738D39" w:rsidR="00362916" w:rsidRPr="00362916" w:rsidRDefault="00362916" w:rsidP="00362BB9">
      <w:pPr>
        <w:pStyle w:val="SingleTxtG"/>
        <w:numPr>
          <w:ilvl w:val="0"/>
          <w:numId w:val="17"/>
        </w:numPr>
        <w:tabs>
          <w:tab w:val="clear" w:pos="1701"/>
          <w:tab w:val="clear" w:pos="2268"/>
          <w:tab w:val="clear" w:pos="2835"/>
        </w:tabs>
        <w:kinsoku w:val="0"/>
        <w:overflowPunct w:val="0"/>
        <w:autoSpaceDE w:val="0"/>
        <w:autoSpaceDN w:val="0"/>
        <w:adjustRightInd w:val="0"/>
        <w:snapToGrid w:val="0"/>
        <w:spacing w:before="120" w:line="259" w:lineRule="auto"/>
        <w:ind w:left="1134" w:firstLine="0"/>
        <w:rPr>
          <w:lang w:val="es-MX"/>
        </w:rPr>
      </w:pPr>
      <w:r w:rsidRPr="00362916">
        <w:rPr>
          <w:lang w:val="es-MX"/>
        </w:rPr>
        <w:t>Sobre la protección de las personas denunciantes de actos de corrupción durante el periodo examinado (diciembre de 2021 – agosto de 2024), se encuentra vigente el Decreto Legislativo 1327</w:t>
      </w:r>
      <w:r w:rsidRPr="00362916">
        <w:rPr>
          <w:vertAlign w:val="superscript"/>
          <w:lang w:val="es-MX"/>
        </w:rPr>
        <w:footnoteReference w:id="53"/>
      </w:r>
      <w:r w:rsidRPr="00362916">
        <w:rPr>
          <w:lang w:val="es-MX"/>
        </w:rPr>
        <w:t xml:space="preserve"> y su Reglamento Decreto Supremo </w:t>
      </w:r>
      <w:proofErr w:type="spellStart"/>
      <w:r w:rsidRPr="00362916">
        <w:rPr>
          <w:lang w:val="es-MX"/>
        </w:rPr>
        <w:t>N°010</w:t>
      </w:r>
      <w:proofErr w:type="spellEnd"/>
      <w:r w:rsidRPr="00362916">
        <w:rPr>
          <w:lang w:val="es-MX"/>
        </w:rPr>
        <w:t>-2017-</w:t>
      </w:r>
      <w:proofErr w:type="spellStart"/>
      <w:r w:rsidRPr="00362916">
        <w:rPr>
          <w:lang w:val="es-MX"/>
        </w:rPr>
        <w:t>JUS</w:t>
      </w:r>
      <w:proofErr w:type="spellEnd"/>
      <w:r w:rsidRPr="00362916">
        <w:rPr>
          <w:lang w:val="es-MX"/>
        </w:rPr>
        <w:t>, que permitió impulsar la implementación de las Oficinas de Integridad Institucional, encargadas de emitir las medidas de protección en las denuncias sobre conductas o hechos que dan cuenta del abuso del poder público por parte de un servidor civil o un postor dentro de una entidad estatal. Se otorgaron las siguientes medidas de protección</w:t>
      </w:r>
      <w:r w:rsidRPr="00362916">
        <w:rPr>
          <w:vertAlign w:val="superscript"/>
          <w:lang w:val="es-MX"/>
        </w:rPr>
        <w:footnoteReference w:id="54"/>
      </w:r>
      <w:r w:rsidR="00B10AA4">
        <w:rPr>
          <w:lang w:val="es-MX"/>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08"/>
        <w:gridCol w:w="1405"/>
        <w:gridCol w:w="1405"/>
        <w:gridCol w:w="1405"/>
        <w:gridCol w:w="1547"/>
      </w:tblGrid>
      <w:tr w:rsidR="007B22E3" w:rsidRPr="007B22E3" w14:paraId="342EE803" w14:textId="77777777" w:rsidTr="00362BB9">
        <w:trPr>
          <w:tblHeader/>
        </w:trPr>
        <w:tc>
          <w:tcPr>
            <w:tcW w:w="1608" w:type="dxa"/>
            <w:tcBorders>
              <w:top w:val="single" w:sz="4" w:space="0" w:color="auto"/>
              <w:bottom w:val="single" w:sz="12" w:space="0" w:color="auto"/>
            </w:tcBorders>
            <w:shd w:val="clear" w:color="auto" w:fill="auto"/>
            <w:vAlign w:val="bottom"/>
          </w:tcPr>
          <w:p w14:paraId="387F29AB" w14:textId="77777777" w:rsidR="00362916" w:rsidRPr="00362916" w:rsidRDefault="00362916" w:rsidP="007B22E3">
            <w:pPr>
              <w:pStyle w:val="SingleTxtG"/>
              <w:tabs>
                <w:tab w:val="clear" w:pos="1701"/>
                <w:tab w:val="clear" w:pos="2268"/>
                <w:tab w:val="clear" w:pos="2835"/>
              </w:tabs>
              <w:spacing w:before="80" w:after="80" w:line="200" w:lineRule="exact"/>
              <w:ind w:left="0" w:right="0"/>
              <w:jc w:val="left"/>
              <w:rPr>
                <w:i/>
                <w:sz w:val="16"/>
                <w:lang w:val="es-MX"/>
              </w:rPr>
            </w:pPr>
            <w:r w:rsidRPr="00362916">
              <w:rPr>
                <w:i/>
                <w:sz w:val="16"/>
                <w:lang w:val="es-MX"/>
              </w:rPr>
              <w:t>Tipo de medidas de protección</w:t>
            </w:r>
          </w:p>
        </w:tc>
        <w:tc>
          <w:tcPr>
            <w:tcW w:w="1405" w:type="dxa"/>
            <w:tcBorders>
              <w:top w:val="single" w:sz="4" w:space="0" w:color="auto"/>
              <w:bottom w:val="single" w:sz="12" w:space="0" w:color="auto"/>
            </w:tcBorders>
            <w:shd w:val="clear" w:color="auto" w:fill="auto"/>
            <w:vAlign w:val="bottom"/>
          </w:tcPr>
          <w:p w14:paraId="016E5513" w14:textId="77777777" w:rsidR="00362916" w:rsidRPr="00362916" w:rsidRDefault="00362916" w:rsidP="007B22E3">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2021</w:t>
            </w:r>
          </w:p>
        </w:tc>
        <w:tc>
          <w:tcPr>
            <w:tcW w:w="1405" w:type="dxa"/>
            <w:tcBorders>
              <w:top w:val="single" w:sz="4" w:space="0" w:color="auto"/>
              <w:bottom w:val="single" w:sz="12" w:space="0" w:color="auto"/>
            </w:tcBorders>
            <w:shd w:val="clear" w:color="auto" w:fill="auto"/>
            <w:vAlign w:val="bottom"/>
          </w:tcPr>
          <w:p w14:paraId="00C2661D" w14:textId="77777777" w:rsidR="00362916" w:rsidRPr="00362916" w:rsidRDefault="00362916" w:rsidP="007B22E3">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2022</w:t>
            </w:r>
          </w:p>
        </w:tc>
        <w:tc>
          <w:tcPr>
            <w:tcW w:w="1405" w:type="dxa"/>
            <w:tcBorders>
              <w:top w:val="single" w:sz="4" w:space="0" w:color="auto"/>
              <w:bottom w:val="single" w:sz="12" w:space="0" w:color="auto"/>
            </w:tcBorders>
            <w:shd w:val="clear" w:color="auto" w:fill="auto"/>
            <w:vAlign w:val="bottom"/>
          </w:tcPr>
          <w:p w14:paraId="3CD42075" w14:textId="77777777" w:rsidR="00362916" w:rsidRPr="00362916" w:rsidRDefault="00362916" w:rsidP="007B22E3">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2023</w:t>
            </w:r>
          </w:p>
        </w:tc>
        <w:tc>
          <w:tcPr>
            <w:tcW w:w="1547" w:type="dxa"/>
            <w:tcBorders>
              <w:top w:val="single" w:sz="4" w:space="0" w:color="auto"/>
              <w:bottom w:val="single" w:sz="12" w:space="0" w:color="auto"/>
            </w:tcBorders>
            <w:shd w:val="clear" w:color="auto" w:fill="auto"/>
            <w:vAlign w:val="bottom"/>
          </w:tcPr>
          <w:p w14:paraId="30EDF724" w14:textId="77777777" w:rsidR="00362916" w:rsidRPr="00362916" w:rsidRDefault="00362916" w:rsidP="007B22E3">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2024 (JUNIO)</w:t>
            </w:r>
          </w:p>
        </w:tc>
      </w:tr>
      <w:tr w:rsidR="007B22E3" w:rsidRPr="007B22E3" w14:paraId="222FFB48" w14:textId="77777777" w:rsidTr="00362BB9">
        <w:tc>
          <w:tcPr>
            <w:tcW w:w="1608" w:type="dxa"/>
            <w:tcBorders>
              <w:top w:val="single" w:sz="12" w:space="0" w:color="auto"/>
            </w:tcBorders>
            <w:shd w:val="clear" w:color="auto" w:fill="auto"/>
          </w:tcPr>
          <w:p w14:paraId="06877CF5"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Medidas de protección laborales</w:t>
            </w:r>
          </w:p>
        </w:tc>
        <w:tc>
          <w:tcPr>
            <w:tcW w:w="1405" w:type="dxa"/>
            <w:tcBorders>
              <w:top w:val="single" w:sz="12" w:space="0" w:color="auto"/>
            </w:tcBorders>
            <w:shd w:val="clear" w:color="auto" w:fill="auto"/>
            <w:vAlign w:val="bottom"/>
          </w:tcPr>
          <w:p w14:paraId="16D16985"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1143</w:t>
            </w:r>
          </w:p>
        </w:tc>
        <w:tc>
          <w:tcPr>
            <w:tcW w:w="1405" w:type="dxa"/>
            <w:tcBorders>
              <w:top w:val="single" w:sz="12" w:space="0" w:color="auto"/>
            </w:tcBorders>
            <w:shd w:val="clear" w:color="auto" w:fill="auto"/>
            <w:vAlign w:val="bottom"/>
          </w:tcPr>
          <w:p w14:paraId="7AC9D4BA"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2215</w:t>
            </w:r>
          </w:p>
        </w:tc>
        <w:tc>
          <w:tcPr>
            <w:tcW w:w="1405" w:type="dxa"/>
            <w:tcBorders>
              <w:top w:val="single" w:sz="12" w:space="0" w:color="auto"/>
            </w:tcBorders>
            <w:shd w:val="clear" w:color="auto" w:fill="auto"/>
            <w:vAlign w:val="bottom"/>
          </w:tcPr>
          <w:p w14:paraId="2BF2D35D"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2430</w:t>
            </w:r>
          </w:p>
        </w:tc>
        <w:tc>
          <w:tcPr>
            <w:tcW w:w="1547" w:type="dxa"/>
            <w:tcBorders>
              <w:top w:val="single" w:sz="12" w:space="0" w:color="auto"/>
            </w:tcBorders>
            <w:shd w:val="clear" w:color="auto" w:fill="auto"/>
            <w:vAlign w:val="bottom"/>
          </w:tcPr>
          <w:p w14:paraId="1DA370ED"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681</w:t>
            </w:r>
          </w:p>
        </w:tc>
      </w:tr>
      <w:tr w:rsidR="007B22E3" w:rsidRPr="007B22E3" w14:paraId="429EE81D" w14:textId="77777777" w:rsidTr="00362BB9">
        <w:tc>
          <w:tcPr>
            <w:tcW w:w="1608" w:type="dxa"/>
            <w:tcBorders>
              <w:bottom w:val="single" w:sz="12" w:space="0" w:color="auto"/>
            </w:tcBorders>
            <w:shd w:val="clear" w:color="auto" w:fill="auto"/>
          </w:tcPr>
          <w:p w14:paraId="25C7C210"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Medidas de protección a postores</w:t>
            </w:r>
          </w:p>
        </w:tc>
        <w:tc>
          <w:tcPr>
            <w:tcW w:w="1405" w:type="dxa"/>
            <w:tcBorders>
              <w:bottom w:val="single" w:sz="12" w:space="0" w:color="auto"/>
            </w:tcBorders>
            <w:shd w:val="clear" w:color="auto" w:fill="auto"/>
            <w:vAlign w:val="bottom"/>
          </w:tcPr>
          <w:p w14:paraId="7B6CAF88"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13</w:t>
            </w:r>
          </w:p>
        </w:tc>
        <w:tc>
          <w:tcPr>
            <w:tcW w:w="1405" w:type="dxa"/>
            <w:tcBorders>
              <w:bottom w:val="single" w:sz="12" w:space="0" w:color="auto"/>
            </w:tcBorders>
            <w:shd w:val="clear" w:color="auto" w:fill="auto"/>
            <w:vAlign w:val="bottom"/>
          </w:tcPr>
          <w:p w14:paraId="1396FECD"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49</w:t>
            </w:r>
          </w:p>
        </w:tc>
        <w:tc>
          <w:tcPr>
            <w:tcW w:w="1405" w:type="dxa"/>
            <w:tcBorders>
              <w:bottom w:val="single" w:sz="12" w:space="0" w:color="auto"/>
            </w:tcBorders>
            <w:shd w:val="clear" w:color="auto" w:fill="auto"/>
            <w:vAlign w:val="bottom"/>
          </w:tcPr>
          <w:p w14:paraId="22B9C4D5"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259</w:t>
            </w:r>
          </w:p>
        </w:tc>
        <w:tc>
          <w:tcPr>
            <w:tcW w:w="1547" w:type="dxa"/>
            <w:tcBorders>
              <w:bottom w:val="single" w:sz="12" w:space="0" w:color="auto"/>
            </w:tcBorders>
            <w:shd w:val="clear" w:color="auto" w:fill="auto"/>
            <w:vAlign w:val="bottom"/>
          </w:tcPr>
          <w:p w14:paraId="4BC0E85C"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325</w:t>
            </w:r>
          </w:p>
        </w:tc>
      </w:tr>
    </w:tbl>
    <w:p w14:paraId="36E26229" w14:textId="77777777" w:rsidR="000E14A8" w:rsidRPr="00B10AA4" w:rsidRDefault="00362916" w:rsidP="00DC0B76">
      <w:pPr>
        <w:pStyle w:val="H23G"/>
        <w:ind w:left="1080" w:firstLine="0"/>
        <w:rPr>
          <w:sz w:val="24"/>
          <w:szCs w:val="24"/>
          <w:lang w:val="es-MX"/>
        </w:rPr>
      </w:pPr>
      <w:bookmarkStart w:id="17" w:name="_Toc187168797"/>
      <w:r w:rsidRPr="00B10AA4">
        <w:rPr>
          <w:sz w:val="24"/>
          <w:szCs w:val="24"/>
          <w:lang w:val="es-MX"/>
        </w:rPr>
        <w:t>No discriminación (art. 2, párr. 2)</w:t>
      </w:r>
      <w:bookmarkEnd w:id="17"/>
    </w:p>
    <w:p w14:paraId="72F76281"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12, el Estado peruano ha abordado medidas intersectoriales con la finalidad de impulsar la reforma del marco normativo sobre igualdad y no discriminación, por las diferentes entidades del Estado. </w:t>
      </w:r>
    </w:p>
    <w:p w14:paraId="2126EFA2" w14:textId="44F6B2E9"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Con el Decreto Supremo </w:t>
      </w:r>
      <w:proofErr w:type="spellStart"/>
      <w:r w:rsidRPr="00362916">
        <w:rPr>
          <w:lang w:val="es-MX"/>
        </w:rPr>
        <w:t>N°015</w:t>
      </w:r>
      <w:proofErr w:type="spellEnd"/>
      <w:r w:rsidRPr="00362916">
        <w:rPr>
          <w:lang w:val="es-MX"/>
        </w:rPr>
        <w:t>-2013-</w:t>
      </w:r>
      <w:proofErr w:type="spellStart"/>
      <w:r w:rsidRPr="00362916">
        <w:rPr>
          <w:lang w:val="es-MX"/>
        </w:rPr>
        <w:t>JUS</w:t>
      </w:r>
      <w:proofErr w:type="spellEnd"/>
      <w:r w:rsidRPr="00362916">
        <w:rPr>
          <w:lang w:val="es-MX"/>
        </w:rPr>
        <w:t xml:space="preserve">, se instauro la </w:t>
      </w:r>
      <w:bookmarkStart w:id="18" w:name="_Hlk184725343"/>
      <w:r w:rsidRPr="00362916">
        <w:rPr>
          <w:lang w:val="es-MX"/>
        </w:rPr>
        <w:t xml:space="preserve">Comisión Nacional contra la Discriminación </w:t>
      </w:r>
      <w:bookmarkEnd w:id="18"/>
      <w:r w:rsidRPr="00362916">
        <w:rPr>
          <w:lang w:val="es-MX"/>
        </w:rPr>
        <w:t>(</w:t>
      </w:r>
      <w:proofErr w:type="spellStart"/>
      <w:r w:rsidRPr="00362916">
        <w:rPr>
          <w:lang w:val="es-MX"/>
        </w:rPr>
        <w:t>CONACOD</w:t>
      </w:r>
      <w:proofErr w:type="spellEnd"/>
      <w:r w:rsidRPr="00362916">
        <w:rPr>
          <w:lang w:val="es-MX"/>
        </w:rPr>
        <w:t>), con la finalidad contribuir a la efectiva vigencia de los derechos a la igualdad y no discriminación. Bajo ese contexto, se viene trabajando en la implementación de una Plataforma Virtual de denuncias de casos de discriminación a nivel nacional, que permitirá tener un mecanismo más efectivo para el traslado de denuncias de discriminación hacia las entidades correspondientes.</w:t>
      </w:r>
    </w:p>
    <w:p w14:paraId="028CEA44"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Por otro lado, el Poder Judicial (</w:t>
      </w:r>
      <w:proofErr w:type="spellStart"/>
      <w:r w:rsidRPr="00362916">
        <w:rPr>
          <w:lang w:val="es-MX"/>
        </w:rPr>
        <w:t>PJ</w:t>
      </w:r>
      <w:proofErr w:type="spellEnd"/>
      <w:r w:rsidRPr="00362916">
        <w:rPr>
          <w:lang w:val="es-MX"/>
        </w:rPr>
        <w:t>), a través de su Comisión Permanente de Acceso a la Justicia de Personas en condición de Vulnerabilidad y Justicia en tu Comunidad, promovió la elaboración de la “Guía para actores judiciales: Acceso a la justicia de personas refugiadas y migrante en el Perú desde los estándares internacionales de protección de los derechos humanos” en diciembre de 2021</w:t>
      </w:r>
      <w:r w:rsidRPr="00362916">
        <w:rPr>
          <w:vertAlign w:val="superscript"/>
          <w:lang w:val="es-MX"/>
        </w:rPr>
        <w:footnoteReference w:id="55"/>
      </w:r>
      <w:r w:rsidRPr="00362916">
        <w:rPr>
          <w:lang w:val="es-MX"/>
        </w:rPr>
        <w:t>.</w:t>
      </w:r>
    </w:p>
    <w:p w14:paraId="259C60FF"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Además, la </w:t>
      </w:r>
      <w:proofErr w:type="spellStart"/>
      <w:r w:rsidRPr="00362916">
        <w:rPr>
          <w:lang w:val="es-MX"/>
        </w:rPr>
        <w:t>SUNASS</w:t>
      </w:r>
      <w:proofErr w:type="spellEnd"/>
      <w:r w:rsidRPr="00362916">
        <w:rPr>
          <w:lang w:val="es-MX"/>
        </w:rPr>
        <w:t xml:space="preserve"> ha implementado en el 2022, un servicio de atención intercultural bilingüe – en formato telefónico y vía web– a fin de alcanzar a usuarios quechua </w:t>
      </w:r>
      <w:r w:rsidRPr="00362916">
        <w:rPr>
          <w:lang w:val="es-MX"/>
        </w:rPr>
        <w:lastRenderedPageBreak/>
        <w:t>hablantes a nivel nacional sobre sus derechos y deberes en relación con los servicios de saneamiento</w:t>
      </w:r>
      <w:r w:rsidRPr="00362916">
        <w:rPr>
          <w:vertAlign w:val="superscript"/>
          <w:lang w:val="es-MX"/>
        </w:rPr>
        <w:footnoteReference w:id="56"/>
      </w:r>
      <w:r w:rsidRPr="00362916">
        <w:rPr>
          <w:lang w:val="es-MX"/>
        </w:rPr>
        <w:t xml:space="preserve">. </w:t>
      </w:r>
    </w:p>
    <w:p w14:paraId="66AED3F7" w14:textId="77777777" w:rsidR="000E14A8" w:rsidRPr="00B10AA4" w:rsidRDefault="00362916" w:rsidP="00DC0B76">
      <w:pPr>
        <w:pStyle w:val="H23G"/>
        <w:ind w:left="1080" w:firstLine="0"/>
        <w:rPr>
          <w:sz w:val="24"/>
          <w:szCs w:val="24"/>
          <w:lang w:val="es-MX"/>
        </w:rPr>
      </w:pPr>
      <w:bookmarkStart w:id="19" w:name="_Toc187168798"/>
      <w:r w:rsidRPr="00B10AA4">
        <w:rPr>
          <w:sz w:val="24"/>
          <w:szCs w:val="24"/>
          <w:lang w:val="es-MX"/>
        </w:rPr>
        <w:t>Igualdad de derechos entre hombres y mujeres (art. 3)</w:t>
      </w:r>
      <w:bookmarkEnd w:id="19"/>
    </w:p>
    <w:p w14:paraId="550E1BE7" w14:textId="20CAA06B"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13.a</w:t>
      </w:r>
      <w:proofErr w:type="spellEnd"/>
      <w:r w:rsidRPr="00362916">
        <w:rPr>
          <w:lang w:val="es-MX"/>
        </w:rPr>
        <w:t>), el Estado viene ejecutando la Política Nacional de Igualdad de Género (</w:t>
      </w:r>
      <w:proofErr w:type="spellStart"/>
      <w:r w:rsidRPr="00362916">
        <w:rPr>
          <w:lang w:val="es-MX"/>
        </w:rPr>
        <w:t>PNIG</w:t>
      </w:r>
      <w:proofErr w:type="spellEnd"/>
      <w:r w:rsidRPr="00362916">
        <w:rPr>
          <w:lang w:val="es-MX"/>
        </w:rPr>
        <w:t>), que establece en su objetivo cuatro (4), “garantizar el ejercicio de los derechos económicos y sociales de las mujeres”, ejecutando un conjunto de servicios públicos priorizados, que a continuación se detallan</w:t>
      </w:r>
      <w:r w:rsidRPr="00362916">
        <w:rPr>
          <w:vertAlign w:val="superscript"/>
          <w:lang w:val="es-MX"/>
        </w:rPr>
        <w:footnoteReference w:id="57"/>
      </w:r>
      <w:r w:rsidR="002D67D4">
        <w:rPr>
          <w:lang w:val="es-MX"/>
        </w:rPr>
        <w:t>.</w:t>
      </w:r>
    </w:p>
    <w:p w14:paraId="689189DC" w14:textId="535C883D" w:rsidR="00362916" w:rsidRDefault="00362916" w:rsidP="007333D6">
      <w:pPr>
        <w:pStyle w:val="Ttulo1"/>
        <w:rPr>
          <w:b/>
          <w:bCs/>
        </w:rPr>
      </w:pPr>
      <w:proofErr w:type="spellStart"/>
      <w:r w:rsidRPr="007333D6">
        <w:rPr>
          <w:b/>
          <w:bCs/>
        </w:rPr>
        <w:t>Servicios</w:t>
      </w:r>
      <w:proofErr w:type="spellEnd"/>
      <w:r w:rsidRPr="007333D6">
        <w:rPr>
          <w:b/>
          <w:bCs/>
        </w:rPr>
        <w:t xml:space="preserve"> que </w:t>
      </w:r>
      <w:proofErr w:type="spellStart"/>
      <w:r w:rsidRPr="007333D6">
        <w:rPr>
          <w:b/>
          <w:bCs/>
        </w:rPr>
        <w:t>contribuyen</w:t>
      </w:r>
      <w:proofErr w:type="spellEnd"/>
      <w:r w:rsidRPr="007333D6">
        <w:rPr>
          <w:b/>
          <w:bCs/>
        </w:rPr>
        <w:t xml:space="preserve"> al </w:t>
      </w:r>
      <w:proofErr w:type="spellStart"/>
      <w:r w:rsidRPr="007333D6">
        <w:rPr>
          <w:b/>
          <w:bCs/>
        </w:rPr>
        <w:t>acceso</w:t>
      </w:r>
      <w:proofErr w:type="spellEnd"/>
      <w:r w:rsidRPr="007333D6">
        <w:rPr>
          <w:b/>
          <w:bCs/>
        </w:rPr>
        <w:t xml:space="preserve"> de las </w:t>
      </w:r>
      <w:proofErr w:type="spellStart"/>
      <w:r w:rsidRPr="007333D6">
        <w:rPr>
          <w:b/>
          <w:bCs/>
        </w:rPr>
        <w:t>mujeres</w:t>
      </w:r>
      <w:proofErr w:type="spellEnd"/>
      <w:r w:rsidRPr="007333D6">
        <w:rPr>
          <w:b/>
          <w:bCs/>
        </w:rPr>
        <w:t xml:space="preserve"> a las </w:t>
      </w:r>
      <w:proofErr w:type="spellStart"/>
      <w:r w:rsidRPr="007333D6">
        <w:rPr>
          <w:b/>
          <w:bCs/>
        </w:rPr>
        <w:t>actividades</w:t>
      </w:r>
      <w:proofErr w:type="spellEnd"/>
      <w:r w:rsidRPr="007333D6">
        <w:rPr>
          <w:b/>
          <w:bCs/>
        </w:rPr>
        <w:t xml:space="preserve"> </w:t>
      </w:r>
      <w:proofErr w:type="spellStart"/>
      <w:r w:rsidRPr="007333D6">
        <w:rPr>
          <w:b/>
          <w:bCs/>
        </w:rPr>
        <w:t>económicas</w:t>
      </w:r>
      <w:proofErr w:type="spellEnd"/>
      <w:r w:rsidRPr="007333D6">
        <w:rPr>
          <w:b/>
          <w:bCs/>
          <w:vertAlign w:val="superscript"/>
        </w:rPr>
        <w:footnoteReference w:id="58"/>
      </w:r>
    </w:p>
    <w:p w14:paraId="60CA2481" w14:textId="77777777" w:rsidR="00177160" w:rsidRPr="00177160" w:rsidRDefault="00177160" w:rsidP="00177160">
      <w:pPr>
        <w:pStyle w:val="SingleTxtG"/>
        <w:rPr>
          <w:lang w:val="fr-CH" w:eastAsia="en-US"/>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85"/>
        <w:gridCol w:w="3885"/>
      </w:tblGrid>
      <w:tr w:rsidR="007333D6" w:rsidRPr="007333D6" w14:paraId="0EAD08C5" w14:textId="77777777" w:rsidTr="007333D6">
        <w:trPr>
          <w:tblHeader/>
        </w:trPr>
        <w:tc>
          <w:tcPr>
            <w:tcW w:w="3485" w:type="dxa"/>
            <w:tcBorders>
              <w:top w:val="single" w:sz="4" w:space="0" w:color="auto"/>
              <w:bottom w:val="single" w:sz="12" w:space="0" w:color="auto"/>
            </w:tcBorders>
            <w:shd w:val="clear" w:color="auto" w:fill="auto"/>
            <w:vAlign w:val="bottom"/>
          </w:tcPr>
          <w:p w14:paraId="10BF0925" w14:textId="77777777" w:rsidR="00362916" w:rsidRPr="007333D6" w:rsidRDefault="00362916" w:rsidP="007333D6">
            <w:pPr>
              <w:spacing w:before="80" w:after="80" w:line="200" w:lineRule="exact"/>
              <w:ind w:right="113"/>
              <w:rPr>
                <w:i/>
                <w:sz w:val="16"/>
                <w:lang w:val="es-MX"/>
              </w:rPr>
            </w:pPr>
            <w:r w:rsidRPr="007333D6">
              <w:rPr>
                <w:i/>
                <w:sz w:val="16"/>
                <w:lang w:val="es-MX"/>
              </w:rPr>
              <w:t xml:space="preserve">Servicio de la </w:t>
            </w:r>
            <w:proofErr w:type="spellStart"/>
            <w:r w:rsidRPr="007333D6">
              <w:rPr>
                <w:i/>
                <w:sz w:val="16"/>
                <w:lang w:val="es-MX"/>
              </w:rPr>
              <w:t>PNIG</w:t>
            </w:r>
            <w:proofErr w:type="spellEnd"/>
          </w:p>
        </w:tc>
        <w:tc>
          <w:tcPr>
            <w:tcW w:w="3885" w:type="dxa"/>
            <w:tcBorders>
              <w:top w:val="single" w:sz="4" w:space="0" w:color="auto"/>
              <w:bottom w:val="single" w:sz="12" w:space="0" w:color="auto"/>
            </w:tcBorders>
            <w:shd w:val="clear" w:color="auto" w:fill="auto"/>
            <w:vAlign w:val="bottom"/>
          </w:tcPr>
          <w:p w14:paraId="0BCE9168" w14:textId="77777777" w:rsidR="00362916" w:rsidRPr="007333D6" w:rsidRDefault="00362916" w:rsidP="007333D6">
            <w:pPr>
              <w:spacing w:before="80" w:after="80" w:line="200" w:lineRule="exact"/>
              <w:ind w:right="113"/>
              <w:rPr>
                <w:i/>
                <w:sz w:val="16"/>
                <w:lang w:val="es-MX"/>
              </w:rPr>
            </w:pPr>
            <w:r w:rsidRPr="007333D6">
              <w:rPr>
                <w:i/>
                <w:sz w:val="16"/>
                <w:lang w:val="es-MX"/>
              </w:rPr>
              <w:t>Resultados 2021 - 2023</w:t>
            </w:r>
          </w:p>
        </w:tc>
      </w:tr>
      <w:tr w:rsidR="007333D6" w:rsidRPr="007333D6" w14:paraId="609068B8" w14:textId="77777777" w:rsidTr="007333D6">
        <w:trPr>
          <w:trHeight w:hRule="exact" w:val="113"/>
          <w:tblHeader/>
        </w:trPr>
        <w:tc>
          <w:tcPr>
            <w:tcW w:w="3485" w:type="dxa"/>
            <w:tcBorders>
              <w:top w:val="single" w:sz="12" w:space="0" w:color="auto"/>
            </w:tcBorders>
            <w:shd w:val="clear" w:color="auto" w:fill="auto"/>
          </w:tcPr>
          <w:p w14:paraId="5CB9E854" w14:textId="77777777" w:rsidR="007333D6" w:rsidRPr="007333D6" w:rsidRDefault="007333D6" w:rsidP="007333D6">
            <w:pPr>
              <w:spacing w:before="40" w:after="120"/>
              <w:ind w:right="113"/>
              <w:rPr>
                <w:lang w:val="es-MX"/>
              </w:rPr>
            </w:pPr>
          </w:p>
        </w:tc>
        <w:tc>
          <w:tcPr>
            <w:tcW w:w="3885" w:type="dxa"/>
            <w:tcBorders>
              <w:top w:val="single" w:sz="12" w:space="0" w:color="auto"/>
            </w:tcBorders>
            <w:shd w:val="clear" w:color="auto" w:fill="auto"/>
          </w:tcPr>
          <w:p w14:paraId="6312BAAD" w14:textId="77777777" w:rsidR="007333D6" w:rsidRPr="007333D6" w:rsidRDefault="007333D6" w:rsidP="007333D6">
            <w:pPr>
              <w:spacing w:before="40" w:after="120"/>
              <w:ind w:right="113"/>
              <w:rPr>
                <w:lang w:val="es-MX"/>
              </w:rPr>
            </w:pPr>
          </w:p>
        </w:tc>
      </w:tr>
      <w:tr w:rsidR="007333D6" w:rsidRPr="007333D6" w14:paraId="47C5FA89" w14:textId="77777777" w:rsidTr="007333D6">
        <w:trPr>
          <w:tblHeader/>
        </w:trPr>
        <w:tc>
          <w:tcPr>
            <w:tcW w:w="3485" w:type="dxa"/>
            <w:shd w:val="clear" w:color="auto" w:fill="auto"/>
          </w:tcPr>
          <w:p w14:paraId="1F3613B5" w14:textId="77777777" w:rsidR="00362916" w:rsidRPr="007333D6" w:rsidRDefault="00362916" w:rsidP="007333D6">
            <w:pPr>
              <w:spacing w:before="40" w:after="120"/>
              <w:ind w:right="113"/>
              <w:rPr>
                <w:lang w:val="es-MX"/>
              </w:rPr>
            </w:pPr>
            <w:r w:rsidRPr="007333D6">
              <w:rPr>
                <w:lang w:val="es-MX"/>
              </w:rPr>
              <w:t xml:space="preserve">Formación </w:t>
            </w:r>
            <w:proofErr w:type="gramStart"/>
            <w:r w:rsidRPr="007333D6">
              <w:rPr>
                <w:lang w:val="es-MX"/>
              </w:rPr>
              <w:t>técnico productiva</w:t>
            </w:r>
            <w:proofErr w:type="gramEnd"/>
            <w:r w:rsidRPr="007333D6">
              <w:rPr>
                <w:lang w:val="es-MX"/>
              </w:rPr>
              <w:t xml:space="preserve"> superior de mujeres, en carreras tradicionalmente masculinas y/o mejor remuneradas</w:t>
            </w:r>
          </w:p>
        </w:tc>
        <w:tc>
          <w:tcPr>
            <w:tcW w:w="3885" w:type="dxa"/>
            <w:shd w:val="clear" w:color="auto" w:fill="auto"/>
          </w:tcPr>
          <w:p w14:paraId="0F7ACC0A" w14:textId="77777777" w:rsidR="000E14A8" w:rsidRPr="007333D6" w:rsidRDefault="00362916" w:rsidP="007333D6">
            <w:pPr>
              <w:spacing w:before="40" w:after="120"/>
              <w:ind w:right="113"/>
              <w:rPr>
                <w:lang w:val="es-MX"/>
              </w:rPr>
            </w:pPr>
            <w:r w:rsidRPr="007333D6">
              <w:rPr>
                <w:lang w:val="es-MX"/>
              </w:rPr>
              <w:t xml:space="preserve">Los estudiantes de educación </w:t>
            </w:r>
            <w:proofErr w:type="gramStart"/>
            <w:r w:rsidRPr="007333D6">
              <w:rPr>
                <w:lang w:val="es-MX"/>
              </w:rPr>
              <w:t>técnico productiva</w:t>
            </w:r>
            <w:proofErr w:type="gramEnd"/>
            <w:r w:rsidRPr="007333D6">
              <w:rPr>
                <w:lang w:val="es-MX"/>
              </w:rPr>
              <w:t xml:space="preserve"> y superior tecnológica, ascendió a 2,124,111 de los cuales 61% han sido mujeres y el 39% varones. </w:t>
            </w:r>
          </w:p>
          <w:p w14:paraId="310DB4CC" w14:textId="5193002E" w:rsidR="00362916" w:rsidRPr="007333D6" w:rsidRDefault="00362916" w:rsidP="007333D6">
            <w:pPr>
              <w:spacing w:before="40" w:after="120"/>
              <w:ind w:right="113"/>
              <w:rPr>
                <w:lang w:val="es-MX"/>
              </w:rPr>
            </w:pPr>
            <w:r w:rsidRPr="007333D6">
              <w:rPr>
                <w:lang w:val="es-MX"/>
              </w:rPr>
              <w:t>En el año 2021 fueron 8,463 mujeres (34%) y 16,354 hombres (66%), estudiantes de carreras masculinizadas. En el año 2023,</w:t>
            </w:r>
          </w:p>
          <w:p w14:paraId="52C6A005" w14:textId="77777777" w:rsidR="000E14A8" w:rsidRPr="007333D6" w:rsidRDefault="00362916" w:rsidP="007333D6">
            <w:pPr>
              <w:spacing w:before="40" w:after="120"/>
              <w:ind w:right="113"/>
              <w:rPr>
                <w:lang w:val="es-MX"/>
              </w:rPr>
            </w:pPr>
            <w:r w:rsidRPr="007333D6">
              <w:rPr>
                <w:lang w:val="es-MX"/>
              </w:rPr>
              <w:t>fueron 9,132 mujeres (22%) y 33,311 hombres (76%) estudiaron dichas carreras.</w:t>
            </w:r>
          </w:p>
          <w:p w14:paraId="7ED15111" w14:textId="7CF15E96" w:rsidR="00362916" w:rsidRPr="007333D6" w:rsidRDefault="00362916" w:rsidP="007333D6">
            <w:pPr>
              <w:spacing w:before="40" w:after="120"/>
              <w:ind w:right="113"/>
              <w:rPr>
                <w:lang w:val="es-MX"/>
              </w:rPr>
            </w:pPr>
            <w:r w:rsidRPr="007333D6">
              <w:rPr>
                <w:lang w:val="es-MX"/>
              </w:rPr>
              <w:t xml:space="preserve">Los estudiantes titulados en educación superior tecnológica tenemos: i) año 2021: mujeres 25,167 y hombres 20,371, </w:t>
            </w:r>
            <w:proofErr w:type="spellStart"/>
            <w:r w:rsidRPr="007333D6">
              <w:rPr>
                <w:lang w:val="es-MX"/>
              </w:rPr>
              <w:t>ii</w:t>
            </w:r>
            <w:proofErr w:type="spellEnd"/>
            <w:r w:rsidRPr="007333D6">
              <w:rPr>
                <w:lang w:val="es-MX"/>
              </w:rPr>
              <w:t xml:space="preserve">) año 2022: mujeres 37,759 y hombres 25,928 y, </w:t>
            </w:r>
            <w:proofErr w:type="spellStart"/>
            <w:r w:rsidRPr="007333D6">
              <w:rPr>
                <w:lang w:val="es-MX"/>
              </w:rPr>
              <w:t>iii</w:t>
            </w:r>
            <w:proofErr w:type="spellEnd"/>
            <w:r w:rsidRPr="007333D6">
              <w:rPr>
                <w:lang w:val="es-MX"/>
              </w:rPr>
              <w:t>) año 2023: mujeres 26,131 y hombres 20,237.</w:t>
            </w:r>
          </w:p>
          <w:p w14:paraId="3F1FF34F" w14:textId="77777777" w:rsidR="00362916" w:rsidRPr="007333D6" w:rsidRDefault="00362916" w:rsidP="007333D6">
            <w:pPr>
              <w:spacing w:before="40" w:after="120"/>
              <w:ind w:right="113"/>
              <w:rPr>
                <w:lang w:val="es-MX"/>
              </w:rPr>
            </w:pPr>
          </w:p>
        </w:tc>
      </w:tr>
      <w:tr w:rsidR="007333D6" w:rsidRPr="007333D6" w14:paraId="69196967" w14:textId="77777777" w:rsidTr="007333D6">
        <w:tc>
          <w:tcPr>
            <w:tcW w:w="3485" w:type="dxa"/>
            <w:tcBorders>
              <w:bottom w:val="single" w:sz="12" w:space="0" w:color="auto"/>
            </w:tcBorders>
            <w:shd w:val="clear" w:color="auto" w:fill="auto"/>
          </w:tcPr>
          <w:p w14:paraId="112935A3" w14:textId="77777777" w:rsidR="00362916" w:rsidRPr="007333D6" w:rsidRDefault="00362916" w:rsidP="007333D6">
            <w:pPr>
              <w:spacing w:before="40" w:after="120"/>
              <w:ind w:right="113"/>
              <w:rPr>
                <w:lang w:val="es-MX"/>
              </w:rPr>
            </w:pPr>
            <w:r w:rsidRPr="007333D6">
              <w:rPr>
                <w:lang w:val="es-MX"/>
              </w:rPr>
              <w:t>Formación técnico superior en áreas no tradicionales (construcción) para mujeres.</w:t>
            </w:r>
          </w:p>
        </w:tc>
        <w:tc>
          <w:tcPr>
            <w:tcW w:w="3885" w:type="dxa"/>
            <w:tcBorders>
              <w:bottom w:val="single" w:sz="12" w:space="0" w:color="auto"/>
            </w:tcBorders>
            <w:shd w:val="clear" w:color="auto" w:fill="auto"/>
          </w:tcPr>
          <w:p w14:paraId="74FB55D9" w14:textId="77777777" w:rsidR="00362916" w:rsidRPr="007333D6" w:rsidRDefault="00362916" w:rsidP="007333D6">
            <w:pPr>
              <w:spacing w:before="40" w:after="120"/>
              <w:ind w:right="113"/>
              <w:rPr>
                <w:lang w:val="es-MX"/>
              </w:rPr>
            </w:pPr>
            <w:r w:rsidRPr="007333D6">
              <w:rPr>
                <w:lang w:val="es-MX"/>
              </w:rPr>
              <w:t>El universo de estudiantes en el período 2021 – 2023 fue de 404,081 personas, de ellas el 26% fueron mujeres (104,155) y el 74% hombres (299,926), teniendo en cuenta que el sector construcción es considerado un sector económico altamente masculinizado.</w:t>
            </w:r>
          </w:p>
        </w:tc>
      </w:tr>
    </w:tbl>
    <w:p w14:paraId="4B31EC05" w14:textId="1FE380E7" w:rsidR="00362916" w:rsidRDefault="00362916" w:rsidP="007333D6">
      <w:pPr>
        <w:pStyle w:val="Ttulo1"/>
        <w:spacing w:before="120"/>
        <w:rPr>
          <w:b/>
          <w:bCs/>
        </w:rPr>
      </w:pPr>
      <w:proofErr w:type="spellStart"/>
      <w:r w:rsidRPr="007333D6">
        <w:rPr>
          <w:b/>
          <w:bCs/>
        </w:rPr>
        <w:t>Servicios</w:t>
      </w:r>
      <w:proofErr w:type="spellEnd"/>
      <w:r w:rsidRPr="007333D6">
        <w:rPr>
          <w:b/>
          <w:bCs/>
        </w:rPr>
        <w:t xml:space="preserve"> de la </w:t>
      </w:r>
      <w:proofErr w:type="spellStart"/>
      <w:r w:rsidRPr="007333D6">
        <w:rPr>
          <w:b/>
          <w:bCs/>
        </w:rPr>
        <w:t>PNIG</w:t>
      </w:r>
      <w:proofErr w:type="spellEnd"/>
      <w:r w:rsidRPr="007333D6">
        <w:rPr>
          <w:b/>
          <w:bCs/>
        </w:rPr>
        <w:t xml:space="preserve"> que </w:t>
      </w:r>
      <w:proofErr w:type="spellStart"/>
      <w:r w:rsidRPr="007333D6">
        <w:rPr>
          <w:b/>
          <w:bCs/>
        </w:rPr>
        <w:t>contribuyen</w:t>
      </w:r>
      <w:proofErr w:type="spellEnd"/>
      <w:r w:rsidRPr="007333D6">
        <w:rPr>
          <w:b/>
          <w:bCs/>
        </w:rPr>
        <w:t xml:space="preserve"> al </w:t>
      </w:r>
      <w:proofErr w:type="spellStart"/>
      <w:r w:rsidRPr="007333D6">
        <w:rPr>
          <w:b/>
          <w:bCs/>
        </w:rPr>
        <w:t>desarrollo</w:t>
      </w:r>
      <w:proofErr w:type="spellEnd"/>
      <w:r w:rsidRPr="007333D6">
        <w:rPr>
          <w:b/>
          <w:bCs/>
        </w:rPr>
        <w:t xml:space="preserve"> de la </w:t>
      </w:r>
      <w:proofErr w:type="spellStart"/>
      <w:r w:rsidRPr="007333D6">
        <w:rPr>
          <w:b/>
          <w:bCs/>
        </w:rPr>
        <w:t>empleabilidad</w:t>
      </w:r>
      <w:proofErr w:type="spellEnd"/>
      <w:r w:rsidRPr="007333D6">
        <w:rPr>
          <w:b/>
          <w:bCs/>
        </w:rPr>
        <w:t xml:space="preserve"> de las </w:t>
      </w:r>
      <w:proofErr w:type="spellStart"/>
      <w:r w:rsidRPr="007333D6">
        <w:rPr>
          <w:b/>
          <w:bCs/>
        </w:rPr>
        <w:t>mujeres</w:t>
      </w:r>
      <w:proofErr w:type="spellEnd"/>
      <w:r w:rsidRPr="007333D6">
        <w:rPr>
          <w:b/>
          <w:bCs/>
          <w:vertAlign w:val="superscript"/>
        </w:rPr>
        <w:footnoteReference w:id="59"/>
      </w:r>
    </w:p>
    <w:p w14:paraId="5757FE22" w14:textId="77777777" w:rsidR="00177160" w:rsidRPr="00177160" w:rsidRDefault="00177160" w:rsidP="00177160">
      <w:pPr>
        <w:pStyle w:val="SingleTxtG"/>
        <w:rPr>
          <w:lang w:val="fr-CH" w:eastAsia="en-US"/>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9"/>
        <w:gridCol w:w="4761"/>
      </w:tblGrid>
      <w:tr w:rsidR="007B22E3" w:rsidRPr="007B22E3" w14:paraId="63881626" w14:textId="77777777" w:rsidTr="007B22E3">
        <w:trPr>
          <w:tblHeader/>
        </w:trPr>
        <w:tc>
          <w:tcPr>
            <w:tcW w:w="2609" w:type="dxa"/>
            <w:tcBorders>
              <w:top w:val="single" w:sz="4" w:space="0" w:color="auto"/>
              <w:bottom w:val="single" w:sz="12" w:space="0" w:color="auto"/>
            </w:tcBorders>
            <w:shd w:val="clear" w:color="auto" w:fill="auto"/>
            <w:vAlign w:val="bottom"/>
          </w:tcPr>
          <w:p w14:paraId="6E0416A6" w14:textId="77777777" w:rsidR="00362916" w:rsidRPr="007B22E3" w:rsidRDefault="00362916" w:rsidP="007B22E3">
            <w:pPr>
              <w:spacing w:before="80" w:after="80" w:line="200" w:lineRule="exact"/>
              <w:ind w:right="113"/>
              <w:rPr>
                <w:i/>
                <w:sz w:val="16"/>
                <w:lang w:val="es-MX"/>
              </w:rPr>
            </w:pPr>
            <w:r w:rsidRPr="007B22E3">
              <w:rPr>
                <w:i/>
                <w:sz w:val="16"/>
                <w:lang w:val="es-MX"/>
              </w:rPr>
              <w:t xml:space="preserve">Servicio de la </w:t>
            </w:r>
            <w:proofErr w:type="spellStart"/>
            <w:r w:rsidRPr="007B22E3">
              <w:rPr>
                <w:i/>
                <w:sz w:val="16"/>
                <w:lang w:val="es-MX"/>
              </w:rPr>
              <w:t>PNIG</w:t>
            </w:r>
            <w:proofErr w:type="spellEnd"/>
          </w:p>
        </w:tc>
        <w:tc>
          <w:tcPr>
            <w:tcW w:w="4761" w:type="dxa"/>
            <w:tcBorders>
              <w:top w:val="single" w:sz="4" w:space="0" w:color="auto"/>
              <w:bottom w:val="single" w:sz="12" w:space="0" w:color="auto"/>
            </w:tcBorders>
            <w:shd w:val="clear" w:color="auto" w:fill="auto"/>
            <w:vAlign w:val="bottom"/>
          </w:tcPr>
          <w:p w14:paraId="2DE5CA21" w14:textId="77777777" w:rsidR="00362916" w:rsidRPr="007B22E3" w:rsidRDefault="00362916" w:rsidP="007B22E3">
            <w:pPr>
              <w:spacing w:before="80" w:after="80" w:line="200" w:lineRule="exact"/>
              <w:ind w:right="113"/>
              <w:rPr>
                <w:i/>
                <w:sz w:val="16"/>
                <w:lang w:val="es-MX"/>
              </w:rPr>
            </w:pPr>
            <w:r w:rsidRPr="007B22E3">
              <w:rPr>
                <w:i/>
                <w:sz w:val="16"/>
                <w:lang w:val="es-MX"/>
              </w:rPr>
              <w:t>Resultados 2021 - 2023</w:t>
            </w:r>
          </w:p>
        </w:tc>
      </w:tr>
      <w:tr w:rsidR="007B22E3" w:rsidRPr="007B22E3" w14:paraId="781ABE84" w14:textId="77777777" w:rsidTr="007B22E3">
        <w:trPr>
          <w:trHeight w:hRule="exact" w:val="113"/>
          <w:tblHeader/>
        </w:trPr>
        <w:tc>
          <w:tcPr>
            <w:tcW w:w="2609" w:type="dxa"/>
            <w:tcBorders>
              <w:top w:val="single" w:sz="12" w:space="0" w:color="auto"/>
            </w:tcBorders>
            <w:shd w:val="clear" w:color="auto" w:fill="auto"/>
          </w:tcPr>
          <w:p w14:paraId="7598E850" w14:textId="77777777" w:rsidR="007B22E3" w:rsidRPr="007B22E3" w:rsidRDefault="007B22E3" w:rsidP="007B22E3">
            <w:pPr>
              <w:spacing w:before="40" w:after="120"/>
              <w:ind w:right="113"/>
              <w:rPr>
                <w:lang w:val="es-MX"/>
              </w:rPr>
            </w:pPr>
          </w:p>
        </w:tc>
        <w:tc>
          <w:tcPr>
            <w:tcW w:w="4761" w:type="dxa"/>
            <w:tcBorders>
              <w:top w:val="single" w:sz="12" w:space="0" w:color="auto"/>
            </w:tcBorders>
            <w:shd w:val="clear" w:color="auto" w:fill="auto"/>
          </w:tcPr>
          <w:p w14:paraId="06153EE6" w14:textId="77777777" w:rsidR="007B22E3" w:rsidRPr="007B22E3" w:rsidRDefault="007B22E3" w:rsidP="007B22E3">
            <w:pPr>
              <w:spacing w:before="40" w:after="120"/>
              <w:ind w:right="113"/>
              <w:rPr>
                <w:lang w:val="es-MX"/>
              </w:rPr>
            </w:pPr>
          </w:p>
        </w:tc>
      </w:tr>
      <w:tr w:rsidR="007B22E3" w:rsidRPr="007B22E3" w14:paraId="5E2EE158" w14:textId="77777777" w:rsidTr="007B22E3">
        <w:trPr>
          <w:tblHeader/>
        </w:trPr>
        <w:tc>
          <w:tcPr>
            <w:tcW w:w="2609" w:type="dxa"/>
            <w:shd w:val="clear" w:color="auto" w:fill="auto"/>
          </w:tcPr>
          <w:p w14:paraId="76C6988D" w14:textId="77777777" w:rsidR="00362916" w:rsidRPr="007B22E3" w:rsidRDefault="00362916" w:rsidP="007B22E3">
            <w:pPr>
              <w:spacing w:before="40" w:after="120"/>
              <w:ind w:right="113"/>
              <w:rPr>
                <w:lang w:val="es-MX"/>
              </w:rPr>
            </w:pPr>
            <w:r w:rsidRPr="007B22E3">
              <w:rPr>
                <w:lang w:val="es-MX"/>
              </w:rPr>
              <w:t>Certificación de las competencias laborales para el reconocimiento documentado de las experiencias laborales de las mujeres que dominan un oficio.</w:t>
            </w:r>
          </w:p>
        </w:tc>
        <w:tc>
          <w:tcPr>
            <w:tcW w:w="4761" w:type="dxa"/>
            <w:shd w:val="clear" w:color="auto" w:fill="auto"/>
          </w:tcPr>
          <w:p w14:paraId="239B87F2" w14:textId="77777777" w:rsidR="000E14A8" w:rsidRPr="007B22E3" w:rsidRDefault="00362916" w:rsidP="007B22E3">
            <w:pPr>
              <w:spacing w:before="40" w:after="120"/>
              <w:ind w:right="113"/>
              <w:rPr>
                <w:lang w:val="es-MX"/>
              </w:rPr>
            </w:pPr>
            <w:r w:rsidRPr="007B22E3">
              <w:rPr>
                <w:lang w:val="es-MX"/>
              </w:rPr>
              <w:t>Se orienta a la población en situación de pobreza, pobreza extrema y vulnerabilidad sociolaboral, permitiéndoles el reconocimiento documentado de su experiencia laboral en el dominio de un oficio.</w:t>
            </w:r>
          </w:p>
          <w:p w14:paraId="02EB0C0C" w14:textId="49E9A63E" w:rsidR="00362916" w:rsidRPr="007B22E3" w:rsidRDefault="00362916" w:rsidP="007B22E3">
            <w:pPr>
              <w:spacing w:before="40" w:after="120"/>
              <w:ind w:right="113"/>
              <w:rPr>
                <w:lang w:val="es-MX"/>
              </w:rPr>
            </w:pPr>
            <w:r w:rsidRPr="007B22E3">
              <w:rPr>
                <w:lang w:val="es-MX"/>
              </w:rPr>
              <w:t>El total de personas beneficiarias fue 2,684, de las cuales el 49%</w:t>
            </w:r>
          </w:p>
          <w:p w14:paraId="0E39E5BB" w14:textId="77777777" w:rsidR="00362916" w:rsidRPr="007B22E3" w:rsidRDefault="00362916" w:rsidP="007B22E3">
            <w:pPr>
              <w:spacing w:before="40" w:after="120"/>
              <w:ind w:right="113"/>
              <w:rPr>
                <w:lang w:val="es-MX"/>
              </w:rPr>
            </w:pPr>
            <w:r w:rsidRPr="007B22E3">
              <w:rPr>
                <w:lang w:val="es-MX"/>
              </w:rPr>
              <w:t>fueron mujeres (1,303) y el 51% fueron hombres (1,381).</w:t>
            </w:r>
          </w:p>
        </w:tc>
      </w:tr>
      <w:tr w:rsidR="007B22E3" w:rsidRPr="007B22E3" w14:paraId="2423EB8D" w14:textId="77777777" w:rsidTr="007B22E3">
        <w:tc>
          <w:tcPr>
            <w:tcW w:w="2609" w:type="dxa"/>
            <w:shd w:val="clear" w:color="auto" w:fill="auto"/>
          </w:tcPr>
          <w:p w14:paraId="4787D678" w14:textId="77777777" w:rsidR="00362916" w:rsidRPr="007B22E3" w:rsidRDefault="00362916" w:rsidP="007B22E3">
            <w:pPr>
              <w:spacing w:before="40" w:after="120"/>
              <w:ind w:right="113"/>
              <w:rPr>
                <w:lang w:val="es-MX"/>
              </w:rPr>
            </w:pPr>
            <w:r w:rsidRPr="007B22E3">
              <w:rPr>
                <w:lang w:val="es-MX"/>
              </w:rPr>
              <w:t xml:space="preserve">Capacitación y asistencia técnica para el mejoramiento </w:t>
            </w:r>
            <w:r w:rsidRPr="007B22E3">
              <w:rPr>
                <w:lang w:val="es-MX"/>
              </w:rPr>
              <w:lastRenderedPageBreak/>
              <w:t>de la empleabilidad y la inserción laboral de las mujeres</w:t>
            </w:r>
            <w:r w:rsidRPr="007B22E3">
              <w:rPr>
                <w:vertAlign w:val="superscript"/>
                <w:lang w:val="es-MX"/>
              </w:rPr>
              <w:footnoteReference w:id="60"/>
            </w:r>
          </w:p>
        </w:tc>
        <w:tc>
          <w:tcPr>
            <w:tcW w:w="4761" w:type="dxa"/>
            <w:shd w:val="clear" w:color="auto" w:fill="auto"/>
          </w:tcPr>
          <w:p w14:paraId="413B89D8" w14:textId="77777777" w:rsidR="00362916" w:rsidRPr="007B22E3" w:rsidRDefault="00362916" w:rsidP="007B22E3">
            <w:pPr>
              <w:spacing w:before="40" w:after="120"/>
              <w:ind w:right="113"/>
              <w:rPr>
                <w:lang w:val="es-MX"/>
              </w:rPr>
            </w:pPr>
            <w:r w:rsidRPr="007B22E3">
              <w:rPr>
                <w:lang w:val="es-MX"/>
              </w:rPr>
              <w:lastRenderedPageBreak/>
              <w:t xml:space="preserve">Se realiza mediante la Bolsa de Trabajo implementadas por los Centros de Empleo del </w:t>
            </w:r>
            <w:proofErr w:type="spellStart"/>
            <w:r w:rsidRPr="007B22E3">
              <w:rPr>
                <w:lang w:val="es-MX"/>
              </w:rPr>
              <w:t>MTPE</w:t>
            </w:r>
            <w:proofErr w:type="spellEnd"/>
            <w:r w:rsidRPr="007B22E3">
              <w:rPr>
                <w:lang w:val="es-MX"/>
              </w:rPr>
              <w:t xml:space="preserve">, a nivel nacional. </w:t>
            </w:r>
            <w:r w:rsidRPr="007B22E3">
              <w:rPr>
                <w:lang w:val="es-MX"/>
              </w:rPr>
              <w:lastRenderedPageBreak/>
              <w:t>Del total de beneficiarios, el 43% fueron mujeres (70,616) y el 57% fueron hombres (94,893).</w:t>
            </w:r>
          </w:p>
        </w:tc>
      </w:tr>
      <w:tr w:rsidR="007B22E3" w:rsidRPr="007B22E3" w14:paraId="0CFC105C" w14:textId="77777777" w:rsidTr="007B22E3">
        <w:tc>
          <w:tcPr>
            <w:tcW w:w="2609" w:type="dxa"/>
            <w:tcBorders>
              <w:bottom w:val="single" w:sz="12" w:space="0" w:color="auto"/>
            </w:tcBorders>
            <w:shd w:val="clear" w:color="auto" w:fill="auto"/>
          </w:tcPr>
          <w:p w14:paraId="11105006" w14:textId="77777777" w:rsidR="00362916" w:rsidRPr="007B22E3" w:rsidRDefault="00362916" w:rsidP="007B22E3">
            <w:pPr>
              <w:spacing w:before="40" w:after="120"/>
              <w:ind w:right="113"/>
              <w:rPr>
                <w:lang w:val="es-MX"/>
              </w:rPr>
            </w:pPr>
            <w:r w:rsidRPr="007B22E3">
              <w:rPr>
                <w:lang w:val="es-MX"/>
              </w:rPr>
              <w:lastRenderedPageBreak/>
              <w:t>Capacitación y asistencia técnica en gestión empresarial y productividad con innovación tecnológica y, para la internacionalización de empresas, dirigidas a mujeres</w:t>
            </w:r>
          </w:p>
        </w:tc>
        <w:tc>
          <w:tcPr>
            <w:tcW w:w="4761" w:type="dxa"/>
            <w:tcBorders>
              <w:bottom w:val="single" w:sz="12" w:space="0" w:color="auto"/>
            </w:tcBorders>
            <w:shd w:val="clear" w:color="auto" w:fill="auto"/>
          </w:tcPr>
          <w:p w14:paraId="39DABAD1" w14:textId="77777777" w:rsidR="00362916" w:rsidRPr="007B22E3" w:rsidRDefault="00362916" w:rsidP="007B22E3">
            <w:pPr>
              <w:spacing w:before="40" w:after="120"/>
              <w:ind w:right="113"/>
              <w:rPr>
                <w:lang w:val="es-MX"/>
              </w:rPr>
            </w:pPr>
            <w:r w:rsidRPr="007B22E3">
              <w:rPr>
                <w:lang w:val="es-MX"/>
              </w:rPr>
              <w:t>La población objetivo del servicio, se define de acuerdo con los</w:t>
            </w:r>
          </w:p>
          <w:p w14:paraId="173DA617" w14:textId="77777777" w:rsidR="00362916" w:rsidRPr="007B22E3" w:rsidRDefault="00362916" w:rsidP="007B22E3">
            <w:pPr>
              <w:spacing w:before="40" w:after="120"/>
              <w:ind w:right="113"/>
              <w:rPr>
                <w:lang w:val="es-MX"/>
              </w:rPr>
            </w:pPr>
            <w:r w:rsidRPr="007B22E3">
              <w:rPr>
                <w:lang w:val="es-MX"/>
              </w:rPr>
              <w:t>objetivos institucionales de las entidades responsables de este:</w:t>
            </w:r>
          </w:p>
          <w:p w14:paraId="331982BE" w14:textId="77777777" w:rsidR="00362916" w:rsidRPr="007B22E3" w:rsidRDefault="00362916" w:rsidP="007B22E3">
            <w:pPr>
              <w:spacing w:before="40" w:after="120"/>
              <w:ind w:right="113"/>
              <w:rPr>
                <w:lang w:val="es-MX"/>
              </w:rPr>
            </w:pPr>
            <w:r w:rsidRPr="007B22E3">
              <w:rPr>
                <w:lang w:val="es-MX"/>
              </w:rPr>
              <w:t xml:space="preserve">Ministerio de Desarrollo Agrario y Riego – </w:t>
            </w:r>
            <w:proofErr w:type="spellStart"/>
            <w:r w:rsidRPr="007B22E3">
              <w:rPr>
                <w:lang w:val="es-MX"/>
              </w:rPr>
              <w:t>MIDAGRI</w:t>
            </w:r>
            <w:proofErr w:type="spellEnd"/>
            <w:r w:rsidRPr="007B22E3">
              <w:rPr>
                <w:lang w:val="es-MX"/>
              </w:rPr>
              <w:t>, atiende a</w:t>
            </w:r>
          </w:p>
          <w:p w14:paraId="74B98A50" w14:textId="77777777" w:rsidR="00362916" w:rsidRPr="007B22E3" w:rsidRDefault="00362916" w:rsidP="007B22E3">
            <w:pPr>
              <w:spacing w:before="40" w:after="120"/>
              <w:ind w:right="113"/>
              <w:rPr>
                <w:lang w:val="es-MX"/>
              </w:rPr>
            </w:pPr>
            <w:r w:rsidRPr="007B22E3">
              <w:rPr>
                <w:lang w:val="es-MX"/>
              </w:rPr>
              <w:t>productoras y productores agrarios familiares.</w:t>
            </w:r>
          </w:p>
        </w:tc>
      </w:tr>
    </w:tbl>
    <w:p w14:paraId="7095EFCF"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before="120" w:line="259" w:lineRule="auto"/>
        <w:ind w:left="1134" w:firstLine="0"/>
        <w:rPr>
          <w:lang w:val="es-MX"/>
        </w:rPr>
      </w:pPr>
      <w:r w:rsidRPr="00362916">
        <w:rPr>
          <w:lang w:val="es-MX"/>
        </w:rPr>
        <w:t xml:space="preserve">En respuesta al párrafo </w:t>
      </w:r>
      <w:proofErr w:type="spellStart"/>
      <w:r w:rsidRPr="00362916">
        <w:rPr>
          <w:lang w:val="es-MX"/>
        </w:rPr>
        <w:t>13.b</w:t>
      </w:r>
      <w:proofErr w:type="spellEnd"/>
      <w:r w:rsidRPr="00362916">
        <w:rPr>
          <w:lang w:val="es-MX"/>
        </w:rPr>
        <w:t>), a la fecha, se cuenta con dos (2) gobernadoras regionales, 22 vicegobernadoras regionales, 97 consejeras regionales, nueve (9) alcaldesas provinciales, 99 alcaldesas distritales, 793 regidoras provinciales y 4354 regidoras distritales</w:t>
      </w:r>
      <w:r w:rsidRPr="00362916">
        <w:rPr>
          <w:vertAlign w:val="superscript"/>
          <w:lang w:val="es-MX"/>
        </w:rPr>
        <w:footnoteReference w:id="61"/>
      </w:r>
      <w:r w:rsidRPr="00362916">
        <w:rPr>
          <w:lang w:val="es-MX"/>
        </w:rPr>
        <w:t>.</w:t>
      </w:r>
    </w:p>
    <w:p w14:paraId="6D354AFC"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Por ello, el </w:t>
      </w:r>
      <w:bookmarkStart w:id="20" w:name="_Hlk184725506"/>
      <w:proofErr w:type="spellStart"/>
      <w:r w:rsidRPr="00362916">
        <w:rPr>
          <w:lang w:val="es-MX"/>
        </w:rPr>
        <w:t>MIMP</w:t>
      </w:r>
      <w:bookmarkEnd w:id="20"/>
      <w:proofErr w:type="spellEnd"/>
      <w:r w:rsidRPr="00362916">
        <w:rPr>
          <w:lang w:val="es-MX"/>
        </w:rPr>
        <w:t xml:space="preserve"> viene implementando la “Estrategia Multisectorial Gobernando Juntas”</w:t>
      </w:r>
      <w:r w:rsidRPr="00362916">
        <w:rPr>
          <w:vertAlign w:val="superscript"/>
          <w:lang w:val="es-MX"/>
        </w:rPr>
        <w:footnoteReference w:id="62"/>
      </w:r>
      <w:r w:rsidRPr="00362916">
        <w:rPr>
          <w:lang w:val="es-MX"/>
        </w:rPr>
        <w:t xml:space="preserve"> cuyo objetivo es facilitar herramientas de gestión a las mujeres elegidas como autoridades a lo largo del territorio nacional. A la fecha, se han realizado i) trece (13) espacios de diálogo y formación a mujeres autoridades, en coordinación con la </w:t>
      </w:r>
      <w:proofErr w:type="spellStart"/>
      <w:r w:rsidRPr="00362916">
        <w:rPr>
          <w:lang w:val="es-MX"/>
        </w:rPr>
        <w:t>PCM</w:t>
      </w:r>
      <w:proofErr w:type="spellEnd"/>
      <w:r w:rsidRPr="00362916">
        <w:rPr>
          <w:lang w:val="es-MX"/>
        </w:rPr>
        <w:t xml:space="preserve"> y el MEF; la Contraloría General de la República; el Organismo Supervisor de las Contrataciones del Estado y, diversas instituciones públicas y privadas y </w:t>
      </w:r>
      <w:proofErr w:type="spellStart"/>
      <w:r w:rsidRPr="00362916">
        <w:rPr>
          <w:lang w:val="es-MX"/>
        </w:rPr>
        <w:t>ii</w:t>
      </w:r>
      <w:proofErr w:type="spellEnd"/>
      <w:r w:rsidRPr="00362916">
        <w:rPr>
          <w:lang w:val="es-MX"/>
        </w:rPr>
        <w:t>) tres (3) encuentros que reunieron a 415 mujeres autoridades de los gobiernos regionales, provinciales y locales, incluyendo a las autoridades de los centros poblados.</w:t>
      </w:r>
    </w:p>
    <w:p w14:paraId="79C89E29"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Por otro lado, actualmente la Policía Nacional del Perú cuenta con 1 general y 257 coroneles, en situación de actividad de sexo femenino</w:t>
      </w:r>
      <w:r w:rsidRPr="00362916">
        <w:rPr>
          <w:vertAlign w:val="superscript"/>
          <w:lang w:val="es-MX"/>
        </w:rPr>
        <w:footnoteReference w:id="63"/>
      </w:r>
      <w:r w:rsidRPr="00362916">
        <w:rPr>
          <w:lang w:val="es-MX"/>
        </w:rPr>
        <w:t>.</w:t>
      </w:r>
    </w:p>
    <w:p w14:paraId="4D2482FB"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13.c</w:t>
      </w:r>
      <w:proofErr w:type="spellEnd"/>
      <w:r w:rsidRPr="00362916">
        <w:rPr>
          <w:lang w:val="es-MX"/>
        </w:rPr>
        <w:t xml:space="preserve">), el </w:t>
      </w:r>
      <w:proofErr w:type="spellStart"/>
      <w:r w:rsidRPr="00362916">
        <w:rPr>
          <w:lang w:val="es-MX"/>
        </w:rPr>
        <w:t>MIMP</w:t>
      </w:r>
      <w:proofErr w:type="spellEnd"/>
      <w:r w:rsidRPr="00362916">
        <w:rPr>
          <w:lang w:val="es-MX"/>
        </w:rPr>
        <w:t xml:space="preserve"> través de diferentes estrategias ha venido implementando acciones concretas contra el feminicidio y la desaparición de mujeres y niñas.</w:t>
      </w:r>
    </w:p>
    <w:p w14:paraId="3DD00675"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Sobre el Feminicidio, en el presente año, se creó la “Mesa de Trabajo para el fortalecimiento de la atención de casos de feminicidio y tentativa de feminicidio en los Centros Emergencia Mujer”</w:t>
      </w:r>
      <w:r w:rsidRPr="00362916">
        <w:rPr>
          <w:vertAlign w:val="superscript"/>
          <w:lang w:val="es-MX"/>
        </w:rPr>
        <w:footnoteReference w:id="64"/>
      </w:r>
      <w:r w:rsidRPr="00362916">
        <w:rPr>
          <w:lang w:val="es-MX"/>
        </w:rPr>
        <w:t xml:space="preserve">, con el objetivo de elaborar una propuesta de pautas para el seguimiento, acompañamiento y articulación en los casos de feminicidio y tentativa de feminicidio atendidos en los Centros de Emergencia Mujer (CEM). </w:t>
      </w:r>
    </w:p>
    <w:p w14:paraId="44D0D3A1"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Sobre las desapariciones de niñas, niños y adolescentes, en el mes de junio de 2023, se realizó la presentación oficial de la campaña comunicacional de prevención "Encontrarte”, la cual tiene como objeto evidenciar las situaciones de riesgo previa a la desaparición que pueden vivir las adolescentes o mujeres en el Perú. De otro lado, en el marco de la campaña </w:t>
      </w:r>
      <w:r w:rsidRPr="00362916">
        <w:rPr>
          <w:lang w:val="es-MX"/>
        </w:rPr>
        <w:lastRenderedPageBreak/>
        <w:t>“También es mi Problema”, se ha logrado sensibilizar a 14,187 adolescentes de educación secundaria respecto a las situaciones de riesgo que anteceden a un hecho de desaparición</w:t>
      </w:r>
      <w:r w:rsidRPr="00362916">
        <w:rPr>
          <w:vertAlign w:val="superscript"/>
          <w:lang w:val="es-MX"/>
        </w:rPr>
        <w:footnoteReference w:id="65"/>
      </w:r>
      <w:r w:rsidRPr="00362916">
        <w:rPr>
          <w:lang w:val="es-MX"/>
        </w:rPr>
        <w:t>.</w:t>
      </w:r>
    </w:p>
    <w:p w14:paraId="265E2894" w14:textId="04EA932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relación con el párrafo </w:t>
      </w:r>
      <w:proofErr w:type="spellStart"/>
      <w:r w:rsidRPr="00362916">
        <w:rPr>
          <w:lang w:val="es-MX"/>
        </w:rPr>
        <w:t>13.d</w:t>
      </w:r>
      <w:proofErr w:type="spellEnd"/>
      <w:r w:rsidRPr="00362916">
        <w:rPr>
          <w:lang w:val="es-MX"/>
        </w:rPr>
        <w:t xml:space="preserve">), el </w:t>
      </w:r>
      <w:proofErr w:type="spellStart"/>
      <w:r w:rsidRPr="00362916">
        <w:rPr>
          <w:lang w:val="es-MX"/>
        </w:rPr>
        <w:t>MIMP</w:t>
      </w:r>
      <w:proofErr w:type="spellEnd"/>
      <w:r w:rsidRPr="00362916">
        <w:rPr>
          <w:lang w:val="es-MX"/>
        </w:rPr>
        <w:t xml:space="preserve"> ha llevado a cabo el “Curso agentes de cambio para la igualdad”, dirigido a personal directivo, servidores y servidoras de las entidades de la administración pública, trabajadoras y trabajadores de las empresas del Estado, con una duración de (24) horas académicas y se desarrolla en la modalidad de e-learning asincrónico de auto aprendizaje, facilitando la experiencia de capacitación a distancia. En el periodo febrero 2023–agosto 2024 se han capacitado 9,269 profesionales públicos, de los cuales el 57% fueron mujeres (5,329) y el 43% hombres (3,940)</w:t>
      </w:r>
      <w:r w:rsidRPr="00362916">
        <w:rPr>
          <w:vertAlign w:val="superscript"/>
          <w:lang w:val="es-MX"/>
        </w:rPr>
        <w:footnoteReference w:id="66"/>
      </w:r>
      <w:r w:rsidR="00FF3E21">
        <w:rPr>
          <w:lang w:val="es-MX"/>
        </w:rPr>
        <w:t>.</w:t>
      </w:r>
    </w:p>
    <w:p w14:paraId="0AE618FA" w14:textId="5FE9BAE0"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También se realizó el “Taller Enfoque de Género para la Toma de Decisiones en la Gestión Pública”, dirigido a funcionarios/as de las entidades de la administración pública en los tres niveles de gobierno, con una duración no menor de doce (12) horas académicas, orientado a dos resultados: i) relevancia de la incorporación del enfoque de género en las intervenciones públicas para disminuir la tolerancia a la inequidad de género; </w:t>
      </w:r>
      <w:proofErr w:type="spellStart"/>
      <w:r w:rsidRPr="00362916">
        <w:rPr>
          <w:lang w:val="es-MX"/>
        </w:rPr>
        <w:t>ii</w:t>
      </w:r>
      <w:proofErr w:type="spellEnd"/>
      <w:r w:rsidRPr="00362916">
        <w:rPr>
          <w:lang w:val="es-MX"/>
        </w:rPr>
        <w:t>) acciones que incorporan el enfoque de género en la administración pública, siendo el total de beneficiarios directos 5,210 funcionarias/os públicas/os</w:t>
      </w:r>
      <w:r w:rsidRPr="00362916">
        <w:rPr>
          <w:vertAlign w:val="superscript"/>
          <w:lang w:val="es-MX"/>
        </w:rPr>
        <w:footnoteReference w:id="67"/>
      </w:r>
      <w:r w:rsidR="00FF3E21">
        <w:rPr>
          <w:lang w:val="es-MX"/>
        </w:rPr>
        <w:t>.</w:t>
      </w:r>
      <w:r w:rsidRPr="00362916">
        <w:rPr>
          <w:lang w:val="es-MX"/>
        </w:rPr>
        <w:t xml:space="preserve"> </w:t>
      </w:r>
    </w:p>
    <w:p w14:paraId="78A5A823"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13.e</w:t>
      </w:r>
      <w:proofErr w:type="spellEnd"/>
      <w:r w:rsidRPr="00362916">
        <w:rPr>
          <w:lang w:val="es-MX"/>
        </w:rPr>
        <w:t xml:space="preserve">), desde el </w:t>
      </w:r>
      <w:proofErr w:type="spellStart"/>
      <w:r w:rsidRPr="00362916">
        <w:rPr>
          <w:lang w:val="es-MX"/>
        </w:rPr>
        <w:t>MIDAGRI</w:t>
      </w:r>
      <w:proofErr w:type="spellEnd"/>
      <w:r w:rsidRPr="00362916">
        <w:rPr>
          <w:lang w:val="es-MX"/>
        </w:rPr>
        <w:t xml:space="preserve">, se han implementado servicios de financiamiento para mujeres que lideran emprendimientos y empresas de manera sostenible y efectiva, atendiendo específicamente a mujeres rurales e indígenas mediante ejecución de la “Estrategia de Emprendimiento de la mujer Rural e Indígena” - </w:t>
      </w:r>
      <w:proofErr w:type="spellStart"/>
      <w:r w:rsidRPr="00362916">
        <w:rPr>
          <w:lang w:val="es-MX"/>
        </w:rPr>
        <w:t>EEMRI</w:t>
      </w:r>
      <w:proofErr w:type="spellEnd"/>
      <w:r w:rsidRPr="00362916">
        <w:rPr>
          <w:lang w:val="es-MX"/>
        </w:rPr>
        <w:t xml:space="preserve">, beneficiando a 7,487 mujeres organizadas, otorgando créditos por un monto de S/. 58 333 000.00 que representó el 57% del total de créditos agrícolas otorgados por el </w:t>
      </w:r>
      <w:proofErr w:type="spellStart"/>
      <w:r w:rsidRPr="00362916">
        <w:rPr>
          <w:lang w:val="es-MX"/>
        </w:rPr>
        <w:t>MIDAGRI</w:t>
      </w:r>
      <w:proofErr w:type="spellEnd"/>
      <w:r w:rsidRPr="00362916">
        <w:rPr>
          <w:vertAlign w:val="superscript"/>
          <w:lang w:val="es-MX"/>
        </w:rPr>
        <w:footnoteReference w:id="68"/>
      </w:r>
      <w:r w:rsidRPr="00362916">
        <w:rPr>
          <w:lang w:val="es-MX"/>
        </w:rPr>
        <w:t xml:space="preserve">. </w:t>
      </w:r>
    </w:p>
    <w:p w14:paraId="65708D83"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Además, se impulsó el proceso de implementación de la Estrategia Nacional Mujer Emprendedora (</w:t>
      </w:r>
      <w:proofErr w:type="spellStart"/>
      <w:r w:rsidRPr="00362916">
        <w:rPr>
          <w:lang w:val="es-MX"/>
        </w:rPr>
        <w:t>ENME</w:t>
      </w:r>
      <w:proofErr w:type="spellEnd"/>
      <w:r w:rsidRPr="00362916">
        <w:rPr>
          <w:lang w:val="es-MX"/>
        </w:rPr>
        <w:t>), se fortaleció las capacidades en autonomía económica y corresponsabilidad de los cuidados a 356 mujeres productoras rurales e indígenas</w:t>
      </w:r>
      <w:r w:rsidRPr="00362916">
        <w:rPr>
          <w:vertAlign w:val="superscript"/>
          <w:lang w:val="es-MX"/>
        </w:rPr>
        <w:footnoteReference w:id="69"/>
      </w:r>
      <w:r w:rsidRPr="00362916">
        <w:rPr>
          <w:lang w:val="es-MX"/>
        </w:rPr>
        <w:t>.</w:t>
      </w:r>
    </w:p>
    <w:p w14:paraId="0BDCE304" w14:textId="4CFEC8F7" w:rsidR="00362916" w:rsidRPr="00362916"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13.f</w:t>
      </w:r>
      <w:proofErr w:type="spellEnd"/>
      <w:r w:rsidRPr="00362916">
        <w:rPr>
          <w:lang w:val="es-MX"/>
        </w:rPr>
        <w:t xml:space="preserve">), en cuanto a la implementación de políticas, programas y servicios de prevención de la discriminación de género, el </w:t>
      </w:r>
      <w:proofErr w:type="spellStart"/>
      <w:r w:rsidRPr="00362916">
        <w:rPr>
          <w:lang w:val="es-MX"/>
        </w:rPr>
        <w:t>MIMP</w:t>
      </w:r>
      <w:proofErr w:type="spellEnd"/>
      <w:r w:rsidRPr="00362916">
        <w:rPr>
          <w:lang w:val="es-MX"/>
        </w:rPr>
        <w:t xml:space="preserve"> cuenta con tres órganos de línea: </w:t>
      </w:r>
      <w:proofErr w:type="spellStart"/>
      <w:r w:rsidRPr="00362916">
        <w:rPr>
          <w:lang w:val="es-MX"/>
        </w:rPr>
        <w:t>ii</w:t>
      </w:r>
      <w:proofErr w:type="spellEnd"/>
      <w:r w:rsidRPr="00362916">
        <w:rPr>
          <w:lang w:val="es-MX"/>
        </w:rPr>
        <w:t xml:space="preserve">) </w:t>
      </w:r>
      <w:bookmarkStart w:id="21" w:name="_Hlk184725747"/>
      <w:r w:rsidRPr="00362916">
        <w:rPr>
          <w:lang w:val="es-MX"/>
        </w:rPr>
        <w:t xml:space="preserve">Dirección General de Igualdad de Género y No Discriminación </w:t>
      </w:r>
      <w:bookmarkEnd w:id="21"/>
      <w:r w:rsidRPr="00362916">
        <w:rPr>
          <w:lang w:val="es-MX"/>
        </w:rPr>
        <w:t>(</w:t>
      </w:r>
      <w:proofErr w:type="spellStart"/>
      <w:r w:rsidRPr="00362916">
        <w:rPr>
          <w:lang w:val="es-MX"/>
        </w:rPr>
        <w:t>DGIGND</w:t>
      </w:r>
      <w:proofErr w:type="spellEnd"/>
      <w:r w:rsidRPr="00362916">
        <w:rPr>
          <w:lang w:val="es-MX"/>
        </w:rPr>
        <w:t xml:space="preserve">), </w:t>
      </w:r>
      <w:proofErr w:type="spellStart"/>
      <w:r w:rsidRPr="00362916">
        <w:rPr>
          <w:lang w:val="es-MX"/>
        </w:rPr>
        <w:t>ii</w:t>
      </w:r>
      <w:proofErr w:type="spellEnd"/>
      <w:r w:rsidRPr="00362916">
        <w:rPr>
          <w:lang w:val="es-MX"/>
        </w:rPr>
        <w:t>) Dirección General de Promoción y Desarrollo de la Autonomía Económica de las Mujeres (</w:t>
      </w:r>
      <w:proofErr w:type="spellStart"/>
      <w:r w:rsidRPr="00362916">
        <w:rPr>
          <w:lang w:val="es-MX"/>
        </w:rPr>
        <w:t>DGPDAEM</w:t>
      </w:r>
      <w:proofErr w:type="spellEnd"/>
      <w:r w:rsidRPr="00362916">
        <w:rPr>
          <w:lang w:val="es-MX"/>
        </w:rPr>
        <w:t xml:space="preserve">) y, </w:t>
      </w:r>
      <w:proofErr w:type="spellStart"/>
      <w:r w:rsidRPr="00362916">
        <w:rPr>
          <w:lang w:val="es-MX"/>
        </w:rPr>
        <w:t>iii</w:t>
      </w:r>
      <w:proofErr w:type="spellEnd"/>
      <w:r w:rsidRPr="00362916">
        <w:rPr>
          <w:lang w:val="es-MX"/>
        </w:rPr>
        <w:t xml:space="preserve">) </w:t>
      </w:r>
      <w:bookmarkStart w:id="22" w:name="_Hlk184725769"/>
      <w:r w:rsidRPr="00362916">
        <w:rPr>
          <w:lang w:val="es-MX"/>
        </w:rPr>
        <w:t xml:space="preserve">Dirección General Contra la Violencia de Género </w:t>
      </w:r>
      <w:bookmarkEnd w:id="22"/>
      <w:r w:rsidRPr="00362916">
        <w:rPr>
          <w:lang w:val="es-MX"/>
        </w:rPr>
        <w:t>(</w:t>
      </w:r>
      <w:proofErr w:type="spellStart"/>
      <w:r w:rsidRPr="00362916">
        <w:rPr>
          <w:lang w:val="es-MX"/>
        </w:rPr>
        <w:t>DGCVG</w:t>
      </w:r>
      <w:proofErr w:type="spellEnd"/>
      <w:r w:rsidRPr="00362916">
        <w:rPr>
          <w:lang w:val="es-MX"/>
        </w:rPr>
        <w:t>), con el siguiente presupuesto asignado</w:t>
      </w:r>
      <w:r w:rsidRPr="00362916">
        <w:rPr>
          <w:vertAlign w:val="superscript"/>
          <w:lang w:val="es-MX"/>
        </w:rPr>
        <w:footnoteReference w:id="70"/>
      </w:r>
      <w:r w:rsidRPr="00362916">
        <w:rPr>
          <w:lang w:val="es-MX"/>
        </w:rPr>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8"/>
        <w:gridCol w:w="1433"/>
        <w:gridCol w:w="1433"/>
        <w:gridCol w:w="1433"/>
        <w:gridCol w:w="1433"/>
      </w:tblGrid>
      <w:tr w:rsidR="007B22E3" w:rsidRPr="007B22E3" w14:paraId="20781460" w14:textId="77777777" w:rsidTr="007333D6">
        <w:trPr>
          <w:tblHeader/>
        </w:trPr>
        <w:tc>
          <w:tcPr>
            <w:tcW w:w="1638" w:type="dxa"/>
            <w:vMerge w:val="restart"/>
            <w:tcBorders>
              <w:top w:val="single" w:sz="4" w:space="0" w:color="auto"/>
              <w:bottom w:val="single" w:sz="4" w:space="0" w:color="auto"/>
            </w:tcBorders>
            <w:shd w:val="clear" w:color="auto" w:fill="auto"/>
            <w:vAlign w:val="bottom"/>
          </w:tcPr>
          <w:p w14:paraId="2C437140" w14:textId="77777777" w:rsidR="00362916" w:rsidRPr="00362916" w:rsidRDefault="00362916" w:rsidP="007B22E3">
            <w:pPr>
              <w:pStyle w:val="SingleTxtG"/>
              <w:tabs>
                <w:tab w:val="clear" w:pos="1701"/>
                <w:tab w:val="clear" w:pos="2268"/>
                <w:tab w:val="clear" w:pos="2835"/>
              </w:tabs>
              <w:spacing w:before="80" w:after="80" w:line="200" w:lineRule="exact"/>
              <w:ind w:left="0" w:right="0"/>
              <w:jc w:val="left"/>
              <w:rPr>
                <w:i/>
                <w:sz w:val="16"/>
                <w:lang w:val="es-MX"/>
              </w:rPr>
            </w:pPr>
            <w:r w:rsidRPr="00362916">
              <w:rPr>
                <w:i/>
                <w:sz w:val="16"/>
                <w:lang w:val="es-MX"/>
              </w:rPr>
              <w:t>Órgano de Línea</w:t>
            </w:r>
          </w:p>
        </w:tc>
        <w:tc>
          <w:tcPr>
            <w:tcW w:w="5732" w:type="dxa"/>
            <w:gridSpan w:val="4"/>
            <w:tcBorders>
              <w:top w:val="single" w:sz="4" w:space="0" w:color="auto"/>
              <w:bottom w:val="single" w:sz="4" w:space="0" w:color="auto"/>
            </w:tcBorders>
            <w:shd w:val="clear" w:color="auto" w:fill="auto"/>
            <w:vAlign w:val="bottom"/>
          </w:tcPr>
          <w:p w14:paraId="325C7819" w14:textId="77777777" w:rsidR="00362916" w:rsidRPr="00362916" w:rsidRDefault="00362916" w:rsidP="007B22E3">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Presupuesto Aprobado (S/)</w:t>
            </w:r>
          </w:p>
        </w:tc>
      </w:tr>
      <w:tr w:rsidR="007B22E3" w:rsidRPr="007B22E3" w14:paraId="4C099472" w14:textId="77777777" w:rsidTr="007333D6">
        <w:trPr>
          <w:tblHeader/>
        </w:trPr>
        <w:tc>
          <w:tcPr>
            <w:tcW w:w="1638" w:type="dxa"/>
            <w:vMerge/>
            <w:tcBorders>
              <w:top w:val="single" w:sz="4" w:space="0" w:color="auto"/>
              <w:bottom w:val="single" w:sz="12" w:space="0" w:color="auto"/>
            </w:tcBorders>
            <w:shd w:val="clear" w:color="auto" w:fill="auto"/>
            <w:vAlign w:val="bottom"/>
          </w:tcPr>
          <w:p w14:paraId="39B270AE"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left"/>
              <w:rPr>
                <w:sz w:val="18"/>
                <w:lang w:val="es-MX"/>
              </w:rPr>
            </w:pPr>
          </w:p>
        </w:tc>
        <w:tc>
          <w:tcPr>
            <w:tcW w:w="1433" w:type="dxa"/>
            <w:tcBorders>
              <w:top w:val="single" w:sz="4" w:space="0" w:color="auto"/>
              <w:bottom w:val="single" w:sz="12" w:space="0" w:color="auto"/>
            </w:tcBorders>
            <w:shd w:val="clear" w:color="auto" w:fill="auto"/>
            <w:vAlign w:val="bottom"/>
          </w:tcPr>
          <w:p w14:paraId="0D9999D5" w14:textId="77777777" w:rsidR="00362916" w:rsidRPr="00362916" w:rsidRDefault="00362916" w:rsidP="007333D6">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2021</w:t>
            </w:r>
          </w:p>
        </w:tc>
        <w:tc>
          <w:tcPr>
            <w:tcW w:w="1433" w:type="dxa"/>
            <w:tcBorders>
              <w:top w:val="single" w:sz="4" w:space="0" w:color="auto"/>
              <w:bottom w:val="single" w:sz="12" w:space="0" w:color="auto"/>
            </w:tcBorders>
            <w:shd w:val="clear" w:color="auto" w:fill="auto"/>
            <w:vAlign w:val="bottom"/>
          </w:tcPr>
          <w:p w14:paraId="58AF32F4" w14:textId="77777777" w:rsidR="00362916" w:rsidRPr="00362916" w:rsidRDefault="00362916" w:rsidP="007333D6">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2022</w:t>
            </w:r>
          </w:p>
        </w:tc>
        <w:tc>
          <w:tcPr>
            <w:tcW w:w="1433" w:type="dxa"/>
            <w:tcBorders>
              <w:top w:val="single" w:sz="4" w:space="0" w:color="auto"/>
              <w:bottom w:val="single" w:sz="12" w:space="0" w:color="auto"/>
            </w:tcBorders>
            <w:shd w:val="clear" w:color="auto" w:fill="auto"/>
            <w:vAlign w:val="bottom"/>
          </w:tcPr>
          <w:p w14:paraId="5442ABC8" w14:textId="77777777" w:rsidR="00362916" w:rsidRPr="00362916" w:rsidRDefault="00362916" w:rsidP="007333D6">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2023</w:t>
            </w:r>
          </w:p>
        </w:tc>
        <w:tc>
          <w:tcPr>
            <w:tcW w:w="1433" w:type="dxa"/>
            <w:tcBorders>
              <w:top w:val="single" w:sz="4" w:space="0" w:color="auto"/>
              <w:bottom w:val="single" w:sz="12" w:space="0" w:color="auto"/>
            </w:tcBorders>
            <w:shd w:val="clear" w:color="auto" w:fill="auto"/>
            <w:vAlign w:val="bottom"/>
          </w:tcPr>
          <w:p w14:paraId="1CC4FC23" w14:textId="77777777" w:rsidR="00362916" w:rsidRPr="00362916" w:rsidRDefault="00362916" w:rsidP="007333D6">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2024</w:t>
            </w:r>
          </w:p>
        </w:tc>
      </w:tr>
      <w:tr w:rsidR="007B22E3" w:rsidRPr="007B22E3" w14:paraId="35D018E8" w14:textId="77777777" w:rsidTr="007333D6">
        <w:tc>
          <w:tcPr>
            <w:tcW w:w="1638" w:type="dxa"/>
            <w:tcBorders>
              <w:top w:val="single" w:sz="12" w:space="0" w:color="auto"/>
            </w:tcBorders>
            <w:shd w:val="clear" w:color="auto" w:fill="auto"/>
          </w:tcPr>
          <w:p w14:paraId="2690A911"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Dirección General de Igualdad de Género y No Discriminación-</w:t>
            </w:r>
            <w:proofErr w:type="spellStart"/>
            <w:r w:rsidRPr="00362916">
              <w:rPr>
                <w:sz w:val="18"/>
                <w:lang w:val="es-MX"/>
              </w:rPr>
              <w:t>DGIGND</w:t>
            </w:r>
            <w:proofErr w:type="spellEnd"/>
          </w:p>
        </w:tc>
        <w:tc>
          <w:tcPr>
            <w:tcW w:w="1433" w:type="dxa"/>
            <w:tcBorders>
              <w:top w:val="single" w:sz="12" w:space="0" w:color="auto"/>
            </w:tcBorders>
            <w:shd w:val="clear" w:color="auto" w:fill="auto"/>
            <w:vAlign w:val="bottom"/>
          </w:tcPr>
          <w:p w14:paraId="16B2A7E0"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2,891,325</w:t>
            </w:r>
          </w:p>
        </w:tc>
        <w:tc>
          <w:tcPr>
            <w:tcW w:w="1433" w:type="dxa"/>
            <w:tcBorders>
              <w:top w:val="single" w:sz="12" w:space="0" w:color="auto"/>
            </w:tcBorders>
            <w:shd w:val="clear" w:color="auto" w:fill="auto"/>
            <w:vAlign w:val="bottom"/>
          </w:tcPr>
          <w:p w14:paraId="5EDF06C7"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3,141,516</w:t>
            </w:r>
          </w:p>
        </w:tc>
        <w:tc>
          <w:tcPr>
            <w:tcW w:w="1433" w:type="dxa"/>
            <w:tcBorders>
              <w:top w:val="single" w:sz="12" w:space="0" w:color="auto"/>
            </w:tcBorders>
            <w:shd w:val="clear" w:color="auto" w:fill="auto"/>
            <w:vAlign w:val="bottom"/>
          </w:tcPr>
          <w:p w14:paraId="2D13E84B"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3,835,204</w:t>
            </w:r>
          </w:p>
        </w:tc>
        <w:tc>
          <w:tcPr>
            <w:tcW w:w="1433" w:type="dxa"/>
            <w:tcBorders>
              <w:top w:val="single" w:sz="12" w:space="0" w:color="auto"/>
            </w:tcBorders>
            <w:shd w:val="clear" w:color="auto" w:fill="auto"/>
            <w:vAlign w:val="bottom"/>
          </w:tcPr>
          <w:p w14:paraId="6FC36394"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4,817,091</w:t>
            </w:r>
          </w:p>
        </w:tc>
      </w:tr>
      <w:tr w:rsidR="007B22E3" w:rsidRPr="007B22E3" w14:paraId="08C7D16A" w14:textId="77777777" w:rsidTr="007333D6">
        <w:tc>
          <w:tcPr>
            <w:tcW w:w="1638" w:type="dxa"/>
            <w:shd w:val="clear" w:color="auto" w:fill="auto"/>
          </w:tcPr>
          <w:p w14:paraId="0B5844BE"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 xml:space="preserve">Dirección General contra la Violencia de Genero – </w:t>
            </w:r>
            <w:proofErr w:type="spellStart"/>
            <w:r w:rsidRPr="00362916">
              <w:rPr>
                <w:sz w:val="18"/>
                <w:lang w:val="es-MX"/>
              </w:rPr>
              <w:t>DGCVG</w:t>
            </w:r>
            <w:proofErr w:type="spellEnd"/>
          </w:p>
        </w:tc>
        <w:tc>
          <w:tcPr>
            <w:tcW w:w="1433" w:type="dxa"/>
            <w:shd w:val="clear" w:color="auto" w:fill="auto"/>
            <w:vAlign w:val="bottom"/>
          </w:tcPr>
          <w:p w14:paraId="5451D2F0"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4,962,496</w:t>
            </w:r>
          </w:p>
        </w:tc>
        <w:tc>
          <w:tcPr>
            <w:tcW w:w="1433" w:type="dxa"/>
            <w:shd w:val="clear" w:color="auto" w:fill="auto"/>
            <w:vAlign w:val="bottom"/>
          </w:tcPr>
          <w:p w14:paraId="62161794"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7,110,797</w:t>
            </w:r>
          </w:p>
        </w:tc>
        <w:tc>
          <w:tcPr>
            <w:tcW w:w="1433" w:type="dxa"/>
            <w:shd w:val="clear" w:color="auto" w:fill="auto"/>
            <w:vAlign w:val="bottom"/>
          </w:tcPr>
          <w:p w14:paraId="0493732B"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6,166,568</w:t>
            </w:r>
          </w:p>
        </w:tc>
        <w:tc>
          <w:tcPr>
            <w:tcW w:w="1433" w:type="dxa"/>
            <w:shd w:val="clear" w:color="auto" w:fill="auto"/>
            <w:vAlign w:val="bottom"/>
          </w:tcPr>
          <w:p w14:paraId="27B5E967"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4,410,830</w:t>
            </w:r>
          </w:p>
        </w:tc>
      </w:tr>
      <w:tr w:rsidR="007B22E3" w:rsidRPr="007B22E3" w14:paraId="3F03F13A" w14:textId="77777777" w:rsidTr="007333D6">
        <w:tc>
          <w:tcPr>
            <w:tcW w:w="1638" w:type="dxa"/>
            <w:tcBorders>
              <w:bottom w:val="single" w:sz="12" w:space="0" w:color="auto"/>
            </w:tcBorders>
            <w:shd w:val="clear" w:color="auto" w:fill="auto"/>
          </w:tcPr>
          <w:p w14:paraId="74B97D70"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Dirección General de Promoción y Desarrollo de la Autonomía Económica de la Mujeres</w:t>
            </w:r>
          </w:p>
        </w:tc>
        <w:tc>
          <w:tcPr>
            <w:tcW w:w="1433" w:type="dxa"/>
            <w:tcBorders>
              <w:bottom w:val="single" w:sz="12" w:space="0" w:color="auto"/>
            </w:tcBorders>
            <w:shd w:val="clear" w:color="auto" w:fill="auto"/>
            <w:vAlign w:val="bottom"/>
          </w:tcPr>
          <w:p w14:paraId="0B0E18CB"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0</w:t>
            </w:r>
          </w:p>
        </w:tc>
        <w:tc>
          <w:tcPr>
            <w:tcW w:w="1433" w:type="dxa"/>
            <w:tcBorders>
              <w:bottom w:val="single" w:sz="12" w:space="0" w:color="auto"/>
            </w:tcBorders>
            <w:shd w:val="clear" w:color="auto" w:fill="auto"/>
            <w:vAlign w:val="bottom"/>
          </w:tcPr>
          <w:p w14:paraId="36D9D4D3"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0</w:t>
            </w:r>
          </w:p>
        </w:tc>
        <w:tc>
          <w:tcPr>
            <w:tcW w:w="1433" w:type="dxa"/>
            <w:tcBorders>
              <w:bottom w:val="single" w:sz="12" w:space="0" w:color="auto"/>
            </w:tcBorders>
            <w:shd w:val="clear" w:color="auto" w:fill="auto"/>
            <w:vAlign w:val="bottom"/>
          </w:tcPr>
          <w:p w14:paraId="5DC67B84"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0</w:t>
            </w:r>
          </w:p>
        </w:tc>
        <w:tc>
          <w:tcPr>
            <w:tcW w:w="1433" w:type="dxa"/>
            <w:tcBorders>
              <w:bottom w:val="single" w:sz="12" w:space="0" w:color="auto"/>
            </w:tcBorders>
            <w:shd w:val="clear" w:color="auto" w:fill="auto"/>
            <w:vAlign w:val="bottom"/>
          </w:tcPr>
          <w:p w14:paraId="227D6121" w14:textId="77777777" w:rsidR="00362916" w:rsidRPr="00362916" w:rsidRDefault="00362916" w:rsidP="007B22E3">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5,789,982</w:t>
            </w:r>
          </w:p>
        </w:tc>
      </w:tr>
    </w:tbl>
    <w:p w14:paraId="33C843E0" w14:textId="77777777" w:rsidR="000E14A8" w:rsidRDefault="00362916" w:rsidP="007B22E3">
      <w:pPr>
        <w:pStyle w:val="SingleTxtG"/>
        <w:numPr>
          <w:ilvl w:val="0"/>
          <w:numId w:val="17"/>
        </w:numPr>
        <w:tabs>
          <w:tab w:val="clear" w:pos="1701"/>
          <w:tab w:val="clear" w:pos="2268"/>
          <w:tab w:val="clear" w:pos="2835"/>
        </w:tabs>
        <w:kinsoku w:val="0"/>
        <w:overflowPunct w:val="0"/>
        <w:autoSpaceDE w:val="0"/>
        <w:autoSpaceDN w:val="0"/>
        <w:adjustRightInd w:val="0"/>
        <w:snapToGrid w:val="0"/>
        <w:spacing w:before="120" w:line="259" w:lineRule="auto"/>
        <w:ind w:left="1134" w:firstLine="0"/>
        <w:rPr>
          <w:lang w:val="es-MX"/>
        </w:rPr>
      </w:pPr>
      <w:r w:rsidRPr="00362916">
        <w:rPr>
          <w:lang w:val="es-MX"/>
        </w:rPr>
        <w:lastRenderedPageBreak/>
        <w:t>Por otro lado, en el año 2019, se crea el Programa Presupuestal orientado a Resultados de Reducción de la Violencia contra la Mujer (</w:t>
      </w:r>
      <w:proofErr w:type="spellStart"/>
      <w:r w:rsidRPr="00362916">
        <w:rPr>
          <w:lang w:val="es-MX"/>
        </w:rPr>
        <w:t>PPoRRVcM</w:t>
      </w:r>
      <w:proofErr w:type="spellEnd"/>
      <w:r w:rsidRPr="00362916">
        <w:rPr>
          <w:lang w:val="es-MX"/>
        </w:rPr>
        <w:t xml:space="preserve">), instrumento de gestión técnico-presupuestal que tiene como responsable de su ejecución, articulación y actuación conjunta para su implementación al </w:t>
      </w:r>
      <w:proofErr w:type="spellStart"/>
      <w:r w:rsidRPr="00362916">
        <w:rPr>
          <w:lang w:val="es-MX"/>
        </w:rPr>
        <w:t>MIMP</w:t>
      </w:r>
      <w:proofErr w:type="spellEnd"/>
      <w:r w:rsidRPr="00362916">
        <w:rPr>
          <w:vertAlign w:val="superscript"/>
          <w:lang w:val="es-MX"/>
        </w:rPr>
        <w:footnoteReference w:id="71"/>
      </w:r>
      <w:r w:rsidRPr="00362916">
        <w:rPr>
          <w:lang w:val="es-MX"/>
        </w:rPr>
        <w:t>.</w:t>
      </w:r>
    </w:p>
    <w:p w14:paraId="4B301CE9"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El </w:t>
      </w:r>
      <w:proofErr w:type="spellStart"/>
      <w:r w:rsidRPr="00362916">
        <w:rPr>
          <w:lang w:val="es-MX"/>
        </w:rPr>
        <w:t>PPoRRVcM</w:t>
      </w:r>
      <w:proofErr w:type="spellEnd"/>
      <w:r w:rsidRPr="00362916">
        <w:rPr>
          <w:lang w:val="es-MX"/>
        </w:rPr>
        <w:t xml:space="preserve"> prevé la consecución de 12 resultados, 24 productos y 77 servicios orientados a la reducción de las prevalencias de la violencia física, sexual y psicológica en relación de pareja, feminicidio íntimo de pareja y en la violencia sexual contra niñas, adolescentes y mujeres fuera de la relación de pareja y acoso sexual. Durante el periodo 2021–2024 se asignaron S/.1,841,649,706, a nivel de Gobierno Nacional, Regionales y Locales, para su implementación. A agosto de 2024, se ejecutó S/. 1,787.134.959, de los cuales el 97% corresponde al gobierno nacional, el 2.5% a los gobiernos regionales y el 0.5% a los gobiernos locales</w:t>
      </w:r>
      <w:r w:rsidRPr="00362916">
        <w:rPr>
          <w:vertAlign w:val="superscript"/>
          <w:lang w:val="es-MX"/>
        </w:rPr>
        <w:footnoteReference w:id="72"/>
      </w:r>
      <w:r w:rsidRPr="00362916">
        <w:rPr>
          <w:lang w:val="es-MX"/>
        </w:rPr>
        <w:t>.</w:t>
      </w:r>
    </w:p>
    <w:p w14:paraId="5608E997" w14:textId="11B40DC4" w:rsidR="000E14A8" w:rsidRPr="00BD3142" w:rsidRDefault="0063452F" w:rsidP="0063452F">
      <w:pPr>
        <w:pStyle w:val="H1G"/>
        <w:rPr>
          <w:sz w:val="28"/>
          <w:szCs w:val="28"/>
          <w:lang w:val="es-MX"/>
        </w:rPr>
      </w:pPr>
      <w:bookmarkStart w:id="23" w:name="_Toc187168799"/>
      <w:r>
        <w:rPr>
          <w:lang w:val="es-MX"/>
        </w:rPr>
        <w:tab/>
      </w:r>
      <w:r w:rsidRPr="00BD3142">
        <w:rPr>
          <w:sz w:val="28"/>
          <w:szCs w:val="28"/>
          <w:lang w:val="es-MX"/>
        </w:rPr>
        <w:t>III.</w:t>
      </w:r>
      <w:r w:rsidRPr="00BD3142">
        <w:rPr>
          <w:sz w:val="28"/>
          <w:szCs w:val="28"/>
          <w:lang w:val="es-MX"/>
        </w:rPr>
        <w:tab/>
      </w:r>
      <w:r w:rsidR="00362916" w:rsidRPr="00BD3142">
        <w:rPr>
          <w:sz w:val="28"/>
          <w:szCs w:val="28"/>
          <w:lang w:val="es-MX"/>
        </w:rPr>
        <w:t>Cuestiones relativas a disposiciones específicas del Pacto (arts. 6 a 15)</w:t>
      </w:r>
      <w:bookmarkEnd w:id="23"/>
    </w:p>
    <w:p w14:paraId="04FDB8B2" w14:textId="77777777" w:rsidR="000E14A8" w:rsidRPr="00BD3142" w:rsidRDefault="00362916" w:rsidP="0063452F">
      <w:pPr>
        <w:pStyle w:val="H23G"/>
        <w:ind w:left="1080" w:firstLine="0"/>
        <w:rPr>
          <w:sz w:val="24"/>
          <w:szCs w:val="24"/>
          <w:lang w:val="es-MX"/>
        </w:rPr>
      </w:pPr>
      <w:bookmarkStart w:id="24" w:name="_Toc187168800"/>
      <w:r w:rsidRPr="00BD3142">
        <w:rPr>
          <w:sz w:val="24"/>
          <w:szCs w:val="24"/>
          <w:lang w:val="es-MX"/>
        </w:rPr>
        <w:t>Derecho a trabajar (art. 6)</w:t>
      </w:r>
      <w:bookmarkEnd w:id="24"/>
    </w:p>
    <w:p w14:paraId="1245190C"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14.a</w:t>
      </w:r>
      <w:proofErr w:type="spellEnd"/>
      <w:r w:rsidRPr="00362916">
        <w:rPr>
          <w:lang w:val="es-MX"/>
        </w:rPr>
        <w:t>), se realizaron diferentes actividades a cargo de las entidades involucradas en la implementación del III Plan Nacional para la Lucha contra el Trabajo Forzoso 2019-2022 (</w:t>
      </w:r>
      <w:bookmarkStart w:id="25" w:name="_Hlk179462272"/>
      <w:r w:rsidRPr="00362916">
        <w:rPr>
          <w:lang w:val="es-MX"/>
        </w:rPr>
        <w:t xml:space="preserve">III </w:t>
      </w:r>
      <w:proofErr w:type="spellStart"/>
      <w:r w:rsidRPr="00362916">
        <w:rPr>
          <w:lang w:val="es-MX"/>
        </w:rPr>
        <w:t>PNLCTF</w:t>
      </w:r>
      <w:bookmarkEnd w:id="25"/>
      <w:proofErr w:type="spellEnd"/>
      <w:r w:rsidRPr="00362916">
        <w:rPr>
          <w:lang w:val="es-MX"/>
        </w:rPr>
        <w:t>)</w:t>
      </w:r>
      <w:r w:rsidRPr="00362916">
        <w:rPr>
          <w:vertAlign w:val="superscript"/>
        </w:rPr>
        <w:footnoteReference w:id="73"/>
      </w:r>
      <w:r w:rsidRPr="00362916">
        <w:t xml:space="preserve"> </w:t>
      </w:r>
      <w:r w:rsidRPr="00362916">
        <w:rPr>
          <w:lang w:val="es-MX"/>
        </w:rPr>
        <w:t xml:space="preserve">y al fortalecimiento de la </w:t>
      </w:r>
      <w:bookmarkStart w:id="26" w:name="_Hlk184725804"/>
      <w:r w:rsidRPr="00362916">
        <w:rPr>
          <w:lang w:val="es-MX"/>
        </w:rPr>
        <w:t xml:space="preserve">Comisión Nacional para la Lucha Contra el Trabajo Forzoso </w:t>
      </w:r>
      <w:bookmarkEnd w:id="26"/>
      <w:r w:rsidRPr="00362916">
        <w:rPr>
          <w:lang w:val="es-MX"/>
        </w:rPr>
        <w:t>(</w:t>
      </w:r>
      <w:proofErr w:type="spellStart"/>
      <w:r w:rsidRPr="00362916">
        <w:rPr>
          <w:lang w:val="es-MX"/>
        </w:rPr>
        <w:t>CNLCTF</w:t>
      </w:r>
      <w:proofErr w:type="spellEnd"/>
      <w:r w:rsidRPr="00362916">
        <w:rPr>
          <w:lang w:val="es-MX"/>
        </w:rPr>
        <w:t>).</w:t>
      </w:r>
    </w:p>
    <w:p w14:paraId="500DFB51"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el 2021, en el marco del III </w:t>
      </w:r>
      <w:proofErr w:type="spellStart"/>
      <w:r w:rsidRPr="00362916">
        <w:rPr>
          <w:lang w:val="es-MX"/>
        </w:rPr>
        <w:t>PNLCTF</w:t>
      </w:r>
      <w:proofErr w:type="spellEnd"/>
      <w:r w:rsidRPr="00362916">
        <w:rPr>
          <w:lang w:val="es-MX"/>
        </w:rPr>
        <w:t xml:space="preserve">, el </w:t>
      </w:r>
      <w:proofErr w:type="spellStart"/>
      <w:r w:rsidRPr="00362916">
        <w:rPr>
          <w:lang w:val="es-MX"/>
        </w:rPr>
        <w:t>MP</w:t>
      </w:r>
      <w:proofErr w:type="spellEnd"/>
      <w:r w:rsidRPr="00362916">
        <w:rPr>
          <w:lang w:val="es-MX"/>
        </w:rPr>
        <w:t xml:space="preserve"> emitió el “Protocolo del Ministerio Publico para la actuación de fiscales en prevención, investigación y sanción de los casos de trabajo forzoso”</w:t>
      </w:r>
      <w:r w:rsidRPr="00362916">
        <w:rPr>
          <w:vertAlign w:val="superscript"/>
        </w:rPr>
        <w:footnoteReference w:id="74"/>
      </w:r>
      <w:r w:rsidRPr="00362916">
        <w:rPr>
          <w:vertAlign w:val="superscript"/>
        </w:rPr>
        <w:t xml:space="preserve"> </w:t>
      </w:r>
      <w:r w:rsidRPr="00362916">
        <w:rPr>
          <w:lang w:val="es-MX"/>
        </w:rPr>
        <w:t>que tiene por objeto optimizar la investigación fiscal en este tipo de ilícitos penales. En el mismo año se aprobó el Reglamento de la Ley 31330</w:t>
      </w:r>
      <w:r w:rsidRPr="00362916">
        <w:rPr>
          <w:vertAlign w:val="superscript"/>
        </w:rPr>
        <w:footnoteReference w:id="75"/>
      </w:r>
      <w:r w:rsidRPr="00362916">
        <w:t xml:space="preserve">, </w:t>
      </w:r>
      <w:r w:rsidRPr="00362916">
        <w:rPr>
          <w:lang w:val="es-MX"/>
        </w:rPr>
        <w:t xml:space="preserve">que declara de interés nacional el cumplimiento de las políticas públicas para prevenir y erradicar el trabajo forzoso. </w:t>
      </w:r>
    </w:p>
    <w:p w14:paraId="79DB0DC2" w14:textId="2392494C"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el año 2021, se creó el Observatorio Nacional de Trabajo Forzoso, que tiene por objetivo contar con información sobre prevención, detección, atención y reintegración de víctimas, sanción del delito y la infracción administrativa de trabajo forzoso</w:t>
      </w:r>
      <w:r w:rsidRPr="00362916">
        <w:rPr>
          <w:vertAlign w:val="superscript"/>
        </w:rPr>
        <w:footnoteReference w:id="76"/>
      </w:r>
      <w:r w:rsidRPr="00362916">
        <w:rPr>
          <w:lang w:val="es-MX"/>
        </w:rPr>
        <w:t xml:space="preserve">. Asimismo, en el año 2022, entro en vigor para el Perú el “Protocolo de 2014 relativo al Convenio sobre el Trabajo Forzoso, 1930” (Convenio </w:t>
      </w:r>
      <w:proofErr w:type="spellStart"/>
      <w:r w:rsidRPr="00362916">
        <w:rPr>
          <w:lang w:val="es-MX"/>
        </w:rPr>
        <w:t>N°29</w:t>
      </w:r>
      <w:proofErr w:type="spellEnd"/>
      <w:r w:rsidRPr="00362916">
        <w:rPr>
          <w:lang w:val="es-MX"/>
        </w:rPr>
        <w:t>)</w:t>
      </w:r>
      <w:r w:rsidRPr="00362916">
        <w:rPr>
          <w:vertAlign w:val="superscript"/>
        </w:rPr>
        <w:footnoteReference w:id="77"/>
      </w:r>
      <w:r w:rsidRPr="00362916">
        <w:t>.</w:t>
      </w:r>
    </w:p>
    <w:p w14:paraId="0450CD64" w14:textId="477F994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Con relación al párrafo </w:t>
      </w:r>
      <w:proofErr w:type="spellStart"/>
      <w:r w:rsidRPr="00362916">
        <w:rPr>
          <w:lang w:val="es-MX"/>
        </w:rPr>
        <w:t>14.b</w:t>
      </w:r>
      <w:proofErr w:type="spellEnd"/>
      <w:r w:rsidRPr="00362916">
        <w:rPr>
          <w:lang w:val="es-MX"/>
        </w:rPr>
        <w:t xml:space="preserve">), se informa que el </w:t>
      </w:r>
      <w:proofErr w:type="spellStart"/>
      <w:r w:rsidRPr="00362916">
        <w:rPr>
          <w:lang w:val="es-MX"/>
        </w:rPr>
        <w:t>MTPE</w:t>
      </w:r>
      <w:proofErr w:type="spellEnd"/>
      <w:r w:rsidRPr="00362916">
        <w:rPr>
          <w:lang w:val="es-MX"/>
        </w:rPr>
        <w:t xml:space="preserve">, mediante la Resolución Ministerial </w:t>
      </w:r>
      <w:proofErr w:type="spellStart"/>
      <w:r w:rsidRPr="00362916">
        <w:rPr>
          <w:lang w:val="es-MX"/>
        </w:rPr>
        <w:t>N°239</w:t>
      </w:r>
      <w:proofErr w:type="spellEnd"/>
      <w:r w:rsidRPr="00362916">
        <w:rPr>
          <w:lang w:val="es-MX"/>
        </w:rPr>
        <w:t>-2021-</w:t>
      </w:r>
      <w:proofErr w:type="spellStart"/>
      <w:r w:rsidRPr="00362916">
        <w:rPr>
          <w:lang w:val="es-MX"/>
        </w:rPr>
        <w:t>TR</w:t>
      </w:r>
      <w:proofErr w:type="spellEnd"/>
      <w:r w:rsidRPr="00362916">
        <w:rPr>
          <w:lang w:val="es-MX"/>
        </w:rPr>
        <w:t xml:space="preserve"> modifico la Resolución Ministerial </w:t>
      </w:r>
      <w:proofErr w:type="spellStart"/>
      <w:r w:rsidRPr="00362916">
        <w:rPr>
          <w:lang w:val="es-MX"/>
        </w:rPr>
        <w:t>N°105</w:t>
      </w:r>
      <w:proofErr w:type="spellEnd"/>
      <w:r w:rsidRPr="00362916">
        <w:rPr>
          <w:lang w:val="es-MX"/>
        </w:rPr>
        <w:t>-2015-</w:t>
      </w:r>
      <w:proofErr w:type="spellStart"/>
      <w:r w:rsidRPr="00362916">
        <w:rPr>
          <w:lang w:val="es-MX"/>
        </w:rPr>
        <w:t>TR</w:t>
      </w:r>
      <w:proofErr w:type="spellEnd"/>
      <w:r w:rsidRPr="00362916">
        <w:rPr>
          <w:lang w:val="es-MX"/>
        </w:rPr>
        <w:t xml:space="preserve">, norma que aprueba la Directiva General </w:t>
      </w:r>
      <w:proofErr w:type="spellStart"/>
      <w:r w:rsidRPr="00362916">
        <w:rPr>
          <w:lang w:val="es-MX"/>
        </w:rPr>
        <w:t>N°001</w:t>
      </w:r>
      <w:proofErr w:type="spellEnd"/>
      <w:r w:rsidRPr="00362916">
        <w:rPr>
          <w:lang w:val="es-MX"/>
        </w:rPr>
        <w:t>-2015-</w:t>
      </w:r>
      <w:proofErr w:type="spellStart"/>
      <w:r w:rsidRPr="00362916">
        <w:rPr>
          <w:lang w:val="es-MX"/>
        </w:rPr>
        <w:t>MTPE</w:t>
      </w:r>
      <w:proofErr w:type="spellEnd"/>
      <w:r w:rsidRPr="00362916">
        <w:rPr>
          <w:lang w:val="es-MX"/>
        </w:rPr>
        <w:t xml:space="preserve">/3/17, “Lineamientos para la implementación y prestación de servicios de empleo con perspectiva de discapacidad”, se incluye componentes estrategias y metodologías para adecuar los servicios a las necesidades y características de las personas con discapacidad, para el servicio de la bolsa de trabajo, acercamiento empresarial, asesoría para la búsqueda de empleo e información de mercado de trabajo. </w:t>
      </w:r>
    </w:p>
    <w:p w14:paraId="7F77E14D"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14.c</w:t>
      </w:r>
      <w:proofErr w:type="spellEnd"/>
      <w:r w:rsidRPr="00362916">
        <w:rPr>
          <w:lang w:val="es-MX"/>
        </w:rPr>
        <w:t>), se adoptaron las siguientes medidas a fin de promover los derechos laborales de los trabadores informales, refugiados y migrantes.</w:t>
      </w:r>
      <w:r w:rsidRPr="00362916">
        <w:t xml:space="preserve"> </w:t>
      </w:r>
    </w:p>
    <w:p w14:paraId="261542D9"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Durante el año 2024, la Dirección de Seguridad Social y Migración Laboral del </w:t>
      </w:r>
      <w:proofErr w:type="spellStart"/>
      <w:r w:rsidRPr="00362916">
        <w:rPr>
          <w:lang w:val="es-MX"/>
        </w:rPr>
        <w:t>MTPE</w:t>
      </w:r>
      <w:proofErr w:type="spellEnd"/>
      <w:r w:rsidRPr="00362916">
        <w:rPr>
          <w:lang w:val="es-MX"/>
        </w:rPr>
        <w:t xml:space="preserve"> ha capacitado a 769 personas en materia de migración laboral; con especial referencia a temas </w:t>
      </w:r>
      <w:r w:rsidRPr="00362916">
        <w:rPr>
          <w:lang w:val="es-MX"/>
        </w:rPr>
        <w:lastRenderedPageBreak/>
        <w:t>vinculados con la prevención de la discriminación en el trabajo, inclusión laboral de migrantes y refugiados, la migración laboral, así como los convenios de seguridad social</w:t>
      </w:r>
      <w:r w:rsidRPr="00362916">
        <w:rPr>
          <w:vertAlign w:val="superscript"/>
        </w:rPr>
        <w:footnoteReference w:id="78"/>
      </w:r>
      <w:r w:rsidRPr="00362916">
        <w:t>.</w:t>
      </w:r>
    </w:p>
    <w:p w14:paraId="182CFF5E"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ese mismo periodo de tiempo, la referida dirección, ha brindado asistencia técnica a servidores y funcionarios de los Gobiernos Regionales, sobre el servicio de orientación para el migrante, habiéndose capacitado a 102 funcionarios de las autoridades administrativas de trabajo regionales en materia de Servicio de Orientación para el Migrante</w:t>
      </w:r>
      <w:r w:rsidRPr="00362916">
        <w:rPr>
          <w:vertAlign w:val="superscript"/>
        </w:rPr>
        <w:footnoteReference w:id="79"/>
      </w:r>
      <w:r w:rsidRPr="00362916">
        <w:t>.</w:t>
      </w:r>
    </w:p>
    <w:p w14:paraId="4D290240" w14:textId="77777777" w:rsidR="000E14A8" w:rsidRPr="00BD3142" w:rsidRDefault="00362916" w:rsidP="0063452F">
      <w:pPr>
        <w:pStyle w:val="H23G"/>
        <w:ind w:left="1080" w:firstLine="0"/>
        <w:rPr>
          <w:sz w:val="24"/>
          <w:szCs w:val="24"/>
          <w:lang w:val="es-MX"/>
        </w:rPr>
      </w:pPr>
      <w:bookmarkStart w:id="27" w:name="_Toc187168801"/>
      <w:r w:rsidRPr="00BD3142">
        <w:rPr>
          <w:sz w:val="24"/>
          <w:szCs w:val="24"/>
          <w:lang w:val="es-MX"/>
        </w:rPr>
        <w:t>Derecho a condiciones de trabajo equitativas y satisfactorias (art. 7)</w:t>
      </w:r>
      <w:bookmarkEnd w:id="27"/>
    </w:p>
    <w:p w14:paraId="4054C0C3"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15.a</w:t>
      </w:r>
      <w:proofErr w:type="spellEnd"/>
      <w:r w:rsidRPr="00362916">
        <w:rPr>
          <w:lang w:val="es-MX"/>
        </w:rPr>
        <w:t xml:space="preserve">), corresponde a las competencias del </w:t>
      </w:r>
      <w:proofErr w:type="spellStart"/>
      <w:r w:rsidRPr="00362916">
        <w:rPr>
          <w:lang w:val="es-MX"/>
        </w:rPr>
        <w:t>MTPE</w:t>
      </w:r>
      <w:proofErr w:type="spellEnd"/>
      <w:r w:rsidRPr="00362916">
        <w:rPr>
          <w:lang w:val="es-MX"/>
        </w:rPr>
        <w:t xml:space="preserve"> implementar las políticas nacionales en materia laboral, a través de su Dirección de Formación para el Empleo (</w:t>
      </w:r>
      <w:proofErr w:type="spellStart"/>
      <w:r w:rsidRPr="00362916">
        <w:rPr>
          <w:lang w:val="es-MX"/>
        </w:rPr>
        <w:t>DFE</w:t>
      </w:r>
      <w:proofErr w:type="spellEnd"/>
      <w:r w:rsidRPr="00362916">
        <w:rPr>
          <w:lang w:val="es-MX"/>
        </w:rPr>
        <w:t xml:space="preserve">). Desde el año 2020, la mencionada Dirección ha implementado la plataforma </w:t>
      </w:r>
      <w:proofErr w:type="spellStart"/>
      <w:r w:rsidRPr="00362916">
        <w:rPr>
          <w:lang w:val="es-MX"/>
        </w:rPr>
        <w:t>CAPACÍTA</w:t>
      </w:r>
      <w:proofErr w:type="spellEnd"/>
      <w:r w:rsidRPr="00362916">
        <w:rPr>
          <w:lang w:val="es-MX"/>
        </w:rPr>
        <w:t>-T; con el fin de fortalecer las competencias laborales de la fuerza laboral del país e incrementar su empleabilidad a través de rutas formativas de aprendizaje, cursos y recursos de capacitación laboral gratuitos y alineados con la demanda laboral</w:t>
      </w:r>
      <w:r w:rsidRPr="00362916">
        <w:rPr>
          <w:vertAlign w:val="superscript"/>
          <w:lang w:val="es-MX"/>
        </w:rPr>
        <w:footnoteReference w:id="80"/>
      </w:r>
      <w:r w:rsidRPr="00362916">
        <w:rPr>
          <w:lang w:val="es-MX"/>
        </w:rPr>
        <w:t>.</w:t>
      </w:r>
    </w:p>
    <w:p w14:paraId="3525F971" w14:textId="5BECF1B3"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Cabe señalar, que la plataforma cuenta con cursos diseñados por el </w:t>
      </w:r>
      <w:proofErr w:type="spellStart"/>
      <w:r w:rsidRPr="00362916">
        <w:rPr>
          <w:lang w:val="es-MX"/>
        </w:rPr>
        <w:t>MTPE</w:t>
      </w:r>
      <w:proofErr w:type="spellEnd"/>
      <w:r w:rsidRPr="00362916">
        <w:rPr>
          <w:lang w:val="es-MX"/>
        </w:rPr>
        <w:t xml:space="preserve"> y en alianza con instituciones privadas. En ese sentido, a la fecha se cuenta con 14,325 certificados de capacitación emitidos</w:t>
      </w:r>
      <w:r w:rsidRPr="00362916">
        <w:rPr>
          <w:vertAlign w:val="superscript"/>
          <w:lang w:val="es-MX"/>
        </w:rPr>
        <w:footnoteReference w:id="81"/>
      </w:r>
      <w:r w:rsidRPr="00362916">
        <w:rPr>
          <w:lang w:val="es-MX"/>
        </w:rPr>
        <w:t>. Además, en el año 2023, en alianza con Fundación Romero se implementó la Beca Generación Plateada, a través del cual se viene ofreciendo 20 cursos de capacitación para personas mayores de 50 años</w:t>
      </w:r>
      <w:r w:rsidRPr="00362916">
        <w:rPr>
          <w:vertAlign w:val="superscript"/>
          <w:lang w:val="es-MX"/>
        </w:rPr>
        <w:footnoteReference w:id="82"/>
      </w:r>
      <w:r w:rsidRPr="00362916">
        <w:rPr>
          <w:lang w:val="es-MX"/>
        </w:rPr>
        <w:t>.</w:t>
      </w:r>
    </w:p>
    <w:p w14:paraId="44FA47A7"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15.c</w:t>
      </w:r>
      <w:proofErr w:type="spellEnd"/>
      <w:r w:rsidRPr="00362916">
        <w:rPr>
          <w:lang w:val="es-MX"/>
        </w:rPr>
        <w:t xml:space="preserve">), según la </w:t>
      </w:r>
      <w:proofErr w:type="spellStart"/>
      <w:r w:rsidRPr="00362916">
        <w:rPr>
          <w:lang w:val="es-MX"/>
        </w:rPr>
        <w:t>ENAHO</w:t>
      </w:r>
      <w:proofErr w:type="spellEnd"/>
      <w:r w:rsidRPr="00362916">
        <w:rPr>
          <w:lang w:val="es-MX"/>
        </w:rPr>
        <w:t xml:space="preserve"> 2021–2023, el número de trabajadores informales se ha reducido de 10, 685 696 en el 2021 a 10, 434 246 en el 2023. No obstante, la distribución por grupos etarios mantiene su composición en dicho periodo, el cual se caracterizó por estar conformado en su mayoría por adultos de 30 a 44 años (33%) y jóvenes (72%). Asimismo, este sector informal también estuvo compuesto en un 56% por hombres.</w:t>
      </w:r>
    </w:p>
    <w:p w14:paraId="5F649463"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El </w:t>
      </w:r>
      <w:proofErr w:type="spellStart"/>
      <w:r w:rsidRPr="00362916">
        <w:rPr>
          <w:lang w:val="es-MX"/>
        </w:rPr>
        <w:t>MTPE</w:t>
      </w:r>
      <w:proofErr w:type="spellEnd"/>
      <w:r w:rsidRPr="00362916">
        <w:rPr>
          <w:lang w:val="es-MX"/>
        </w:rPr>
        <w:t xml:space="preserve">, como parte de sus estrategias para la formalización laboral, creo el </w:t>
      </w:r>
      <w:bookmarkStart w:id="28" w:name="_Hlk184725989"/>
      <w:r w:rsidRPr="00362916">
        <w:rPr>
          <w:lang w:val="es-MX"/>
        </w:rPr>
        <w:t xml:space="preserve">Centro Integrado Formaliza Perú </w:t>
      </w:r>
      <w:bookmarkEnd w:id="28"/>
      <w:r w:rsidRPr="00362916">
        <w:rPr>
          <w:lang w:val="es-MX"/>
        </w:rPr>
        <w:t>(</w:t>
      </w:r>
      <w:proofErr w:type="spellStart"/>
      <w:r w:rsidRPr="00362916">
        <w:rPr>
          <w:lang w:val="es-MX"/>
        </w:rPr>
        <w:t>CIFP</w:t>
      </w:r>
      <w:proofErr w:type="spellEnd"/>
      <w:r w:rsidRPr="00362916">
        <w:rPr>
          <w:lang w:val="es-MX"/>
        </w:rPr>
        <w:t>)</w:t>
      </w:r>
      <w:r w:rsidRPr="00362916">
        <w:rPr>
          <w:vertAlign w:val="superscript"/>
          <w:lang w:val="es-MX"/>
        </w:rPr>
        <w:footnoteReference w:id="83"/>
      </w:r>
      <w:r w:rsidRPr="00362916">
        <w:rPr>
          <w:lang w:val="es-MX"/>
        </w:rPr>
        <w:t xml:space="preserve"> con la finalidad de promover y facilitar el ingreso y permanencia de la formalización laboral mediante el acceso a los servicios de orientación, capacitación y asistencia técnica en materias vinculadas a la formalización laboral. Actualmente, se cuenta con 32 oficinas del </w:t>
      </w:r>
      <w:proofErr w:type="spellStart"/>
      <w:r w:rsidRPr="00362916">
        <w:rPr>
          <w:lang w:val="es-MX"/>
        </w:rPr>
        <w:t>CIFP</w:t>
      </w:r>
      <w:proofErr w:type="spellEnd"/>
      <w:r w:rsidRPr="00362916">
        <w:rPr>
          <w:lang w:val="es-MX"/>
        </w:rPr>
        <w:t xml:space="preserve"> en 25 regiones y una oficina en Lima Metropolitana, las cuales en el periodo de 2021 a 2024 (agosto), han atendido i) 133 272 personas en orientación en proceso de formalización y sus beneficios, </w:t>
      </w:r>
      <w:proofErr w:type="spellStart"/>
      <w:r w:rsidRPr="00362916">
        <w:rPr>
          <w:lang w:val="es-MX"/>
        </w:rPr>
        <w:t>ii</w:t>
      </w:r>
      <w:proofErr w:type="spellEnd"/>
      <w:r w:rsidRPr="00362916">
        <w:rPr>
          <w:lang w:val="es-MX"/>
        </w:rPr>
        <w:t xml:space="preserve">) 18 061 en asistencia técnica en formalización laboral, y </w:t>
      </w:r>
      <w:proofErr w:type="spellStart"/>
      <w:r w:rsidRPr="00362916">
        <w:rPr>
          <w:lang w:val="es-MX"/>
        </w:rPr>
        <w:t>iii</w:t>
      </w:r>
      <w:proofErr w:type="spellEnd"/>
      <w:r w:rsidRPr="00362916">
        <w:rPr>
          <w:lang w:val="es-MX"/>
        </w:rPr>
        <w:t>) 197 802 personas en capacitación en materias relacionadas a la formalización laboral.</w:t>
      </w:r>
    </w:p>
    <w:p w14:paraId="3F2CDA6A"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15.d</w:t>
      </w:r>
      <w:proofErr w:type="spellEnd"/>
      <w:r w:rsidRPr="00362916">
        <w:rPr>
          <w:lang w:val="es-MX"/>
        </w:rPr>
        <w:t>), sobre los descansos compensatorios, la Constitución Política del Perú establece que los trabajadores tienen derecho a descanso semanal y anual remunerados, siendo que su disfrute y compensación se regulan por ley o por convenio</w:t>
      </w:r>
      <w:r w:rsidRPr="00362916">
        <w:rPr>
          <w:vertAlign w:val="superscript"/>
          <w:lang w:val="es-MX"/>
        </w:rPr>
        <w:footnoteReference w:id="84"/>
      </w:r>
      <w:r w:rsidRPr="00362916">
        <w:rPr>
          <w:lang w:val="es-MX"/>
        </w:rPr>
        <w:t>. En ese sentido, la legislación sobre descansos remunerados de los trabajadores sujetos al régimen laboral de la actividad privada señala que todo trabajador tiene derecho a veinticuatro (24) horas consecutivas de descanso, por cada semana de trabajo, siendo que, preferentemente deberá ser otorgado el día domingo</w:t>
      </w:r>
      <w:r w:rsidRPr="00362916">
        <w:rPr>
          <w:vertAlign w:val="superscript"/>
          <w:lang w:val="es-MX"/>
        </w:rPr>
        <w:footnoteReference w:id="85"/>
      </w:r>
      <w:r w:rsidRPr="00362916">
        <w:rPr>
          <w:lang w:val="es-MX"/>
        </w:rPr>
        <w:t>.</w:t>
      </w:r>
    </w:p>
    <w:p w14:paraId="37A9F90B"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Es así como el mismo cuerpo normativo establece que cada trabajador que labore en su día de descanso, sin sustituirlo por otro día de la misma semana, tendrá derecho al pago de la retribución correspondiente por el día de trabajo efectuado más una sobretasa del 100%</w:t>
      </w:r>
      <w:r w:rsidRPr="00362916">
        <w:rPr>
          <w:vertAlign w:val="superscript"/>
          <w:lang w:val="es-MX"/>
        </w:rPr>
        <w:footnoteReference w:id="86"/>
      </w:r>
      <w:r w:rsidRPr="00362916">
        <w:rPr>
          <w:lang w:val="es-MX"/>
        </w:rPr>
        <w:t xml:space="preserve">. Por las razones antes expuestas, se verifica que, la legislación laboral vigente del Estado peruano reconoce el derecho de los trabajadores al descanso semanal obligatorio y ha </w:t>
      </w:r>
      <w:r w:rsidRPr="00362916">
        <w:rPr>
          <w:lang w:val="es-MX"/>
        </w:rPr>
        <w:lastRenderedPageBreak/>
        <w:t>establecido las obligaciones que tiene cumplir el empleador en caso no se otorgue el descanso sustitutorio, cumpliendo de esta manera con los estándares internacionales en materia de derechos humanos.</w:t>
      </w:r>
    </w:p>
    <w:p w14:paraId="67CCE227"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15.e</w:t>
      </w:r>
      <w:proofErr w:type="spellEnd"/>
      <w:r w:rsidRPr="00362916">
        <w:rPr>
          <w:lang w:val="es-MX"/>
        </w:rPr>
        <w:t xml:space="preserve">), el </w:t>
      </w:r>
      <w:proofErr w:type="spellStart"/>
      <w:r w:rsidRPr="00362916">
        <w:rPr>
          <w:lang w:val="es-MX"/>
        </w:rPr>
        <w:t>MTPE</w:t>
      </w:r>
      <w:proofErr w:type="spellEnd"/>
      <w:r w:rsidRPr="00362916">
        <w:rPr>
          <w:lang w:val="es-MX"/>
        </w:rPr>
        <w:t xml:space="preserve"> viene brindando el “Servicio de Orientación Vocacional e Información Ocupacional”, con el fin de promover la construcción de itinerarios de formación o capacitación de las personas, a partir de mecanismos de orientación e información que incremente la pertinencia de su elección, mejorando así sus posibilidades de inserción en el mercado de trabajo.</w:t>
      </w:r>
    </w:p>
    <w:p w14:paraId="7CA4816F"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dicha línea, en diciembre del año 2023, se implementó la plataforma “Mi Carrera”</w:t>
      </w:r>
      <w:r w:rsidRPr="00362916">
        <w:rPr>
          <w:vertAlign w:val="superscript"/>
          <w:lang w:val="es-MX"/>
        </w:rPr>
        <w:footnoteReference w:id="87"/>
      </w:r>
      <w:r w:rsidRPr="00362916">
        <w:rPr>
          <w:lang w:val="es-MX"/>
        </w:rPr>
        <w:t>, con el objetivo de ayudar a los jóvenes, especialmente escolares, a tomar decisiones sobre su futuro profesional. Para ello, presenta información del mercado de trabajo y la oferta formativa, para que los jóvenes tomen decisiones acertadas sobre su formación en la educación superior que se basen en las condiciones de mercado (remuneraciones) y sus expectativas personales y profesionales. A la fecha se cuenta con un total de 153,216 usuarios con 1,212,271 interacciones</w:t>
      </w:r>
      <w:r w:rsidRPr="00362916">
        <w:rPr>
          <w:vertAlign w:val="superscript"/>
          <w:lang w:val="es-MX"/>
        </w:rPr>
        <w:footnoteReference w:id="88"/>
      </w:r>
      <w:r w:rsidRPr="00362916">
        <w:rPr>
          <w:lang w:val="es-MX"/>
        </w:rPr>
        <w:t>.</w:t>
      </w:r>
    </w:p>
    <w:p w14:paraId="0EBB535E" w14:textId="23A03FF6" w:rsidR="00362916" w:rsidRPr="00362916"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15.f</w:t>
      </w:r>
      <w:proofErr w:type="spellEnd"/>
      <w:r w:rsidRPr="00362916">
        <w:rPr>
          <w:lang w:val="es-MX"/>
        </w:rPr>
        <w:t xml:space="preserve">), la Superintendencia Nacional de Fiscalización Laboral </w:t>
      </w:r>
      <w:bookmarkStart w:id="29" w:name="_Hlk184726149"/>
      <w:r w:rsidRPr="00362916">
        <w:rPr>
          <w:lang w:val="es-MX"/>
        </w:rPr>
        <w:t>(SUNAFIL</w:t>
      </w:r>
      <w:bookmarkEnd w:id="29"/>
      <w:r w:rsidRPr="00362916">
        <w:rPr>
          <w:lang w:val="es-MX"/>
        </w:rPr>
        <w:t>) ha fortalecido las capacidades de los servidores que integran el sistema de inspección del trabajo (Inspector auxiliar, Inspector del trabajo, Supervisor Inspector), ejecutando un total de 38 acciones de capacitación que registraron un total de 1,691</w:t>
      </w:r>
      <w:r w:rsidRPr="00362916">
        <w:rPr>
          <w:vertAlign w:val="superscript"/>
          <w:lang w:val="es-MX"/>
        </w:rPr>
        <w:footnoteReference w:id="89"/>
      </w:r>
      <w:r w:rsidRPr="00362916">
        <w:rPr>
          <w:lang w:val="es-MX"/>
        </w:rPr>
        <w:t xml:space="preserve"> participaciones, conforme al siguiente detalle</w:t>
      </w:r>
      <w:r w:rsidR="00BD3142">
        <w:rPr>
          <w:lang w:val="es-MX"/>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07"/>
        <w:gridCol w:w="2471"/>
        <w:gridCol w:w="2692"/>
      </w:tblGrid>
      <w:tr w:rsidR="000E14A8" w:rsidRPr="000E14A8" w14:paraId="52772D89" w14:textId="77777777" w:rsidTr="00372DE1">
        <w:trPr>
          <w:tblHeader/>
        </w:trPr>
        <w:tc>
          <w:tcPr>
            <w:tcW w:w="2207" w:type="dxa"/>
            <w:tcBorders>
              <w:top w:val="single" w:sz="4" w:space="0" w:color="auto"/>
              <w:bottom w:val="single" w:sz="12" w:space="0" w:color="auto"/>
            </w:tcBorders>
            <w:shd w:val="clear" w:color="auto" w:fill="auto"/>
            <w:vAlign w:val="bottom"/>
          </w:tcPr>
          <w:p w14:paraId="38223B06" w14:textId="77777777" w:rsidR="00362916" w:rsidRPr="00362916" w:rsidRDefault="00362916" w:rsidP="000E14A8">
            <w:pPr>
              <w:pStyle w:val="SingleTxtG"/>
              <w:tabs>
                <w:tab w:val="clear" w:pos="1701"/>
                <w:tab w:val="clear" w:pos="2268"/>
                <w:tab w:val="clear" w:pos="2835"/>
              </w:tabs>
              <w:spacing w:before="80" w:after="80" w:line="200" w:lineRule="exact"/>
              <w:ind w:left="0" w:right="0"/>
              <w:jc w:val="left"/>
              <w:rPr>
                <w:i/>
                <w:sz w:val="16"/>
                <w:lang w:val="es-MX"/>
              </w:rPr>
            </w:pPr>
            <w:r w:rsidRPr="00362916">
              <w:rPr>
                <w:i/>
                <w:sz w:val="16"/>
                <w:lang w:val="es-MX"/>
              </w:rPr>
              <w:t>Año</w:t>
            </w:r>
          </w:p>
        </w:tc>
        <w:tc>
          <w:tcPr>
            <w:tcW w:w="2471" w:type="dxa"/>
            <w:tcBorders>
              <w:top w:val="single" w:sz="4" w:space="0" w:color="auto"/>
              <w:bottom w:val="single" w:sz="12" w:space="0" w:color="auto"/>
            </w:tcBorders>
            <w:shd w:val="clear" w:color="auto" w:fill="auto"/>
            <w:vAlign w:val="bottom"/>
          </w:tcPr>
          <w:p w14:paraId="143F15D9" w14:textId="77777777" w:rsidR="00362916" w:rsidRPr="00362916" w:rsidRDefault="00362916" w:rsidP="000E14A8">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Acciones</w:t>
            </w:r>
          </w:p>
        </w:tc>
        <w:tc>
          <w:tcPr>
            <w:tcW w:w="2692" w:type="dxa"/>
            <w:tcBorders>
              <w:top w:val="single" w:sz="4" w:space="0" w:color="auto"/>
              <w:bottom w:val="single" w:sz="12" w:space="0" w:color="auto"/>
            </w:tcBorders>
            <w:shd w:val="clear" w:color="auto" w:fill="auto"/>
            <w:vAlign w:val="bottom"/>
          </w:tcPr>
          <w:p w14:paraId="5335CFF1" w14:textId="77777777" w:rsidR="00362916" w:rsidRPr="00362916" w:rsidRDefault="00362916" w:rsidP="000E14A8">
            <w:pPr>
              <w:pStyle w:val="SingleTxtG"/>
              <w:tabs>
                <w:tab w:val="clear" w:pos="1701"/>
                <w:tab w:val="clear" w:pos="2268"/>
                <w:tab w:val="clear" w:pos="2835"/>
              </w:tabs>
              <w:spacing w:before="80" w:after="80" w:line="200" w:lineRule="exact"/>
              <w:ind w:left="0" w:right="0"/>
              <w:jc w:val="right"/>
              <w:rPr>
                <w:i/>
                <w:sz w:val="16"/>
                <w:lang w:val="es-MX"/>
              </w:rPr>
            </w:pPr>
            <w:r w:rsidRPr="00362916">
              <w:rPr>
                <w:i/>
                <w:sz w:val="16"/>
                <w:lang w:val="es-MX"/>
              </w:rPr>
              <w:t>Participantes</w:t>
            </w:r>
          </w:p>
        </w:tc>
      </w:tr>
      <w:tr w:rsidR="000E14A8" w:rsidRPr="000E14A8" w14:paraId="5A8F7BD6" w14:textId="77777777" w:rsidTr="00372DE1">
        <w:tc>
          <w:tcPr>
            <w:tcW w:w="2207" w:type="dxa"/>
            <w:tcBorders>
              <w:top w:val="single" w:sz="12" w:space="0" w:color="auto"/>
            </w:tcBorders>
            <w:shd w:val="clear" w:color="auto" w:fill="auto"/>
          </w:tcPr>
          <w:p w14:paraId="411ACA92"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2022</w:t>
            </w:r>
          </w:p>
        </w:tc>
        <w:tc>
          <w:tcPr>
            <w:tcW w:w="2471" w:type="dxa"/>
            <w:tcBorders>
              <w:top w:val="single" w:sz="12" w:space="0" w:color="auto"/>
            </w:tcBorders>
            <w:shd w:val="clear" w:color="auto" w:fill="auto"/>
            <w:vAlign w:val="bottom"/>
          </w:tcPr>
          <w:p w14:paraId="3BDA08CC"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14</w:t>
            </w:r>
          </w:p>
        </w:tc>
        <w:tc>
          <w:tcPr>
            <w:tcW w:w="2692" w:type="dxa"/>
            <w:tcBorders>
              <w:top w:val="single" w:sz="12" w:space="0" w:color="auto"/>
            </w:tcBorders>
            <w:shd w:val="clear" w:color="auto" w:fill="auto"/>
            <w:vAlign w:val="bottom"/>
          </w:tcPr>
          <w:p w14:paraId="36905812"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515</w:t>
            </w:r>
          </w:p>
        </w:tc>
      </w:tr>
      <w:tr w:rsidR="000E14A8" w:rsidRPr="000E14A8" w14:paraId="2EC280FA" w14:textId="77777777" w:rsidTr="00372DE1">
        <w:tc>
          <w:tcPr>
            <w:tcW w:w="2207" w:type="dxa"/>
            <w:shd w:val="clear" w:color="auto" w:fill="auto"/>
          </w:tcPr>
          <w:p w14:paraId="4D8E9DA7"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2023</w:t>
            </w:r>
          </w:p>
        </w:tc>
        <w:tc>
          <w:tcPr>
            <w:tcW w:w="2471" w:type="dxa"/>
            <w:shd w:val="clear" w:color="auto" w:fill="auto"/>
            <w:vAlign w:val="bottom"/>
          </w:tcPr>
          <w:p w14:paraId="7342F27F"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20</w:t>
            </w:r>
          </w:p>
        </w:tc>
        <w:tc>
          <w:tcPr>
            <w:tcW w:w="2692" w:type="dxa"/>
            <w:shd w:val="clear" w:color="auto" w:fill="auto"/>
            <w:vAlign w:val="bottom"/>
          </w:tcPr>
          <w:p w14:paraId="6A5DE261"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994</w:t>
            </w:r>
          </w:p>
        </w:tc>
      </w:tr>
      <w:tr w:rsidR="000E14A8" w:rsidRPr="000E14A8" w14:paraId="729E1715" w14:textId="77777777" w:rsidTr="00372DE1">
        <w:tc>
          <w:tcPr>
            <w:tcW w:w="2207" w:type="dxa"/>
            <w:tcBorders>
              <w:bottom w:val="single" w:sz="12" w:space="0" w:color="auto"/>
            </w:tcBorders>
            <w:shd w:val="clear" w:color="auto" w:fill="auto"/>
          </w:tcPr>
          <w:p w14:paraId="76DAB336"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left"/>
              <w:rPr>
                <w:sz w:val="18"/>
                <w:lang w:val="es-MX"/>
              </w:rPr>
            </w:pPr>
            <w:r w:rsidRPr="00362916">
              <w:rPr>
                <w:sz w:val="18"/>
                <w:lang w:val="es-MX"/>
              </w:rPr>
              <w:t>2024</w:t>
            </w:r>
          </w:p>
        </w:tc>
        <w:tc>
          <w:tcPr>
            <w:tcW w:w="2471" w:type="dxa"/>
            <w:tcBorders>
              <w:bottom w:val="single" w:sz="12" w:space="0" w:color="auto"/>
            </w:tcBorders>
            <w:shd w:val="clear" w:color="auto" w:fill="auto"/>
            <w:vAlign w:val="bottom"/>
          </w:tcPr>
          <w:p w14:paraId="3F1A07E4"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4</w:t>
            </w:r>
          </w:p>
        </w:tc>
        <w:tc>
          <w:tcPr>
            <w:tcW w:w="2692" w:type="dxa"/>
            <w:tcBorders>
              <w:bottom w:val="single" w:sz="12" w:space="0" w:color="auto"/>
            </w:tcBorders>
            <w:shd w:val="clear" w:color="auto" w:fill="auto"/>
            <w:vAlign w:val="bottom"/>
          </w:tcPr>
          <w:p w14:paraId="64AD979C" w14:textId="77777777" w:rsidR="00362916" w:rsidRPr="00362916" w:rsidRDefault="00362916" w:rsidP="000E14A8">
            <w:pPr>
              <w:pStyle w:val="SingleTxtG"/>
              <w:tabs>
                <w:tab w:val="clear" w:pos="1701"/>
                <w:tab w:val="clear" w:pos="2268"/>
                <w:tab w:val="clear" w:pos="2835"/>
              </w:tabs>
              <w:spacing w:before="40" w:after="40" w:line="220" w:lineRule="exact"/>
              <w:ind w:left="0" w:right="0"/>
              <w:jc w:val="right"/>
              <w:rPr>
                <w:sz w:val="18"/>
                <w:lang w:val="es-MX"/>
              </w:rPr>
            </w:pPr>
            <w:r w:rsidRPr="00362916">
              <w:rPr>
                <w:sz w:val="18"/>
                <w:lang w:val="es-MX"/>
              </w:rPr>
              <w:t>182</w:t>
            </w:r>
          </w:p>
        </w:tc>
      </w:tr>
    </w:tbl>
    <w:p w14:paraId="6A432C2F" w14:textId="77777777" w:rsidR="000E14A8" w:rsidRDefault="00362916" w:rsidP="00FF3E21">
      <w:pPr>
        <w:pStyle w:val="SingleTxtG"/>
        <w:numPr>
          <w:ilvl w:val="0"/>
          <w:numId w:val="17"/>
        </w:numPr>
        <w:tabs>
          <w:tab w:val="clear" w:pos="1701"/>
          <w:tab w:val="clear" w:pos="2268"/>
          <w:tab w:val="clear" w:pos="2835"/>
        </w:tabs>
        <w:kinsoku w:val="0"/>
        <w:overflowPunct w:val="0"/>
        <w:autoSpaceDE w:val="0"/>
        <w:autoSpaceDN w:val="0"/>
        <w:adjustRightInd w:val="0"/>
        <w:snapToGrid w:val="0"/>
        <w:spacing w:before="120" w:line="259" w:lineRule="auto"/>
        <w:ind w:left="1080" w:firstLine="0"/>
        <w:rPr>
          <w:lang w:val="es-MX"/>
        </w:rPr>
      </w:pPr>
      <w:r w:rsidRPr="00362916">
        <w:rPr>
          <w:lang w:val="es-MX"/>
        </w:rPr>
        <w:t xml:space="preserve">En respuesta al párrafo </w:t>
      </w:r>
      <w:proofErr w:type="spellStart"/>
      <w:r w:rsidRPr="00362916">
        <w:rPr>
          <w:lang w:val="es-MX"/>
        </w:rPr>
        <w:t>15.g</w:t>
      </w:r>
      <w:proofErr w:type="spellEnd"/>
      <w:r w:rsidRPr="00362916">
        <w:rPr>
          <w:lang w:val="es-MX"/>
        </w:rPr>
        <w:t xml:space="preserve">), el Ministerio de Salud </w:t>
      </w:r>
      <w:bookmarkStart w:id="30" w:name="_Hlk184726272"/>
      <w:r w:rsidRPr="00362916">
        <w:rPr>
          <w:lang w:val="es-MX"/>
        </w:rPr>
        <w:t>(MINSA</w:t>
      </w:r>
      <w:bookmarkEnd w:id="30"/>
      <w:r w:rsidRPr="00362916">
        <w:rPr>
          <w:lang w:val="es-MX"/>
        </w:rPr>
        <w:t xml:space="preserve">) reportó que en el marco de la Ley 31091 y del Plan Nacional Actualizado de Vacunación contra la Covid-19, se aplicó a personal de salud en el país: </w:t>
      </w:r>
    </w:p>
    <w:p w14:paraId="0163A84A" w14:textId="256EF741" w:rsidR="00362916" w:rsidRPr="00362916" w:rsidRDefault="00362916" w:rsidP="0063452F">
      <w:pPr>
        <w:pStyle w:val="Bullet1G"/>
        <w:rPr>
          <w:lang w:val="es-MX"/>
        </w:rPr>
      </w:pPr>
      <w:r w:rsidRPr="00362916">
        <w:rPr>
          <w:lang w:val="es-MX"/>
        </w:rPr>
        <w:t>En diciembre de 2021, un total de 29 206 dosis de la vacuna contra la Covid-19, de las cuales 65.8% fueron aplicados a personal de salud femenino y 34.2% a personal de salud masculino</w:t>
      </w:r>
      <w:r w:rsidR="00BD3142">
        <w:rPr>
          <w:lang w:val="es-MX"/>
        </w:rPr>
        <w:t>;</w:t>
      </w:r>
    </w:p>
    <w:p w14:paraId="673BE085" w14:textId="65C502FC" w:rsidR="00362916" w:rsidRPr="00362916" w:rsidRDefault="00362916" w:rsidP="0063452F">
      <w:pPr>
        <w:pStyle w:val="Bullet1G"/>
        <w:rPr>
          <w:lang w:val="es-MX"/>
        </w:rPr>
      </w:pPr>
      <w:r w:rsidRPr="00362916">
        <w:rPr>
          <w:lang w:val="es-MX"/>
        </w:rPr>
        <w:t>En 2022, un total de 258 955 dosis de la vacuna contra la Covid-19, de las cuales 65.3% fueron aplicadas a personal de salud femenino y 34.7% a personal de salud masculino</w:t>
      </w:r>
      <w:r w:rsidR="00BD3142">
        <w:rPr>
          <w:lang w:val="es-MX"/>
        </w:rPr>
        <w:t>;</w:t>
      </w:r>
    </w:p>
    <w:p w14:paraId="7F212CA6" w14:textId="5998EFC1" w:rsidR="00362916" w:rsidRPr="00362916" w:rsidRDefault="00362916" w:rsidP="0063452F">
      <w:pPr>
        <w:pStyle w:val="Bullet1G"/>
        <w:rPr>
          <w:lang w:val="es-MX"/>
        </w:rPr>
      </w:pPr>
      <w:r w:rsidRPr="00362916">
        <w:rPr>
          <w:lang w:val="es-MX"/>
        </w:rPr>
        <w:t>En 2023, un total de 160 692 dosis de la vacuna contra la Covid-19, de las cuales 65.6% fueron aplicadas a personal de salud femenino y 34.4% a personal de salud masculino</w:t>
      </w:r>
      <w:r w:rsidR="00BD3142">
        <w:rPr>
          <w:lang w:val="es-MX"/>
        </w:rPr>
        <w:t>;</w:t>
      </w:r>
    </w:p>
    <w:p w14:paraId="32288823" w14:textId="77777777" w:rsidR="000E14A8" w:rsidRDefault="00362916" w:rsidP="0063452F">
      <w:pPr>
        <w:pStyle w:val="Bullet1G"/>
        <w:rPr>
          <w:lang w:val="es-MX"/>
        </w:rPr>
      </w:pPr>
      <w:r w:rsidRPr="00362916">
        <w:rPr>
          <w:lang w:val="es-MX"/>
        </w:rPr>
        <w:t>Entre enero y agosto de 2024, se han aplicado 32 731 dosis de la vacuna contra la Covid-19, de las cuales 69.3% fueron aplicadas a personal de salud femenino y 30.7% a personal de salud masculino</w:t>
      </w:r>
      <w:r w:rsidRPr="00362916">
        <w:rPr>
          <w:vertAlign w:val="superscript"/>
          <w:lang w:val="es-MX"/>
        </w:rPr>
        <w:footnoteReference w:id="90"/>
      </w:r>
      <w:r w:rsidRPr="00362916">
        <w:rPr>
          <w:lang w:val="es-MX"/>
        </w:rPr>
        <w:t>.</w:t>
      </w:r>
    </w:p>
    <w:p w14:paraId="69B26EA3" w14:textId="77777777" w:rsidR="000E14A8" w:rsidRPr="00BD3142" w:rsidRDefault="00362916" w:rsidP="0063452F">
      <w:pPr>
        <w:pStyle w:val="H23G"/>
        <w:ind w:left="1080" w:firstLine="0"/>
        <w:rPr>
          <w:sz w:val="24"/>
          <w:szCs w:val="24"/>
          <w:lang w:val="es-MX"/>
        </w:rPr>
      </w:pPr>
      <w:bookmarkStart w:id="31" w:name="_Toc187168802"/>
      <w:r w:rsidRPr="00BD3142">
        <w:rPr>
          <w:sz w:val="24"/>
          <w:szCs w:val="24"/>
          <w:lang w:val="es-MX"/>
        </w:rPr>
        <w:t>Protección de la familia y el niño (art. 10)</w:t>
      </w:r>
      <w:bookmarkEnd w:id="31"/>
    </w:p>
    <w:p w14:paraId="2B19A58E" w14:textId="1856699C"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18, </w:t>
      </w:r>
      <w:r w:rsidRPr="00362916">
        <w:t>el Estado peruano ha efectuado medidas para la implementación del</w:t>
      </w:r>
      <w:r w:rsidRPr="00362916">
        <w:rPr>
          <w:b/>
          <w:bCs/>
        </w:rPr>
        <w:t xml:space="preserve"> </w:t>
      </w:r>
      <w:r w:rsidRPr="00362916">
        <w:t xml:space="preserve">Sistema Nacional de Cuidados, principalmente en dos aspectos: i) incidencia para la creación del Sistema Nacional de Cuidados - </w:t>
      </w:r>
      <w:proofErr w:type="spellStart"/>
      <w:r w:rsidRPr="00362916">
        <w:t>SNC</w:t>
      </w:r>
      <w:proofErr w:type="spellEnd"/>
      <w:r w:rsidRPr="00362916">
        <w:t xml:space="preserve"> y, </w:t>
      </w:r>
      <w:proofErr w:type="spellStart"/>
      <w:r w:rsidRPr="00362916">
        <w:t>ii</w:t>
      </w:r>
      <w:proofErr w:type="spellEnd"/>
      <w:r w:rsidRPr="00362916">
        <w:t>) ejecución del proyecto piloto “Comunidades para los Cuidados”</w:t>
      </w:r>
      <w:r w:rsidR="00BD3142">
        <w:t>:</w:t>
      </w:r>
    </w:p>
    <w:p w14:paraId="46651115" w14:textId="0FAE820D" w:rsidR="000E14A8" w:rsidRDefault="00362916" w:rsidP="00145C76">
      <w:pPr>
        <w:pStyle w:val="Bullet1G"/>
      </w:pPr>
      <w:r w:rsidRPr="00362916">
        <w:lastRenderedPageBreak/>
        <w:t xml:space="preserve">Sobre el primer punto, en abril del año 2022, el </w:t>
      </w:r>
      <w:proofErr w:type="spellStart"/>
      <w:r w:rsidRPr="00362916">
        <w:t>MIMP</w:t>
      </w:r>
      <w:proofErr w:type="spellEnd"/>
      <w:r w:rsidRPr="00362916">
        <w:t xml:space="preserve"> creó el Grupo de Trabajo sectorial con el objeto de formular una propuesta sobre la creación del </w:t>
      </w:r>
      <w:bookmarkStart w:id="32" w:name="_Hlk184726364"/>
      <w:r w:rsidRPr="00362916">
        <w:t xml:space="preserve">Sistema Nacional de Cuidados </w:t>
      </w:r>
      <w:bookmarkEnd w:id="32"/>
      <w:r w:rsidRPr="00362916">
        <w:t>(</w:t>
      </w:r>
      <w:proofErr w:type="spellStart"/>
      <w:r w:rsidRPr="00362916">
        <w:t>SNC</w:t>
      </w:r>
      <w:proofErr w:type="spellEnd"/>
      <w:r w:rsidRPr="00362916">
        <w:t xml:space="preserve">) con enfoque de género y de derechos humanos, cuyas funciones, entre otras, fue la aprobación de un plan de trabajo y una hoja de ruta para la creación del </w:t>
      </w:r>
      <w:proofErr w:type="spellStart"/>
      <w:r w:rsidRPr="00362916">
        <w:t>SNC</w:t>
      </w:r>
      <w:proofErr w:type="spellEnd"/>
      <w:r w:rsidR="00BD3142">
        <w:t>;</w:t>
      </w:r>
    </w:p>
    <w:p w14:paraId="0B820083" w14:textId="3FACDA57" w:rsidR="000E14A8" w:rsidRDefault="00362916" w:rsidP="00145C76">
      <w:pPr>
        <w:pStyle w:val="Bullet1G"/>
      </w:pPr>
      <w:r w:rsidRPr="00362916">
        <w:t xml:space="preserve">Posteriormente, el </w:t>
      </w:r>
      <w:proofErr w:type="spellStart"/>
      <w:r w:rsidRPr="00362916">
        <w:t>MIMP</w:t>
      </w:r>
      <w:proofErr w:type="spellEnd"/>
      <w:r w:rsidRPr="00362916">
        <w:t xml:space="preserve"> conformo el “Grupo de Trabajo para la articulación de intervenciones sectoriales en materia de cuidados”</w:t>
      </w:r>
      <w:r w:rsidRPr="00362916">
        <w:rPr>
          <w:vertAlign w:val="superscript"/>
        </w:rPr>
        <w:footnoteReference w:id="91"/>
      </w:r>
      <w:r w:rsidRPr="00362916">
        <w:t xml:space="preserve"> con el objeto de articular las intervenciones sectoriales, cuyos componentes consideren los cuidados dirigidos a niñas, niños y adolescentes, personas adultas mayores y personas con discapacidad, fortaleciendo el rol del </w:t>
      </w:r>
      <w:proofErr w:type="spellStart"/>
      <w:r w:rsidRPr="00362916">
        <w:t>MIMP</w:t>
      </w:r>
      <w:proofErr w:type="spellEnd"/>
      <w:r w:rsidRPr="00362916">
        <w:t xml:space="preserve"> en esta materia, a nivel intersectorial</w:t>
      </w:r>
      <w:r w:rsidR="00BD3142">
        <w:t>;</w:t>
      </w:r>
    </w:p>
    <w:p w14:paraId="764E3DD5" w14:textId="77777777" w:rsidR="000E14A8" w:rsidRDefault="00362916" w:rsidP="00145C76">
      <w:pPr>
        <w:pStyle w:val="Bullet1G"/>
      </w:pPr>
      <w:r w:rsidRPr="00362916">
        <w:t>Sobre el segundo punto, durante el año 2023, se implementó el proyecto “Comunidades de los Cuidados: promoviendo la igualdad y corresponsabilidad de los ciudadanos”, que tiene como periodo de ejecución desde marzo de 2023 hasta diciembre de 2024 y, como ámbito de aplicación, los distritos de Comas y Villa el Salvador de Lima Metropolitana y la Provincia de Tambopata en la Región de Madre de Dios, el cual viene siendo financiado por la Agencia Española de Cooperación Internacional para el Desarrollo – AECID</w:t>
      </w:r>
      <w:r w:rsidRPr="00362916">
        <w:rPr>
          <w:vertAlign w:val="superscript"/>
        </w:rPr>
        <w:footnoteReference w:id="92"/>
      </w:r>
      <w:r w:rsidRPr="00362916">
        <w:t>.</w:t>
      </w:r>
    </w:p>
    <w:p w14:paraId="1695A1A7" w14:textId="77777777" w:rsidR="000E14A8" w:rsidRPr="00BD3142" w:rsidRDefault="00362916" w:rsidP="0063452F">
      <w:pPr>
        <w:pStyle w:val="H23G"/>
        <w:ind w:left="1080" w:firstLine="0"/>
        <w:rPr>
          <w:sz w:val="24"/>
          <w:szCs w:val="24"/>
          <w:lang w:val="es-MX"/>
        </w:rPr>
      </w:pPr>
      <w:bookmarkStart w:id="33" w:name="_Toc187168803"/>
      <w:r w:rsidRPr="00BD3142">
        <w:rPr>
          <w:sz w:val="24"/>
          <w:szCs w:val="24"/>
          <w:lang w:val="es-MX"/>
        </w:rPr>
        <w:t>Derecho a un nivel de vida adecuado (art. 11)</w:t>
      </w:r>
      <w:bookmarkEnd w:id="33"/>
    </w:p>
    <w:p w14:paraId="4DC14582"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19, la Dirección de Desplazados y Cultura de Paz del </w:t>
      </w:r>
      <w:proofErr w:type="spellStart"/>
      <w:r w:rsidRPr="00362916">
        <w:rPr>
          <w:lang w:val="es-MX"/>
        </w:rPr>
        <w:t>MIMP</w:t>
      </w:r>
      <w:proofErr w:type="spellEnd"/>
      <w:r w:rsidRPr="00362916">
        <w:rPr>
          <w:lang w:val="es-MX"/>
        </w:rPr>
        <w:t xml:space="preserve"> tiene la responsabilidad en la prevención, protección y atención multisectorial a la población desplazada interna. En el marco de sus competencias ha desarrollado: i) Asistencia técnica a gobiernos locales, principalmente del ámbito del de los Valles de los ríos Apurímac, Ene y Mantaro - </w:t>
      </w:r>
      <w:proofErr w:type="spellStart"/>
      <w:r w:rsidRPr="00362916">
        <w:rPr>
          <w:lang w:val="es-MX"/>
        </w:rPr>
        <w:t>VRAEM</w:t>
      </w:r>
      <w:proofErr w:type="spellEnd"/>
      <w:r w:rsidRPr="00362916">
        <w:rPr>
          <w:lang w:val="es-MX"/>
        </w:rPr>
        <w:t xml:space="preserve">, para prevenir expresiones de violencia, </w:t>
      </w:r>
      <w:proofErr w:type="spellStart"/>
      <w:r w:rsidRPr="00362916">
        <w:rPr>
          <w:lang w:val="es-MX"/>
        </w:rPr>
        <w:t>ii</w:t>
      </w:r>
      <w:proofErr w:type="spellEnd"/>
      <w:r w:rsidRPr="00362916">
        <w:rPr>
          <w:lang w:val="es-MX"/>
        </w:rPr>
        <w:t xml:space="preserve">) Seguimiento y asesoría a las asociaciones de personas desplazada, para su acceso a programas de reparación y programas sociales como víctimas de desplazamiento forzoso del período 1980-200041, </w:t>
      </w:r>
      <w:proofErr w:type="spellStart"/>
      <w:r w:rsidRPr="00362916">
        <w:rPr>
          <w:lang w:val="es-MX"/>
        </w:rPr>
        <w:t>iii</w:t>
      </w:r>
      <w:proofErr w:type="spellEnd"/>
      <w:r w:rsidRPr="00362916">
        <w:rPr>
          <w:lang w:val="es-MX"/>
        </w:rPr>
        <w:t>) Actualización permanente del Registro Nacional de Personas Desplazadas Internas</w:t>
      </w:r>
      <w:r w:rsidRPr="00362916">
        <w:rPr>
          <w:vertAlign w:val="superscript"/>
          <w:lang w:val="es-MX"/>
        </w:rPr>
        <w:footnoteReference w:id="93"/>
      </w:r>
      <w:r w:rsidRPr="00362916">
        <w:rPr>
          <w:lang w:val="es-MX"/>
        </w:rPr>
        <w:t>.</w:t>
      </w:r>
    </w:p>
    <w:p w14:paraId="67F82F20" w14:textId="561ED74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Además, se cuenta con la Ley </w:t>
      </w:r>
      <w:proofErr w:type="spellStart"/>
      <w:r w:rsidRPr="00362916">
        <w:rPr>
          <w:lang w:val="es-MX"/>
        </w:rPr>
        <w:t>Nº29869</w:t>
      </w:r>
      <w:proofErr w:type="spellEnd"/>
      <w:r w:rsidRPr="00362916">
        <w:rPr>
          <w:lang w:val="es-MX"/>
        </w:rPr>
        <w:t xml:space="preserve">, Ley de Reasentamiento Poblacional para Zonas de Muy Alto Riesgo no Mitigable y su Reglamento aprobado con Decreto Supremo </w:t>
      </w:r>
      <w:proofErr w:type="spellStart"/>
      <w:r w:rsidRPr="00362916">
        <w:rPr>
          <w:lang w:val="es-MX"/>
        </w:rPr>
        <w:t>N°142</w:t>
      </w:r>
      <w:proofErr w:type="spellEnd"/>
      <w:r w:rsidRPr="00362916">
        <w:rPr>
          <w:lang w:val="es-MX"/>
        </w:rPr>
        <w:t>-2021-</w:t>
      </w:r>
      <w:proofErr w:type="spellStart"/>
      <w:r w:rsidRPr="00362916">
        <w:rPr>
          <w:lang w:val="es-MX"/>
        </w:rPr>
        <w:t>PCM</w:t>
      </w:r>
      <w:proofErr w:type="spellEnd"/>
      <w:r w:rsidRPr="00362916">
        <w:rPr>
          <w:lang w:val="es-MX"/>
        </w:rPr>
        <w:t xml:space="preserve"> de fecha 23.07.2021. Dichas normas establecen medidas y procedimientos para que un proceso de reasentamiento poblacional, cuente con el debido sustento técnico y legal correspondiente</w:t>
      </w:r>
      <w:r w:rsidRPr="00362916">
        <w:rPr>
          <w:vertAlign w:val="superscript"/>
          <w:lang w:val="es-MX"/>
        </w:rPr>
        <w:footnoteReference w:id="94"/>
      </w:r>
      <w:r w:rsidRPr="00362916">
        <w:rPr>
          <w:lang w:val="es-MX"/>
        </w:rPr>
        <w:t>.</w:t>
      </w:r>
    </w:p>
    <w:p w14:paraId="77703CAD"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21, para enfrentar el elevado riesgo de catástrofes naturales, mediante Decreto Supremo </w:t>
      </w:r>
      <w:proofErr w:type="spellStart"/>
      <w:r w:rsidRPr="00362916">
        <w:rPr>
          <w:lang w:val="es-MX"/>
        </w:rPr>
        <w:t>N°101</w:t>
      </w:r>
      <w:proofErr w:type="spellEnd"/>
      <w:r w:rsidRPr="00362916">
        <w:rPr>
          <w:lang w:val="es-MX"/>
        </w:rPr>
        <w:t>-2023-</w:t>
      </w:r>
      <w:proofErr w:type="spellStart"/>
      <w:r w:rsidRPr="00362916">
        <w:rPr>
          <w:lang w:val="es-MX"/>
        </w:rPr>
        <w:t>PCM</w:t>
      </w:r>
      <w:proofErr w:type="spellEnd"/>
      <w:r w:rsidRPr="00362916">
        <w:rPr>
          <w:lang w:val="es-MX"/>
        </w:rPr>
        <w:t xml:space="preserve"> se aprueba el Plan Multisectorial ante la ocurrencia del Fenómeno El Niño 2023-2024 (2.9.2023), mediante el cual el INDECI en coordinación con la actual Secretaría de Gestión del riesgo de Desastres del Despacho Viceministerial de Gobernanza Territorial de la </w:t>
      </w:r>
      <w:proofErr w:type="spellStart"/>
      <w:r w:rsidRPr="00362916">
        <w:rPr>
          <w:lang w:val="es-MX"/>
        </w:rPr>
        <w:t>PCM</w:t>
      </w:r>
      <w:proofErr w:type="spellEnd"/>
      <w:r w:rsidRPr="00362916">
        <w:rPr>
          <w:lang w:val="es-MX"/>
        </w:rPr>
        <w:t xml:space="preserve"> ha realizado el seguimiento a las intervenciones del Plan. Asimismo, en materia presupuestal, alcanzó una ejecución de S/ 1.9 millones (73.5%).</w:t>
      </w:r>
    </w:p>
    <w:p w14:paraId="296FDAD2"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22.a</w:t>
      </w:r>
      <w:proofErr w:type="spellEnd"/>
      <w:r w:rsidRPr="00362916">
        <w:rPr>
          <w:lang w:val="es-MX"/>
        </w:rPr>
        <w:t xml:space="preserve">), el </w:t>
      </w:r>
      <w:proofErr w:type="spellStart"/>
      <w:r w:rsidRPr="00362916">
        <w:rPr>
          <w:lang w:val="es-MX"/>
        </w:rPr>
        <w:t>MIDIS</w:t>
      </w:r>
      <w:proofErr w:type="spellEnd"/>
      <w:r w:rsidRPr="00362916">
        <w:rPr>
          <w:lang w:val="es-MX"/>
        </w:rPr>
        <w:t xml:space="preserve"> destaca que el </w:t>
      </w:r>
      <w:proofErr w:type="spellStart"/>
      <w:r w:rsidRPr="00362916">
        <w:rPr>
          <w:lang w:val="es-MX"/>
        </w:rPr>
        <w:t>PNJ</w:t>
      </w:r>
      <w:proofErr w:type="spellEnd"/>
      <w:r w:rsidRPr="00362916">
        <w:rPr>
          <w:lang w:val="es-MX"/>
        </w:rPr>
        <w:t xml:space="preserve">, dos años después de haberse implementado la TPI, la evaluación de impacto de UNICEF sobre esta transferencia, evidencia que se ha contribuido en la reducción de la tasa de desnutrición crónica en 6.5 puntos porcentuales en las niñas y niños de 12 meses usuarios del </w:t>
      </w:r>
      <w:proofErr w:type="spellStart"/>
      <w:r w:rsidRPr="00362916">
        <w:rPr>
          <w:lang w:val="es-MX"/>
        </w:rPr>
        <w:t>PNJ</w:t>
      </w:r>
      <w:proofErr w:type="spellEnd"/>
      <w:r w:rsidRPr="00362916">
        <w:rPr>
          <w:lang w:val="es-MX"/>
        </w:rPr>
        <w:t>. En cuanto a los servicios de salud en relación con la anemia, esta transferencia adicional incrementó en 5.1 puntos porcentuales la cobertura de suplementación de hierro y en 5.8 puntos porcentuales la cobertura de tamizaje de anemia en las niñas y niños del programa a sus 6 meses de vida</w:t>
      </w:r>
      <w:r w:rsidRPr="00362916">
        <w:rPr>
          <w:vertAlign w:val="superscript"/>
          <w:lang w:val="es-MX"/>
        </w:rPr>
        <w:footnoteReference w:id="95"/>
      </w:r>
      <w:r w:rsidRPr="00362916">
        <w:rPr>
          <w:lang w:val="es-MX"/>
        </w:rPr>
        <w:t>.</w:t>
      </w:r>
    </w:p>
    <w:p w14:paraId="33FCF034"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22.c</w:t>
      </w:r>
      <w:proofErr w:type="spellEnd"/>
      <w:r w:rsidRPr="00362916">
        <w:rPr>
          <w:lang w:val="es-MX"/>
        </w:rPr>
        <w:t xml:space="preserve">), mediante Resolución Ministerial </w:t>
      </w:r>
      <w:proofErr w:type="spellStart"/>
      <w:r w:rsidRPr="00362916">
        <w:rPr>
          <w:lang w:val="es-MX"/>
        </w:rPr>
        <w:t>N°</w:t>
      </w:r>
      <w:proofErr w:type="spellEnd"/>
      <w:r w:rsidRPr="00362916">
        <w:rPr>
          <w:lang w:val="es-MX"/>
        </w:rPr>
        <w:t xml:space="preserve"> 013-2021-</w:t>
      </w:r>
      <w:proofErr w:type="spellStart"/>
      <w:r w:rsidRPr="00362916">
        <w:rPr>
          <w:lang w:val="es-MX"/>
        </w:rPr>
        <w:t>MIDIS</w:t>
      </w:r>
      <w:proofErr w:type="spellEnd"/>
      <w:r w:rsidRPr="00362916">
        <w:rPr>
          <w:lang w:val="es-MX"/>
        </w:rPr>
        <w:t xml:space="preserve"> del 19 de enero de 2021, el Estado creo la </w:t>
      </w:r>
      <w:bookmarkStart w:id="34" w:name="_Hlk184726447"/>
      <w:r w:rsidRPr="00362916">
        <w:rPr>
          <w:lang w:val="es-MX"/>
        </w:rPr>
        <w:t xml:space="preserve">Intervención Temporal Hambre Cero </w:t>
      </w:r>
      <w:bookmarkEnd w:id="34"/>
      <w:r w:rsidRPr="00362916">
        <w:rPr>
          <w:lang w:val="es-MX"/>
        </w:rPr>
        <w:t>(</w:t>
      </w:r>
      <w:proofErr w:type="spellStart"/>
      <w:r w:rsidRPr="00362916">
        <w:rPr>
          <w:lang w:val="es-MX"/>
        </w:rPr>
        <w:t>ITHC</w:t>
      </w:r>
      <w:proofErr w:type="spellEnd"/>
      <w:r w:rsidRPr="00362916">
        <w:rPr>
          <w:lang w:val="es-MX"/>
        </w:rPr>
        <w:t xml:space="preserve">), con la finalidad de contribuir en la reducción de brechas de inseguridad alimentaria, de manera </w:t>
      </w:r>
      <w:r w:rsidRPr="00362916">
        <w:rPr>
          <w:lang w:val="es-MX"/>
        </w:rPr>
        <w:lastRenderedPageBreak/>
        <w:t xml:space="preserve">focalizada, diferenciada y gradual, en beneficio de la población del ámbito urbano y rural en situación de vulnerabilidad, como resultados de la propagación del COVID-19, la cual conto con tres componentes: i) Desarrollo productivo; </w:t>
      </w:r>
      <w:proofErr w:type="spellStart"/>
      <w:r w:rsidRPr="00362916">
        <w:rPr>
          <w:lang w:val="es-MX"/>
        </w:rPr>
        <w:t>ii</w:t>
      </w:r>
      <w:proofErr w:type="spellEnd"/>
      <w:r w:rsidRPr="00362916">
        <w:rPr>
          <w:lang w:val="es-MX"/>
        </w:rPr>
        <w:t xml:space="preserve">) Apoyo alimentario; y </w:t>
      </w:r>
      <w:proofErr w:type="spellStart"/>
      <w:r w:rsidRPr="00362916">
        <w:rPr>
          <w:lang w:val="es-MX"/>
        </w:rPr>
        <w:t>iii</w:t>
      </w:r>
      <w:proofErr w:type="spellEnd"/>
      <w:r w:rsidRPr="00362916">
        <w:rPr>
          <w:lang w:val="es-MX"/>
        </w:rPr>
        <w:t>) Articulación territorial</w:t>
      </w:r>
      <w:r w:rsidRPr="00362916">
        <w:rPr>
          <w:vertAlign w:val="superscript"/>
          <w:lang w:val="es-MX"/>
        </w:rPr>
        <w:footnoteReference w:id="96"/>
      </w:r>
      <w:r w:rsidRPr="00362916">
        <w:rPr>
          <w:lang w:val="es-MX"/>
        </w:rPr>
        <w:t>.</w:t>
      </w:r>
    </w:p>
    <w:p w14:paraId="7717A4C8" w14:textId="09DAD4E6"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Bajo dicho marco, el </w:t>
      </w:r>
      <w:proofErr w:type="spellStart"/>
      <w:r w:rsidRPr="00362916">
        <w:rPr>
          <w:lang w:val="es-MX"/>
        </w:rPr>
        <w:t>MIDIS</w:t>
      </w:r>
      <w:proofErr w:type="spellEnd"/>
      <w:r w:rsidRPr="00362916">
        <w:rPr>
          <w:lang w:val="es-MX"/>
        </w:rPr>
        <w:t>, brindó asistencia técnica para la implementación del componente de articulación territorial a las regiones priorizadas (Ayacucho, Cajamarca, Loreto, La Libertad, Callao, Lima Metropolitana, Huancavelica) y provincias (Huanta, Huancavelica, Maynas, Callao, Pataz). De los cuales, 4 regiones y 5 provincias lograron elaborar sus Agendas Territoriales de Hambre Cero</w:t>
      </w:r>
      <w:r w:rsidRPr="00362916">
        <w:rPr>
          <w:vertAlign w:val="superscript"/>
          <w:lang w:val="es-MX"/>
        </w:rPr>
        <w:footnoteReference w:id="97"/>
      </w:r>
      <w:r w:rsidR="00FF3E21">
        <w:rPr>
          <w:lang w:val="es-MX"/>
        </w:rPr>
        <w:t>.</w:t>
      </w:r>
    </w:p>
    <w:p w14:paraId="3CCE785D"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22.d</w:t>
      </w:r>
      <w:proofErr w:type="spellEnd"/>
      <w:r w:rsidRPr="00362916">
        <w:rPr>
          <w:lang w:val="es-MX"/>
        </w:rPr>
        <w:t xml:space="preserve">), el </w:t>
      </w:r>
      <w:proofErr w:type="spellStart"/>
      <w:r w:rsidRPr="00362916">
        <w:rPr>
          <w:lang w:val="es-MX"/>
        </w:rPr>
        <w:t>MIDIS</w:t>
      </w:r>
      <w:proofErr w:type="spellEnd"/>
      <w:r w:rsidRPr="00362916">
        <w:rPr>
          <w:lang w:val="es-MX"/>
        </w:rPr>
        <w:t xml:space="preserve"> implementa el Programa Nacional Cuna Mas (</w:t>
      </w:r>
      <w:proofErr w:type="spellStart"/>
      <w:r w:rsidRPr="00362916">
        <w:rPr>
          <w:lang w:val="es-MX"/>
        </w:rPr>
        <w:t>PNCM</w:t>
      </w:r>
      <w:proofErr w:type="spellEnd"/>
      <w:r w:rsidRPr="00362916">
        <w:rPr>
          <w:lang w:val="es-MX"/>
        </w:rPr>
        <w:t xml:space="preserve">) cuyos servicios son de carácter focalizado, por tanto, implementa sus servicios en los distritos que cumplen con los criterios aprobados en la Resolución Ministerial </w:t>
      </w:r>
      <w:proofErr w:type="spellStart"/>
      <w:r w:rsidRPr="00362916">
        <w:rPr>
          <w:lang w:val="es-MX"/>
        </w:rPr>
        <w:t>N°</w:t>
      </w:r>
      <w:proofErr w:type="spellEnd"/>
      <w:r w:rsidRPr="00362916">
        <w:rPr>
          <w:lang w:val="es-MX"/>
        </w:rPr>
        <w:t xml:space="preserve"> 162-2021-</w:t>
      </w:r>
      <w:proofErr w:type="spellStart"/>
      <w:r w:rsidRPr="00362916">
        <w:rPr>
          <w:lang w:val="es-MX"/>
        </w:rPr>
        <w:t>MIDIS</w:t>
      </w:r>
      <w:proofErr w:type="spellEnd"/>
      <w:r w:rsidRPr="00362916">
        <w:rPr>
          <w:vertAlign w:val="superscript"/>
          <w:lang w:val="es-MX"/>
        </w:rPr>
        <w:footnoteReference w:id="98"/>
      </w:r>
      <w:r w:rsidRPr="00362916">
        <w:rPr>
          <w:lang w:val="es-MX"/>
        </w:rPr>
        <w:t>.</w:t>
      </w:r>
    </w:p>
    <w:p w14:paraId="1C9253DE"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El </w:t>
      </w:r>
      <w:proofErr w:type="spellStart"/>
      <w:r w:rsidRPr="00362916">
        <w:rPr>
          <w:lang w:val="es-MX"/>
        </w:rPr>
        <w:t>PNCM</w:t>
      </w:r>
      <w:proofErr w:type="spellEnd"/>
      <w:r w:rsidRPr="00362916">
        <w:rPr>
          <w:lang w:val="es-MX"/>
        </w:rPr>
        <w:t xml:space="preserve"> para el año 2024, ha gestionado la ampliación de cobertura del “Servicio de Cuidado Diurno” con una meta de 6,960 niñas y niños entre 6 a 36 meses de edad a nivel nacional, adicionales a los 60,427 programados en el año anterior. Siendo así, el programa ha presentado avances en el periodo 2021 – 2024</w:t>
      </w:r>
      <w:r w:rsidRPr="00362916">
        <w:rPr>
          <w:vertAlign w:val="superscript"/>
          <w:lang w:val="es-MX"/>
        </w:rPr>
        <w:footnoteReference w:id="99"/>
      </w:r>
      <w:r w:rsidRPr="00362916">
        <w:rPr>
          <w:lang w:val="es-MX"/>
        </w:rPr>
        <w:t>:</w:t>
      </w:r>
    </w:p>
    <w:p w14:paraId="0B6077D4" w14:textId="7EF6F0D0" w:rsidR="00362916" w:rsidRPr="00362916" w:rsidRDefault="00362916" w:rsidP="00EA1656">
      <w:pPr>
        <w:pStyle w:val="Bullet1G"/>
        <w:rPr>
          <w:lang w:val="es-MX"/>
        </w:rPr>
      </w:pPr>
      <w:r w:rsidRPr="00362916">
        <w:rPr>
          <w:lang w:val="es-MX"/>
        </w:rPr>
        <w:t xml:space="preserve">En el periodo 2021, el </w:t>
      </w:r>
      <w:proofErr w:type="spellStart"/>
      <w:r w:rsidRPr="00362916">
        <w:rPr>
          <w:lang w:val="es-MX"/>
        </w:rPr>
        <w:t>PNCM</w:t>
      </w:r>
      <w:proofErr w:type="spellEnd"/>
      <w:r w:rsidRPr="00362916">
        <w:rPr>
          <w:lang w:val="es-MX"/>
        </w:rPr>
        <w:t xml:space="preserve"> atendió en el Servicio de Cuidado Diurno (</w:t>
      </w:r>
      <w:proofErr w:type="spellStart"/>
      <w:r w:rsidRPr="00362916">
        <w:rPr>
          <w:lang w:val="es-MX"/>
        </w:rPr>
        <w:t>SCD</w:t>
      </w:r>
      <w:proofErr w:type="spellEnd"/>
      <w:r w:rsidRPr="00362916">
        <w:rPr>
          <w:lang w:val="es-MX"/>
        </w:rPr>
        <w:t>) a 60,374 usuarios (29,093 niñas y 31,281 niños) y en el Servicio de Acompañamiento a Familias (</w:t>
      </w:r>
      <w:proofErr w:type="spellStart"/>
      <w:r w:rsidRPr="00362916">
        <w:rPr>
          <w:lang w:val="es-MX"/>
        </w:rPr>
        <w:t>SAF</w:t>
      </w:r>
      <w:proofErr w:type="spellEnd"/>
      <w:r w:rsidRPr="00362916">
        <w:rPr>
          <w:lang w:val="es-MX"/>
        </w:rPr>
        <w:t>) a 115,967 familias (con 53,895 niñas, 55,904 niños y 7,515 gestantes). Alcanzando un nivel de cobertura de 21.42%</w:t>
      </w:r>
      <w:r w:rsidRPr="00362916">
        <w:rPr>
          <w:vertAlign w:val="superscript"/>
          <w:lang w:val="es-MX"/>
        </w:rPr>
        <w:footnoteReference w:id="100"/>
      </w:r>
      <w:r w:rsidR="00FE2332">
        <w:rPr>
          <w:lang w:val="es-MX"/>
        </w:rPr>
        <w:t>;</w:t>
      </w:r>
    </w:p>
    <w:p w14:paraId="0EE1C148" w14:textId="16656EA4" w:rsidR="00362916" w:rsidRPr="00362916" w:rsidRDefault="00362916" w:rsidP="00EA1656">
      <w:pPr>
        <w:pStyle w:val="Bullet1G"/>
        <w:rPr>
          <w:lang w:val="es-MX"/>
        </w:rPr>
      </w:pPr>
      <w:r w:rsidRPr="00362916">
        <w:rPr>
          <w:lang w:val="es-MX"/>
        </w:rPr>
        <w:t xml:space="preserve">En el periodo 2022, el </w:t>
      </w:r>
      <w:proofErr w:type="spellStart"/>
      <w:r w:rsidRPr="00362916">
        <w:rPr>
          <w:lang w:val="es-MX"/>
        </w:rPr>
        <w:t>PNCM</w:t>
      </w:r>
      <w:proofErr w:type="spellEnd"/>
      <w:r w:rsidRPr="00362916">
        <w:rPr>
          <w:lang w:val="es-MX"/>
        </w:rPr>
        <w:t xml:space="preserve"> atendió en el </w:t>
      </w:r>
      <w:proofErr w:type="spellStart"/>
      <w:r w:rsidRPr="00362916">
        <w:rPr>
          <w:lang w:val="es-MX"/>
        </w:rPr>
        <w:t>SCD</w:t>
      </w:r>
      <w:proofErr w:type="spellEnd"/>
      <w:r w:rsidRPr="00362916">
        <w:rPr>
          <w:lang w:val="es-MX"/>
        </w:rPr>
        <w:t xml:space="preserve"> a 59,690 usuarios (29,153 niñas y 30,537 niños) y en el </w:t>
      </w:r>
      <w:proofErr w:type="spellStart"/>
      <w:r w:rsidRPr="00362916">
        <w:rPr>
          <w:lang w:val="es-MX"/>
        </w:rPr>
        <w:t>SAF</w:t>
      </w:r>
      <w:proofErr w:type="spellEnd"/>
      <w:r w:rsidRPr="00362916">
        <w:rPr>
          <w:lang w:val="es-MX"/>
        </w:rPr>
        <w:t xml:space="preserve"> a 115, 837 familias (con 53,021 niñas, 55,159 niños y 8,444 gestantes). Alcanzando un nivel de cobertura de 20.29%</w:t>
      </w:r>
      <w:r w:rsidRPr="00362916">
        <w:rPr>
          <w:vertAlign w:val="superscript"/>
          <w:lang w:val="es-MX"/>
        </w:rPr>
        <w:footnoteReference w:id="101"/>
      </w:r>
      <w:r w:rsidR="00FE2332">
        <w:rPr>
          <w:lang w:val="es-MX"/>
        </w:rPr>
        <w:t>;</w:t>
      </w:r>
    </w:p>
    <w:p w14:paraId="05C0A2A7" w14:textId="0CCE934D" w:rsidR="00362916" w:rsidRPr="00362916" w:rsidRDefault="00362916" w:rsidP="00EA1656">
      <w:pPr>
        <w:pStyle w:val="Bullet1G"/>
        <w:rPr>
          <w:lang w:val="es-MX"/>
        </w:rPr>
      </w:pPr>
      <w:r w:rsidRPr="00362916">
        <w:rPr>
          <w:lang w:val="es-MX"/>
        </w:rPr>
        <w:t xml:space="preserve">En el periodo 2023, el </w:t>
      </w:r>
      <w:proofErr w:type="spellStart"/>
      <w:r w:rsidRPr="00362916">
        <w:rPr>
          <w:lang w:val="es-MX"/>
        </w:rPr>
        <w:t>PNCM</w:t>
      </w:r>
      <w:proofErr w:type="spellEnd"/>
      <w:r w:rsidRPr="00362916">
        <w:rPr>
          <w:lang w:val="es-MX"/>
        </w:rPr>
        <w:t xml:space="preserve"> atendió en el </w:t>
      </w:r>
      <w:proofErr w:type="spellStart"/>
      <w:r w:rsidRPr="00362916">
        <w:rPr>
          <w:lang w:val="es-MX"/>
        </w:rPr>
        <w:t>SCD</w:t>
      </w:r>
      <w:proofErr w:type="spellEnd"/>
      <w:r w:rsidRPr="00362916">
        <w:rPr>
          <w:lang w:val="es-MX"/>
        </w:rPr>
        <w:t xml:space="preserve"> a 60,371 usuarios (29,153 niñas y 30,537 niños) y en el </w:t>
      </w:r>
      <w:proofErr w:type="spellStart"/>
      <w:r w:rsidRPr="00362916">
        <w:rPr>
          <w:lang w:val="es-MX"/>
        </w:rPr>
        <w:t>SAF</w:t>
      </w:r>
      <w:proofErr w:type="spellEnd"/>
      <w:r w:rsidRPr="00362916">
        <w:rPr>
          <w:lang w:val="es-MX"/>
        </w:rPr>
        <w:t xml:space="preserve"> a 115, 916 familias (con 53,912 niñas, 55,700 niños y 7,157 gestantes). Alcanzando un nivel de cobertura de 21.91%</w:t>
      </w:r>
      <w:r w:rsidRPr="00362916">
        <w:rPr>
          <w:vertAlign w:val="superscript"/>
          <w:lang w:val="es-MX"/>
        </w:rPr>
        <w:footnoteReference w:id="102"/>
      </w:r>
      <w:r w:rsidR="00FE2332">
        <w:rPr>
          <w:lang w:val="es-MX"/>
        </w:rPr>
        <w:t>;</w:t>
      </w:r>
    </w:p>
    <w:p w14:paraId="74B8DF87" w14:textId="77777777" w:rsidR="000E14A8" w:rsidRDefault="00362916" w:rsidP="00EA1656">
      <w:pPr>
        <w:pStyle w:val="Bullet1G"/>
        <w:rPr>
          <w:lang w:val="es-MX"/>
        </w:rPr>
      </w:pPr>
      <w:r w:rsidRPr="00362916">
        <w:rPr>
          <w:lang w:val="es-MX"/>
        </w:rPr>
        <w:t xml:space="preserve">En el periodo enero a julio 2024, el </w:t>
      </w:r>
      <w:proofErr w:type="spellStart"/>
      <w:r w:rsidRPr="00362916">
        <w:rPr>
          <w:lang w:val="es-MX"/>
        </w:rPr>
        <w:t>PNCM</w:t>
      </w:r>
      <w:proofErr w:type="spellEnd"/>
      <w:r w:rsidRPr="00362916">
        <w:rPr>
          <w:lang w:val="es-MX"/>
        </w:rPr>
        <w:t xml:space="preserve"> atendió en el </w:t>
      </w:r>
      <w:proofErr w:type="spellStart"/>
      <w:r w:rsidRPr="00362916">
        <w:rPr>
          <w:lang w:val="es-MX"/>
        </w:rPr>
        <w:t>SCD</w:t>
      </w:r>
      <w:proofErr w:type="spellEnd"/>
      <w:r w:rsidRPr="00362916">
        <w:rPr>
          <w:lang w:val="es-MX"/>
        </w:rPr>
        <w:t xml:space="preserve"> a 59,907 usuarios (29,153 niñas y 30,537 niños) y en el </w:t>
      </w:r>
      <w:proofErr w:type="spellStart"/>
      <w:r w:rsidRPr="00362916">
        <w:rPr>
          <w:lang w:val="es-MX"/>
        </w:rPr>
        <w:t>SAF</w:t>
      </w:r>
      <w:proofErr w:type="spellEnd"/>
      <w:r w:rsidRPr="00362916">
        <w:rPr>
          <w:lang w:val="es-MX"/>
        </w:rPr>
        <w:t xml:space="preserve"> a 225, 460 familias (con 101,961 niñas, 104,720 niños y 20,613 gestantes). Alcanzando un nivel de cobertura de 32.77%</w:t>
      </w:r>
      <w:r w:rsidRPr="00362916">
        <w:rPr>
          <w:vertAlign w:val="superscript"/>
          <w:lang w:val="es-MX"/>
        </w:rPr>
        <w:footnoteReference w:id="103"/>
      </w:r>
      <w:r w:rsidRPr="00362916">
        <w:rPr>
          <w:lang w:val="es-MX"/>
        </w:rPr>
        <w:t>.</w:t>
      </w:r>
    </w:p>
    <w:p w14:paraId="61F5247A"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Asimismo, durante la emergencia sanitaria derivada de la pandemia de COVID-19, el </w:t>
      </w:r>
      <w:proofErr w:type="spellStart"/>
      <w:r w:rsidRPr="00362916">
        <w:rPr>
          <w:lang w:val="es-MX"/>
        </w:rPr>
        <w:t>PNCM</w:t>
      </w:r>
      <w:proofErr w:type="spellEnd"/>
      <w:r w:rsidRPr="00362916">
        <w:rPr>
          <w:lang w:val="es-MX"/>
        </w:rPr>
        <w:t xml:space="preserve"> adecuó la prestación de sus servicios, en cumplimiento de las disposiciones para prevenir la propagación del coronavirus, limitando el contacto presencial, por lo que se implementó el Acompañamiento Familiar no presencial, con la finalidad de contribuir con el desarrollo cognitivo, motor, comunicativo y socioemocional de niñas y niños usuarios del Servicio de Acompañamiento a Familias y del Servicio de Cuidado Diurno, a través de las siguientes acciones :</w:t>
      </w:r>
    </w:p>
    <w:p w14:paraId="21140BF9" w14:textId="49D7FFC5" w:rsidR="00362916" w:rsidRPr="00362916" w:rsidRDefault="00362916" w:rsidP="00EA1656">
      <w:pPr>
        <w:pStyle w:val="Bullet1G"/>
        <w:rPr>
          <w:lang w:val="es-MX"/>
        </w:rPr>
      </w:pPr>
      <w:r w:rsidRPr="00362916">
        <w:rPr>
          <w:lang w:val="es-MX"/>
        </w:rPr>
        <w:t>Fortalecer las prácticas de cuidado saludable y aprendizaje, mediante la consejería telefónica y mensajes de textos realizados por los Actores Comunales (Madres Cuidadora, Madre Guía, Guía de Familia y Facilitador/a)</w:t>
      </w:r>
      <w:r w:rsidR="00FE2332">
        <w:rPr>
          <w:lang w:val="es-MX"/>
        </w:rPr>
        <w:t>;</w:t>
      </w:r>
    </w:p>
    <w:p w14:paraId="191C12AC" w14:textId="741F3C5A" w:rsidR="00362916" w:rsidRPr="00362916" w:rsidRDefault="00362916" w:rsidP="00EA1656">
      <w:pPr>
        <w:pStyle w:val="Bullet1G"/>
        <w:rPr>
          <w:lang w:val="es-MX"/>
        </w:rPr>
      </w:pPr>
      <w:r w:rsidRPr="00362916">
        <w:rPr>
          <w:lang w:val="es-MX"/>
        </w:rPr>
        <w:t>Fortalecer los recursos de las familias para promover el bienestar familiar a través del cuidado de la salud mental de las niñas y niños menores de 36 meses, así como para la prevención de la violencia</w:t>
      </w:r>
      <w:r w:rsidR="00FE2332">
        <w:rPr>
          <w:lang w:val="es-MX"/>
        </w:rPr>
        <w:t>;</w:t>
      </w:r>
      <w:r w:rsidRPr="00362916">
        <w:rPr>
          <w:lang w:val="es-MX"/>
        </w:rPr>
        <w:t xml:space="preserve"> </w:t>
      </w:r>
    </w:p>
    <w:p w14:paraId="1C74A8FD" w14:textId="77777777" w:rsidR="000E14A8" w:rsidRDefault="00362916" w:rsidP="00EA1656">
      <w:pPr>
        <w:pStyle w:val="Bullet1G"/>
        <w:rPr>
          <w:lang w:val="es-MX"/>
        </w:rPr>
      </w:pPr>
      <w:r w:rsidRPr="00362916">
        <w:rPr>
          <w:lang w:val="es-MX"/>
        </w:rPr>
        <w:lastRenderedPageBreak/>
        <w:t xml:space="preserve">Realizar el seguimiento: i) al paquete integrado de atención a las gestantes o al paquete integrado de servicios priorizados para niñas y niños según corresponda. </w:t>
      </w:r>
      <w:proofErr w:type="spellStart"/>
      <w:r w:rsidRPr="00362916">
        <w:rPr>
          <w:lang w:val="es-MX"/>
        </w:rPr>
        <w:t>ii</w:t>
      </w:r>
      <w:proofErr w:type="spellEnd"/>
      <w:r w:rsidRPr="00362916">
        <w:rPr>
          <w:lang w:val="es-MX"/>
        </w:rPr>
        <w:t xml:space="preserve">) A las familias usuarias en relación con enfermedades, accidentes en el hogar, afectación por desastres u otros que afecten su salud o integridad. Así como, cuando se presenten casos sospechosos y/o confirmados por COVID-19. </w:t>
      </w:r>
    </w:p>
    <w:p w14:paraId="047550B4"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Asimismo, con la finalidad de generar mejores condiciones para el desarrollo infantil temprano se implementó la entrega de kits de higiene y canastas de alimentos para la preparación en el hogar. </w:t>
      </w:r>
    </w:p>
    <w:p w14:paraId="1B222BCB" w14:textId="77777777" w:rsidR="000E14A8" w:rsidRPr="00FE2332" w:rsidRDefault="00362916" w:rsidP="00EA1656">
      <w:pPr>
        <w:pStyle w:val="H23G"/>
        <w:ind w:left="1080" w:firstLine="0"/>
        <w:rPr>
          <w:sz w:val="24"/>
          <w:szCs w:val="24"/>
          <w:lang w:val="es-MX"/>
        </w:rPr>
      </w:pPr>
      <w:bookmarkStart w:id="35" w:name="_Toc187168804"/>
      <w:r w:rsidRPr="00FE2332">
        <w:rPr>
          <w:sz w:val="24"/>
          <w:szCs w:val="24"/>
          <w:lang w:val="es-MX"/>
        </w:rPr>
        <w:t>Derecho a la salud física y mental (art. 12)</w:t>
      </w:r>
      <w:bookmarkEnd w:id="35"/>
    </w:p>
    <w:p w14:paraId="7AF299BE"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23, en el periodo que se reporta se atendió a un total de 2 126 072 millones de personas que se autoidentifican como pertenecientes a un pueblo indígena, originario o afroperuano a nivel nacional en establecimientos de salud del MINSA</w:t>
      </w:r>
      <w:r w:rsidRPr="00362916">
        <w:rPr>
          <w:vertAlign w:val="superscript"/>
          <w:lang w:val="es-MX"/>
        </w:rPr>
        <w:footnoteReference w:id="104"/>
      </w:r>
      <w:r w:rsidRPr="00362916">
        <w:rPr>
          <w:lang w:val="es-MX"/>
        </w:rPr>
        <w:t>.</w:t>
      </w:r>
    </w:p>
    <w:p w14:paraId="7394C0B2"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el marco de la “Directiva administrativa para la adecuación de los servicios de salud con pertinencia cultural en el primer nivel de atención”</w:t>
      </w:r>
      <w:r w:rsidRPr="00362916">
        <w:rPr>
          <w:vertAlign w:val="superscript"/>
          <w:lang w:val="es-MX"/>
        </w:rPr>
        <w:footnoteReference w:id="105"/>
      </w:r>
      <w:r w:rsidRPr="00362916">
        <w:rPr>
          <w:lang w:val="es-MX"/>
        </w:rPr>
        <w:t>, entre diciembre de 2021 y agosto de 2024, un total de sesenta y cinco (65) establecimientos de salud de trece (13) departamentos a nivel nacional cumplen con la implementación del enfoque intercultural en sus atenciones, siendo el departamento de San Martín el que cuenta con mayor número de establecimientos (23%) con la calificación de “pertinencia cultural”</w:t>
      </w:r>
      <w:r w:rsidRPr="00362916">
        <w:rPr>
          <w:vertAlign w:val="superscript"/>
          <w:lang w:val="es-MX"/>
        </w:rPr>
        <w:footnoteReference w:id="106"/>
      </w:r>
      <w:r w:rsidRPr="00362916">
        <w:rPr>
          <w:lang w:val="es-MX"/>
        </w:rPr>
        <w:t>. La aplicación de dicho enfoque ha beneficiado a 190 675 personas pertenecientes a las etnias shipibo-</w:t>
      </w:r>
      <w:proofErr w:type="spellStart"/>
      <w:r w:rsidRPr="00362916">
        <w:rPr>
          <w:lang w:val="es-MX"/>
        </w:rPr>
        <w:t>konibo</w:t>
      </w:r>
      <w:proofErr w:type="spellEnd"/>
      <w:r w:rsidRPr="00362916">
        <w:rPr>
          <w:lang w:val="es-MX"/>
        </w:rPr>
        <w:t xml:space="preserve">, </w:t>
      </w:r>
      <w:proofErr w:type="spellStart"/>
      <w:r w:rsidRPr="00362916">
        <w:rPr>
          <w:lang w:val="es-MX"/>
        </w:rPr>
        <w:t>matsigenka</w:t>
      </w:r>
      <w:proofErr w:type="spellEnd"/>
      <w:r w:rsidRPr="00362916">
        <w:rPr>
          <w:lang w:val="es-MX"/>
        </w:rPr>
        <w:t xml:space="preserve">, </w:t>
      </w:r>
      <w:proofErr w:type="spellStart"/>
      <w:r w:rsidRPr="00362916">
        <w:rPr>
          <w:lang w:val="es-MX"/>
        </w:rPr>
        <w:t>awajún</w:t>
      </w:r>
      <w:proofErr w:type="spellEnd"/>
      <w:r w:rsidRPr="00362916">
        <w:rPr>
          <w:lang w:val="es-MX"/>
        </w:rPr>
        <w:t xml:space="preserve">, </w:t>
      </w:r>
      <w:proofErr w:type="spellStart"/>
      <w:r w:rsidRPr="00362916">
        <w:rPr>
          <w:lang w:val="es-MX"/>
        </w:rPr>
        <w:t>wampis</w:t>
      </w:r>
      <w:proofErr w:type="spellEnd"/>
      <w:r w:rsidRPr="00362916">
        <w:rPr>
          <w:lang w:val="es-MX"/>
        </w:rPr>
        <w:t xml:space="preserve">, quechua, </w:t>
      </w:r>
      <w:proofErr w:type="spellStart"/>
      <w:r w:rsidRPr="00362916">
        <w:rPr>
          <w:lang w:val="es-MX"/>
        </w:rPr>
        <w:t>kichwa</w:t>
      </w:r>
      <w:proofErr w:type="spellEnd"/>
      <w:r w:rsidRPr="00362916">
        <w:rPr>
          <w:lang w:val="es-MX"/>
        </w:rPr>
        <w:t xml:space="preserve">, </w:t>
      </w:r>
      <w:proofErr w:type="spellStart"/>
      <w:r w:rsidRPr="00362916">
        <w:rPr>
          <w:lang w:val="es-MX"/>
        </w:rPr>
        <w:t>kukama</w:t>
      </w:r>
      <w:proofErr w:type="spellEnd"/>
      <w:r w:rsidRPr="00362916">
        <w:rPr>
          <w:lang w:val="es-MX"/>
        </w:rPr>
        <w:t xml:space="preserve">, afroperuanos, </w:t>
      </w:r>
      <w:proofErr w:type="spellStart"/>
      <w:r w:rsidRPr="00362916">
        <w:rPr>
          <w:lang w:val="es-MX"/>
        </w:rPr>
        <w:t>aymawa</w:t>
      </w:r>
      <w:proofErr w:type="spellEnd"/>
      <w:r w:rsidRPr="00362916">
        <w:rPr>
          <w:lang w:val="es-MX"/>
        </w:rPr>
        <w:t xml:space="preserve">, </w:t>
      </w:r>
      <w:proofErr w:type="spellStart"/>
      <w:r w:rsidRPr="00362916">
        <w:rPr>
          <w:lang w:val="es-MX"/>
        </w:rPr>
        <w:t>asháninka</w:t>
      </w:r>
      <w:proofErr w:type="spellEnd"/>
      <w:r w:rsidRPr="00362916">
        <w:rPr>
          <w:lang w:val="es-MX"/>
        </w:rPr>
        <w:t xml:space="preserve">, </w:t>
      </w:r>
      <w:proofErr w:type="spellStart"/>
      <w:r w:rsidRPr="00362916">
        <w:rPr>
          <w:lang w:val="es-MX"/>
        </w:rPr>
        <w:t>asheninka</w:t>
      </w:r>
      <w:proofErr w:type="spellEnd"/>
      <w:r w:rsidRPr="00362916">
        <w:rPr>
          <w:lang w:val="es-MX"/>
        </w:rPr>
        <w:t xml:space="preserve">, </w:t>
      </w:r>
      <w:proofErr w:type="spellStart"/>
      <w:r w:rsidRPr="00362916">
        <w:rPr>
          <w:lang w:val="es-MX"/>
        </w:rPr>
        <w:t>yine</w:t>
      </w:r>
      <w:proofErr w:type="spellEnd"/>
      <w:r w:rsidRPr="00362916">
        <w:rPr>
          <w:lang w:val="es-MX"/>
        </w:rPr>
        <w:t xml:space="preserve">, </w:t>
      </w:r>
      <w:proofErr w:type="spellStart"/>
      <w:r w:rsidRPr="00362916">
        <w:rPr>
          <w:lang w:val="es-MX"/>
        </w:rPr>
        <w:t>katacataibo</w:t>
      </w:r>
      <w:proofErr w:type="spellEnd"/>
      <w:r w:rsidRPr="00362916">
        <w:rPr>
          <w:lang w:val="es-MX"/>
        </w:rPr>
        <w:t>, shipibo, ese eje y aimara</w:t>
      </w:r>
      <w:r w:rsidRPr="00362916">
        <w:rPr>
          <w:vertAlign w:val="superscript"/>
          <w:lang w:val="es-MX"/>
        </w:rPr>
        <w:footnoteReference w:id="107"/>
      </w:r>
      <w:r w:rsidRPr="00362916">
        <w:rPr>
          <w:lang w:val="es-MX"/>
        </w:rPr>
        <w:t xml:space="preserve">. </w:t>
      </w:r>
    </w:p>
    <w:p w14:paraId="645169B2"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Cabe añadir que entre 2022 y 2024 se han desarrollado 44 </w:t>
      </w:r>
      <w:proofErr w:type="spellStart"/>
      <w:r w:rsidRPr="00362916">
        <w:rPr>
          <w:lang w:val="es-MX"/>
        </w:rPr>
        <w:t>telecapacitaciones</w:t>
      </w:r>
      <w:proofErr w:type="spellEnd"/>
      <w:r w:rsidRPr="00362916">
        <w:rPr>
          <w:lang w:val="es-MX"/>
        </w:rPr>
        <w:t xml:space="preserve"> en atención integral con pertinencia cultural dirigidas a personal de salud que atienden pueblos indígenas u originarios y población afroperuana. Las </w:t>
      </w:r>
      <w:proofErr w:type="spellStart"/>
      <w:r w:rsidRPr="00362916">
        <w:rPr>
          <w:lang w:val="es-MX"/>
        </w:rPr>
        <w:t>telecapacitaciones</w:t>
      </w:r>
      <w:proofErr w:type="spellEnd"/>
      <w:r w:rsidRPr="00362916">
        <w:rPr>
          <w:lang w:val="es-MX"/>
        </w:rPr>
        <w:t xml:space="preserve"> referidas han alcanzado a un total de 16 125 profesionales de salud a nivel nacional</w:t>
      </w:r>
      <w:r w:rsidRPr="00362916">
        <w:rPr>
          <w:vertAlign w:val="superscript"/>
          <w:lang w:val="es-MX"/>
        </w:rPr>
        <w:footnoteReference w:id="108"/>
      </w:r>
      <w:r w:rsidRPr="00362916">
        <w:rPr>
          <w:lang w:val="es-MX"/>
        </w:rPr>
        <w:t>.</w:t>
      </w:r>
    </w:p>
    <w:p w14:paraId="594C50C5"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Además, en el periodo 2022-2024, se viene implementando el “Plan de Salud Integral Intercultural y Monitoreo de Exposición a Metales Pesados e Hidrocarburos en las cuencas de los ríos Pastaza, Corrientes, Tigre, Marañón y Chambira 2022-2026”</w:t>
      </w:r>
      <w:r w:rsidRPr="00362916">
        <w:rPr>
          <w:vertAlign w:val="superscript"/>
          <w:lang w:val="es-MX"/>
        </w:rPr>
        <w:footnoteReference w:id="109"/>
      </w:r>
      <w:r w:rsidRPr="00362916">
        <w:rPr>
          <w:lang w:val="es-MX"/>
        </w:rPr>
        <w:t xml:space="preserve">, para mejorar la salud y calidad de vida de las personas que habitan alrededor de las zonas priorizadas. A través de las brigadas itinerantes de salud, las cuales cuentan con participación del personal del MINSA, SIS, RENIEC y Programas Sociales del </w:t>
      </w:r>
      <w:proofErr w:type="spellStart"/>
      <w:r w:rsidRPr="00362916">
        <w:rPr>
          <w:lang w:val="es-MX"/>
        </w:rPr>
        <w:t>MIDIS</w:t>
      </w:r>
      <w:proofErr w:type="spellEnd"/>
      <w:r w:rsidRPr="00362916">
        <w:rPr>
          <w:lang w:val="es-MX"/>
        </w:rPr>
        <w:t>, entre 2022 y 2024, se ha visitado 1 272 comunidades nativas en las cuales se ha atendido a 120 056 personas</w:t>
      </w:r>
      <w:r w:rsidRPr="00362916">
        <w:rPr>
          <w:vertAlign w:val="superscript"/>
          <w:lang w:val="es-MX"/>
        </w:rPr>
        <w:footnoteReference w:id="110"/>
      </w:r>
      <w:r w:rsidRPr="00362916">
        <w:rPr>
          <w:lang w:val="es-MX"/>
        </w:rPr>
        <w:t>.</w:t>
      </w:r>
    </w:p>
    <w:p w14:paraId="0B37F185"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2022, se implementó el “Plan de Intervenciones Sanitarias para la Prevención y Mitigación de la Covid-19 en población indígena para el 2022”</w:t>
      </w:r>
      <w:r w:rsidRPr="00362916">
        <w:rPr>
          <w:vertAlign w:val="superscript"/>
          <w:lang w:val="es-MX"/>
        </w:rPr>
        <w:footnoteReference w:id="111"/>
      </w:r>
      <w:r w:rsidRPr="00362916">
        <w:rPr>
          <w:lang w:val="es-MX"/>
        </w:rPr>
        <w:t>, mediante el que se financió el traslado de 150 brigadas de vacunación y atención integral a 1 500 comunidades nativas pertenecientes a las regiones de Amazonas, Loreto, Ucayali, Junín, Cajamarca, Cusco, Huánuco, Pasco, Madre de Dios, San Martín y Ayacucho. Asimismo, se desarrollaron campañas de salud en coordinación con el Programa Plataformas Itinerantes de Acción Social (</w:t>
      </w:r>
      <w:proofErr w:type="spellStart"/>
      <w:r w:rsidRPr="00362916">
        <w:rPr>
          <w:lang w:val="es-MX"/>
        </w:rPr>
        <w:t>PIAS</w:t>
      </w:r>
      <w:proofErr w:type="spellEnd"/>
      <w:r w:rsidRPr="00362916">
        <w:rPr>
          <w:lang w:val="es-MX"/>
        </w:rPr>
        <w:t>) y las Direcciones Regionales de Salud de Loreto, Ucayali y Puno, a través de las que se logró vacunar a 7 314 personas contra la Covid-19.</w:t>
      </w:r>
    </w:p>
    <w:p w14:paraId="4A305137"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2024, se viene implementando el Plan de Salud Integral y el Fortalecimiento de Servicios de Salud con Enfoque Intercultural en Ámbito de los Pueblos Indígenas u Originarios para el 2024</w:t>
      </w:r>
      <w:r w:rsidRPr="00362916">
        <w:rPr>
          <w:vertAlign w:val="superscript"/>
          <w:lang w:val="es-MX"/>
        </w:rPr>
        <w:footnoteReference w:id="112"/>
      </w:r>
      <w:r w:rsidRPr="00362916">
        <w:rPr>
          <w:lang w:val="es-MX"/>
        </w:rPr>
        <w:t xml:space="preserve">, en el marco del cual las brigadas itinerantes de salud han visitado más de 370 comunidades indígenas, logrando un total de 86 000 atenciones en las 11 regiones </w:t>
      </w:r>
      <w:r w:rsidRPr="00362916">
        <w:rPr>
          <w:lang w:val="es-MX"/>
        </w:rPr>
        <w:lastRenderedPageBreak/>
        <w:t>priorizadas (Amazonas, Ayacucho, Cajamarca, Cusco, Huánuco, Junín, Loreto, Madre de Dios, Pasco, San Martín y Ucayali)</w:t>
      </w:r>
      <w:r w:rsidRPr="00362916">
        <w:rPr>
          <w:vertAlign w:val="superscript"/>
          <w:lang w:val="es-MX"/>
        </w:rPr>
        <w:footnoteReference w:id="113"/>
      </w:r>
      <w:r w:rsidRPr="00362916">
        <w:rPr>
          <w:lang w:val="es-MX"/>
        </w:rPr>
        <w:t>. También se ha implementado el programa “Alas Esperanza XI-2024”, iniciativa del MINSA y la Fuerza Aérea, en los departamentos de Ayacucho, Cajamarca y Ucayali; las campañas de salud llevadas a cabo en este marco alcanzaron a 8 726 personas</w:t>
      </w:r>
      <w:r w:rsidRPr="00362916">
        <w:rPr>
          <w:vertAlign w:val="superscript"/>
          <w:lang w:val="es-MX"/>
        </w:rPr>
        <w:footnoteReference w:id="114"/>
      </w:r>
      <w:r w:rsidRPr="00362916">
        <w:rPr>
          <w:lang w:val="es-MX"/>
        </w:rPr>
        <w:t>.</w:t>
      </w:r>
    </w:p>
    <w:p w14:paraId="6C9F1E47"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24, el Estado peruano dispuso desde el inicio del proceso de vacunación contra la Covid-19 que este sería “universal, gratuito y progresivo”, por lo que su implementación se realizó al amparo del principio de igualdad y no discriminación a nivel nacional</w:t>
      </w:r>
      <w:r w:rsidRPr="00362916">
        <w:rPr>
          <w:vertAlign w:val="superscript"/>
          <w:lang w:val="es-MX"/>
        </w:rPr>
        <w:footnoteReference w:id="115"/>
      </w:r>
      <w:r w:rsidRPr="00362916">
        <w:rPr>
          <w:lang w:val="es-MX"/>
        </w:rPr>
        <w:t>. Actualmente, se encuentra vigente la “Norma Técnica de Salud que establece la vacunación contra la Covid-19”, aprobada en 2023</w:t>
      </w:r>
      <w:r w:rsidRPr="00362916">
        <w:rPr>
          <w:vertAlign w:val="superscript"/>
          <w:lang w:val="es-MX"/>
        </w:rPr>
        <w:footnoteReference w:id="116"/>
      </w:r>
      <w:r w:rsidRPr="00362916">
        <w:rPr>
          <w:lang w:val="es-MX"/>
        </w:rPr>
        <w:t xml:space="preserve"> y actualizada en 2024</w:t>
      </w:r>
      <w:r w:rsidRPr="00362916">
        <w:rPr>
          <w:vertAlign w:val="superscript"/>
          <w:lang w:val="es-MX"/>
        </w:rPr>
        <w:footnoteReference w:id="117"/>
      </w:r>
      <w:r w:rsidRPr="00362916">
        <w:rPr>
          <w:lang w:val="es-MX"/>
        </w:rPr>
        <w:t>, la cual determina las disposiciones aplicables para las actividades de vacunación segura, voluntaria y gratuita contra la Covid-19. Entre diciembre de 2021 y agosto de 2024, se reportó que se aplicaron 41 350 365 dosis de vacunas contra la Covid-19, de las cuales el 88,6% fueron aplicadas a adultos y el 11,3% de niños niñas y adolescentes (</w:t>
      </w:r>
      <w:proofErr w:type="spellStart"/>
      <w:r w:rsidRPr="00362916">
        <w:rPr>
          <w:lang w:val="es-MX"/>
        </w:rPr>
        <w:t>NNA</w:t>
      </w:r>
      <w:proofErr w:type="spellEnd"/>
      <w:r w:rsidRPr="00362916">
        <w:rPr>
          <w:lang w:val="es-MX"/>
        </w:rPr>
        <w:t>)</w:t>
      </w:r>
      <w:r w:rsidRPr="00362916">
        <w:rPr>
          <w:vertAlign w:val="superscript"/>
          <w:lang w:val="es-MX"/>
        </w:rPr>
        <w:footnoteReference w:id="118"/>
      </w:r>
      <w:r w:rsidRPr="00362916">
        <w:rPr>
          <w:lang w:val="es-MX"/>
        </w:rPr>
        <w:t>.</w:t>
      </w:r>
    </w:p>
    <w:p w14:paraId="174AB13F"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Asimismo, a efecto de garantizar la disponibilidad de pruebas de Covid-19, el MINSA ha reportado que, a agosto de 2024, se contaba con un stock de 82 277 a nivel nacional, de las cuales el 78% se encontraba en farmacias y el 22% en almacenes de reserva. Sobre la disponibilidad de vacunas contra la Covid-19, el Centro Nacional de Abastecimiento de Recursos en Salud cuenta con un stock de 11 000 vacunas, de las que el 43% son Pfizer y 57% son Moderna</w:t>
      </w:r>
      <w:r w:rsidRPr="00362916">
        <w:rPr>
          <w:vertAlign w:val="superscript"/>
          <w:lang w:val="es-MX"/>
        </w:rPr>
        <w:footnoteReference w:id="119"/>
      </w:r>
      <w:r w:rsidRPr="00362916">
        <w:rPr>
          <w:lang w:val="es-MX"/>
        </w:rPr>
        <w:t>.</w:t>
      </w:r>
    </w:p>
    <w:p w14:paraId="50D41F37"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Respecto de la promoción de la difusión de información verídica sobre la pandemia de Covid-19, el MINSA ha implementado espacios informativos en su plataforma web en la que se brindan recursos sobre prevención</w:t>
      </w:r>
      <w:r w:rsidRPr="00362916">
        <w:rPr>
          <w:vertAlign w:val="superscript"/>
          <w:lang w:val="es-MX"/>
        </w:rPr>
        <w:footnoteReference w:id="120"/>
      </w:r>
      <w:r w:rsidRPr="00362916">
        <w:rPr>
          <w:lang w:val="es-MX"/>
        </w:rPr>
        <w:t xml:space="preserve"> y las vacunas contra la Covid-19</w:t>
      </w:r>
      <w:r w:rsidRPr="00362916">
        <w:rPr>
          <w:vertAlign w:val="superscript"/>
          <w:lang w:val="es-MX"/>
        </w:rPr>
        <w:footnoteReference w:id="121"/>
      </w:r>
      <w:r w:rsidRPr="00362916">
        <w:rPr>
          <w:lang w:val="es-MX"/>
        </w:rPr>
        <w:t>. Además, a través del Centro Nacional de Epidemiología de Prevención y Control de Enfermedades, se ha implementado la “Sala Epidemiológica Covid-19”</w:t>
      </w:r>
      <w:r w:rsidRPr="00362916">
        <w:rPr>
          <w:vertAlign w:val="superscript"/>
          <w:lang w:val="es-MX"/>
        </w:rPr>
        <w:footnoteReference w:id="122"/>
      </w:r>
      <w:r w:rsidRPr="00362916">
        <w:rPr>
          <w:lang w:val="es-MX"/>
        </w:rPr>
        <w:t xml:space="preserve"> que brinda actualizaciones semanales sobre el número de casos confirmados, defunciones y hospitalizaciones por Covid-19 en el país, y mantiene un registro histórico sobre las variaciones de la incidencia de la pandemia en el Perú.</w:t>
      </w:r>
    </w:p>
    <w:p w14:paraId="277349C2"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25, sobre el tratamiento y la vacunación contra la viruela símica en el Perú, en 2022, el MINSA aprobó dos instrumentos técnicos en la materia: i) la “Norma Técnica de Salud para la prevención y manejo de pacientes afectados por viruela del mono (viruela símica – </w:t>
      </w:r>
      <w:proofErr w:type="spellStart"/>
      <w:r w:rsidRPr="00362916">
        <w:rPr>
          <w:lang w:val="es-MX"/>
        </w:rPr>
        <w:t>Monkeypox</w:t>
      </w:r>
      <w:proofErr w:type="spellEnd"/>
      <w:r w:rsidRPr="00362916">
        <w:rPr>
          <w:lang w:val="es-MX"/>
        </w:rPr>
        <w:t>)”</w:t>
      </w:r>
      <w:r w:rsidRPr="00362916">
        <w:rPr>
          <w:vertAlign w:val="superscript"/>
          <w:lang w:val="es-MX"/>
        </w:rPr>
        <w:footnoteReference w:id="123"/>
      </w:r>
      <w:r w:rsidRPr="00362916">
        <w:rPr>
          <w:lang w:val="es-MX"/>
        </w:rPr>
        <w:t xml:space="preserve">, y </w:t>
      </w:r>
      <w:proofErr w:type="spellStart"/>
      <w:r w:rsidRPr="00362916">
        <w:rPr>
          <w:lang w:val="es-MX"/>
        </w:rPr>
        <w:t>ii</w:t>
      </w:r>
      <w:proofErr w:type="spellEnd"/>
      <w:r w:rsidRPr="00362916">
        <w:rPr>
          <w:lang w:val="es-MX"/>
        </w:rPr>
        <w:t xml:space="preserve">) la “Norma Técnica de Salud que establece la vacunación contra el virus de la viruela del mono (viruela símica – </w:t>
      </w:r>
      <w:proofErr w:type="spellStart"/>
      <w:r w:rsidRPr="00362916">
        <w:rPr>
          <w:lang w:val="es-MX"/>
        </w:rPr>
        <w:t>Monkeypox</w:t>
      </w:r>
      <w:proofErr w:type="spellEnd"/>
      <w:r w:rsidRPr="00362916">
        <w:rPr>
          <w:lang w:val="es-MX"/>
        </w:rPr>
        <w:t>)”.</w:t>
      </w:r>
    </w:p>
    <w:p w14:paraId="07704DD6"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el marco de dichas medidas, el MINSA reportó que, durante 2024, se han ejecutado 9 capacitaciones virtuales que han tenido por objetivo brindar actualizaciones al personal de salud sobre las acciones de prevención y manejo de casos de viruela símica. A través de estas actividades, se ha alcanzado a 3 072 personas. Además, a través de las 81 brigadas móviles </w:t>
      </w:r>
      <w:r w:rsidRPr="00362916">
        <w:rPr>
          <w:lang w:val="es-MX"/>
        </w:rPr>
        <w:lastRenderedPageBreak/>
        <w:t>urbanas de la Dirección de Prevención y Control de VIH/SIDA, Enfermedades de Transmisión Sexual y Hepatitis, se han ejecutado acciones preventivas entre la población</w:t>
      </w:r>
      <w:r w:rsidRPr="00362916">
        <w:rPr>
          <w:vertAlign w:val="superscript"/>
          <w:lang w:val="es-MX"/>
        </w:rPr>
        <w:footnoteReference w:id="124"/>
      </w:r>
      <w:r w:rsidRPr="00362916">
        <w:rPr>
          <w:lang w:val="es-MX"/>
        </w:rPr>
        <w:t>.</w:t>
      </w:r>
    </w:p>
    <w:p w14:paraId="44EBF9F3"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Sobre los avances en la aplicación de la vacuna, se ha priorizado la aplicación de esta en grupos especialmente vulnerables al contagio, como las personas que viven con VIH, hombres homosexuales, mujeres trans, y trabajadoras sexuales. Desde el inicio del proceso de vacunación en noviembre de 2022 a agosto de 2024, se han aplicado 13 863 dosis de la vacuna en la población objetivo</w:t>
      </w:r>
      <w:r w:rsidRPr="00362916">
        <w:rPr>
          <w:vertAlign w:val="superscript"/>
          <w:lang w:val="es-MX"/>
        </w:rPr>
        <w:footnoteReference w:id="125"/>
      </w:r>
      <w:r w:rsidRPr="00362916">
        <w:rPr>
          <w:lang w:val="es-MX"/>
        </w:rPr>
        <w:t>.</w:t>
      </w:r>
    </w:p>
    <w:p w14:paraId="0371A039"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26.a</w:t>
      </w:r>
      <w:proofErr w:type="spellEnd"/>
      <w:r w:rsidRPr="00362916">
        <w:rPr>
          <w:lang w:val="es-MX"/>
        </w:rPr>
        <w:t>), entre 2021 y agosto de 2024, se han implementado 91 Centros de Salud Mental Comunitaria (</w:t>
      </w:r>
      <w:proofErr w:type="spellStart"/>
      <w:r w:rsidRPr="00362916">
        <w:rPr>
          <w:lang w:val="es-MX"/>
        </w:rPr>
        <w:t>CSMC</w:t>
      </w:r>
      <w:proofErr w:type="spellEnd"/>
      <w:r w:rsidRPr="00362916">
        <w:rPr>
          <w:lang w:val="es-MX"/>
        </w:rPr>
        <w:t>), así como la implementación y funcionamiento de 52 Unidades de Hospitalización en Servicios de Salud Mental (</w:t>
      </w:r>
      <w:proofErr w:type="spellStart"/>
      <w:r w:rsidRPr="00362916">
        <w:rPr>
          <w:lang w:val="es-MX"/>
        </w:rPr>
        <w:t>UHSSM</w:t>
      </w:r>
      <w:proofErr w:type="spellEnd"/>
      <w:r w:rsidRPr="00362916">
        <w:rPr>
          <w:lang w:val="es-MX"/>
        </w:rPr>
        <w:t>) a nivel nacional. Además, entre 2022 y 2023 se reportó la creación 38 nuevos Hogares Protegidos (HP)</w:t>
      </w:r>
      <w:r w:rsidRPr="00362916">
        <w:rPr>
          <w:vertAlign w:val="superscript"/>
          <w:lang w:val="es-MX"/>
        </w:rPr>
        <w:footnoteReference w:id="126"/>
      </w:r>
      <w:r w:rsidRPr="00362916">
        <w:rPr>
          <w:lang w:val="es-MX"/>
        </w:rPr>
        <w:t xml:space="preserve">. </w:t>
      </w:r>
    </w:p>
    <w:p w14:paraId="2194AAC0"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El incremento de los servicios dirigidos al cuidado de la salud mental de la población en los últimos años se debe al aumento del presupuesto transferido a regiones, para la implementación de acciones de cuidado de la salud mental y bienestar emocional de personas afectadas directa o indirectamente por la Covid-19 en 2022</w:t>
      </w:r>
      <w:r w:rsidRPr="00362916">
        <w:rPr>
          <w:vertAlign w:val="superscript"/>
          <w:lang w:val="es-MX"/>
        </w:rPr>
        <w:footnoteReference w:id="127"/>
      </w:r>
      <w:r w:rsidRPr="00362916">
        <w:rPr>
          <w:lang w:val="es-MX"/>
        </w:rPr>
        <w:t>, y para la atención de las necesidades y demandas en salud mental de la población afectada por desastres naturales en 2023</w:t>
      </w:r>
      <w:r w:rsidRPr="00362916">
        <w:rPr>
          <w:vertAlign w:val="superscript"/>
          <w:lang w:val="es-MX"/>
        </w:rPr>
        <w:footnoteReference w:id="128"/>
      </w:r>
      <w:r w:rsidRPr="00362916">
        <w:rPr>
          <w:lang w:val="es-MX"/>
        </w:rPr>
        <w:t xml:space="preserve">. Para el año 2024, también se ha previsto presupuesto específico dirigido a la creación de 10 nuevos </w:t>
      </w:r>
      <w:proofErr w:type="spellStart"/>
      <w:r w:rsidRPr="00362916">
        <w:rPr>
          <w:lang w:val="es-MX"/>
        </w:rPr>
        <w:t>CSMC</w:t>
      </w:r>
      <w:proofErr w:type="spellEnd"/>
      <w:r w:rsidRPr="00362916">
        <w:rPr>
          <w:lang w:val="es-MX"/>
        </w:rPr>
        <w:t xml:space="preserve"> en Lima Metropolitana, así como el incremento de la oferta de servicios de salud mental comunitaria en las regiones de Áncash, Cusco, Ica, Junín, La Libertad y Loreto</w:t>
      </w:r>
      <w:r w:rsidRPr="00362916">
        <w:rPr>
          <w:vertAlign w:val="superscript"/>
          <w:lang w:val="es-MX"/>
        </w:rPr>
        <w:footnoteReference w:id="129"/>
      </w:r>
      <w:r w:rsidRPr="00362916">
        <w:rPr>
          <w:lang w:val="es-MX"/>
        </w:rPr>
        <w:t>.</w:t>
      </w:r>
    </w:p>
    <w:p w14:paraId="60330939"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También se destaca que, en el marco de la implementación de los “Lineamientos de Política Sectorial en Salud Mental”</w:t>
      </w:r>
      <w:r w:rsidRPr="00362916">
        <w:rPr>
          <w:vertAlign w:val="superscript"/>
          <w:lang w:val="es-MX"/>
        </w:rPr>
        <w:footnoteReference w:id="130"/>
      </w:r>
      <w:r w:rsidRPr="00362916">
        <w:rPr>
          <w:lang w:val="es-MX"/>
        </w:rPr>
        <w:t>, se aprobó en 2023 la “Guía técnica para el cuidado integral de la salud mental de niñas, niños y adolescentes víctimas de violencia sexual”</w:t>
      </w:r>
      <w:r w:rsidRPr="00362916">
        <w:rPr>
          <w:vertAlign w:val="superscript"/>
          <w:lang w:val="es-MX"/>
        </w:rPr>
        <w:footnoteReference w:id="131"/>
      </w:r>
      <w:r w:rsidRPr="00362916">
        <w:rPr>
          <w:lang w:val="es-MX"/>
        </w:rPr>
        <w:t>.</w:t>
      </w:r>
    </w:p>
    <w:p w14:paraId="7A5BC6C5"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27, actualmente se estima que en Perú existen 110 000 personas que viven con VIH. La composición de la población afectada por el virus y su incidencia por región varía, pero ha identificado que el 58% de los casos reportados corresponden a las regiones de Lima y Callao. </w:t>
      </w:r>
    </w:p>
    <w:p w14:paraId="21BEDCEF"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A nivel preventivo y de detección de casos, a junio de 2024 el MINSA había realizado 61 915 tamizajes en poblaciones consideradas clave o vulnerables a adquirir la infección (el 62.7% de los tamizajes se aplicaron en hombres homosexuales, el 4.7% en mujeres trans; y el 32.5% en personas que ejercen el trabajo sexual).</w:t>
      </w:r>
    </w:p>
    <w:p w14:paraId="2D24B10E"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De acuerdo con lo reportado por el MINSA, en el marco de la aplicación de la “Norma Técnica de Salud de Atención Integral del adulto con infección por el virus de la inmunodeficiencia humana (VIH)”</w:t>
      </w:r>
      <w:r w:rsidRPr="00362916">
        <w:rPr>
          <w:vertAlign w:val="superscript"/>
          <w:lang w:val="es-MX"/>
        </w:rPr>
        <w:footnoteReference w:id="132"/>
      </w:r>
      <w:r w:rsidRPr="00362916">
        <w:rPr>
          <w:lang w:val="es-MX"/>
        </w:rPr>
        <w:t>, un total de 101 800 personas que viven con VIH reciben tratamiento antirretroviral, lo que representa una cobertura en aproximadamente el 93% de la población objetivo</w:t>
      </w:r>
      <w:r w:rsidRPr="00362916">
        <w:rPr>
          <w:vertAlign w:val="superscript"/>
          <w:lang w:val="es-MX"/>
        </w:rPr>
        <w:footnoteReference w:id="133"/>
      </w:r>
      <w:r w:rsidRPr="00362916">
        <w:rPr>
          <w:lang w:val="es-MX"/>
        </w:rPr>
        <w:t xml:space="preserve">. </w:t>
      </w:r>
    </w:p>
    <w:p w14:paraId="0841F04B"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28, el </w:t>
      </w:r>
      <w:proofErr w:type="spellStart"/>
      <w:r w:rsidRPr="00362916">
        <w:rPr>
          <w:lang w:val="es-MX"/>
        </w:rPr>
        <w:t>MIMP</w:t>
      </w:r>
      <w:proofErr w:type="spellEnd"/>
      <w:r w:rsidRPr="00362916">
        <w:rPr>
          <w:lang w:val="es-MX"/>
        </w:rPr>
        <w:t>, a través de la Dirección General de Igualdad de Género y No Discriminación (</w:t>
      </w:r>
      <w:proofErr w:type="spellStart"/>
      <w:r w:rsidRPr="00362916">
        <w:rPr>
          <w:lang w:val="es-MX"/>
        </w:rPr>
        <w:t>DGIGND</w:t>
      </w:r>
      <w:proofErr w:type="spellEnd"/>
      <w:r w:rsidRPr="00362916">
        <w:rPr>
          <w:lang w:val="es-MX"/>
        </w:rPr>
        <w:t xml:space="preserve">) realiza el seguimiento de los servicios priorizados a para prevenir y sancionar la violencia obstétrica en el marco del </w:t>
      </w:r>
      <w:proofErr w:type="spellStart"/>
      <w:r w:rsidRPr="00362916">
        <w:rPr>
          <w:lang w:val="es-MX"/>
        </w:rPr>
        <w:t>PNIG</w:t>
      </w:r>
      <w:proofErr w:type="spellEnd"/>
      <w:r w:rsidRPr="00362916">
        <w:rPr>
          <w:lang w:val="es-MX"/>
        </w:rPr>
        <w:t>, para el período que se reporta tenemos:</w:t>
      </w:r>
    </w:p>
    <w:p w14:paraId="5DDD84E8" w14:textId="4F36FC49" w:rsidR="000E14A8" w:rsidRDefault="00362916" w:rsidP="0063452F">
      <w:pPr>
        <w:pStyle w:val="Bullet1G"/>
        <w:rPr>
          <w:lang w:val="es-MX"/>
        </w:rPr>
      </w:pPr>
      <w:r w:rsidRPr="00362916">
        <w:rPr>
          <w:lang w:val="es-MX"/>
        </w:rPr>
        <w:lastRenderedPageBreak/>
        <w:t>El MINSA ya cuenta con un marco normativo que regula la prestación de los servicios para la salud sexual y reproductiva</w:t>
      </w:r>
      <w:r w:rsidRPr="00362916">
        <w:rPr>
          <w:vertAlign w:val="superscript"/>
          <w:lang w:val="es-MX"/>
        </w:rPr>
        <w:footnoteReference w:id="134"/>
      </w:r>
      <w:r w:rsidRPr="00362916">
        <w:rPr>
          <w:lang w:val="es-MX"/>
        </w:rPr>
        <w:t xml:space="preserve">, cuenta con un marco normativo sobre la materia: la Constitución Política del Perú, la Ley </w:t>
      </w:r>
      <w:proofErr w:type="spellStart"/>
      <w:r w:rsidRPr="00362916">
        <w:rPr>
          <w:lang w:val="es-MX"/>
        </w:rPr>
        <w:t>Nº30364</w:t>
      </w:r>
      <w:proofErr w:type="spellEnd"/>
      <w:r w:rsidRPr="00362916">
        <w:rPr>
          <w:lang w:val="es-MX"/>
        </w:rPr>
        <w:t xml:space="preserve">, ley para prevenir, sancionar y erradicar la violencia contra las mujeres y los integrantes del grupo familiar y su reglamento, la Ley </w:t>
      </w:r>
      <w:proofErr w:type="spellStart"/>
      <w:r w:rsidRPr="00362916">
        <w:rPr>
          <w:lang w:val="es-MX"/>
        </w:rPr>
        <w:t>Nº29414</w:t>
      </w:r>
      <w:proofErr w:type="spellEnd"/>
      <w:r w:rsidRPr="00362916">
        <w:rPr>
          <w:lang w:val="es-MX"/>
        </w:rPr>
        <w:t>, ley que establece los derechos de las personas usuarias de los servicios de salud y su reglamento y, los protocolos que regulan la atención de las víctimas de violencia en los servicios de salud del MINSA</w:t>
      </w:r>
      <w:r w:rsidR="006327D9">
        <w:rPr>
          <w:lang w:val="es-MX"/>
        </w:rPr>
        <w:t>;</w:t>
      </w:r>
    </w:p>
    <w:p w14:paraId="16882883" w14:textId="209B3F4A" w:rsidR="000E14A8" w:rsidRDefault="00362916" w:rsidP="0063452F">
      <w:pPr>
        <w:pStyle w:val="Bullet1G"/>
        <w:rPr>
          <w:lang w:val="es-MX"/>
        </w:rPr>
      </w:pPr>
      <w:r w:rsidRPr="00362916">
        <w:rPr>
          <w:lang w:val="es-MX"/>
        </w:rPr>
        <w:t xml:space="preserve">Las normas institucionales a cargo del MINSA incluyen: las Guías Nacionales para la atención integral de la salud sexual y reproductiva, aprobadas mediante Resolución Ministerial </w:t>
      </w:r>
      <w:proofErr w:type="spellStart"/>
      <w:r w:rsidRPr="00362916">
        <w:rPr>
          <w:lang w:val="es-MX"/>
        </w:rPr>
        <w:t>N°</w:t>
      </w:r>
      <w:proofErr w:type="spellEnd"/>
      <w:r w:rsidRPr="00362916">
        <w:rPr>
          <w:lang w:val="es-MX"/>
        </w:rPr>
        <w:t xml:space="preserve"> 668-2004/MINSA, la Norma Técnica de salud para la transversalización de los enfoques de derechos humanos, equidad de género e interculturalidad en salud, aprobada mediante Resolución Ministerial </w:t>
      </w:r>
      <w:proofErr w:type="spellStart"/>
      <w:r w:rsidRPr="00362916">
        <w:rPr>
          <w:lang w:val="es-MX"/>
        </w:rPr>
        <w:t>N°638</w:t>
      </w:r>
      <w:proofErr w:type="spellEnd"/>
      <w:r w:rsidRPr="00362916">
        <w:rPr>
          <w:lang w:val="es-MX"/>
        </w:rPr>
        <w:t xml:space="preserve">-2006/ MINSA y, la Guía Técnica para la atención integral de las personas afectadas por la violencia basada en el género, aprobada mediante Resolución Ministerial </w:t>
      </w:r>
      <w:proofErr w:type="spellStart"/>
      <w:r w:rsidRPr="00362916">
        <w:rPr>
          <w:lang w:val="es-MX"/>
        </w:rPr>
        <w:t>N°141</w:t>
      </w:r>
      <w:proofErr w:type="spellEnd"/>
      <w:r w:rsidRPr="00362916">
        <w:rPr>
          <w:lang w:val="es-MX"/>
        </w:rPr>
        <w:t xml:space="preserve"> 2007/MINSA</w:t>
      </w:r>
      <w:r w:rsidRPr="00362916">
        <w:rPr>
          <w:vertAlign w:val="superscript"/>
          <w:lang w:val="es-MX"/>
        </w:rPr>
        <w:footnoteReference w:id="135"/>
      </w:r>
      <w:r w:rsidR="006327D9">
        <w:rPr>
          <w:lang w:val="es-MX"/>
        </w:rPr>
        <w:t>;</w:t>
      </w:r>
    </w:p>
    <w:p w14:paraId="72329095" w14:textId="3558BA9E" w:rsidR="000E14A8" w:rsidRDefault="00362916" w:rsidP="0063452F">
      <w:pPr>
        <w:pStyle w:val="Bullet1G"/>
        <w:rPr>
          <w:lang w:val="es-MX"/>
        </w:rPr>
      </w:pPr>
      <w:r w:rsidRPr="00362916">
        <w:rPr>
          <w:lang w:val="es-MX"/>
        </w:rPr>
        <w:t>En el 2022, la provisión a nivel nacional de métodos de planificación familiar, oportuna, con pertinencia cultural y de calidad, se brinda en todos los establecimientos de salud y en todos los niveles de atención. El número de anticonceptivos modernos distribuidos fueron 1,027,994 (8 % mayor a la registrada en 2021), de los cuales 777,284 estuvieron dirigidos a mujeres (75,6 %) y 250,710 a hombres (24,4 %)</w:t>
      </w:r>
      <w:r w:rsidRPr="00362916">
        <w:rPr>
          <w:vertAlign w:val="superscript"/>
          <w:lang w:val="es-MX"/>
        </w:rPr>
        <w:footnoteReference w:id="136"/>
      </w:r>
      <w:r w:rsidR="006327D9">
        <w:rPr>
          <w:lang w:val="es-MX"/>
        </w:rPr>
        <w:t>;</w:t>
      </w:r>
    </w:p>
    <w:p w14:paraId="3EA9E45E" w14:textId="77777777" w:rsidR="000E14A8" w:rsidRDefault="00362916" w:rsidP="0063452F">
      <w:pPr>
        <w:pStyle w:val="Bullet1G"/>
        <w:rPr>
          <w:lang w:val="es-MX"/>
        </w:rPr>
      </w:pPr>
      <w:r w:rsidRPr="00362916">
        <w:rPr>
          <w:lang w:val="es-MX"/>
        </w:rPr>
        <w:t>En el mismo año, el MINSA distribuyó 3124 kits de emergencia (cifra un 24 % mayor a la registrada en 2021). Asimismo, se realizaron acciones de coordinación con los gobiernos regionales para la socialización con los equipos regionales de salud del nuevo método de planificación familiar, sistema intrauterino liberador de progestágeno, incorporado a la gama de métodos anticonceptivos del MINSA para su administración para el periodo 2023</w:t>
      </w:r>
      <w:r w:rsidRPr="00362916">
        <w:rPr>
          <w:vertAlign w:val="superscript"/>
          <w:lang w:val="es-MX"/>
        </w:rPr>
        <w:footnoteReference w:id="137"/>
      </w:r>
      <w:r w:rsidRPr="00362916">
        <w:rPr>
          <w:lang w:val="es-MX"/>
        </w:rPr>
        <w:t>.</w:t>
      </w:r>
    </w:p>
    <w:p w14:paraId="02B6D834" w14:textId="27FC12A5" w:rsidR="000E14A8" w:rsidRPr="006327D9" w:rsidRDefault="00362916" w:rsidP="0063452F">
      <w:pPr>
        <w:pStyle w:val="H23G"/>
        <w:ind w:left="1080" w:firstLine="0"/>
        <w:rPr>
          <w:sz w:val="24"/>
          <w:szCs w:val="24"/>
          <w:lang w:val="es-MX"/>
        </w:rPr>
      </w:pPr>
      <w:bookmarkStart w:id="36" w:name="_Toc187168805"/>
      <w:r w:rsidRPr="006327D9">
        <w:rPr>
          <w:sz w:val="24"/>
          <w:szCs w:val="24"/>
          <w:lang w:val="es-MX"/>
        </w:rPr>
        <w:t>Derecho a la educación (arts. 13 y 14)</w:t>
      </w:r>
      <w:bookmarkEnd w:id="36"/>
    </w:p>
    <w:p w14:paraId="45F071D6"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29.a</w:t>
      </w:r>
      <w:proofErr w:type="spellEnd"/>
      <w:r w:rsidRPr="00362916">
        <w:rPr>
          <w:lang w:val="es-MX"/>
        </w:rPr>
        <w:t xml:space="preserve">), </w:t>
      </w:r>
      <w:r w:rsidRPr="00362916">
        <w:t>el Ministerio de Educación (MINEDU), ha impulsado un conjunto de medidas, entre las que se destacan:</w:t>
      </w:r>
    </w:p>
    <w:p w14:paraId="127A1CEF" w14:textId="0DC20AE7" w:rsidR="000E14A8" w:rsidRDefault="00362916" w:rsidP="0063452F">
      <w:pPr>
        <w:pStyle w:val="Bullet1G"/>
      </w:pPr>
      <w:r w:rsidRPr="00362916">
        <w:t>En cuanto a las medidas adoptadas para eliminar los obstáculos de acceso a la educación en el nivel de educación primaria durante el año 2022, se brindó asistencia técnica en la elaboración de los materiales educativos producidos para Aprendo en Casa Web 2022 en los ciclos III, IV, V, considerando los principios y pautas del Diseño Universal para el Aprendizaje</w:t>
      </w:r>
      <w:r w:rsidRPr="00362916">
        <w:rPr>
          <w:vertAlign w:val="superscript"/>
        </w:rPr>
        <w:footnoteReference w:id="138"/>
      </w:r>
      <w:r w:rsidR="002152FA">
        <w:t>;</w:t>
      </w:r>
    </w:p>
    <w:p w14:paraId="602F62E2" w14:textId="089D9DE1" w:rsidR="000E14A8" w:rsidRDefault="00362916" w:rsidP="0063452F">
      <w:pPr>
        <w:pStyle w:val="Bullet1G"/>
        <w:rPr>
          <w:lang w:val="es-MX"/>
        </w:rPr>
      </w:pPr>
      <w:r w:rsidRPr="00362916">
        <w:t>Asimismo, se logró implementar 44 recursos adaptados para estudiantes con discapacidad, como apoyo para el logro de los aprendizajes (16 del ciclo III, 14 del ciclo IV y 14 del ciclo V)</w:t>
      </w:r>
      <w:r w:rsidRPr="00362916">
        <w:rPr>
          <w:vertAlign w:val="superscript"/>
        </w:rPr>
        <w:footnoteReference w:id="139"/>
      </w:r>
      <w:r w:rsidR="002152FA">
        <w:t>;</w:t>
      </w:r>
    </w:p>
    <w:p w14:paraId="4BAF29E4" w14:textId="255752CE" w:rsidR="000E14A8" w:rsidRDefault="00362916" w:rsidP="0063452F">
      <w:pPr>
        <w:pStyle w:val="Bullet1G"/>
      </w:pPr>
      <w:r w:rsidRPr="00362916">
        <w:t>Sobre el fortalecimiento de educación inclusiva durante el año 2022 se realizó: i) Jornada pedagógica dirigida a directores de Gestión pedagógica y especialistas de Direcciones Regional de Educación (DRE) y Gerencia Regional de Educación (</w:t>
      </w:r>
      <w:proofErr w:type="spellStart"/>
      <w:r w:rsidRPr="00362916">
        <w:t>GRE</w:t>
      </w:r>
      <w:proofErr w:type="spellEnd"/>
      <w:r w:rsidRPr="00362916">
        <w:t xml:space="preserve">). Meta lograda 56 participantes. Temática Inclusión y valoración de la diversidad, </w:t>
      </w:r>
      <w:proofErr w:type="spellStart"/>
      <w:r w:rsidRPr="00362916">
        <w:t>ii</w:t>
      </w:r>
      <w:proofErr w:type="spellEnd"/>
      <w:r w:rsidRPr="00362916">
        <w:t>) Asistencia técnica sobre materiales educativos dotación dirigida a Especialistas y directivos de la UGEL Yungay. Meta lograda 156 participantes sala 1 y 168 en sala 2. Temática: La inclusión y la valoración de la diversidad</w:t>
      </w:r>
      <w:r w:rsidR="002152FA">
        <w:t>;</w:t>
      </w:r>
    </w:p>
    <w:p w14:paraId="61BF9C41" w14:textId="2B890054" w:rsidR="000E14A8" w:rsidRDefault="00362916" w:rsidP="0063452F">
      <w:pPr>
        <w:pStyle w:val="Bullet1G"/>
      </w:pPr>
      <w:r w:rsidRPr="00362916">
        <w:lastRenderedPageBreak/>
        <w:t xml:space="preserve">En el año 2023 se ejecutaron las siguientes actividades i) Taller articulado sobre educación inclusiva dirigido a Especialistas de la región, meta lograda 73 especialistas. Temática: Promoviendo una educación inclusiva en Educación Básica Regular, </w:t>
      </w:r>
      <w:proofErr w:type="spellStart"/>
      <w:r w:rsidRPr="00362916">
        <w:t>ii</w:t>
      </w:r>
      <w:proofErr w:type="spellEnd"/>
      <w:r w:rsidRPr="00362916">
        <w:t xml:space="preserve">) Taller articulado sobre educación inclusiva dirigido a Especialistas de la UGEL </w:t>
      </w:r>
      <w:proofErr w:type="spellStart"/>
      <w:r w:rsidRPr="00362916">
        <w:t>Tambogrande</w:t>
      </w:r>
      <w:proofErr w:type="spellEnd"/>
      <w:r w:rsidRPr="00362916">
        <w:t xml:space="preserve">, meta lograda 63 participantes. Temática: Promoviendo una educación inclusiva en Educación Básica Regular, </w:t>
      </w:r>
      <w:proofErr w:type="spellStart"/>
      <w:r w:rsidRPr="00362916">
        <w:t>iii</w:t>
      </w:r>
      <w:proofErr w:type="spellEnd"/>
      <w:r w:rsidRPr="00362916">
        <w:t>) Asistencia técnica articulada (Sede Ancash) dirigida a Especialistas de la región Ancash. Se contó con un aula temática “Promoviendo una educación inclusiva”, se logró una meta de 40 participantes</w:t>
      </w:r>
      <w:r w:rsidR="002152FA">
        <w:t>;</w:t>
      </w:r>
    </w:p>
    <w:p w14:paraId="0888170D" w14:textId="77777777" w:rsidR="000E14A8" w:rsidRDefault="00362916" w:rsidP="0063452F">
      <w:pPr>
        <w:pStyle w:val="Bullet1G"/>
      </w:pPr>
      <w:r w:rsidRPr="00362916">
        <w:t xml:space="preserve">En el nivel de educación secundaria, en el año 2022, en el Marco de Currículo Nacional de la Educación Básica y del Decreto Supremo </w:t>
      </w:r>
      <w:proofErr w:type="spellStart"/>
      <w:r w:rsidRPr="00362916">
        <w:t>N°</w:t>
      </w:r>
      <w:proofErr w:type="spellEnd"/>
      <w:r w:rsidRPr="00362916">
        <w:t xml:space="preserve"> 007 – 2021, la Dirección de Educación Secundaria elaboró y publicó documentos de orientaciones para el desarrollo y la evaluación de las competencias para cada una de las áreas curriculares del nivel secundaria. Dichos documentos contienen en el numeral 2.2. orientaciones para la atención a la diversidad para eliminar barreras de aprendizaje.</w:t>
      </w:r>
    </w:p>
    <w:p w14:paraId="230126C2"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w:t>
      </w:r>
      <w:proofErr w:type="spellStart"/>
      <w:r w:rsidRPr="00362916">
        <w:rPr>
          <w:lang w:val="es-MX"/>
        </w:rPr>
        <w:t>29.b</w:t>
      </w:r>
      <w:proofErr w:type="spellEnd"/>
      <w:r w:rsidRPr="00362916">
        <w:rPr>
          <w:lang w:val="es-MX"/>
        </w:rPr>
        <w:t xml:space="preserve">, el MINEDU, ha implementado medidas para </w:t>
      </w:r>
      <w:r w:rsidRPr="00362916">
        <w:t>para promover la inclusión en las escuelas y hacer frente al acoso escolar:</w:t>
      </w:r>
    </w:p>
    <w:p w14:paraId="5D9C5129" w14:textId="090598B9" w:rsidR="000E14A8" w:rsidRDefault="00362916" w:rsidP="0063452F">
      <w:pPr>
        <w:pStyle w:val="Bullet1G"/>
        <w:rPr>
          <w:lang w:val="es-MX"/>
        </w:rPr>
      </w:pPr>
      <w:r w:rsidRPr="00362916">
        <w:t>En el 2022, se implementó “Talleres educativos de desarrollo de habilidades socioemocionales”</w:t>
      </w:r>
      <w:r w:rsidRPr="00362916">
        <w:rPr>
          <w:vertAlign w:val="superscript"/>
          <w:lang w:val="es-MX"/>
        </w:rPr>
        <w:footnoteReference w:id="140"/>
      </w:r>
      <w:r w:rsidRPr="00362916">
        <w:t>, que tiene como objetivo el desarrollo de habilidades socioemocionales, comunicacionales, de manejo y resolución de conflictos. Este servicio está dirigido a los alumnos del 5° y 6° grado del nivel de educación primaria del ámbito urbano y rural. En el año 2022, fueron 4476 estudiantes que recibieron el taller, por otro lado, en el 2023 el programa amplio su cobertura y logró brindar sus servicios 31,273 estudiantes</w:t>
      </w:r>
      <w:r w:rsidRPr="00362916">
        <w:rPr>
          <w:vertAlign w:val="superscript"/>
        </w:rPr>
        <w:footnoteReference w:id="141"/>
      </w:r>
      <w:r w:rsidR="002152FA">
        <w:t>;</w:t>
      </w:r>
    </w:p>
    <w:p w14:paraId="2380AA5F" w14:textId="187793DE" w:rsidR="000E14A8" w:rsidRDefault="00362916" w:rsidP="0063452F">
      <w:pPr>
        <w:pStyle w:val="Bullet1G"/>
        <w:rPr>
          <w:lang w:val="es-MX"/>
        </w:rPr>
      </w:pPr>
      <w:r w:rsidRPr="00362916">
        <w:rPr>
          <w:lang w:val="es-MX"/>
        </w:rPr>
        <w:t xml:space="preserve">En respuesta al párrafo </w:t>
      </w:r>
      <w:proofErr w:type="spellStart"/>
      <w:r w:rsidRPr="00362916">
        <w:rPr>
          <w:lang w:val="es-MX"/>
        </w:rPr>
        <w:t>29.c</w:t>
      </w:r>
      <w:proofErr w:type="spellEnd"/>
      <w:r w:rsidRPr="00362916">
        <w:rPr>
          <w:lang w:val="es-MX"/>
        </w:rPr>
        <w:t>),</w:t>
      </w:r>
      <w:r w:rsidRPr="00362916">
        <w:t xml:space="preserve"> con el fin de implementar estrategias destinadas a la recuperación de los </w:t>
      </w:r>
      <w:r w:rsidRPr="00362916">
        <w:rPr>
          <w:lang w:val="es-MX"/>
        </w:rPr>
        <w:t>aprendizajes</w:t>
      </w:r>
      <w:r w:rsidRPr="00362916">
        <w:t xml:space="preserve"> perdidos en la población escolar durante la pandemia de COVID-19 el MINEDU implementó</w:t>
      </w:r>
      <w:r w:rsidRPr="00362916">
        <w:rPr>
          <w:vertAlign w:val="superscript"/>
        </w:rPr>
        <w:footnoteReference w:id="142"/>
      </w:r>
      <w:r w:rsidR="002152FA">
        <w:t>;</w:t>
      </w:r>
    </w:p>
    <w:p w14:paraId="44C189B2" w14:textId="7B11BCDC" w:rsidR="00362916" w:rsidRPr="00362916" w:rsidRDefault="00362916" w:rsidP="0063452F">
      <w:pPr>
        <w:pStyle w:val="Bullet1G"/>
      </w:pPr>
      <w:r w:rsidRPr="00362916">
        <w:t>A nivel de educación primaria, en el 2022, realizó la aplicación de la Evaluación Muestral. Los resultados de esta Evaluación Muestral acreditan a Lectura y Matemática en el nivel de Educación Primaria, con estudiantes de segundo, cuarto y sexto grado</w:t>
      </w:r>
      <w:r w:rsidR="002152FA">
        <w:t>;</w:t>
      </w:r>
    </w:p>
    <w:p w14:paraId="4FCC4F79" w14:textId="47BDEEDC" w:rsidR="00362916" w:rsidRPr="00362916" w:rsidRDefault="00362916" w:rsidP="0063452F">
      <w:pPr>
        <w:pStyle w:val="Bullet1G"/>
      </w:pPr>
      <w:r w:rsidRPr="00362916">
        <w:t xml:space="preserve">Refuerzo Escolar en el aula: A la fecha, está dirigido a estudiantes de </w:t>
      </w:r>
      <w:proofErr w:type="spellStart"/>
      <w:r w:rsidRPr="00362916">
        <w:t>2do</w:t>
      </w:r>
      <w:proofErr w:type="spellEnd"/>
      <w:r w:rsidRPr="00362916">
        <w:t xml:space="preserve"> a </w:t>
      </w:r>
      <w:proofErr w:type="spellStart"/>
      <w:r w:rsidRPr="00362916">
        <w:t>6to</w:t>
      </w:r>
      <w:proofErr w:type="spellEnd"/>
      <w:r w:rsidRPr="00362916">
        <w:t xml:space="preserve"> grado de Educación Primaria, implementado en todas las regiones del país</w:t>
      </w:r>
      <w:r w:rsidR="002152FA">
        <w:t>;</w:t>
      </w:r>
    </w:p>
    <w:p w14:paraId="6C11BEAE" w14:textId="64BC6BC1" w:rsidR="00362916" w:rsidRPr="00362916" w:rsidRDefault="00362916" w:rsidP="0063452F">
      <w:pPr>
        <w:pStyle w:val="Bullet1G"/>
      </w:pPr>
      <w:r w:rsidRPr="00362916">
        <w:t>La Estrategia Nacional de Refuerzo Escolar</w:t>
      </w:r>
      <w:r w:rsidRPr="00362916">
        <w:rPr>
          <w:vertAlign w:val="superscript"/>
        </w:rPr>
        <w:footnoteReference w:id="143"/>
      </w:r>
      <w:r w:rsidRPr="00362916">
        <w:t xml:space="preserve">, para estudiantes de Educación Básica Regular, propone la atención de manera diferenciada y promover la igualdad de oportunidades de aprendizaje en los estudiantes, frente a las brechas de aprendizaje y la situación generada por el </w:t>
      </w:r>
      <w:proofErr w:type="spellStart"/>
      <w:r w:rsidRPr="00362916">
        <w:t>Covid</w:t>
      </w:r>
      <w:proofErr w:type="spellEnd"/>
      <w:r w:rsidRPr="00362916">
        <w:t>, así como el cierre de escuelas entre los años 2020 y 2021</w:t>
      </w:r>
      <w:r w:rsidR="002152FA">
        <w:t>;</w:t>
      </w:r>
    </w:p>
    <w:p w14:paraId="24FA482C" w14:textId="77777777" w:rsidR="000E14A8" w:rsidRDefault="00362916" w:rsidP="0063452F">
      <w:pPr>
        <w:pStyle w:val="Bullet1G"/>
      </w:pPr>
      <w:r w:rsidRPr="00362916">
        <w:t>Para el nivel de educación secundaria, se aprobaron las “Disposiciones sobre la Estrategia Nacional de Refuerzo Escolar para estudiantes de los niveles de Educación Primaria y Secundaria de Educación Básica Regular”</w:t>
      </w:r>
      <w:r w:rsidRPr="00362916">
        <w:rPr>
          <w:vertAlign w:val="superscript"/>
        </w:rPr>
        <w:footnoteReference w:id="144"/>
      </w:r>
      <w:r w:rsidRPr="00362916">
        <w:t xml:space="preserve"> desde el año 2022 a la actualidad la Dirección de Educación Secundaria se han elaborado y publicado la fichas de refuerzo escolar, pruebas de evaluación diagnostica y orientaciones para el uso de las Fichas para el Refuerzo escolar para las área curriculares de Matemática y Comunicación para todos los grados de secundaria en la Educación Básica Regular.</w:t>
      </w:r>
    </w:p>
    <w:p w14:paraId="0D8300E7"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respuesta al párrafo 29 d), el Servicio de Agua Potable y Alcantarillado de Lima (SEDAPAL) ha ejecutado obras públicas con el fin de cerrar las brechas de infraestructura, </w:t>
      </w:r>
      <w:r w:rsidRPr="00362916">
        <w:rPr>
          <w:lang w:val="es-MX"/>
        </w:rPr>
        <w:lastRenderedPageBreak/>
        <w:t>en el periodo que se reporta se aprecia cuatro (4) proyectos de ampliación de redes que significaron 4877 nuevas conexiones domiciliarias de agua y 4720 de alcantarillado</w:t>
      </w:r>
      <w:r w:rsidRPr="00362916">
        <w:rPr>
          <w:vertAlign w:val="superscript"/>
          <w:lang w:val="es-MX"/>
        </w:rPr>
        <w:footnoteReference w:id="145"/>
      </w:r>
      <w:r w:rsidRPr="00362916">
        <w:rPr>
          <w:lang w:val="es-MX"/>
        </w:rPr>
        <w:t>.</w:t>
      </w:r>
    </w:p>
    <w:p w14:paraId="457BD35C"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En ese sentido, el Programa Nacional de Saneamiento Rural ejecutó 568 proyectos en zonas rurales, </w:t>
      </w:r>
      <w:proofErr w:type="spellStart"/>
      <w:r w:rsidRPr="00362916">
        <w:rPr>
          <w:rFonts w:asciiTheme="minorHAnsi" w:eastAsiaTheme="minorHAnsi" w:hAnsiTheme="minorHAnsi" w:cstheme="minorBidi"/>
          <w:sz w:val="22"/>
          <w:szCs w:val="22"/>
          <w:lang w:val="fr-FR" w:eastAsia="en-US"/>
        </w:rPr>
        <w:t>logrando</w:t>
      </w:r>
      <w:proofErr w:type="spellEnd"/>
      <w:r w:rsidRPr="00362916">
        <w:rPr>
          <w:lang w:val="es-MX"/>
        </w:rPr>
        <w:t xml:space="preserve"> beneficiar a 261,741 ciudadanos de zonas rurales con: 78,191 nuevas conexiones domiciliarias de agua, 16,073 conexiones de agua rehabilitadas, 90,234 nuevas conexiones de alcantarillado y 5,139 conexiones de alcantarillado rehabilitadas</w:t>
      </w:r>
      <w:r w:rsidRPr="00362916">
        <w:rPr>
          <w:vertAlign w:val="superscript"/>
          <w:lang w:val="es-MX"/>
        </w:rPr>
        <w:footnoteReference w:id="146"/>
      </w:r>
      <w:r w:rsidRPr="00362916">
        <w:rPr>
          <w:lang w:val="es-MX"/>
        </w:rPr>
        <w:t>.</w:t>
      </w:r>
    </w:p>
    <w:p w14:paraId="055BEEBB" w14:textId="3D2D36F1"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8E4B7D">
        <w:rPr>
          <w:lang w:val="es-MX"/>
        </w:rPr>
        <w:t xml:space="preserve">En </w:t>
      </w:r>
      <w:proofErr w:type="spellStart"/>
      <w:r w:rsidRPr="008E4B7D">
        <w:rPr>
          <w:rFonts w:eastAsiaTheme="minorHAnsi"/>
          <w:lang w:val="fr-FR" w:eastAsia="en-US"/>
        </w:rPr>
        <w:t>respuesta</w:t>
      </w:r>
      <w:proofErr w:type="spellEnd"/>
      <w:r w:rsidRPr="008E4B7D">
        <w:rPr>
          <w:lang w:val="es-MX"/>
        </w:rPr>
        <w:t xml:space="preserve"> al</w:t>
      </w:r>
      <w:r w:rsidRPr="00362916">
        <w:rPr>
          <w:lang w:val="es-MX"/>
        </w:rPr>
        <w:t xml:space="preserve"> párrafo 29 e), el MINEDU en el marco del Programa Presupuestal por Resultados “Reducción de la violencia contra la mujer”</w:t>
      </w:r>
      <w:r w:rsidRPr="00362916">
        <w:rPr>
          <w:vertAlign w:val="superscript"/>
          <w:lang w:val="es-MX"/>
        </w:rPr>
        <w:footnoteReference w:id="147"/>
      </w:r>
      <w:r w:rsidRPr="00362916">
        <w:rPr>
          <w:lang w:val="es-MX"/>
        </w:rPr>
        <w:t xml:space="preserve">, emitió la Resolución Ministerial </w:t>
      </w:r>
      <w:proofErr w:type="spellStart"/>
      <w:r w:rsidRPr="00362916">
        <w:rPr>
          <w:lang w:val="es-MX"/>
        </w:rPr>
        <w:t>N°161</w:t>
      </w:r>
      <w:proofErr w:type="spellEnd"/>
      <w:r w:rsidRPr="00362916">
        <w:rPr>
          <w:lang w:val="es-MX"/>
        </w:rPr>
        <w:t>-2022-MINEDU, que promueve la implementación de servicios priorizados, entre ellos el Servicio “Programas educativos en escuelas para prevenir la violencia sexual hacia niñas y niños de educación primaria”</w:t>
      </w:r>
      <w:r w:rsidRPr="00362916">
        <w:rPr>
          <w:vertAlign w:val="superscript"/>
          <w:lang w:val="es-MX"/>
        </w:rPr>
        <w:footnoteReference w:id="148"/>
      </w:r>
      <w:r w:rsidRPr="00362916">
        <w:rPr>
          <w:lang w:val="es-MX"/>
        </w:rPr>
        <w:t>.</w:t>
      </w:r>
    </w:p>
    <w:p w14:paraId="2DD274A1"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8E4B7D">
        <w:rPr>
          <w:lang w:val="es-MX"/>
        </w:rPr>
        <w:t xml:space="preserve">El </w:t>
      </w:r>
      <w:proofErr w:type="spellStart"/>
      <w:r w:rsidRPr="008E4B7D">
        <w:rPr>
          <w:rFonts w:eastAsiaTheme="minorHAnsi"/>
          <w:lang w:val="fr-FR" w:eastAsia="en-US"/>
        </w:rPr>
        <w:t>mencionado</w:t>
      </w:r>
      <w:proofErr w:type="spellEnd"/>
      <w:r w:rsidRPr="008E4B7D">
        <w:rPr>
          <w:lang w:val="es-MX"/>
        </w:rPr>
        <w:t xml:space="preserve"> programa tiene como objetivo desarrollar habilidades de autocuidado en las y los estudiantes con el fin de prevenir la violencia sexual y aportar, desde la prevención, a la reducción</w:t>
      </w:r>
      <w:r w:rsidRPr="00362916">
        <w:rPr>
          <w:lang w:val="es-MX"/>
        </w:rPr>
        <w:t xml:space="preserve"> de la violencia sexual hacia niñas y niños. Este Servicio está dirigido a estudiantes del </w:t>
      </w:r>
      <w:proofErr w:type="spellStart"/>
      <w:r w:rsidRPr="00362916">
        <w:rPr>
          <w:lang w:val="es-MX"/>
        </w:rPr>
        <w:t>1ero</w:t>
      </w:r>
      <w:proofErr w:type="spellEnd"/>
      <w:r w:rsidRPr="00362916">
        <w:rPr>
          <w:lang w:val="es-MX"/>
        </w:rPr>
        <w:t xml:space="preserve"> al </w:t>
      </w:r>
      <w:proofErr w:type="spellStart"/>
      <w:r w:rsidRPr="00362916">
        <w:rPr>
          <w:lang w:val="es-MX"/>
        </w:rPr>
        <w:t>6to</w:t>
      </w:r>
      <w:proofErr w:type="spellEnd"/>
      <w:r w:rsidRPr="00362916">
        <w:rPr>
          <w:lang w:val="es-MX"/>
        </w:rPr>
        <w:t xml:space="preserve"> grado de educación primaria de instituciones educativas públicas del ámbito urbano y rural, a quienes se entrega 04 sesiones de tutoría grupal y 02 sesiones de refuerzo</w:t>
      </w:r>
      <w:r w:rsidRPr="00362916">
        <w:rPr>
          <w:vertAlign w:val="superscript"/>
          <w:lang w:val="es-MX"/>
        </w:rPr>
        <w:footnoteReference w:id="149"/>
      </w:r>
      <w:r w:rsidRPr="00362916">
        <w:rPr>
          <w:lang w:val="es-MX"/>
        </w:rPr>
        <w:t>.</w:t>
      </w:r>
    </w:p>
    <w:p w14:paraId="091AEA3C" w14:textId="77777777" w:rsidR="000E14A8" w:rsidRPr="00843EA1" w:rsidRDefault="00362916" w:rsidP="0063452F">
      <w:pPr>
        <w:pStyle w:val="H23G"/>
        <w:ind w:left="1080" w:firstLine="0"/>
        <w:rPr>
          <w:sz w:val="24"/>
          <w:szCs w:val="24"/>
          <w:lang w:val="es-MX"/>
        </w:rPr>
      </w:pPr>
      <w:bookmarkStart w:id="38" w:name="_Toc187168806"/>
      <w:r w:rsidRPr="00843EA1">
        <w:rPr>
          <w:sz w:val="24"/>
          <w:szCs w:val="24"/>
          <w:lang w:val="es-MX"/>
        </w:rPr>
        <w:t>Derechos culturales (art. 15)</w:t>
      </w:r>
      <w:bookmarkEnd w:id="38"/>
    </w:p>
    <w:p w14:paraId="125A34C9"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30, el Estado a través del Ministerio de Cultura (</w:t>
      </w:r>
      <w:proofErr w:type="spellStart"/>
      <w:r w:rsidRPr="00362916">
        <w:rPr>
          <w:lang w:val="es-MX"/>
        </w:rPr>
        <w:t>MINCUL</w:t>
      </w:r>
      <w:proofErr w:type="spellEnd"/>
      <w:r w:rsidRPr="00362916">
        <w:rPr>
          <w:lang w:val="es-MX"/>
        </w:rPr>
        <w:t xml:space="preserve">) ha lanzado el curso virtual “Hablemos de Racismo”, que tiene como objetivo crear un espacio de sensibilización, aprendizaje y reflexión sobre el racismo y la discriminación, al 2024, se cuenta con 3040 personas </w:t>
      </w:r>
      <w:proofErr w:type="spellStart"/>
      <w:r w:rsidRPr="00362916">
        <w:rPr>
          <w:rFonts w:asciiTheme="minorHAnsi" w:eastAsiaTheme="minorHAnsi" w:hAnsiTheme="minorHAnsi" w:cstheme="minorBidi"/>
          <w:sz w:val="22"/>
          <w:szCs w:val="22"/>
          <w:lang w:val="fr-FR" w:eastAsia="en-US"/>
        </w:rPr>
        <w:t>inscritas</w:t>
      </w:r>
      <w:proofErr w:type="spellEnd"/>
      <w:r w:rsidRPr="00362916">
        <w:rPr>
          <w:lang w:val="es-MX"/>
        </w:rPr>
        <w:t>, en el referido curso, siendo que 1628 personas ya han sido certificadas</w:t>
      </w:r>
      <w:r w:rsidRPr="00362916">
        <w:rPr>
          <w:vertAlign w:val="superscript"/>
          <w:lang w:val="es-MX"/>
        </w:rPr>
        <w:footnoteReference w:id="150"/>
      </w:r>
      <w:r w:rsidRPr="00362916">
        <w:rPr>
          <w:lang w:val="es-MX"/>
        </w:rPr>
        <w:t>.</w:t>
      </w:r>
    </w:p>
    <w:p w14:paraId="6FD7CCF5"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Asimismo, se realizan actividades de sensibilización y difusión a la ciudadanía en general, así como asistencias técnicas y/o capacitaciones a servidores y funcionarios públicos. En lo que va del 2024, esta </w:t>
      </w:r>
      <w:proofErr w:type="spellStart"/>
      <w:r w:rsidRPr="00362916">
        <w:rPr>
          <w:rFonts w:asciiTheme="minorHAnsi" w:eastAsiaTheme="minorHAnsi" w:hAnsiTheme="minorHAnsi" w:cstheme="minorBidi"/>
          <w:sz w:val="22"/>
          <w:szCs w:val="22"/>
          <w:lang w:val="fr-FR" w:eastAsia="en-US"/>
        </w:rPr>
        <w:t>Dirección</w:t>
      </w:r>
      <w:proofErr w:type="spellEnd"/>
      <w:r w:rsidRPr="00362916">
        <w:rPr>
          <w:lang w:val="es-MX"/>
        </w:rPr>
        <w:t xml:space="preserve"> ha sensibilizado hasta 9660 personas, a través de 55 acciones de sensibilización y difusión en espacios públicos</w:t>
      </w:r>
    </w:p>
    <w:p w14:paraId="27A73314"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En respuesta al párrafo 31, el Estado aprobó la estrategia “Escuelas Taller para la Cultura”</w:t>
      </w:r>
      <w:r w:rsidRPr="00362916">
        <w:rPr>
          <w:vertAlign w:val="superscript"/>
          <w:lang w:val="es-MX"/>
        </w:rPr>
        <w:footnoteReference w:id="151"/>
      </w:r>
      <w:r w:rsidRPr="00362916">
        <w:rPr>
          <w:lang w:val="es-MX"/>
        </w:rPr>
        <w:t>, que tiene como objetivo brindar servicios de certificación de competencias laborales, que combina la capacitación teórica, con experiencia práctica en situaciones reales de trabajo, en especialidades y oficios vinculados con la protección y salvaguarda del Patrimonio Cultural para uso social</w:t>
      </w:r>
      <w:r w:rsidRPr="00362916">
        <w:rPr>
          <w:vertAlign w:val="superscript"/>
          <w:lang w:val="es-MX"/>
        </w:rPr>
        <w:footnoteReference w:id="152"/>
      </w:r>
      <w:r w:rsidRPr="00362916">
        <w:rPr>
          <w:lang w:val="es-MX"/>
        </w:rPr>
        <w:t>.</w:t>
      </w:r>
    </w:p>
    <w:p w14:paraId="4189BDE5"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lang w:val="es-MX"/>
        </w:rPr>
        <w:t xml:space="preserve">Por otro lado, en el marco de la implementación de la Política Nacional de Cultura al 2030, se han </w:t>
      </w:r>
      <w:proofErr w:type="spellStart"/>
      <w:r w:rsidRPr="00362916">
        <w:rPr>
          <w:rFonts w:asciiTheme="minorHAnsi" w:eastAsiaTheme="minorHAnsi" w:hAnsiTheme="minorHAnsi" w:cstheme="minorBidi"/>
          <w:sz w:val="22"/>
          <w:szCs w:val="22"/>
          <w:lang w:val="fr-FR" w:eastAsia="en-US"/>
        </w:rPr>
        <w:t>implementado</w:t>
      </w:r>
      <w:proofErr w:type="spellEnd"/>
      <w:r w:rsidRPr="00362916">
        <w:rPr>
          <w:lang w:val="es-MX"/>
        </w:rPr>
        <w:t xml:space="preserve"> diversos servicios de comunicación digital de contenidos culturales, en concreto: i) la página “Cultura </w:t>
      </w:r>
      <w:proofErr w:type="spellStart"/>
      <w:r w:rsidRPr="00362916">
        <w:rPr>
          <w:lang w:val="es-MX"/>
        </w:rPr>
        <w:t>24.tv</w:t>
      </w:r>
      <w:proofErr w:type="spellEnd"/>
      <w:r w:rsidRPr="00362916">
        <w:rPr>
          <w:lang w:val="es-MX"/>
        </w:rPr>
        <w:t>”</w:t>
      </w:r>
      <w:r w:rsidRPr="00362916">
        <w:rPr>
          <w:vertAlign w:val="superscript"/>
          <w:lang w:val="es-MX"/>
        </w:rPr>
        <w:footnoteReference w:id="153"/>
      </w:r>
      <w:r w:rsidRPr="00362916">
        <w:rPr>
          <w:lang w:val="es-MX"/>
        </w:rPr>
        <w:t xml:space="preserve">; </w:t>
      </w:r>
      <w:proofErr w:type="spellStart"/>
      <w:r w:rsidRPr="00362916">
        <w:rPr>
          <w:lang w:val="es-MX"/>
        </w:rPr>
        <w:t>ii</w:t>
      </w:r>
      <w:proofErr w:type="spellEnd"/>
      <w:r w:rsidRPr="00362916">
        <w:rPr>
          <w:lang w:val="es-MX"/>
        </w:rPr>
        <w:t>) la plataforma de cooperación internacional “Retina Latina”</w:t>
      </w:r>
      <w:r w:rsidRPr="00362916">
        <w:rPr>
          <w:vertAlign w:val="superscript"/>
          <w:lang w:val="es-MX"/>
        </w:rPr>
        <w:footnoteReference w:id="154"/>
      </w:r>
      <w:r w:rsidRPr="00362916">
        <w:rPr>
          <w:lang w:val="es-MX"/>
        </w:rPr>
        <w:t xml:space="preserve">, la cual ofrece una amplia y diversa selección de películas latinoamericanas sin registro y con acceso libre para los ciudadanos de América Latina y el Caribe; y </w:t>
      </w:r>
      <w:proofErr w:type="spellStart"/>
      <w:r w:rsidRPr="00362916">
        <w:rPr>
          <w:lang w:val="es-MX"/>
        </w:rPr>
        <w:t>iii</w:t>
      </w:r>
      <w:proofErr w:type="spellEnd"/>
      <w:r w:rsidRPr="00362916">
        <w:rPr>
          <w:lang w:val="es-MX"/>
        </w:rPr>
        <w:t>) la plataforma web con contenido cultural “</w:t>
      </w:r>
      <w:proofErr w:type="spellStart"/>
      <w:r w:rsidRPr="00362916">
        <w:rPr>
          <w:lang w:val="es-MX"/>
        </w:rPr>
        <w:t>GTN</w:t>
      </w:r>
      <w:proofErr w:type="spellEnd"/>
      <w:r w:rsidRPr="00362916">
        <w:rPr>
          <w:lang w:val="es-MX"/>
        </w:rPr>
        <w:t xml:space="preserve"> en vivo”</w:t>
      </w:r>
      <w:r w:rsidRPr="00362916">
        <w:rPr>
          <w:vertAlign w:val="superscript"/>
          <w:lang w:val="es-MX"/>
        </w:rPr>
        <w:footnoteReference w:id="155"/>
      </w:r>
      <w:r w:rsidRPr="00362916">
        <w:rPr>
          <w:lang w:val="es-MX"/>
        </w:rPr>
        <w:t xml:space="preserve">. Según el </w:t>
      </w:r>
      <w:proofErr w:type="spellStart"/>
      <w:r w:rsidRPr="00362916">
        <w:rPr>
          <w:lang w:val="es-MX"/>
        </w:rPr>
        <w:t>MINCUL</w:t>
      </w:r>
      <w:proofErr w:type="spellEnd"/>
      <w:r w:rsidRPr="00362916">
        <w:rPr>
          <w:lang w:val="es-MX"/>
        </w:rPr>
        <w:t xml:space="preserve">, entre 2021 y agosto de 2024, las plataformas referidas, así como otros contenidos digitales </w:t>
      </w:r>
      <w:r w:rsidRPr="00362916">
        <w:rPr>
          <w:lang w:val="es-MX"/>
        </w:rPr>
        <w:lastRenderedPageBreak/>
        <w:t>publicados sobre el trabajo de elencos nacionales a través de redes sociales, han alcanzado un total de 25 332 431 reproducciones</w:t>
      </w:r>
      <w:r w:rsidRPr="00362916">
        <w:rPr>
          <w:vertAlign w:val="superscript"/>
          <w:lang w:val="es-MX"/>
        </w:rPr>
        <w:footnoteReference w:id="156"/>
      </w:r>
      <w:r w:rsidRPr="00362916">
        <w:rPr>
          <w:lang w:val="es-MX"/>
        </w:rPr>
        <w:t>.</w:t>
      </w:r>
    </w:p>
    <w:p w14:paraId="3662D273" w14:textId="5663C1FC" w:rsidR="000E14A8" w:rsidRPr="00843EA1" w:rsidRDefault="0063452F" w:rsidP="0063452F">
      <w:pPr>
        <w:pStyle w:val="H1G"/>
        <w:rPr>
          <w:sz w:val="28"/>
          <w:szCs w:val="28"/>
          <w:lang w:val="es-MX"/>
        </w:rPr>
      </w:pPr>
      <w:bookmarkStart w:id="39" w:name="_Toc187168807"/>
      <w:r>
        <w:rPr>
          <w:lang w:val="es-MX"/>
        </w:rPr>
        <w:tab/>
      </w:r>
      <w:r>
        <w:rPr>
          <w:lang w:val="es-MX"/>
        </w:rPr>
        <w:tab/>
      </w:r>
      <w:r w:rsidR="00362916" w:rsidRPr="00843EA1">
        <w:rPr>
          <w:sz w:val="28"/>
          <w:szCs w:val="28"/>
          <w:lang w:val="es-MX"/>
        </w:rPr>
        <w:t>Conclusiones</w:t>
      </w:r>
      <w:bookmarkEnd w:id="39"/>
    </w:p>
    <w:p w14:paraId="788BA527" w14:textId="77777777" w:rsidR="000E14A8"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rFonts w:asciiTheme="minorHAnsi" w:eastAsiaTheme="minorHAnsi" w:hAnsiTheme="minorHAnsi" w:cstheme="minorBidi"/>
          <w:sz w:val="22"/>
          <w:szCs w:val="22"/>
          <w:lang w:val="fr-FR" w:eastAsia="en-US"/>
        </w:rPr>
        <w:t>El</w:t>
      </w:r>
      <w:r w:rsidRPr="00362916">
        <w:rPr>
          <w:lang w:val="es-MX"/>
        </w:rPr>
        <w:t xml:space="preserve"> Estado peruano, en el periodo </w:t>
      </w:r>
      <w:proofErr w:type="gramStart"/>
      <w:r w:rsidRPr="00362916">
        <w:rPr>
          <w:lang w:val="es-MX"/>
        </w:rPr>
        <w:t>que informa</w:t>
      </w:r>
      <w:proofErr w:type="gramEnd"/>
      <w:r w:rsidRPr="00362916">
        <w:rPr>
          <w:lang w:val="es-MX"/>
        </w:rPr>
        <w:t>, ha implementado diversas acciones dirigidas al respeto y garantía de los derechos de los humanos, con énfasis en las obligaciones internacionales que se desprenden del Pacto Internacional de Derechos Económicos, Sociales y Culturales.</w:t>
      </w:r>
    </w:p>
    <w:p w14:paraId="60D3ABEB" w14:textId="2895091F" w:rsidR="00362916" w:rsidRDefault="00362916" w:rsidP="00250475">
      <w:pPr>
        <w:pStyle w:val="SingleTxtG"/>
        <w:numPr>
          <w:ilvl w:val="0"/>
          <w:numId w:val="17"/>
        </w:numPr>
        <w:tabs>
          <w:tab w:val="clear" w:pos="1701"/>
          <w:tab w:val="clear" w:pos="2268"/>
          <w:tab w:val="clear" w:pos="2835"/>
        </w:tabs>
        <w:kinsoku w:val="0"/>
        <w:overflowPunct w:val="0"/>
        <w:autoSpaceDE w:val="0"/>
        <w:autoSpaceDN w:val="0"/>
        <w:adjustRightInd w:val="0"/>
        <w:snapToGrid w:val="0"/>
        <w:spacing w:line="259" w:lineRule="auto"/>
        <w:ind w:left="1134" w:firstLine="0"/>
        <w:rPr>
          <w:lang w:val="es-MX"/>
        </w:rPr>
      </w:pPr>
      <w:r w:rsidRPr="00362916">
        <w:rPr>
          <w:rFonts w:asciiTheme="minorHAnsi" w:eastAsiaTheme="minorHAnsi" w:hAnsiTheme="minorHAnsi" w:cstheme="minorBidi"/>
          <w:sz w:val="22"/>
          <w:szCs w:val="22"/>
          <w:lang w:val="fr-FR" w:eastAsia="en-US"/>
        </w:rPr>
        <w:t>En</w:t>
      </w:r>
      <w:r w:rsidRPr="00362916">
        <w:rPr>
          <w:lang w:val="es-MX"/>
        </w:rPr>
        <w:t xml:space="preserve"> virtud de ello, el Perú reafirma su compromiso con las premisas que fundamentaron la adopción del Pacto Internacional de Derechos Económicos, Sociales y Culturales, así como con el fortalecimiento de la institucionalidad democrática, el respeto y garantía de los derechos humanos.</w:t>
      </w:r>
    </w:p>
    <w:p w14:paraId="2139EE53" w14:textId="4678A265" w:rsidR="00843EA1" w:rsidRPr="00843EA1" w:rsidRDefault="00843EA1" w:rsidP="00843EA1">
      <w:pPr>
        <w:pStyle w:val="SingleTxtG"/>
        <w:tabs>
          <w:tab w:val="clear" w:pos="1701"/>
          <w:tab w:val="clear" w:pos="2268"/>
          <w:tab w:val="clear" w:pos="2835"/>
        </w:tabs>
        <w:suppressAutoHyphens/>
        <w:kinsoku w:val="0"/>
        <w:overflowPunct w:val="0"/>
        <w:autoSpaceDE w:val="0"/>
        <w:autoSpaceDN w:val="0"/>
        <w:adjustRightInd w:val="0"/>
        <w:snapToGrid w:val="0"/>
        <w:spacing w:before="240" w:after="0"/>
        <w:jc w:val="center"/>
        <w:rPr>
          <w:u w:val="single"/>
          <w:lang w:val="es-MX"/>
        </w:rPr>
      </w:pPr>
      <w:r>
        <w:rPr>
          <w:u w:val="single"/>
          <w:lang w:val="es-MX"/>
        </w:rPr>
        <w:tab/>
      </w:r>
      <w:r>
        <w:rPr>
          <w:u w:val="single"/>
          <w:lang w:val="es-MX"/>
        </w:rPr>
        <w:tab/>
      </w:r>
      <w:r>
        <w:rPr>
          <w:u w:val="single"/>
          <w:lang w:val="es-MX"/>
        </w:rPr>
        <w:tab/>
      </w:r>
    </w:p>
    <w:p w14:paraId="52C73489" w14:textId="061A7483" w:rsidR="00794179" w:rsidRPr="000E14A8" w:rsidRDefault="00794179" w:rsidP="000E14A8">
      <w:pPr>
        <w:pStyle w:val="SingleTxtG"/>
        <w:spacing w:before="240" w:after="0"/>
        <w:ind w:left="0" w:right="0"/>
        <w:jc w:val="center"/>
        <w:rPr>
          <w:u w:val="single"/>
          <w:lang w:val="es-MX"/>
        </w:rPr>
      </w:pPr>
    </w:p>
    <w:sectPr w:rsidR="00794179" w:rsidRPr="000E14A8"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457C0" w14:textId="77777777" w:rsidR="00C60FC7" w:rsidRDefault="00C60FC7">
      <w:r>
        <w:separator/>
      </w:r>
    </w:p>
  </w:endnote>
  <w:endnote w:type="continuationSeparator" w:id="0">
    <w:p w14:paraId="16FA412B" w14:textId="77777777" w:rsidR="00C60FC7" w:rsidRDefault="00C6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6D834" w14:textId="77777777" w:rsidR="001A4396" w:rsidRPr="001A4396" w:rsidRDefault="0013589C"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C2E6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8187D" w14:textId="77777777" w:rsidR="001A4396" w:rsidRPr="001A4396" w:rsidRDefault="0013589C"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F6C3D" w14:textId="1E7F1C3F" w:rsidR="00A86F80" w:rsidRPr="008E13B7" w:rsidRDefault="008E13B7" w:rsidP="008E13B7">
    <w:pPr>
      <w:pStyle w:val="Piedepgina"/>
      <w:tabs>
        <w:tab w:val="left" w:pos="6520"/>
        <w:tab w:val="right" w:pos="9638"/>
      </w:tabs>
      <w:spacing w:before="120" w:line="240" w:lineRule="auto"/>
      <w:rPr>
        <w:sz w:val="20"/>
      </w:rPr>
    </w:pPr>
    <w:proofErr w:type="spellStart"/>
    <w:r>
      <w:rPr>
        <w:sz w:val="20"/>
      </w:rPr>
      <w:t>GE.25</w:t>
    </w:r>
    <w:proofErr w:type="spellEnd"/>
    <w:r>
      <w:rPr>
        <w:sz w:val="20"/>
      </w:rPr>
      <w:t>-00481  (S)</w:t>
    </w:r>
    <w:bookmarkStart w:id="40" w:name="_GoBack"/>
    <w:bookmarkEnd w:id="40"/>
    <w:r>
      <w:rPr>
        <w:sz w:val="20"/>
      </w:rPr>
      <w:tab/>
    </w:r>
    <w:r w:rsidRPr="008E13B7">
      <w:rPr>
        <w:noProof/>
        <w:sz w:val="20"/>
        <w:lang w:val="fr-CH" w:eastAsia="zh-CN"/>
      </w:rPr>
      <w:drawing>
        <wp:inline distT="0" distB="0" distL="0" distR="0" wp14:anchorId="5AFA1956" wp14:editId="47AADE4B">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D89CF0F" wp14:editId="15A84AAB">
          <wp:extent cx="629285" cy="629285"/>
          <wp:effectExtent l="0" t="0" r="0" b="0"/>
          <wp:docPr id="16234861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0B673" w14:textId="77777777" w:rsidR="00C60FC7" w:rsidRPr="001075E9" w:rsidRDefault="00C60FC7" w:rsidP="001075E9">
      <w:pPr>
        <w:tabs>
          <w:tab w:val="right" w:pos="2155"/>
        </w:tabs>
        <w:spacing w:after="80" w:line="240" w:lineRule="auto"/>
        <w:ind w:left="680"/>
        <w:rPr>
          <w:u w:val="single"/>
        </w:rPr>
      </w:pPr>
      <w:r>
        <w:rPr>
          <w:u w:val="single"/>
        </w:rPr>
        <w:tab/>
      </w:r>
    </w:p>
  </w:footnote>
  <w:footnote w:type="continuationSeparator" w:id="0">
    <w:p w14:paraId="50F06878" w14:textId="77777777" w:rsidR="00C60FC7" w:rsidRDefault="00C60FC7" w:rsidP="00407B78">
      <w:pPr>
        <w:tabs>
          <w:tab w:val="right" w:pos="2155"/>
        </w:tabs>
        <w:spacing w:after="80"/>
        <w:ind w:left="680"/>
        <w:rPr>
          <w:u w:val="single"/>
        </w:rPr>
      </w:pPr>
      <w:r>
        <w:rPr>
          <w:u w:val="single"/>
        </w:rPr>
        <w:tab/>
      </w:r>
    </w:p>
  </w:footnote>
  <w:footnote w:id="1">
    <w:p w14:paraId="6B71E488" w14:textId="77777777" w:rsidR="002D4163" w:rsidRPr="005C3181" w:rsidRDefault="0013589C" w:rsidP="002D4163">
      <w:pPr>
        <w:pStyle w:val="Textonotapie"/>
        <w:rPr>
          <w:sz w:val="20"/>
        </w:rPr>
      </w:pPr>
      <w:r>
        <w:tab/>
      </w:r>
      <w:r w:rsidRPr="005C3181">
        <w:rPr>
          <w:rStyle w:val="Refdenotaalpie"/>
          <w:sz w:val="20"/>
          <w:vertAlign w:val="baseline"/>
        </w:rPr>
        <w:t>*</w:t>
      </w:r>
      <w:r w:rsidRPr="005C3181">
        <w:rPr>
          <w:rStyle w:val="Refdenotaalpie"/>
          <w:vertAlign w:val="baseline"/>
        </w:rPr>
        <w:tab/>
      </w:r>
      <w:r w:rsidR="0054386B" w:rsidRPr="009922E1">
        <w:t>El presente documento se publica sin haber sido objeto de revisión editorial oficial.</w:t>
      </w:r>
    </w:p>
  </w:footnote>
  <w:footnote w:id="2">
    <w:p w14:paraId="33773CCD" w14:textId="54E488A3" w:rsidR="00362916" w:rsidRPr="005741D2" w:rsidRDefault="00D32CB7" w:rsidP="00D32CB7">
      <w:pPr>
        <w:pStyle w:val="Textonotapie"/>
        <w:rPr>
          <w:color w:val="000000"/>
          <w:szCs w:val="18"/>
        </w:rPr>
      </w:pPr>
      <w:r>
        <w:rPr>
          <w:rFonts w:eastAsia="Times New Roman"/>
          <w:color w:val="000000"/>
          <w:sz w:val="16"/>
          <w:szCs w:val="16"/>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Aprobado a nivel interno mediante el Decreto Ley </w:t>
      </w:r>
      <w:proofErr w:type="spellStart"/>
      <w:r w:rsidR="00362916" w:rsidRPr="005741D2">
        <w:rPr>
          <w:rFonts w:eastAsia="Times New Roman"/>
          <w:color w:val="000000"/>
          <w:szCs w:val="18"/>
        </w:rPr>
        <w:t>N°22129</w:t>
      </w:r>
      <w:proofErr w:type="spellEnd"/>
      <w:r w:rsidR="00362916" w:rsidRPr="005741D2">
        <w:rPr>
          <w:rFonts w:eastAsia="Times New Roman"/>
          <w:color w:val="000000"/>
          <w:szCs w:val="18"/>
        </w:rPr>
        <w:t xml:space="preserve"> del 29 de marzo de 1978.</w:t>
      </w:r>
    </w:p>
  </w:footnote>
  <w:footnote w:id="3">
    <w:p w14:paraId="00644391" w14:textId="5C19627F" w:rsidR="00362916" w:rsidRPr="005741D2" w:rsidRDefault="00D32CB7"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MINUSDH</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D.S</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Nº004</w:t>
      </w:r>
      <w:proofErr w:type="spellEnd"/>
      <w:r w:rsidR="00362916" w:rsidRPr="005741D2">
        <w:rPr>
          <w:rFonts w:eastAsia="Times New Roman"/>
          <w:color w:val="000000"/>
          <w:szCs w:val="18"/>
        </w:rPr>
        <w:t>-2021-</w:t>
      </w:r>
      <w:proofErr w:type="spellStart"/>
      <w:r w:rsidR="00362916" w:rsidRPr="005741D2">
        <w:rPr>
          <w:rFonts w:eastAsia="Times New Roman"/>
          <w:color w:val="000000"/>
          <w:szCs w:val="18"/>
        </w:rPr>
        <w:t>JUS</w:t>
      </w:r>
      <w:proofErr w:type="spellEnd"/>
      <w:r w:rsidR="00362916" w:rsidRPr="005741D2">
        <w:rPr>
          <w:rFonts w:eastAsia="Times New Roman"/>
          <w:color w:val="000000"/>
          <w:szCs w:val="18"/>
        </w:rPr>
        <w:t>. Fecha: 22.04.2024.</w:t>
      </w:r>
    </w:p>
  </w:footnote>
  <w:footnote w:id="4">
    <w:p w14:paraId="2180C2E8" w14:textId="54B26B7C" w:rsidR="00362916" w:rsidRPr="005741D2" w:rsidRDefault="00D32CB7"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En el periodo de mayo de 2020 y junio de 2024.</w:t>
      </w:r>
    </w:p>
  </w:footnote>
  <w:footnote w:id="5">
    <w:p w14:paraId="63C1FEB8" w14:textId="2089774C" w:rsidR="00362916" w:rsidRPr="005741D2" w:rsidRDefault="00D32CB7"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En el periodo de noviembre de 2021 y agosto de 2024.</w:t>
      </w:r>
    </w:p>
  </w:footnote>
  <w:footnote w:id="6">
    <w:p w14:paraId="2455C92A" w14:textId="5E5AC1A2" w:rsidR="00362916" w:rsidRPr="005741D2" w:rsidRDefault="00D32CB7"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MINUSDH</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N°154</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JUS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DGDH-DPGDH</w:t>
      </w:r>
      <w:proofErr w:type="spellEnd"/>
      <w:r w:rsidR="00362916" w:rsidRPr="005741D2">
        <w:rPr>
          <w:rFonts w:eastAsia="Times New Roman"/>
          <w:color w:val="000000"/>
          <w:szCs w:val="18"/>
        </w:rPr>
        <w:t>. Fecha: 11.10.2024.</w:t>
      </w:r>
    </w:p>
  </w:footnote>
  <w:footnote w:id="7">
    <w:p w14:paraId="0A130E74" w14:textId="5AC35DAF" w:rsidR="00362916" w:rsidRPr="005741D2" w:rsidRDefault="00D32CB7" w:rsidP="00362916">
      <w:pPr>
        <w:pStyle w:val="Textonotapie"/>
        <w:rPr>
          <w:szCs w:val="18"/>
        </w:rPr>
      </w:pPr>
      <w:r w:rsidRPr="005741D2">
        <w:rPr>
          <w:rFonts w:eastAsia="Times New Roman"/>
          <w:color w:val="000000"/>
          <w:szCs w:val="18"/>
        </w:rPr>
        <w:tab/>
      </w:r>
      <w:r w:rsidR="00362916" w:rsidRPr="005741D2">
        <w:rPr>
          <w:rStyle w:val="Refdenotaalpie"/>
          <w:szCs w:val="18"/>
        </w:rPr>
        <w:footnoteRef/>
      </w:r>
      <w:r w:rsidR="00362916" w:rsidRPr="005741D2">
        <w:rPr>
          <w:rFonts w:eastAsia="Times New Roman"/>
          <w:color w:val="000000"/>
          <w:szCs w:val="18"/>
        </w:rPr>
        <w:t xml:space="preserve"> </w:t>
      </w:r>
      <w:r w:rsidRPr="005741D2">
        <w:rPr>
          <w:rFonts w:eastAsia="Times New Roman"/>
          <w:color w:val="000000"/>
          <w:szCs w:val="18"/>
        </w:rPr>
        <w:tab/>
      </w:r>
      <w:proofErr w:type="spellStart"/>
      <w:r w:rsidR="00362916" w:rsidRPr="005741D2">
        <w:rPr>
          <w:rFonts w:eastAsia="Times New Roman"/>
          <w:color w:val="000000"/>
          <w:szCs w:val="18"/>
        </w:rPr>
        <w:t>MPFN</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N°00227</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MP</w:t>
      </w:r>
      <w:proofErr w:type="spellEnd"/>
      <w:r w:rsidR="00362916" w:rsidRPr="005741D2">
        <w:rPr>
          <w:rFonts w:eastAsia="Times New Roman"/>
          <w:color w:val="000000"/>
          <w:szCs w:val="18"/>
        </w:rPr>
        <w:t>-FN-</w:t>
      </w:r>
      <w:proofErr w:type="spellStart"/>
      <w:r w:rsidR="00362916" w:rsidRPr="005741D2">
        <w:rPr>
          <w:rFonts w:eastAsia="Times New Roman"/>
          <w:color w:val="000000"/>
          <w:szCs w:val="18"/>
        </w:rPr>
        <w:t>CFSN</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FPS-DHI</w:t>
      </w:r>
      <w:proofErr w:type="spellEnd"/>
      <w:r w:rsidR="00362916" w:rsidRPr="005741D2">
        <w:rPr>
          <w:rFonts w:eastAsia="Times New Roman"/>
          <w:color w:val="000000"/>
          <w:szCs w:val="18"/>
        </w:rPr>
        <w:t>.</w:t>
      </w:r>
    </w:p>
  </w:footnote>
  <w:footnote w:id="8">
    <w:p w14:paraId="181E227A" w14:textId="5BD25BD2" w:rsidR="00362916" w:rsidRPr="005741D2" w:rsidRDefault="00D32CB7" w:rsidP="00362916">
      <w:pPr>
        <w:pStyle w:val="Textonotapie"/>
        <w:jc w:val="both"/>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9">
    <w:p w14:paraId="571D6DD9" w14:textId="549B5965" w:rsidR="00362916" w:rsidRDefault="00D32CB7" w:rsidP="00362916">
      <w:pPr>
        <w:pStyle w:val="Textonotapie"/>
        <w:jc w:val="both"/>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MPFN</w:t>
      </w:r>
      <w:proofErr w:type="spellEnd"/>
      <w:r w:rsidR="00362916" w:rsidRPr="005741D2">
        <w:rPr>
          <w:rFonts w:eastAsia="Times New Roman"/>
          <w:color w:val="000000"/>
          <w:szCs w:val="18"/>
        </w:rPr>
        <w:t xml:space="preserve">. Resolución de la Fiscalía de la Nación </w:t>
      </w:r>
      <w:proofErr w:type="spellStart"/>
      <w:r w:rsidR="00362916" w:rsidRPr="005741D2">
        <w:rPr>
          <w:rFonts w:eastAsia="Times New Roman"/>
          <w:color w:val="000000"/>
          <w:szCs w:val="18"/>
        </w:rPr>
        <w:t>N°2787</w:t>
      </w:r>
      <w:proofErr w:type="spellEnd"/>
      <w:r w:rsidR="00362916" w:rsidRPr="005741D2">
        <w:rPr>
          <w:rFonts w:eastAsia="Times New Roman"/>
          <w:color w:val="000000"/>
          <w:szCs w:val="18"/>
        </w:rPr>
        <w:t>-2023-</w:t>
      </w:r>
      <w:proofErr w:type="spellStart"/>
      <w:r w:rsidR="00362916" w:rsidRPr="005741D2">
        <w:rPr>
          <w:rFonts w:eastAsia="Times New Roman"/>
          <w:color w:val="000000"/>
          <w:szCs w:val="18"/>
        </w:rPr>
        <w:t>MP</w:t>
      </w:r>
      <w:proofErr w:type="spellEnd"/>
      <w:r w:rsidR="00362916" w:rsidRPr="005741D2">
        <w:rPr>
          <w:rFonts w:eastAsia="Times New Roman"/>
          <w:color w:val="000000"/>
          <w:szCs w:val="18"/>
        </w:rPr>
        <w:t>-FN. Fecha 25.10.2024</w:t>
      </w:r>
      <w:r w:rsidR="005741D2" w:rsidRPr="005741D2">
        <w:rPr>
          <w:rFonts w:eastAsia="Times New Roman"/>
          <w:color w:val="000000"/>
          <w:szCs w:val="18"/>
        </w:rPr>
        <w:t>.</w:t>
      </w:r>
    </w:p>
  </w:footnote>
  <w:footnote w:id="10">
    <w:p w14:paraId="1F0BFB45" w14:textId="292D4929" w:rsidR="00362916" w:rsidRPr="005741D2" w:rsidRDefault="00D32CB7" w:rsidP="00362916">
      <w:pPr>
        <w:pStyle w:val="Textonotapie"/>
        <w:jc w:val="both"/>
        <w:rPr>
          <w:rStyle w:val="Refdenotaalpie"/>
          <w:szCs w:val="18"/>
        </w:rPr>
      </w:pPr>
      <w:r>
        <w:tab/>
      </w:r>
      <w:r w:rsidR="00362916" w:rsidRPr="005741D2">
        <w:rPr>
          <w:rStyle w:val="Refdenotaalpie"/>
          <w:szCs w:val="18"/>
        </w:rPr>
        <w:footnoteRef/>
      </w:r>
      <w:r w:rsidR="00362916" w:rsidRPr="005741D2">
        <w:rPr>
          <w:rStyle w:val="Refdenotaalpie"/>
          <w:szCs w:val="18"/>
        </w:rPr>
        <w:t xml:space="preserve"> </w:t>
      </w:r>
      <w:r w:rsidRPr="005741D2">
        <w:rPr>
          <w:szCs w:val="18"/>
        </w:rPr>
        <w:tab/>
      </w:r>
      <w:proofErr w:type="spellStart"/>
      <w:r w:rsidR="00362916" w:rsidRPr="005741D2">
        <w:rPr>
          <w:rFonts w:eastAsia="Times New Roman"/>
          <w:color w:val="000000"/>
          <w:szCs w:val="18"/>
        </w:rPr>
        <w:t>MINJUSDH</w:t>
      </w:r>
      <w:proofErr w:type="spellEnd"/>
      <w:r w:rsidR="00362916" w:rsidRPr="005741D2">
        <w:rPr>
          <w:rFonts w:eastAsia="Times New Roman"/>
          <w:color w:val="000000"/>
          <w:szCs w:val="18"/>
        </w:rPr>
        <w:t xml:space="preserve">. INFORME USUARIO </w:t>
      </w:r>
      <w:proofErr w:type="spellStart"/>
      <w:r w:rsidR="00362916" w:rsidRPr="005741D2">
        <w:rPr>
          <w:rFonts w:eastAsia="Times New Roman"/>
          <w:color w:val="000000"/>
          <w:szCs w:val="18"/>
        </w:rPr>
        <w:t>N°0063</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JUS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DGDH-MPS</w:t>
      </w:r>
      <w:proofErr w:type="spellEnd"/>
      <w:r w:rsidR="00362916" w:rsidRPr="005741D2">
        <w:rPr>
          <w:rFonts w:eastAsia="Times New Roman"/>
          <w:color w:val="000000"/>
          <w:szCs w:val="18"/>
        </w:rPr>
        <w:t>. Fecha: 19.09.2024</w:t>
      </w:r>
    </w:p>
  </w:footnote>
  <w:footnote w:id="11">
    <w:p w14:paraId="29B34CF3" w14:textId="7BA7C84B" w:rsidR="00362916" w:rsidRPr="005741D2" w:rsidRDefault="000D314C" w:rsidP="00362916">
      <w:pPr>
        <w:pStyle w:val="Textonotapie"/>
        <w:jc w:val="both"/>
        <w:rPr>
          <w:szCs w:val="18"/>
          <w:vertAlign w:val="superscript"/>
        </w:rPr>
      </w:pPr>
      <w:r w:rsidRPr="005741D2">
        <w:rPr>
          <w:szCs w:val="18"/>
        </w:rPr>
        <w:tab/>
      </w:r>
      <w:r w:rsidR="00362916" w:rsidRPr="005741D2">
        <w:rPr>
          <w:rStyle w:val="Refdenotaalpie"/>
          <w:szCs w:val="18"/>
        </w:rPr>
        <w:footnoteRef/>
      </w:r>
      <w:r w:rsidR="00362916" w:rsidRPr="005741D2">
        <w:rPr>
          <w:rStyle w:val="Refdenotaalpie"/>
          <w:szCs w:val="18"/>
        </w:rPr>
        <w:t xml:space="preserve"> </w:t>
      </w:r>
      <w:r w:rsidRPr="005741D2">
        <w:rPr>
          <w:szCs w:val="18"/>
        </w:rPr>
        <w:tab/>
      </w:r>
      <w:proofErr w:type="spellStart"/>
      <w:r w:rsidR="00362916" w:rsidRPr="005741D2">
        <w:rPr>
          <w:rFonts w:eastAsia="Times New Roman"/>
          <w:color w:val="000000"/>
          <w:szCs w:val="18"/>
        </w:rPr>
        <w:t>MINJUSDH</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N°019</w:t>
      </w:r>
      <w:proofErr w:type="spellEnd"/>
      <w:r w:rsidR="00362916" w:rsidRPr="005741D2">
        <w:rPr>
          <w:rFonts w:eastAsia="Times New Roman"/>
          <w:color w:val="000000"/>
          <w:szCs w:val="18"/>
        </w:rPr>
        <w:t>-2023-</w:t>
      </w:r>
      <w:proofErr w:type="spellStart"/>
      <w:r w:rsidR="00362916" w:rsidRPr="005741D2">
        <w:rPr>
          <w:rFonts w:eastAsia="Times New Roman"/>
          <w:color w:val="000000"/>
          <w:szCs w:val="18"/>
        </w:rPr>
        <w:t>JUS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DGDH-GMHB</w:t>
      </w:r>
      <w:proofErr w:type="spellEnd"/>
      <w:r w:rsidR="00362916" w:rsidRPr="005741D2">
        <w:rPr>
          <w:rFonts w:eastAsia="Times New Roman"/>
          <w:color w:val="000000"/>
          <w:szCs w:val="18"/>
        </w:rPr>
        <w:t xml:space="preserve"> fecha 20. 12. 2023.</w:t>
      </w:r>
      <w:r w:rsidR="00362916" w:rsidRPr="005741D2">
        <w:rPr>
          <w:rStyle w:val="Refdenotaalpie"/>
          <w:szCs w:val="18"/>
        </w:rPr>
        <w:t xml:space="preserve"> </w:t>
      </w:r>
    </w:p>
  </w:footnote>
  <w:footnote w:id="12">
    <w:p w14:paraId="5E9BD9AC" w14:textId="4C55C0F4" w:rsidR="00362916" w:rsidRPr="005741D2" w:rsidRDefault="000D314C" w:rsidP="000D314C">
      <w:pPr>
        <w:pStyle w:val="Textonotapie"/>
        <w:rPr>
          <w:rFonts w:eastAsia="Times New Roman"/>
          <w:szCs w:val="18"/>
          <w:lang w:val="es-MX"/>
        </w:rPr>
      </w:pPr>
      <w:r w:rsidRPr="005741D2">
        <w:rPr>
          <w:szCs w:val="18"/>
        </w:rPr>
        <w:tab/>
      </w:r>
      <w:r w:rsidR="00362916" w:rsidRPr="005741D2">
        <w:rPr>
          <w:rFonts w:ascii="Calibri" w:hAnsi="Calibri" w:cs="Calibri"/>
          <w:szCs w:val="18"/>
          <w:vertAlign w:val="superscript"/>
          <w:lang w:val="es-MX"/>
        </w:rPr>
        <w:footnoteRef/>
      </w:r>
      <w:r w:rsidR="00362916" w:rsidRPr="005741D2">
        <w:rPr>
          <w:szCs w:val="18"/>
        </w:rPr>
        <w:t xml:space="preserve"> </w:t>
      </w:r>
      <w:r w:rsidRPr="005741D2">
        <w:rPr>
          <w:szCs w:val="18"/>
        </w:rPr>
        <w:tab/>
      </w:r>
      <w:r w:rsidR="00362916" w:rsidRPr="005741D2">
        <w:rPr>
          <w:rFonts w:eastAsia="Times New Roman"/>
          <w:szCs w:val="18"/>
          <w:lang w:val="es-MX"/>
        </w:rPr>
        <w:t>Véase en: https://www.gob.pe/institucion/minjus/normas-legales/3860828-001-2023-jus-dgdh</w:t>
      </w:r>
      <w:r w:rsidR="00ED3A23" w:rsidRPr="005741D2">
        <w:rPr>
          <w:rFonts w:eastAsia="Times New Roman"/>
          <w:szCs w:val="18"/>
          <w:lang w:val="es-MX"/>
        </w:rPr>
        <w:t>.</w:t>
      </w:r>
      <w:r w:rsidR="00362916" w:rsidRPr="005741D2">
        <w:rPr>
          <w:rFonts w:eastAsia="Times New Roman"/>
          <w:szCs w:val="18"/>
          <w:lang w:val="es-MX"/>
        </w:rPr>
        <w:t xml:space="preserve"> </w:t>
      </w:r>
    </w:p>
  </w:footnote>
  <w:footnote w:id="13">
    <w:p w14:paraId="1BFA7BB2" w14:textId="6EBBE033" w:rsidR="00362916" w:rsidRPr="005741D2" w:rsidRDefault="000D314C" w:rsidP="00362916">
      <w:pPr>
        <w:pStyle w:val="Textonotapie"/>
        <w:rPr>
          <w:szCs w:val="18"/>
          <w:lang w:val="es-PE"/>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szCs w:val="18"/>
        </w:rPr>
        <w:t>MINJUSDH</w:t>
      </w:r>
      <w:proofErr w:type="spellEnd"/>
      <w:r w:rsidR="00362916" w:rsidRPr="005741D2">
        <w:rPr>
          <w:rFonts w:eastAsia="Times New Roman"/>
          <w:szCs w:val="18"/>
        </w:rPr>
        <w:t xml:space="preserve">. Resolución Directoral </w:t>
      </w:r>
      <w:proofErr w:type="spellStart"/>
      <w:r w:rsidR="00362916" w:rsidRPr="005741D2">
        <w:rPr>
          <w:rFonts w:eastAsia="Times New Roman"/>
          <w:szCs w:val="18"/>
        </w:rPr>
        <w:t>N°002</w:t>
      </w:r>
      <w:proofErr w:type="spellEnd"/>
      <w:r w:rsidR="00362916" w:rsidRPr="005741D2">
        <w:rPr>
          <w:rFonts w:eastAsia="Times New Roman"/>
          <w:szCs w:val="18"/>
        </w:rPr>
        <w:t>-2023-</w:t>
      </w:r>
      <w:proofErr w:type="spellStart"/>
      <w:r w:rsidR="00362916" w:rsidRPr="005741D2">
        <w:rPr>
          <w:rFonts w:eastAsia="Times New Roman"/>
          <w:szCs w:val="18"/>
        </w:rPr>
        <w:t>JUS</w:t>
      </w:r>
      <w:proofErr w:type="spellEnd"/>
      <w:r w:rsidR="00362916" w:rsidRPr="005741D2">
        <w:rPr>
          <w:rFonts w:eastAsia="Times New Roman"/>
          <w:szCs w:val="18"/>
        </w:rPr>
        <w:t>/</w:t>
      </w:r>
      <w:proofErr w:type="spellStart"/>
      <w:r w:rsidR="00362916" w:rsidRPr="005741D2">
        <w:rPr>
          <w:rFonts w:eastAsia="Times New Roman"/>
          <w:szCs w:val="18"/>
        </w:rPr>
        <w:t>DGDH</w:t>
      </w:r>
      <w:proofErr w:type="spellEnd"/>
      <w:r w:rsidR="00ED3A23" w:rsidRPr="005741D2">
        <w:rPr>
          <w:rFonts w:eastAsia="Times New Roman"/>
          <w:szCs w:val="18"/>
        </w:rPr>
        <w:t>.</w:t>
      </w:r>
    </w:p>
  </w:footnote>
  <w:footnote w:id="14">
    <w:p w14:paraId="736817D4" w14:textId="38950794" w:rsidR="00362916" w:rsidRPr="005741D2" w:rsidRDefault="000D314C" w:rsidP="00362916">
      <w:pPr>
        <w:pStyle w:val="Textonotapie"/>
        <w:jc w:val="both"/>
        <w:rPr>
          <w:szCs w:val="18"/>
          <w:vertAlign w:val="superscript"/>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MINJUSDH</w:t>
      </w:r>
      <w:proofErr w:type="spellEnd"/>
      <w:r w:rsidR="00362916" w:rsidRPr="005741D2">
        <w:rPr>
          <w:rFonts w:eastAsia="Times New Roman"/>
          <w:color w:val="000000"/>
          <w:szCs w:val="18"/>
        </w:rPr>
        <w:t xml:space="preserve">. INFORME USUARIO </w:t>
      </w:r>
      <w:proofErr w:type="spellStart"/>
      <w:r w:rsidR="00362916" w:rsidRPr="005741D2">
        <w:rPr>
          <w:rFonts w:eastAsia="Times New Roman"/>
          <w:color w:val="000000"/>
          <w:szCs w:val="18"/>
        </w:rPr>
        <w:t>N°0063</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JUS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DGDH-MPS</w:t>
      </w:r>
      <w:proofErr w:type="spellEnd"/>
      <w:r w:rsidR="00362916" w:rsidRPr="005741D2">
        <w:rPr>
          <w:rFonts w:eastAsia="Times New Roman"/>
          <w:color w:val="000000"/>
          <w:szCs w:val="18"/>
        </w:rPr>
        <w:t>.</w:t>
      </w:r>
    </w:p>
  </w:footnote>
  <w:footnote w:id="15">
    <w:p w14:paraId="7B671ABF" w14:textId="485086C4" w:rsidR="00362916" w:rsidRPr="005741D2" w:rsidRDefault="000D314C"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MININTER</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N°0401</w:t>
      </w:r>
      <w:proofErr w:type="spellEnd"/>
      <w:r w:rsidR="00362916" w:rsidRPr="005741D2">
        <w:rPr>
          <w:rFonts w:eastAsia="Times New Roman"/>
          <w:color w:val="000000"/>
          <w:szCs w:val="18"/>
        </w:rPr>
        <w:t xml:space="preserve">-2021-IN. </w:t>
      </w:r>
    </w:p>
  </w:footnote>
  <w:footnote w:id="16">
    <w:p w14:paraId="3D79FF9B" w14:textId="544EEA6A" w:rsidR="00362916" w:rsidRPr="005741D2" w:rsidRDefault="000D314C" w:rsidP="000D314C">
      <w:pPr>
        <w:pStyle w:val="Textonotapie"/>
        <w:rPr>
          <w:szCs w:val="18"/>
        </w:rPr>
      </w:pPr>
      <w:r w:rsidRPr="005741D2">
        <w:rPr>
          <w:rFonts w:eastAsia="Times New Roman"/>
          <w:color w:val="000000"/>
          <w:szCs w:val="18"/>
        </w:rPr>
        <w:tab/>
      </w:r>
      <w:r w:rsidR="00362916" w:rsidRPr="005741D2">
        <w:rPr>
          <w:rStyle w:val="Refdenotaalpie"/>
          <w:szCs w:val="18"/>
        </w:rPr>
        <w:footnoteRef/>
      </w:r>
      <w:r w:rsidRPr="005741D2">
        <w:rPr>
          <w:rFonts w:eastAsia="Times New Roman"/>
          <w:color w:val="000000"/>
          <w:szCs w:val="18"/>
        </w:rPr>
        <w:tab/>
      </w:r>
      <w:proofErr w:type="spellStart"/>
      <w:r w:rsidR="00362916" w:rsidRPr="005741D2">
        <w:rPr>
          <w:rFonts w:eastAsia="Times New Roman"/>
          <w:color w:val="000000"/>
          <w:szCs w:val="18"/>
        </w:rPr>
        <w:t>MINAM</w:t>
      </w:r>
      <w:proofErr w:type="spellEnd"/>
      <w:r w:rsidR="00362916" w:rsidRPr="005741D2">
        <w:rPr>
          <w:rFonts w:eastAsia="Times New Roman"/>
          <w:color w:val="000000"/>
          <w:szCs w:val="18"/>
        </w:rPr>
        <w:t xml:space="preserve">. R. M. </w:t>
      </w:r>
      <w:proofErr w:type="spellStart"/>
      <w:r w:rsidR="00362916" w:rsidRPr="005741D2">
        <w:rPr>
          <w:rFonts w:eastAsia="Times New Roman"/>
          <w:color w:val="000000"/>
          <w:szCs w:val="18"/>
        </w:rPr>
        <w:t>N°096</w:t>
      </w:r>
      <w:proofErr w:type="spellEnd"/>
      <w:r w:rsidR="00362916" w:rsidRPr="005741D2">
        <w:rPr>
          <w:rFonts w:eastAsia="Times New Roman"/>
          <w:color w:val="000000"/>
          <w:szCs w:val="18"/>
        </w:rPr>
        <w:t>-2021-</w:t>
      </w:r>
      <w:proofErr w:type="spellStart"/>
      <w:r w:rsidR="00362916" w:rsidRPr="005741D2">
        <w:rPr>
          <w:rFonts w:eastAsia="Times New Roman"/>
          <w:color w:val="000000"/>
          <w:szCs w:val="18"/>
        </w:rPr>
        <w:t>MINAM</w:t>
      </w:r>
      <w:proofErr w:type="spellEnd"/>
      <w:r w:rsidR="00ED3A23" w:rsidRPr="005741D2">
        <w:rPr>
          <w:rFonts w:eastAsia="Times New Roman"/>
          <w:color w:val="000000"/>
          <w:szCs w:val="18"/>
        </w:rPr>
        <w:t>.</w:t>
      </w:r>
    </w:p>
  </w:footnote>
  <w:footnote w:id="17">
    <w:p w14:paraId="6A51718B" w14:textId="4BC07714" w:rsidR="00362916" w:rsidRPr="005741D2" w:rsidRDefault="000D314C"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MINAM</w:t>
      </w:r>
      <w:proofErr w:type="spellEnd"/>
      <w:r w:rsidR="00362916" w:rsidRPr="005741D2">
        <w:rPr>
          <w:rFonts w:eastAsia="Times New Roman"/>
          <w:color w:val="000000"/>
          <w:szCs w:val="18"/>
        </w:rPr>
        <w:t xml:space="preserve">. PLAN NACIONAL DE </w:t>
      </w:r>
      <w:proofErr w:type="spellStart"/>
      <w:r w:rsidR="00362916" w:rsidRPr="005741D2">
        <w:rPr>
          <w:rFonts w:eastAsia="Times New Roman"/>
          <w:color w:val="000000"/>
          <w:szCs w:val="18"/>
        </w:rPr>
        <w:t>ADAPTACION</w:t>
      </w:r>
      <w:proofErr w:type="spellEnd"/>
      <w:r w:rsidR="00362916" w:rsidRPr="005741D2">
        <w:rPr>
          <w:rFonts w:eastAsia="Times New Roman"/>
          <w:color w:val="000000"/>
          <w:szCs w:val="18"/>
        </w:rPr>
        <w:t xml:space="preserve"> AL CAMBIO </w:t>
      </w:r>
      <w:proofErr w:type="spellStart"/>
      <w:r w:rsidR="00362916" w:rsidRPr="005741D2">
        <w:rPr>
          <w:rFonts w:eastAsia="Times New Roman"/>
          <w:color w:val="000000"/>
          <w:szCs w:val="18"/>
        </w:rPr>
        <w:t>CLIMATICO</w:t>
      </w:r>
      <w:proofErr w:type="spellEnd"/>
      <w:r w:rsidR="00362916" w:rsidRPr="005741D2">
        <w:rPr>
          <w:rFonts w:eastAsia="Times New Roman"/>
          <w:color w:val="000000"/>
          <w:szCs w:val="18"/>
        </w:rPr>
        <w:t xml:space="preserve"> Disponible en:</w:t>
      </w:r>
      <w:r w:rsidR="003405FF" w:rsidRPr="005741D2">
        <w:rPr>
          <w:rFonts w:eastAsia="Times New Roman"/>
          <w:color w:val="000000"/>
          <w:szCs w:val="18"/>
        </w:rPr>
        <w:t xml:space="preserve"> </w:t>
      </w:r>
      <w:r w:rsidR="00362916" w:rsidRPr="005741D2">
        <w:rPr>
          <w:rFonts w:eastAsia="Times New Roman"/>
          <w:color w:val="000000"/>
          <w:szCs w:val="18"/>
        </w:rPr>
        <w:t>https://sinia.minam.gob.pe/sites/default/files/siar-puno/archivos/public/docs/nap_planeamiento_e_implementacion_gore.pdf</w:t>
      </w:r>
      <w:r w:rsidR="00ED3A23" w:rsidRPr="005741D2">
        <w:rPr>
          <w:rFonts w:eastAsia="Times New Roman"/>
          <w:color w:val="000000"/>
          <w:szCs w:val="18"/>
        </w:rPr>
        <w:t>.</w:t>
      </w:r>
    </w:p>
  </w:footnote>
  <w:footnote w:id="18">
    <w:p w14:paraId="517DC4C6" w14:textId="1761BDEF" w:rsidR="00362916" w:rsidRPr="005741D2" w:rsidRDefault="000D314C"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19">
    <w:p w14:paraId="5EAD3F9F" w14:textId="60E23015" w:rsidR="00362916" w:rsidRPr="005D1273" w:rsidRDefault="000D314C" w:rsidP="000D314C">
      <w:pPr>
        <w:pStyle w:val="Textonotapie"/>
        <w:rPr>
          <w:rFonts w:eastAsia="Times New Roman"/>
          <w:color w:val="000000"/>
          <w:sz w:val="16"/>
          <w:szCs w:val="16"/>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Los programas presupuestales (PP) consisten en unidades de programación de las acciones de las entidades públicas que orientan</w:t>
      </w:r>
      <w:r w:rsidRPr="005741D2">
        <w:rPr>
          <w:rFonts w:eastAsia="Times New Roman"/>
          <w:color w:val="000000"/>
          <w:szCs w:val="18"/>
        </w:rPr>
        <w:t xml:space="preserve"> </w:t>
      </w:r>
      <w:r w:rsidR="00362916" w:rsidRPr="005741D2">
        <w:rPr>
          <w:rFonts w:eastAsia="Times New Roman"/>
          <w:color w:val="000000"/>
          <w:szCs w:val="18"/>
        </w:rPr>
        <w:t>a proveer productos para lograr un resultado especifico y contribuir al logro de un resultado final asociado a un objetivo de política pública.</w:t>
      </w:r>
    </w:p>
  </w:footnote>
  <w:footnote w:id="20">
    <w:p w14:paraId="376E8DD4" w14:textId="34B8249F" w:rsidR="00362916" w:rsidRPr="005741D2" w:rsidRDefault="000D314C"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Conservación y uso sostenible de los ecosistemas.</w:t>
      </w:r>
    </w:p>
  </w:footnote>
  <w:footnote w:id="21">
    <w:p w14:paraId="2743DA67" w14:textId="4019B16B" w:rsidR="00362916" w:rsidRPr="005741D2" w:rsidRDefault="000D314C" w:rsidP="00362916">
      <w:pPr>
        <w:pStyle w:val="Textonotapie"/>
        <w:rPr>
          <w:rFonts w:eastAsia="Times New Roman"/>
          <w:color w:val="000000"/>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Reducción de vulnerabilidad y atención de emergencias.</w:t>
      </w:r>
    </w:p>
  </w:footnote>
  <w:footnote w:id="22">
    <w:p w14:paraId="711E79D5" w14:textId="2515603C" w:rsidR="00362916" w:rsidRPr="005741D2" w:rsidRDefault="000D314C"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Aprovechamiento de los recursos hídricos para uso agrario.</w:t>
      </w:r>
    </w:p>
  </w:footnote>
  <w:footnote w:id="23">
    <w:p w14:paraId="3934C71B" w14:textId="663547EE" w:rsidR="00362916" w:rsidRPr="005741D2" w:rsidRDefault="000D314C"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Competitividad y aprovechamiento sostenible de los recursos forestales y de fauna silvestre.</w:t>
      </w:r>
    </w:p>
  </w:footnote>
  <w:footnote w:id="24">
    <w:p w14:paraId="38C731D9" w14:textId="0FD47FBE" w:rsidR="00362916" w:rsidRPr="005741D2" w:rsidRDefault="000D314C" w:rsidP="00362916">
      <w:pPr>
        <w:pStyle w:val="Textonotapie"/>
        <w:rPr>
          <w:rFonts w:eastAsia="Times New Roman"/>
          <w:color w:val="000000"/>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Adecuado aprovechamiento de los recursos hídricos e hidrobiológicas para la producción agrícola.</w:t>
      </w:r>
    </w:p>
  </w:footnote>
  <w:footnote w:id="25">
    <w:p w14:paraId="4CD01FE8" w14:textId="2009B10E" w:rsidR="00362916" w:rsidRPr="005741D2" w:rsidRDefault="000D314C"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PCM</w:t>
      </w:r>
      <w:proofErr w:type="spellEnd"/>
      <w:r w:rsidR="00362916" w:rsidRPr="005741D2">
        <w:rPr>
          <w:rFonts w:eastAsia="Times New Roman"/>
          <w:color w:val="000000"/>
          <w:szCs w:val="18"/>
        </w:rPr>
        <w:t xml:space="preserve">. OFICIO </w:t>
      </w:r>
      <w:proofErr w:type="spellStart"/>
      <w:r w:rsidR="00362916" w:rsidRPr="005741D2">
        <w:rPr>
          <w:rFonts w:eastAsia="Times New Roman"/>
          <w:color w:val="000000"/>
          <w:szCs w:val="18"/>
        </w:rPr>
        <w:t>N°D000340</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PCM</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OGPP</w:t>
      </w:r>
      <w:proofErr w:type="spellEnd"/>
      <w:r w:rsidR="00362916" w:rsidRPr="005741D2">
        <w:rPr>
          <w:rFonts w:eastAsia="Times New Roman"/>
          <w:color w:val="000000"/>
          <w:szCs w:val="18"/>
        </w:rPr>
        <w:t>. Fecha 11. 09. 24.</w:t>
      </w:r>
      <w:r w:rsidR="00362916" w:rsidRPr="005741D2">
        <w:rPr>
          <w:szCs w:val="18"/>
        </w:rPr>
        <w:t xml:space="preserve"> </w:t>
      </w:r>
    </w:p>
  </w:footnote>
  <w:footnote w:id="26">
    <w:p w14:paraId="6764EB75" w14:textId="0002F4EF" w:rsidR="00362916" w:rsidRPr="005741D2" w:rsidRDefault="00B1665D"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27">
    <w:p w14:paraId="25A9E217" w14:textId="2EDA343D" w:rsidR="00362916" w:rsidRPr="005741D2" w:rsidRDefault="00B1665D" w:rsidP="00362916">
      <w:pPr>
        <w:pStyle w:val="Textonotapie"/>
        <w:rPr>
          <w:rFonts w:eastAsia="Times New Roman"/>
          <w:color w:val="000000"/>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 xml:space="preserve">Creado mediante Ley </w:t>
      </w:r>
      <w:proofErr w:type="spellStart"/>
      <w:r w:rsidR="00362916" w:rsidRPr="005741D2">
        <w:rPr>
          <w:rFonts w:eastAsia="Times New Roman"/>
          <w:color w:val="000000"/>
          <w:szCs w:val="18"/>
        </w:rPr>
        <w:t>N°29664</w:t>
      </w:r>
      <w:proofErr w:type="spellEnd"/>
      <w:r w:rsidR="00362916" w:rsidRPr="005741D2">
        <w:rPr>
          <w:rFonts w:eastAsia="Times New Roman"/>
          <w:color w:val="000000"/>
          <w:szCs w:val="18"/>
        </w:rPr>
        <w:t xml:space="preserve">. </w:t>
      </w:r>
    </w:p>
  </w:footnote>
  <w:footnote w:id="28">
    <w:p w14:paraId="01534621" w14:textId="0412CCF3" w:rsidR="00362916" w:rsidRPr="005741D2" w:rsidRDefault="00B1665D"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 xml:space="preserve">INDECI. OFICIO </w:t>
      </w:r>
      <w:proofErr w:type="spellStart"/>
      <w:r w:rsidR="00362916" w:rsidRPr="005741D2">
        <w:rPr>
          <w:rFonts w:eastAsia="Times New Roman"/>
          <w:color w:val="000000"/>
          <w:szCs w:val="18"/>
        </w:rPr>
        <w:t>N°002388</w:t>
      </w:r>
      <w:proofErr w:type="spellEnd"/>
      <w:r w:rsidR="00362916" w:rsidRPr="005741D2">
        <w:rPr>
          <w:rFonts w:eastAsia="Times New Roman"/>
          <w:color w:val="000000"/>
          <w:szCs w:val="18"/>
        </w:rPr>
        <w:t>-2024-INDECI/SEC GRAL</w:t>
      </w:r>
      <w:r w:rsidR="003A4CF7" w:rsidRPr="005741D2">
        <w:rPr>
          <w:rFonts w:eastAsia="Times New Roman"/>
          <w:color w:val="000000"/>
          <w:szCs w:val="18"/>
        </w:rPr>
        <w:t>.</w:t>
      </w:r>
    </w:p>
  </w:footnote>
  <w:footnote w:id="29">
    <w:p w14:paraId="72B6152F" w14:textId="56271A93" w:rsidR="00362916" w:rsidRPr="005741D2" w:rsidRDefault="00B1665D"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D.S</w:t>
      </w:r>
      <w:proofErr w:type="spellEnd"/>
      <w:r w:rsidR="00362916" w:rsidRPr="005741D2">
        <w:rPr>
          <w:rFonts w:eastAsia="Times New Roman"/>
          <w:color w:val="000000"/>
          <w:szCs w:val="18"/>
        </w:rPr>
        <w:t>. 008-2022-</w:t>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w:t>
      </w:r>
    </w:p>
  </w:footnote>
  <w:footnote w:id="30">
    <w:p w14:paraId="4E57AAEE" w14:textId="604D3003" w:rsidR="00362916" w:rsidRPr="0086255D" w:rsidRDefault="00B1665D" w:rsidP="00362916">
      <w:pPr>
        <w:pStyle w:val="Textonotapie"/>
      </w:pPr>
      <w:r w:rsidRPr="005741D2">
        <w:rPr>
          <w:szCs w:val="18"/>
        </w:rPr>
        <w:tab/>
      </w:r>
      <w:r w:rsidR="00362916" w:rsidRPr="005741D2">
        <w:rPr>
          <w:szCs w:val="18"/>
          <w:vertAlign w:val="superscript"/>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N°D000277</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DGPE</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Fecha.11.09.2024</w:t>
      </w:r>
      <w:proofErr w:type="spellEnd"/>
      <w:r w:rsidR="003A4CF7" w:rsidRPr="005741D2">
        <w:rPr>
          <w:rFonts w:eastAsia="Times New Roman"/>
          <w:color w:val="000000"/>
          <w:szCs w:val="18"/>
        </w:rPr>
        <w:t>.</w:t>
      </w:r>
    </w:p>
  </w:footnote>
  <w:footnote w:id="31">
    <w:p w14:paraId="14453F69" w14:textId="320FAC8F" w:rsidR="00362916" w:rsidRPr="005741D2" w:rsidRDefault="009A4034"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MINAM</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D.S</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N°002</w:t>
      </w:r>
      <w:proofErr w:type="spellEnd"/>
      <w:r w:rsidR="00362916" w:rsidRPr="005741D2">
        <w:rPr>
          <w:rFonts w:eastAsia="Times New Roman"/>
          <w:color w:val="000000"/>
          <w:szCs w:val="18"/>
        </w:rPr>
        <w:t>-2009-</w:t>
      </w:r>
      <w:proofErr w:type="spellStart"/>
      <w:r w:rsidR="00362916" w:rsidRPr="005741D2">
        <w:rPr>
          <w:rFonts w:eastAsia="Times New Roman"/>
          <w:color w:val="000000"/>
          <w:szCs w:val="18"/>
        </w:rPr>
        <w:t>MINAM</w:t>
      </w:r>
      <w:proofErr w:type="spellEnd"/>
      <w:r w:rsidR="00362916" w:rsidRPr="005741D2">
        <w:rPr>
          <w:rFonts w:eastAsia="Times New Roman"/>
          <w:color w:val="000000"/>
          <w:szCs w:val="18"/>
        </w:rPr>
        <w:t>. Fecha. 17.01.2024</w:t>
      </w:r>
      <w:r w:rsidR="003A4CF7" w:rsidRPr="005741D2">
        <w:rPr>
          <w:rFonts w:eastAsia="Times New Roman"/>
          <w:color w:val="000000"/>
          <w:szCs w:val="18"/>
        </w:rPr>
        <w:t>.</w:t>
      </w:r>
    </w:p>
  </w:footnote>
  <w:footnote w:id="32">
    <w:p w14:paraId="3F9E558B" w14:textId="48D210BB" w:rsidR="00362916" w:rsidRPr="005741D2" w:rsidRDefault="009A4034" w:rsidP="009A4034">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 R.C.D. 033-2022-</w:t>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-CD. Aprobado: 12.05.2022.</w:t>
      </w:r>
    </w:p>
  </w:footnote>
  <w:footnote w:id="33">
    <w:p w14:paraId="38448A64" w14:textId="3DD8A4AF" w:rsidR="00362916" w:rsidRPr="005741D2" w:rsidRDefault="009A4034" w:rsidP="009A4034">
      <w:pPr>
        <w:pStyle w:val="Textonotapie"/>
        <w:rPr>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 R.C.D. 028-2021-</w:t>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-CD. Aprobado: 27.07.2021.</w:t>
      </w:r>
    </w:p>
  </w:footnote>
  <w:footnote w:id="34">
    <w:p w14:paraId="387DF073" w14:textId="353C1972" w:rsidR="00362916" w:rsidRPr="005741D2" w:rsidRDefault="009A4034" w:rsidP="009A4034">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Según la Reglamento General de Tarifas, un Plan Maestro Optimizado es una herramienta de planeamiento a largo plazo, con un horizonte de 30 años, que contiene la programación de inversiones en condiciones de eficiencia y proyecciones económicas financieras del desarrollo eficiente de las operaciones de las empresas prestadoras.</w:t>
      </w:r>
    </w:p>
  </w:footnote>
  <w:footnote w:id="35">
    <w:p w14:paraId="527E489D" w14:textId="5DA8F591" w:rsidR="00362916" w:rsidRPr="005741D2" w:rsidRDefault="009A4034" w:rsidP="009A4034">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 Oficio 434-2024-</w:t>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GG</w:t>
      </w:r>
      <w:proofErr w:type="spellEnd"/>
      <w:r w:rsidR="00362916" w:rsidRPr="005741D2">
        <w:rPr>
          <w:rFonts w:eastAsia="Times New Roman"/>
          <w:color w:val="000000"/>
          <w:szCs w:val="18"/>
        </w:rPr>
        <w:t xml:space="preserve"> del 06.09.2024.</w:t>
      </w:r>
    </w:p>
  </w:footnote>
  <w:footnote w:id="36">
    <w:p w14:paraId="51B48AE6" w14:textId="24BF86D9" w:rsidR="00362916" w:rsidRPr="005741D2" w:rsidRDefault="009A4034"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PCM</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D.S</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N°067</w:t>
      </w:r>
      <w:proofErr w:type="spellEnd"/>
      <w:r w:rsidR="00362916" w:rsidRPr="005741D2">
        <w:rPr>
          <w:rFonts w:eastAsia="Times New Roman"/>
          <w:color w:val="000000"/>
          <w:szCs w:val="18"/>
        </w:rPr>
        <w:t>-2011-</w:t>
      </w:r>
      <w:proofErr w:type="spellStart"/>
      <w:r w:rsidR="00362916" w:rsidRPr="005741D2">
        <w:rPr>
          <w:rFonts w:eastAsia="Times New Roman"/>
          <w:color w:val="000000"/>
          <w:szCs w:val="18"/>
        </w:rPr>
        <w:t>PCM</w:t>
      </w:r>
      <w:proofErr w:type="spellEnd"/>
      <w:r w:rsidR="003A4CF7" w:rsidRPr="005741D2">
        <w:rPr>
          <w:rFonts w:eastAsia="Times New Roman"/>
          <w:color w:val="000000"/>
          <w:szCs w:val="18"/>
        </w:rPr>
        <w:t>.</w:t>
      </w:r>
    </w:p>
  </w:footnote>
  <w:footnote w:id="37">
    <w:p w14:paraId="1641678F" w14:textId="1E5BC48A" w:rsidR="00362916" w:rsidRPr="005741D2" w:rsidRDefault="009A4034"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 xml:space="preserve">MRE. Resolución Ministerial </w:t>
      </w:r>
      <w:proofErr w:type="spellStart"/>
      <w:r w:rsidR="00362916" w:rsidRPr="005741D2">
        <w:rPr>
          <w:rFonts w:eastAsia="Times New Roman"/>
          <w:color w:val="000000"/>
          <w:szCs w:val="18"/>
        </w:rPr>
        <w:t>N°0037</w:t>
      </w:r>
      <w:proofErr w:type="spellEnd"/>
      <w:r w:rsidR="00362916" w:rsidRPr="005741D2">
        <w:rPr>
          <w:rFonts w:eastAsia="Times New Roman"/>
          <w:color w:val="000000"/>
          <w:szCs w:val="18"/>
        </w:rPr>
        <w:t>/RE-2014.</w:t>
      </w:r>
    </w:p>
  </w:footnote>
  <w:footnote w:id="38">
    <w:p w14:paraId="662E8FCB" w14:textId="031626BC" w:rsidR="00362916" w:rsidRDefault="009A4034"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Durante el periodo que se reporta.</w:t>
      </w:r>
    </w:p>
  </w:footnote>
  <w:footnote w:id="39">
    <w:p w14:paraId="234F5D74" w14:textId="1C1D2274" w:rsidR="00362916" w:rsidRPr="005741D2" w:rsidRDefault="009A4034"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Artículo 2° de la Ley 2978</w:t>
      </w:r>
      <w:r w:rsidR="003A4CF7" w:rsidRPr="005741D2">
        <w:rPr>
          <w:rFonts w:eastAsia="Times New Roman"/>
          <w:color w:val="000000"/>
          <w:szCs w:val="18"/>
        </w:rPr>
        <w:t>.</w:t>
      </w:r>
    </w:p>
  </w:footnote>
  <w:footnote w:id="40">
    <w:p w14:paraId="36C0E489" w14:textId="418FACC3" w:rsidR="00362916" w:rsidRPr="005741D2" w:rsidRDefault="009A4034"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 xml:space="preserve">TC. </w:t>
      </w:r>
      <w:proofErr w:type="spellStart"/>
      <w:r w:rsidR="00362916" w:rsidRPr="005741D2">
        <w:rPr>
          <w:rFonts w:eastAsia="Times New Roman"/>
          <w:color w:val="000000"/>
          <w:szCs w:val="18"/>
        </w:rPr>
        <w:t>Exp</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N°03326</w:t>
      </w:r>
      <w:proofErr w:type="spellEnd"/>
      <w:r w:rsidR="00362916" w:rsidRPr="005741D2">
        <w:rPr>
          <w:rFonts w:eastAsia="Times New Roman"/>
          <w:color w:val="000000"/>
          <w:szCs w:val="18"/>
        </w:rPr>
        <w:t>-2017-</w:t>
      </w:r>
      <w:proofErr w:type="spellStart"/>
      <w:r w:rsidR="00362916" w:rsidRPr="005741D2">
        <w:rPr>
          <w:rFonts w:eastAsia="Times New Roman"/>
          <w:color w:val="000000"/>
          <w:szCs w:val="18"/>
        </w:rPr>
        <w:t>PA</w:t>
      </w:r>
      <w:proofErr w:type="spellEnd"/>
      <w:r w:rsidR="00362916" w:rsidRPr="005741D2">
        <w:rPr>
          <w:rFonts w:eastAsia="Times New Roman"/>
          <w:color w:val="000000"/>
          <w:szCs w:val="18"/>
        </w:rPr>
        <w:t>/TC, párrafos 29 al 42.</w:t>
      </w:r>
    </w:p>
  </w:footnote>
  <w:footnote w:id="41">
    <w:p w14:paraId="210C3ADB" w14:textId="02783744" w:rsidR="00362916" w:rsidRPr="005741D2" w:rsidRDefault="006E795A"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bookmarkStart w:id="14" w:name="_Hlk184908066"/>
      <w:r w:rsidRPr="005741D2">
        <w:rPr>
          <w:szCs w:val="18"/>
        </w:rPr>
        <w:tab/>
      </w:r>
      <w:r w:rsidR="00362916" w:rsidRPr="005741D2">
        <w:rPr>
          <w:rFonts w:eastAsia="Times New Roman"/>
          <w:color w:val="000000"/>
          <w:szCs w:val="18"/>
        </w:rPr>
        <w:t xml:space="preserve">INEI. Correo de </w:t>
      </w:r>
      <w:hyperlink r:id="rId1" w:history="1">
        <w:proofErr w:type="spellStart"/>
        <w:r w:rsidR="00362916" w:rsidRPr="005741D2">
          <w:rPr>
            <w:rFonts w:eastAsia="Times New Roman"/>
            <w:color w:val="000000"/>
            <w:szCs w:val="18"/>
          </w:rPr>
          <w:t>infoinei@inei.gob.pe</w:t>
        </w:r>
        <w:proofErr w:type="spellEnd"/>
      </w:hyperlink>
      <w:r w:rsidR="00362916" w:rsidRPr="005741D2">
        <w:rPr>
          <w:rFonts w:eastAsia="Times New Roman"/>
          <w:color w:val="000000"/>
          <w:szCs w:val="18"/>
        </w:rPr>
        <w:t xml:space="preserve"> Fecha: 09.09.2024</w:t>
      </w:r>
      <w:r w:rsidR="005A3EB6" w:rsidRPr="005741D2">
        <w:rPr>
          <w:rFonts w:eastAsia="Times New Roman"/>
          <w:color w:val="000000"/>
          <w:szCs w:val="18"/>
        </w:rPr>
        <w:t>.</w:t>
      </w:r>
      <w:r w:rsidR="00362916" w:rsidRPr="005741D2">
        <w:rPr>
          <w:szCs w:val="18"/>
        </w:rPr>
        <w:t xml:space="preserve"> </w:t>
      </w:r>
      <w:bookmarkEnd w:id="14"/>
    </w:p>
  </w:footnote>
  <w:footnote w:id="42">
    <w:p w14:paraId="6D3AAA4A" w14:textId="2A5B01FC" w:rsidR="00362916" w:rsidRPr="00581A4C" w:rsidRDefault="00684D99"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43">
    <w:p w14:paraId="7EA3C4B3" w14:textId="32909D17" w:rsidR="00362916" w:rsidRPr="005741D2" w:rsidRDefault="00C21F69" w:rsidP="00362916">
      <w:pPr>
        <w:pStyle w:val="Textonotapie"/>
        <w:rPr>
          <w:rFonts w:eastAsia="Times New Roman"/>
          <w:color w:val="000000"/>
          <w:szCs w:val="18"/>
        </w:rPr>
      </w:pPr>
      <w: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BCRP</w:t>
      </w:r>
      <w:proofErr w:type="spellEnd"/>
      <w:r w:rsidR="00362916" w:rsidRPr="005741D2">
        <w:rPr>
          <w:rFonts w:eastAsia="Times New Roman"/>
          <w:color w:val="000000"/>
          <w:szCs w:val="18"/>
        </w:rPr>
        <w:t xml:space="preserve">. CARTA </w:t>
      </w:r>
      <w:proofErr w:type="spellStart"/>
      <w:r w:rsidR="00362916" w:rsidRPr="005741D2">
        <w:rPr>
          <w:rFonts w:eastAsia="Times New Roman"/>
          <w:color w:val="000000"/>
          <w:szCs w:val="18"/>
        </w:rPr>
        <w:t>N°0039</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BCRP</w:t>
      </w:r>
      <w:proofErr w:type="spellEnd"/>
      <w:r w:rsidR="00362916" w:rsidRPr="005741D2">
        <w:rPr>
          <w:rFonts w:eastAsia="Times New Roman"/>
          <w:color w:val="000000"/>
          <w:szCs w:val="18"/>
        </w:rPr>
        <w:t>. Fecha: 06.09.2024</w:t>
      </w:r>
      <w:r w:rsidR="005A3EB6" w:rsidRPr="005741D2">
        <w:rPr>
          <w:rFonts w:eastAsia="Times New Roman"/>
          <w:color w:val="000000"/>
          <w:szCs w:val="18"/>
        </w:rPr>
        <w:t>.</w:t>
      </w:r>
    </w:p>
  </w:footnote>
  <w:footnote w:id="44">
    <w:p w14:paraId="6BBE15EA" w14:textId="63A6DEA0" w:rsidR="00362916" w:rsidRPr="00EC29BF" w:rsidRDefault="00C21F69"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r w:rsidR="005A3EB6" w:rsidRPr="005741D2">
        <w:rPr>
          <w:rFonts w:eastAsia="Times New Roman"/>
          <w:color w:val="000000"/>
          <w:szCs w:val="18"/>
        </w:rPr>
        <w:t>.</w:t>
      </w:r>
    </w:p>
  </w:footnote>
  <w:footnote w:id="45">
    <w:p w14:paraId="765B9AD4" w14:textId="04F2C2E3" w:rsidR="00362916" w:rsidRPr="005741D2" w:rsidRDefault="00C21F69"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CEPLAN</w:t>
      </w:r>
      <w:proofErr w:type="spellEnd"/>
      <w:r w:rsidR="00362916" w:rsidRPr="005741D2">
        <w:rPr>
          <w:rFonts w:eastAsia="Times New Roman"/>
          <w:color w:val="000000"/>
          <w:szCs w:val="18"/>
        </w:rPr>
        <w:t xml:space="preserve">: Resolución de Presidencia de Consejo Directivo </w:t>
      </w:r>
      <w:proofErr w:type="spellStart"/>
      <w:r w:rsidR="00362916" w:rsidRPr="005741D2">
        <w:rPr>
          <w:rFonts w:eastAsia="Times New Roman"/>
          <w:color w:val="000000"/>
          <w:szCs w:val="18"/>
        </w:rPr>
        <w:t>N°00085</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CEPLAN</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PCD</w:t>
      </w:r>
      <w:proofErr w:type="spellEnd"/>
      <w:r w:rsidR="00FF3E21" w:rsidRPr="005741D2">
        <w:rPr>
          <w:rFonts w:eastAsia="Times New Roman"/>
          <w:color w:val="000000"/>
          <w:szCs w:val="18"/>
        </w:rPr>
        <w:t>.</w:t>
      </w:r>
    </w:p>
  </w:footnote>
  <w:footnote w:id="46">
    <w:p w14:paraId="334FBBB7" w14:textId="702B3755" w:rsidR="00362916" w:rsidRPr="005741D2" w:rsidRDefault="00C21F69"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N°D00295-MIDIS</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DGPE</w:t>
      </w:r>
      <w:proofErr w:type="spellEnd"/>
      <w:r w:rsidR="00FF3E21" w:rsidRPr="005741D2">
        <w:rPr>
          <w:rFonts w:eastAsia="Times New Roman"/>
          <w:color w:val="000000"/>
          <w:szCs w:val="18"/>
        </w:rPr>
        <w:t>.</w:t>
      </w:r>
    </w:p>
  </w:footnote>
  <w:footnote w:id="47">
    <w:p w14:paraId="14E12955" w14:textId="3E51FC39" w:rsidR="00362916" w:rsidRPr="005741D2" w:rsidRDefault="00C21F69"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Se considera baja secundaria al 1° y 2° de educación secundaria.</w:t>
      </w:r>
    </w:p>
  </w:footnote>
  <w:footnote w:id="48">
    <w:p w14:paraId="1CFB7128" w14:textId="031EE0B7" w:rsidR="00362916" w:rsidRPr="005741D2" w:rsidRDefault="00C21F69"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Se considera alta secundaria del 3° a 5° de educación secundaria</w:t>
      </w:r>
      <w:r w:rsidR="00FF3E21" w:rsidRPr="005741D2">
        <w:rPr>
          <w:rFonts w:eastAsia="Times New Roman"/>
          <w:color w:val="000000"/>
          <w:szCs w:val="18"/>
        </w:rPr>
        <w:t>.</w:t>
      </w:r>
    </w:p>
  </w:footnote>
  <w:footnote w:id="49">
    <w:p w14:paraId="7530C5BF" w14:textId="3D11D391" w:rsidR="00362916" w:rsidRPr="005741D2" w:rsidRDefault="00C21F69"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Disponible en: https://</w:t>
      </w:r>
      <w:proofErr w:type="spellStart"/>
      <w:r w:rsidR="00362916" w:rsidRPr="005741D2">
        <w:rPr>
          <w:rFonts w:eastAsia="Times New Roman"/>
          <w:color w:val="000000"/>
          <w:szCs w:val="18"/>
        </w:rPr>
        <w:t>bit.ly</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TOperativo_v2</w:t>
      </w:r>
      <w:proofErr w:type="spellEnd"/>
      <w:r w:rsidR="00362916" w:rsidRPr="005741D2">
        <w:rPr>
          <w:rFonts w:eastAsia="Times New Roman"/>
          <w:color w:val="000000"/>
          <w:szCs w:val="18"/>
        </w:rPr>
        <w:t>.</w:t>
      </w:r>
    </w:p>
  </w:footnote>
  <w:footnote w:id="50">
    <w:p w14:paraId="6B1F35C2" w14:textId="6FEE36DE" w:rsidR="00362916" w:rsidRPr="00120CFF" w:rsidRDefault="00C21F69"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w:t>
      </w:r>
      <w:proofErr w:type="spellStart"/>
      <w:r w:rsidR="00362916" w:rsidRPr="005741D2">
        <w:rPr>
          <w:rFonts w:eastAsia="Times New Roman"/>
          <w:color w:val="000000"/>
          <w:szCs w:val="18"/>
        </w:rPr>
        <w:t>D.S</w:t>
      </w:r>
      <w:proofErr w:type="spellEnd"/>
      <w:r w:rsidR="00362916" w:rsidRPr="005741D2">
        <w:rPr>
          <w:rFonts w:eastAsia="Times New Roman"/>
          <w:color w:val="000000"/>
          <w:szCs w:val="18"/>
        </w:rPr>
        <w:t>. 008-2022-</w:t>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del 31.12.2022.</w:t>
      </w:r>
    </w:p>
  </w:footnote>
  <w:footnote w:id="51">
    <w:p w14:paraId="275E399B" w14:textId="04852667" w:rsidR="00362916" w:rsidRPr="005741D2" w:rsidRDefault="00C21F69"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szCs w:val="18"/>
        </w:rPr>
        <w:t>Véase en: https://</w:t>
      </w:r>
      <w:proofErr w:type="spellStart"/>
      <w:r w:rsidR="00362916" w:rsidRPr="005741D2">
        <w:rPr>
          <w:rFonts w:eastAsia="Times New Roman"/>
          <w:szCs w:val="18"/>
        </w:rPr>
        <w:t>busquedas.elperuano.pe</w:t>
      </w:r>
      <w:proofErr w:type="spellEnd"/>
      <w:r w:rsidR="00362916" w:rsidRPr="005741D2">
        <w:rPr>
          <w:rFonts w:eastAsia="Times New Roman"/>
          <w:szCs w:val="18"/>
        </w:rPr>
        <w:t>/dispositivo/NL/2032894-2</w:t>
      </w:r>
      <w:r w:rsidR="00FF3E21" w:rsidRPr="005741D2">
        <w:rPr>
          <w:rFonts w:eastAsia="Times New Roman"/>
          <w:szCs w:val="18"/>
        </w:rPr>
        <w:t>.</w:t>
      </w:r>
    </w:p>
  </w:footnote>
  <w:footnote w:id="52">
    <w:p w14:paraId="64D4B8F6" w14:textId="473A7860" w:rsidR="00362916" w:rsidRPr="005741D2" w:rsidRDefault="00C21F69"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PCM</w:t>
      </w:r>
      <w:proofErr w:type="spellEnd"/>
      <w:r w:rsidR="00362916" w:rsidRPr="005741D2">
        <w:rPr>
          <w:rFonts w:eastAsia="Times New Roman"/>
          <w:color w:val="000000"/>
          <w:szCs w:val="18"/>
        </w:rPr>
        <w:t xml:space="preserve">. OFICIO </w:t>
      </w:r>
      <w:proofErr w:type="spellStart"/>
      <w:r w:rsidR="00362916" w:rsidRPr="005741D2">
        <w:rPr>
          <w:rFonts w:eastAsia="Times New Roman"/>
          <w:color w:val="000000"/>
          <w:szCs w:val="18"/>
        </w:rPr>
        <w:t>N°D000340</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PCM</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OGPP</w:t>
      </w:r>
      <w:proofErr w:type="spellEnd"/>
      <w:r w:rsidR="00362916" w:rsidRPr="005741D2">
        <w:rPr>
          <w:rFonts w:eastAsia="Times New Roman"/>
          <w:color w:val="000000"/>
          <w:szCs w:val="18"/>
        </w:rPr>
        <w:t>. Fecha 11.09.2024</w:t>
      </w:r>
      <w:r w:rsidR="00FF3E21" w:rsidRPr="005741D2">
        <w:rPr>
          <w:rFonts w:eastAsia="Times New Roman"/>
          <w:color w:val="000000"/>
          <w:szCs w:val="18"/>
        </w:rPr>
        <w:t>.</w:t>
      </w:r>
    </w:p>
  </w:footnote>
  <w:footnote w:id="53">
    <w:p w14:paraId="4FC8A469" w14:textId="382238D9" w:rsidR="00362916" w:rsidRPr="005741D2" w:rsidRDefault="00DC0B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szCs w:val="18"/>
        </w:rPr>
        <w:t>Véase en:</w:t>
      </w:r>
      <w:r w:rsidR="00362916" w:rsidRPr="005741D2">
        <w:rPr>
          <w:szCs w:val="18"/>
        </w:rPr>
        <w:t xml:space="preserve"> </w:t>
      </w:r>
      <w:r w:rsidR="00362916" w:rsidRPr="005741D2">
        <w:rPr>
          <w:rFonts w:eastAsia="Times New Roman"/>
          <w:szCs w:val="18"/>
        </w:rPr>
        <w:t>https://cdn.www.gob.pe/uploads/document/file/2680954/Decreto%20Legislativo%20N%C2%B0%201327.pdf.pdf?v=1641328917</w:t>
      </w:r>
      <w:r w:rsidR="00FF3E21" w:rsidRPr="005741D2">
        <w:rPr>
          <w:rFonts w:eastAsia="Times New Roman"/>
          <w:szCs w:val="18"/>
        </w:rPr>
        <w:t>.</w:t>
      </w:r>
    </w:p>
  </w:footnote>
  <w:footnote w:id="54">
    <w:p w14:paraId="5F583153" w14:textId="2928CBA6" w:rsidR="00362916" w:rsidRPr="005741D2" w:rsidRDefault="00DC0B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szCs w:val="18"/>
        </w:rPr>
        <w:t>PCM</w:t>
      </w:r>
      <w:proofErr w:type="spellEnd"/>
      <w:r w:rsidR="00362916" w:rsidRPr="005741D2">
        <w:rPr>
          <w:rFonts w:eastAsia="Times New Roman"/>
          <w:szCs w:val="18"/>
        </w:rPr>
        <w:t xml:space="preserve">. OFICIO </w:t>
      </w:r>
      <w:proofErr w:type="spellStart"/>
      <w:r w:rsidR="00362916" w:rsidRPr="005741D2">
        <w:rPr>
          <w:rFonts w:eastAsia="Times New Roman"/>
          <w:szCs w:val="18"/>
        </w:rPr>
        <w:t>N°D000340</w:t>
      </w:r>
      <w:proofErr w:type="spellEnd"/>
      <w:r w:rsidR="00362916" w:rsidRPr="005741D2">
        <w:rPr>
          <w:rFonts w:eastAsia="Times New Roman"/>
          <w:szCs w:val="18"/>
        </w:rPr>
        <w:t>-2024-</w:t>
      </w:r>
      <w:proofErr w:type="spellStart"/>
      <w:r w:rsidR="00362916" w:rsidRPr="005741D2">
        <w:rPr>
          <w:rFonts w:eastAsia="Times New Roman"/>
          <w:szCs w:val="18"/>
        </w:rPr>
        <w:t>PCM</w:t>
      </w:r>
      <w:proofErr w:type="spellEnd"/>
      <w:r w:rsidR="00362916" w:rsidRPr="005741D2">
        <w:rPr>
          <w:rFonts w:eastAsia="Times New Roman"/>
          <w:szCs w:val="18"/>
        </w:rPr>
        <w:t>-</w:t>
      </w:r>
      <w:proofErr w:type="spellStart"/>
      <w:r w:rsidR="00362916" w:rsidRPr="005741D2">
        <w:rPr>
          <w:rFonts w:eastAsia="Times New Roman"/>
          <w:szCs w:val="18"/>
        </w:rPr>
        <w:t>OGPP</w:t>
      </w:r>
      <w:proofErr w:type="spellEnd"/>
      <w:r w:rsidR="00362916" w:rsidRPr="005741D2">
        <w:rPr>
          <w:rFonts w:eastAsia="Times New Roman"/>
          <w:szCs w:val="18"/>
        </w:rPr>
        <w:t>.</w:t>
      </w:r>
    </w:p>
  </w:footnote>
  <w:footnote w:id="55">
    <w:p w14:paraId="55692D8B" w14:textId="68470079" w:rsidR="00362916" w:rsidRDefault="00DC0B76" w:rsidP="00DC0B76">
      <w:pPr>
        <w:pStyle w:val="Textonotapie"/>
        <w:rPr>
          <w:rFonts w:eastAsia="Times New Roman"/>
          <w:color w:val="000000"/>
          <w:sz w:val="16"/>
          <w:szCs w:val="16"/>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proofErr w:type="spellStart"/>
      <w:r w:rsidR="00362916" w:rsidRPr="005741D2">
        <w:rPr>
          <w:rFonts w:eastAsia="Times New Roman"/>
          <w:color w:val="000000"/>
          <w:szCs w:val="18"/>
        </w:rPr>
        <w:t>PJ</w:t>
      </w:r>
      <w:proofErr w:type="spellEnd"/>
      <w:r w:rsidR="00362916" w:rsidRPr="005741D2">
        <w:rPr>
          <w:rFonts w:eastAsia="Times New Roman"/>
          <w:color w:val="000000"/>
          <w:szCs w:val="18"/>
        </w:rPr>
        <w:t xml:space="preserve"> &amp; </w:t>
      </w:r>
      <w:proofErr w:type="spellStart"/>
      <w:r w:rsidR="00362916" w:rsidRPr="005741D2">
        <w:rPr>
          <w:rFonts w:eastAsia="Times New Roman"/>
          <w:color w:val="000000"/>
          <w:szCs w:val="18"/>
        </w:rPr>
        <w:t>IDEHPUCP</w:t>
      </w:r>
      <w:proofErr w:type="spellEnd"/>
      <w:r w:rsidR="00362916" w:rsidRPr="005741D2">
        <w:rPr>
          <w:rFonts w:eastAsia="Times New Roman"/>
          <w:color w:val="000000"/>
          <w:szCs w:val="18"/>
        </w:rPr>
        <w:t xml:space="preserve"> (2021). Guía para actores judiciales. Acceso a la justicia de personas refugiadas y migrantes en el Perú desde los estándares internacionales de protección de los derechos humanos. Disponible en: </w:t>
      </w:r>
      <w:hyperlink r:id="rId2">
        <w:r w:rsidR="00362916" w:rsidRPr="005741D2">
          <w:rPr>
            <w:rFonts w:eastAsia="Times New Roman"/>
            <w:color w:val="0563C1"/>
            <w:szCs w:val="18"/>
          </w:rPr>
          <w:t>https://cdn01.pucp.education/idehpucp/wp-content/uploads/2022/04/25155551/guia_actores_judiciales_2021-version-digital_3_dic_2-1.pdf</w:t>
        </w:r>
      </w:hyperlink>
      <w:r w:rsidR="00FF3E21" w:rsidRPr="005741D2">
        <w:rPr>
          <w:szCs w:val="18"/>
        </w:rPr>
        <w:t>.</w:t>
      </w:r>
      <w:r w:rsidR="00362916">
        <w:rPr>
          <w:rFonts w:eastAsia="Times New Roman"/>
          <w:color w:val="000000"/>
          <w:sz w:val="16"/>
          <w:szCs w:val="16"/>
        </w:rPr>
        <w:t xml:space="preserve"> </w:t>
      </w:r>
    </w:p>
  </w:footnote>
  <w:footnote w:id="56">
    <w:p w14:paraId="3F051905" w14:textId="544F9B01" w:rsidR="00362916" w:rsidRPr="005741D2" w:rsidRDefault="00DC0B76" w:rsidP="00DC0B76">
      <w:pPr>
        <w:pStyle w:val="Textonotapie"/>
        <w:rPr>
          <w:rFonts w:eastAsia="Times New Roman"/>
          <w:color w:val="000000"/>
          <w:szCs w:val="18"/>
        </w:rPr>
      </w:pPr>
      <w:r>
        <w:rPr>
          <w:rFonts w:eastAsia="Times New Roman"/>
          <w:color w:val="000000"/>
          <w:sz w:val="16"/>
          <w:szCs w:val="16"/>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 Oficio 434-2024-</w:t>
      </w:r>
      <w:proofErr w:type="spellStart"/>
      <w:r w:rsidR="00362916" w:rsidRPr="005741D2">
        <w:rPr>
          <w:rFonts w:eastAsia="Times New Roman"/>
          <w:color w:val="000000"/>
          <w:szCs w:val="18"/>
        </w:rPr>
        <w:t>SUNASS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GG</w:t>
      </w:r>
      <w:proofErr w:type="spellEnd"/>
      <w:r w:rsidR="00362916" w:rsidRPr="005741D2">
        <w:rPr>
          <w:rFonts w:eastAsia="Times New Roman"/>
          <w:color w:val="000000"/>
          <w:szCs w:val="18"/>
        </w:rPr>
        <w:t xml:space="preserve"> del 06.09.2024.</w:t>
      </w:r>
    </w:p>
  </w:footnote>
  <w:footnote w:id="57">
    <w:p w14:paraId="419DA165" w14:textId="65BD514A" w:rsidR="00362916" w:rsidRPr="005741D2" w:rsidRDefault="00DC0B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MIMP</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N°D000054</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MIMP</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DGPDAEM-PACM</w:t>
      </w:r>
      <w:proofErr w:type="spellEnd"/>
      <w:r w:rsidR="00362916" w:rsidRPr="005741D2">
        <w:rPr>
          <w:rFonts w:eastAsia="Times New Roman"/>
          <w:color w:val="000000"/>
          <w:szCs w:val="18"/>
        </w:rPr>
        <w:t>.</w:t>
      </w:r>
    </w:p>
  </w:footnote>
  <w:footnote w:id="58">
    <w:p w14:paraId="57456B98" w14:textId="7367C12E" w:rsidR="00362916" w:rsidRPr="005741D2" w:rsidRDefault="007333D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59">
    <w:p w14:paraId="1D3D8023" w14:textId="62586000" w:rsidR="00362916" w:rsidRDefault="007333D6"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60">
    <w:p w14:paraId="7720958A" w14:textId="361BEC5A" w:rsidR="00362916" w:rsidRPr="005741D2" w:rsidRDefault="007333D6"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rPr>
        <w:t xml:space="preserve">El servicio es brindado por el Ministerio de Trabajo y Promoción del Empleo – </w:t>
      </w:r>
      <w:proofErr w:type="spellStart"/>
      <w:r w:rsidR="00362916" w:rsidRPr="005741D2">
        <w:rPr>
          <w:szCs w:val="18"/>
        </w:rPr>
        <w:t>MTPE</w:t>
      </w:r>
      <w:proofErr w:type="spellEnd"/>
      <w:r w:rsidR="00362916" w:rsidRPr="005741D2">
        <w:rPr>
          <w:szCs w:val="18"/>
        </w:rPr>
        <w:t>, integra tres</w:t>
      </w:r>
      <w:r w:rsidRPr="005741D2">
        <w:rPr>
          <w:szCs w:val="18"/>
        </w:rPr>
        <w:t xml:space="preserve"> </w:t>
      </w:r>
      <w:r w:rsidR="00362916" w:rsidRPr="005741D2">
        <w:rPr>
          <w:szCs w:val="18"/>
          <w:lang w:val="es-PE"/>
        </w:rPr>
        <w:t xml:space="preserve">líneas de intervención: capacitación laboral, </w:t>
      </w:r>
      <w:proofErr w:type="gramStart"/>
      <w:r w:rsidR="00362916" w:rsidRPr="005741D2">
        <w:rPr>
          <w:szCs w:val="18"/>
          <w:lang w:val="es-PE"/>
        </w:rPr>
        <w:t>intermediación laboral e inserción laboral</w:t>
      </w:r>
      <w:proofErr w:type="gramEnd"/>
      <w:r w:rsidR="00FF3E21" w:rsidRPr="005741D2">
        <w:rPr>
          <w:szCs w:val="18"/>
          <w:lang w:val="es-PE"/>
        </w:rPr>
        <w:t>.</w:t>
      </w:r>
    </w:p>
  </w:footnote>
  <w:footnote w:id="61">
    <w:p w14:paraId="3815C419" w14:textId="2AE47626" w:rsidR="00362916" w:rsidRPr="005741D2" w:rsidRDefault="007333D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szCs w:val="18"/>
          <w:lang w:val="es-PE"/>
        </w:rPr>
        <w:t>MIMPM</w:t>
      </w:r>
      <w:proofErr w:type="spellEnd"/>
      <w:r w:rsidR="00362916" w:rsidRPr="005741D2">
        <w:rPr>
          <w:szCs w:val="18"/>
          <w:lang w:val="es-PE"/>
        </w:rPr>
        <w:t xml:space="preserve">. INFORME </w:t>
      </w:r>
      <w:proofErr w:type="spellStart"/>
      <w:r w:rsidR="00362916" w:rsidRPr="005741D2">
        <w:rPr>
          <w:szCs w:val="18"/>
          <w:lang w:val="es-PE"/>
        </w:rPr>
        <w:t>N°D000054</w:t>
      </w:r>
      <w:proofErr w:type="spellEnd"/>
      <w:r w:rsidR="00362916" w:rsidRPr="005741D2">
        <w:rPr>
          <w:szCs w:val="18"/>
          <w:lang w:val="es-PE"/>
        </w:rPr>
        <w:t>-2024-</w:t>
      </w:r>
      <w:proofErr w:type="spellStart"/>
      <w:r w:rsidR="00362916" w:rsidRPr="005741D2">
        <w:rPr>
          <w:szCs w:val="18"/>
          <w:lang w:val="es-PE"/>
        </w:rPr>
        <w:t>MIMP</w:t>
      </w:r>
      <w:proofErr w:type="spellEnd"/>
      <w:r w:rsidR="00362916" w:rsidRPr="005741D2">
        <w:rPr>
          <w:szCs w:val="18"/>
          <w:lang w:val="es-PE"/>
        </w:rPr>
        <w:t>-</w:t>
      </w:r>
      <w:proofErr w:type="spellStart"/>
      <w:r w:rsidR="00362916" w:rsidRPr="005741D2">
        <w:rPr>
          <w:szCs w:val="18"/>
          <w:lang w:val="es-PE"/>
        </w:rPr>
        <w:t>DGPDAEM-PACM</w:t>
      </w:r>
      <w:proofErr w:type="spellEnd"/>
      <w:r w:rsidR="00362916" w:rsidRPr="005741D2">
        <w:rPr>
          <w:szCs w:val="18"/>
          <w:lang w:val="es-PE"/>
        </w:rPr>
        <w:t>. Fecha: 10.09.2024</w:t>
      </w:r>
      <w:r w:rsidR="00FF3E21" w:rsidRPr="005741D2">
        <w:rPr>
          <w:szCs w:val="18"/>
          <w:lang w:val="es-PE"/>
        </w:rPr>
        <w:t>.</w:t>
      </w:r>
    </w:p>
  </w:footnote>
  <w:footnote w:id="62">
    <w:p w14:paraId="3610BB64" w14:textId="199569B9" w:rsidR="00362916" w:rsidRPr="005741D2" w:rsidRDefault="007333D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lang w:val="es-PE"/>
        </w:rPr>
        <w:t xml:space="preserve">Aprobada por Decreto Supremo </w:t>
      </w:r>
      <w:proofErr w:type="spellStart"/>
      <w:r w:rsidR="00362916" w:rsidRPr="005741D2">
        <w:rPr>
          <w:szCs w:val="18"/>
          <w:lang w:val="es-PE"/>
        </w:rPr>
        <w:t>N°004</w:t>
      </w:r>
      <w:proofErr w:type="spellEnd"/>
      <w:r w:rsidR="00362916" w:rsidRPr="005741D2">
        <w:rPr>
          <w:szCs w:val="18"/>
          <w:lang w:val="es-PE"/>
        </w:rPr>
        <w:t>-2023-</w:t>
      </w:r>
      <w:proofErr w:type="spellStart"/>
      <w:r w:rsidR="00362916" w:rsidRPr="005741D2">
        <w:rPr>
          <w:szCs w:val="18"/>
          <w:lang w:val="es-PE"/>
        </w:rPr>
        <w:t>MIMP</w:t>
      </w:r>
      <w:proofErr w:type="spellEnd"/>
      <w:r w:rsidR="00362916" w:rsidRPr="005741D2">
        <w:rPr>
          <w:szCs w:val="18"/>
          <w:lang w:val="es-PE"/>
        </w:rPr>
        <w:t>.</w:t>
      </w:r>
    </w:p>
  </w:footnote>
  <w:footnote w:id="63">
    <w:p w14:paraId="3AF1A9AB" w14:textId="38CAE9C9" w:rsidR="00362916" w:rsidRPr="005741D2" w:rsidRDefault="007333D6" w:rsidP="00362916">
      <w:pPr>
        <w:pStyle w:val="Textonotapie"/>
        <w:rPr>
          <w:szCs w:val="18"/>
        </w:rPr>
      </w:pPr>
      <w:r w:rsidRPr="005741D2">
        <w:rPr>
          <w:szCs w:val="18"/>
          <w:lang w:val="es-PE"/>
        </w:rPr>
        <w:tab/>
      </w:r>
      <w:r w:rsidR="00362916" w:rsidRPr="005741D2">
        <w:rPr>
          <w:rStyle w:val="Refdenotaalpie"/>
          <w:szCs w:val="18"/>
        </w:rPr>
        <w:footnoteRef/>
      </w:r>
      <w:r w:rsidR="00362916" w:rsidRPr="005741D2">
        <w:rPr>
          <w:szCs w:val="18"/>
          <w:lang w:val="es-PE"/>
        </w:rPr>
        <w:t xml:space="preserve"> </w:t>
      </w:r>
      <w:r w:rsidRPr="005741D2">
        <w:rPr>
          <w:szCs w:val="18"/>
          <w:lang w:val="es-PE"/>
        </w:rPr>
        <w:tab/>
      </w:r>
      <w:proofErr w:type="spellStart"/>
      <w:r w:rsidR="00362916" w:rsidRPr="005741D2">
        <w:rPr>
          <w:szCs w:val="18"/>
          <w:lang w:val="es-PE"/>
        </w:rPr>
        <w:t>PNP</w:t>
      </w:r>
      <w:proofErr w:type="spellEnd"/>
      <w:r w:rsidR="00362916" w:rsidRPr="005741D2">
        <w:rPr>
          <w:rFonts w:eastAsia="Times New Roman"/>
          <w:color w:val="000000"/>
          <w:szCs w:val="18"/>
        </w:rPr>
        <w:t xml:space="preserve">. Correo de </w:t>
      </w:r>
      <w:hyperlink r:id="rId3" w:history="1">
        <w:proofErr w:type="spellStart"/>
        <w:r w:rsidR="00362916" w:rsidRPr="005741D2">
          <w:rPr>
            <w:rStyle w:val="Hipervnculo1"/>
            <w:szCs w:val="18"/>
            <w:u w:val="none"/>
          </w:rPr>
          <w:t>dirrehum.depsicp.bd@policia.gob.pe</w:t>
        </w:r>
        <w:proofErr w:type="spellEnd"/>
      </w:hyperlink>
      <w:r w:rsidR="00362916" w:rsidRPr="005741D2">
        <w:rPr>
          <w:rFonts w:eastAsia="Times New Roman"/>
          <w:color w:val="000000"/>
          <w:szCs w:val="18"/>
        </w:rPr>
        <w:t xml:space="preserve"> Fecha: 29.11.2024</w:t>
      </w:r>
      <w:r w:rsidR="00FF3E21" w:rsidRPr="005741D2">
        <w:rPr>
          <w:rFonts w:eastAsia="Times New Roman"/>
          <w:color w:val="000000"/>
          <w:szCs w:val="18"/>
        </w:rPr>
        <w:t>.</w:t>
      </w:r>
    </w:p>
  </w:footnote>
  <w:footnote w:id="64">
    <w:p w14:paraId="6406E3C1" w14:textId="36CB8570" w:rsidR="00362916" w:rsidRPr="005D5DCE" w:rsidRDefault="007333D6" w:rsidP="00362916">
      <w:pPr>
        <w:pStyle w:val="Textonotapie"/>
        <w:rPr>
          <w:sz w:val="16"/>
          <w:szCs w:val="16"/>
          <w:lang w:val="es-PE"/>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lang w:val="es-PE"/>
        </w:rPr>
        <w:t xml:space="preserve">Creada por Resolución Ministerial </w:t>
      </w:r>
      <w:proofErr w:type="spellStart"/>
      <w:r w:rsidR="00362916" w:rsidRPr="005741D2">
        <w:rPr>
          <w:szCs w:val="18"/>
          <w:lang w:val="es-PE"/>
        </w:rPr>
        <w:t>N°134</w:t>
      </w:r>
      <w:proofErr w:type="spellEnd"/>
      <w:r w:rsidR="00362916" w:rsidRPr="005741D2">
        <w:rPr>
          <w:szCs w:val="18"/>
          <w:lang w:val="es-PE"/>
        </w:rPr>
        <w:t>-2024-</w:t>
      </w:r>
      <w:proofErr w:type="spellStart"/>
      <w:r w:rsidR="00362916" w:rsidRPr="005741D2">
        <w:rPr>
          <w:szCs w:val="18"/>
          <w:lang w:val="es-PE"/>
        </w:rPr>
        <w:t>MIMP</w:t>
      </w:r>
      <w:proofErr w:type="spellEnd"/>
      <w:r w:rsidR="00FF3E21" w:rsidRPr="005741D2">
        <w:rPr>
          <w:szCs w:val="18"/>
          <w:lang w:val="es-PE"/>
        </w:rPr>
        <w:t>.</w:t>
      </w:r>
    </w:p>
  </w:footnote>
  <w:footnote w:id="65">
    <w:p w14:paraId="775C4CC2" w14:textId="6E640175" w:rsidR="00362916" w:rsidRPr="005741D2" w:rsidRDefault="007333D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szCs w:val="18"/>
          <w:lang w:val="es-PE"/>
        </w:rPr>
        <w:t>MPMP</w:t>
      </w:r>
      <w:proofErr w:type="spellEnd"/>
      <w:r w:rsidR="00362916" w:rsidRPr="005741D2">
        <w:rPr>
          <w:szCs w:val="18"/>
          <w:lang w:val="es-PE"/>
        </w:rPr>
        <w:t xml:space="preserve">. INFORME </w:t>
      </w:r>
      <w:proofErr w:type="spellStart"/>
      <w:r w:rsidR="00362916" w:rsidRPr="005741D2">
        <w:rPr>
          <w:szCs w:val="18"/>
          <w:lang w:val="es-PE"/>
        </w:rPr>
        <w:t>N°D00054</w:t>
      </w:r>
      <w:proofErr w:type="spellEnd"/>
      <w:r w:rsidR="00362916" w:rsidRPr="005741D2">
        <w:rPr>
          <w:szCs w:val="18"/>
          <w:lang w:val="es-PE"/>
        </w:rPr>
        <w:t>-2024-</w:t>
      </w:r>
      <w:proofErr w:type="spellStart"/>
      <w:r w:rsidR="00362916" w:rsidRPr="005741D2">
        <w:rPr>
          <w:szCs w:val="18"/>
          <w:lang w:val="es-PE"/>
        </w:rPr>
        <w:t>MIMP</w:t>
      </w:r>
      <w:proofErr w:type="spellEnd"/>
      <w:r w:rsidR="00362916" w:rsidRPr="005741D2">
        <w:rPr>
          <w:szCs w:val="18"/>
          <w:lang w:val="es-PE"/>
        </w:rPr>
        <w:t>-</w:t>
      </w:r>
      <w:proofErr w:type="spellStart"/>
      <w:r w:rsidR="00362916" w:rsidRPr="005741D2">
        <w:rPr>
          <w:szCs w:val="18"/>
          <w:lang w:val="es-PE"/>
        </w:rPr>
        <w:t>DGPDAEM</w:t>
      </w:r>
      <w:proofErr w:type="spellEnd"/>
      <w:r w:rsidR="00362916" w:rsidRPr="005741D2">
        <w:rPr>
          <w:szCs w:val="18"/>
          <w:lang w:val="es-PE"/>
        </w:rPr>
        <w:t>.</w:t>
      </w:r>
    </w:p>
  </w:footnote>
  <w:footnote w:id="66">
    <w:p w14:paraId="2AF9B307" w14:textId="31B57314"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lang w:val="es-PE"/>
        </w:rPr>
        <w:t>Ibid.</w:t>
      </w:r>
    </w:p>
  </w:footnote>
  <w:footnote w:id="67">
    <w:p w14:paraId="4855D375" w14:textId="190C9624"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lang w:val="es-PE"/>
        </w:rPr>
        <w:t>Ibid.</w:t>
      </w:r>
    </w:p>
  </w:footnote>
  <w:footnote w:id="68">
    <w:p w14:paraId="1F9E0706" w14:textId="12E8AEAF"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lang w:val="es-PE"/>
        </w:rPr>
        <w:t>Ibid.</w:t>
      </w:r>
    </w:p>
  </w:footnote>
  <w:footnote w:id="69">
    <w:p w14:paraId="0C802AA7" w14:textId="03822D9E"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kern w:val="2"/>
          <w:szCs w:val="18"/>
          <w:lang w:val="es-PE" w:eastAsia="en-US"/>
          <w14:ligatures w14:val="standardContextual"/>
        </w:rPr>
        <w:t>Ibid.</w:t>
      </w:r>
    </w:p>
  </w:footnote>
  <w:footnote w:id="70">
    <w:p w14:paraId="2BF1085C" w14:textId="0D98C5B7" w:rsidR="00362916" w:rsidRPr="00A07DC1" w:rsidRDefault="0063452F"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MIMP</w:t>
      </w:r>
      <w:proofErr w:type="spellEnd"/>
      <w:r w:rsidR="00362916" w:rsidRPr="005741D2">
        <w:rPr>
          <w:rFonts w:eastAsia="Times New Roman"/>
          <w:color w:val="000000"/>
          <w:kern w:val="2"/>
          <w:szCs w:val="18"/>
          <w:lang w:val="es-PE" w:eastAsia="en-US"/>
          <w14:ligatures w14:val="standardContextual"/>
        </w:rPr>
        <w:t xml:space="preserve">. INFORME </w:t>
      </w:r>
      <w:proofErr w:type="spellStart"/>
      <w:r w:rsidR="00362916" w:rsidRPr="005741D2">
        <w:rPr>
          <w:rFonts w:eastAsia="Times New Roman"/>
          <w:color w:val="000000"/>
          <w:kern w:val="2"/>
          <w:szCs w:val="18"/>
          <w:lang w:val="es-PE" w:eastAsia="en-US"/>
          <w14:ligatures w14:val="standardContextual"/>
        </w:rPr>
        <w:t>N°D000054</w:t>
      </w:r>
      <w:proofErr w:type="spellEnd"/>
      <w:r w:rsidR="00362916" w:rsidRPr="005741D2">
        <w:rPr>
          <w:rFonts w:eastAsia="Times New Roman"/>
          <w:color w:val="000000"/>
          <w:kern w:val="2"/>
          <w:szCs w:val="18"/>
          <w:lang w:val="es-PE" w:eastAsia="en-US"/>
          <w14:ligatures w14:val="standardContextual"/>
        </w:rPr>
        <w:t>-2024-</w:t>
      </w:r>
      <w:proofErr w:type="spellStart"/>
      <w:r w:rsidR="00362916" w:rsidRPr="005741D2">
        <w:rPr>
          <w:rFonts w:eastAsia="Times New Roman"/>
          <w:color w:val="000000"/>
          <w:kern w:val="2"/>
          <w:szCs w:val="18"/>
          <w:lang w:val="es-PE" w:eastAsia="en-US"/>
          <w14:ligatures w14:val="standardContextual"/>
        </w:rPr>
        <w:t>MIMP</w:t>
      </w:r>
      <w:proofErr w:type="spellEnd"/>
      <w:r w:rsidR="00362916" w:rsidRPr="005741D2">
        <w:rPr>
          <w:rFonts w:eastAsia="Times New Roman"/>
          <w:color w:val="000000"/>
          <w:kern w:val="2"/>
          <w:szCs w:val="18"/>
          <w:lang w:val="es-PE" w:eastAsia="en-US"/>
          <w14:ligatures w14:val="standardContextual"/>
        </w:rPr>
        <w:t>-</w:t>
      </w:r>
      <w:proofErr w:type="spellStart"/>
      <w:r w:rsidR="00362916" w:rsidRPr="005741D2">
        <w:rPr>
          <w:rFonts w:eastAsia="Times New Roman"/>
          <w:color w:val="000000"/>
          <w:kern w:val="2"/>
          <w:szCs w:val="18"/>
          <w:lang w:val="es-PE" w:eastAsia="en-US"/>
          <w14:ligatures w14:val="standardContextual"/>
        </w:rPr>
        <w:t>DGPDAEM-PACM</w:t>
      </w:r>
      <w:proofErr w:type="spellEnd"/>
      <w:r w:rsidR="00FF3E21" w:rsidRPr="005741D2">
        <w:rPr>
          <w:rFonts w:eastAsia="Times New Roman"/>
          <w:color w:val="000000"/>
          <w:kern w:val="2"/>
          <w:szCs w:val="18"/>
          <w:lang w:val="es-PE" w:eastAsia="en-US"/>
          <w14:ligatures w14:val="standardContextual"/>
        </w:rPr>
        <w:t>.</w:t>
      </w:r>
    </w:p>
  </w:footnote>
  <w:footnote w:id="71">
    <w:p w14:paraId="58DA7408" w14:textId="4F5DFDAA" w:rsidR="00362916" w:rsidRPr="005741D2" w:rsidRDefault="0063452F"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rPr>
        <w:t>Ibid.</w:t>
      </w:r>
    </w:p>
  </w:footnote>
  <w:footnote w:id="72">
    <w:p w14:paraId="4FA2431A" w14:textId="7BE64E29"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szCs w:val="18"/>
        </w:rPr>
        <w:t>I</w:t>
      </w:r>
      <w:proofErr w:type="spellStart"/>
      <w:r w:rsidR="00362916" w:rsidRPr="005741D2">
        <w:rPr>
          <w:rFonts w:eastAsia="Times New Roman"/>
          <w:color w:val="000000"/>
          <w:kern w:val="2"/>
          <w:szCs w:val="18"/>
          <w:lang w:val="es-PE" w:eastAsia="en-US"/>
          <w14:ligatures w14:val="standardContextual"/>
        </w:rPr>
        <w:t>bid</w:t>
      </w:r>
      <w:proofErr w:type="spellEnd"/>
      <w:r w:rsidR="00362916" w:rsidRPr="005741D2">
        <w:rPr>
          <w:rFonts w:eastAsia="Times New Roman"/>
          <w:color w:val="000000"/>
          <w:kern w:val="2"/>
          <w:szCs w:val="18"/>
          <w:lang w:val="es-PE" w:eastAsia="en-US"/>
          <w14:ligatures w14:val="standardContextual"/>
        </w:rPr>
        <w:t>.</w:t>
      </w:r>
    </w:p>
  </w:footnote>
  <w:footnote w:id="73">
    <w:p w14:paraId="1EF52160" w14:textId="4D518609"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D.S</w:t>
      </w:r>
      <w:proofErr w:type="spellEnd"/>
      <w:r w:rsidR="00362916" w:rsidRPr="005741D2">
        <w:rPr>
          <w:rFonts w:eastAsia="Times New Roman"/>
          <w:color w:val="000000"/>
          <w:kern w:val="2"/>
          <w:szCs w:val="18"/>
          <w:lang w:val="es-PE" w:eastAsia="en-US"/>
          <w14:ligatures w14:val="standardContextual"/>
        </w:rPr>
        <w:t>. 015-2019-</w:t>
      </w:r>
      <w:proofErr w:type="spellStart"/>
      <w:r w:rsidR="00362916" w:rsidRPr="005741D2">
        <w:rPr>
          <w:rFonts w:eastAsia="Times New Roman"/>
          <w:color w:val="000000"/>
          <w:kern w:val="2"/>
          <w:szCs w:val="18"/>
          <w:lang w:val="es-PE" w:eastAsia="en-US"/>
          <w14:ligatures w14:val="standardContextual"/>
        </w:rPr>
        <w:t>TR</w:t>
      </w:r>
      <w:proofErr w:type="spellEnd"/>
      <w:r w:rsidR="00362916" w:rsidRPr="005741D2">
        <w:rPr>
          <w:rFonts w:eastAsia="Times New Roman"/>
          <w:color w:val="000000"/>
          <w:kern w:val="2"/>
          <w:szCs w:val="18"/>
          <w:lang w:val="es-PE" w:eastAsia="en-US"/>
          <w14:ligatures w14:val="standardContextual"/>
        </w:rPr>
        <w:t>. Publicado: 18. 09. 2019.</w:t>
      </w:r>
    </w:p>
  </w:footnote>
  <w:footnote w:id="74">
    <w:p w14:paraId="3D0E2D0D" w14:textId="052813AF"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FNMP</w:t>
      </w:r>
      <w:proofErr w:type="spellEnd"/>
      <w:r w:rsidR="00362916" w:rsidRPr="005741D2">
        <w:rPr>
          <w:rFonts w:eastAsia="Times New Roman"/>
          <w:color w:val="000000"/>
          <w:kern w:val="2"/>
          <w:szCs w:val="18"/>
          <w:lang w:val="es-PE" w:eastAsia="en-US"/>
          <w14:ligatures w14:val="standardContextual"/>
        </w:rPr>
        <w:t xml:space="preserve"> Resolución de la Fiscalía de la Nación </w:t>
      </w:r>
      <w:proofErr w:type="spellStart"/>
      <w:r w:rsidR="00362916" w:rsidRPr="005741D2">
        <w:rPr>
          <w:rFonts w:eastAsia="Times New Roman"/>
          <w:color w:val="000000"/>
          <w:kern w:val="2"/>
          <w:szCs w:val="18"/>
          <w:lang w:val="es-PE" w:eastAsia="en-US"/>
          <w14:ligatures w14:val="standardContextual"/>
        </w:rPr>
        <w:t>N°684</w:t>
      </w:r>
      <w:proofErr w:type="spellEnd"/>
      <w:r w:rsidR="00362916" w:rsidRPr="005741D2">
        <w:rPr>
          <w:rFonts w:eastAsia="Times New Roman"/>
          <w:color w:val="000000"/>
          <w:kern w:val="2"/>
          <w:szCs w:val="18"/>
          <w:lang w:val="es-PE" w:eastAsia="en-US"/>
          <w14:ligatures w14:val="standardContextual"/>
        </w:rPr>
        <w:t>-2021-</w:t>
      </w:r>
      <w:proofErr w:type="spellStart"/>
      <w:r w:rsidR="00362916" w:rsidRPr="005741D2">
        <w:rPr>
          <w:rFonts w:eastAsia="Times New Roman"/>
          <w:color w:val="000000"/>
          <w:kern w:val="2"/>
          <w:szCs w:val="18"/>
          <w:lang w:val="es-PE" w:eastAsia="en-US"/>
          <w14:ligatures w14:val="standardContextual"/>
        </w:rPr>
        <w:t>MP</w:t>
      </w:r>
      <w:proofErr w:type="spellEnd"/>
      <w:r w:rsidR="00362916" w:rsidRPr="005741D2">
        <w:rPr>
          <w:rFonts w:eastAsia="Times New Roman"/>
          <w:color w:val="000000"/>
          <w:kern w:val="2"/>
          <w:szCs w:val="18"/>
          <w:lang w:val="es-PE" w:eastAsia="en-US"/>
          <w14:ligatures w14:val="standardContextual"/>
        </w:rPr>
        <w:t>-FN, Publicado: 12 05. 2021.</w:t>
      </w:r>
    </w:p>
  </w:footnote>
  <w:footnote w:id="75">
    <w:p w14:paraId="63E32902" w14:textId="6B81EC68"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D.S</w:t>
      </w:r>
      <w:proofErr w:type="spellEnd"/>
      <w:r w:rsidR="00362916" w:rsidRPr="005741D2">
        <w:rPr>
          <w:rFonts w:eastAsia="Times New Roman"/>
          <w:color w:val="000000"/>
          <w:kern w:val="2"/>
          <w:szCs w:val="18"/>
          <w:lang w:val="es-PE" w:eastAsia="en-US"/>
          <w14:ligatures w14:val="standardContextual"/>
        </w:rPr>
        <w:t>. 005-2022-</w:t>
      </w:r>
      <w:proofErr w:type="spellStart"/>
      <w:r w:rsidR="00362916" w:rsidRPr="005741D2">
        <w:rPr>
          <w:rFonts w:eastAsia="Times New Roman"/>
          <w:color w:val="000000"/>
          <w:kern w:val="2"/>
          <w:szCs w:val="18"/>
          <w:lang w:val="es-PE" w:eastAsia="en-US"/>
          <w14:ligatures w14:val="standardContextual"/>
        </w:rPr>
        <w:t>TR</w:t>
      </w:r>
      <w:proofErr w:type="spellEnd"/>
      <w:r w:rsidR="00362916" w:rsidRPr="005741D2">
        <w:rPr>
          <w:rFonts w:eastAsia="Times New Roman"/>
          <w:color w:val="000000"/>
          <w:kern w:val="2"/>
          <w:szCs w:val="18"/>
          <w:lang w:val="es-PE" w:eastAsia="en-US"/>
          <w14:ligatures w14:val="standardContextual"/>
        </w:rPr>
        <w:t>, Publicado: 21.4.2024.</w:t>
      </w:r>
    </w:p>
  </w:footnote>
  <w:footnote w:id="76">
    <w:p w14:paraId="1CA9110A" w14:textId="12390C9C" w:rsidR="00362916" w:rsidRPr="005741D2" w:rsidRDefault="0063452F" w:rsidP="00362916">
      <w:pPr>
        <w:pStyle w:val="Textonotapie"/>
        <w:rPr>
          <w:szCs w:val="18"/>
        </w:rPr>
      </w:pPr>
      <w:r w:rsidRPr="005741D2">
        <w:rPr>
          <w:rFonts w:eastAsia="Times New Roman"/>
          <w:color w:val="000000"/>
          <w:kern w:val="2"/>
          <w:szCs w:val="18"/>
          <w:lang w:val="es-PE" w:eastAsia="en-US"/>
          <w14:ligatures w14:val="standardContextual"/>
        </w:rPr>
        <w:tab/>
      </w:r>
      <w:r w:rsidR="00362916" w:rsidRPr="005741D2">
        <w:rPr>
          <w:rStyle w:val="Refdenotaalpie"/>
          <w:szCs w:val="18"/>
        </w:rPr>
        <w:footnoteRef/>
      </w:r>
      <w:r w:rsidR="00362916" w:rsidRPr="005741D2">
        <w:rPr>
          <w:rFonts w:eastAsia="Times New Roman"/>
          <w:color w:val="000000"/>
          <w:kern w:val="2"/>
          <w:szCs w:val="18"/>
          <w:lang w:val="es-PE" w:eastAsia="en-US"/>
          <w14:ligatures w14:val="standardContextual"/>
        </w:rPr>
        <w:t xml:space="preserve"> </w:t>
      </w:r>
      <w:r w:rsidRPr="005741D2">
        <w:rPr>
          <w:rFonts w:eastAsia="Times New Roman"/>
          <w:color w:val="000000"/>
          <w:kern w:val="2"/>
          <w:szCs w:val="18"/>
          <w:lang w:val="es-PE" w:eastAsia="en-US"/>
          <w14:ligatures w14:val="standardContextual"/>
        </w:rPr>
        <w:tab/>
      </w:r>
      <w:r w:rsidR="00362916" w:rsidRPr="005741D2">
        <w:rPr>
          <w:rFonts w:eastAsia="Times New Roman"/>
          <w:color w:val="000000"/>
          <w:kern w:val="2"/>
          <w:szCs w:val="18"/>
          <w:lang w:val="es-PE" w:eastAsia="en-US"/>
          <w14:ligatures w14:val="standardContextual"/>
        </w:rPr>
        <w:t>CR. Ley 31330. Publicada: 06.08.2021</w:t>
      </w:r>
      <w:r w:rsidR="00FF3E21" w:rsidRPr="005741D2">
        <w:rPr>
          <w:rFonts w:eastAsia="Times New Roman"/>
          <w:color w:val="000000"/>
          <w:kern w:val="2"/>
          <w:szCs w:val="18"/>
          <w:lang w:val="es-PE" w:eastAsia="en-US"/>
          <w14:ligatures w14:val="standardContextual"/>
        </w:rPr>
        <w:t>.</w:t>
      </w:r>
    </w:p>
  </w:footnote>
  <w:footnote w:id="77">
    <w:p w14:paraId="1CFF61E9" w14:textId="1B080143" w:rsidR="00362916" w:rsidRDefault="0063452F" w:rsidP="00362916">
      <w:pPr>
        <w:pStyle w:val="Textonotapie"/>
      </w:pPr>
      <w:r w:rsidRPr="005741D2">
        <w:rPr>
          <w:rFonts w:eastAsia="Times New Roman"/>
          <w:color w:val="000000"/>
          <w:kern w:val="2"/>
          <w:szCs w:val="18"/>
          <w:lang w:val="es-PE" w:eastAsia="en-US"/>
          <w14:ligatures w14:val="standardContextual"/>
        </w:rPr>
        <w:tab/>
      </w:r>
      <w:r w:rsidR="00362916" w:rsidRPr="005741D2">
        <w:rPr>
          <w:rStyle w:val="Refdenotaalpie"/>
          <w:szCs w:val="18"/>
        </w:rPr>
        <w:footnoteRef/>
      </w:r>
      <w:r w:rsidR="00362916" w:rsidRPr="005741D2">
        <w:rPr>
          <w:rFonts w:eastAsia="Times New Roman"/>
          <w:color w:val="000000"/>
          <w:kern w:val="2"/>
          <w:szCs w:val="18"/>
          <w:lang w:val="es-PE" w:eastAsia="en-US"/>
          <w14:ligatures w14:val="standardContextual"/>
        </w:rPr>
        <w:t xml:space="preserve"> </w:t>
      </w:r>
      <w:r w:rsidRPr="005741D2">
        <w:rPr>
          <w:rFonts w:eastAsia="Times New Roman"/>
          <w:color w:val="000000"/>
          <w:kern w:val="2"/>
          <w:szCs w:val="18"/>
          <w:lang w:val="es-PE" w:eastAsia="en-US"/>
          <w14:ligatures w14:val="standardContextual"/>
        </w:rPr>
        <w:tab/>
      </w:r>
      <w:proofErr w:type="spellStart"/>
      <w:r w:rsidR="00362916" w:rsidRPr="005741D2">
        <w:rPr>
          <w:rFonts w:eastAsia="Times New Roman"/>
          <w:color w:val="000000"/>
          <w:kern w:val="2"/>
          <w:szCs w:val="18"/>
          <w:lang w:val="es-PE" w:eastAsia="en-US"/>
          <w14:ligatures w14:val="standardContextual"/>
        </w:rPr>
        <w:t>MRE</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D.S</w:t>
      </w:r>
      <w:proofErr w:type="spellEnd"/>
      <w:r w:rsidR="00362916" w:rsidRPr="005741D2">
        <w:rPr>
          <w:rFonts w:eastAsia="Times New Roman"/>
          <w:color w:val="000000"/>
          <w:kern w:val="2"/>
          <w:szCs w:val="18"/>
          <w:lang w:val="es-PE" w:eastAsia="en-US"/>
          <w14:ligatures w14:val="standardContextual"/>
        </w:rPr>
        <w:t>. 015-2021-RE, Publicado: 21.4.2021.</w:t>
      </w:r>
    </w:p>
  </w:footnote>
  <w:footnote w:id="78">
    <w:p w14:paraId="0C5BE0BE" w14:textId="3E926BA9" w:rsidR="00362916" w:rsidRPr="005741D2" w:rsidRDefault="0063452F"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 Informe 000625-2024-</w:t>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/2/14.4. Fecha 03.09.2024</w:t>
      </w:r>
      <w:r w:rsidR="00FF3E21" w:rsidRPr="005741D2">
        <w:rPr>
          <w:rFonts w:eastAsia="Times New Roman"/>
          <w:color w:val="000000"/>
          <w:kern w:val="2"/>
          <w:szCs w:val="18"/>
          <w:lang w:val="es-PE" w:eastAsia="en-US"/>
          <w14:ligatures w14:val="standardContextual"/>
        </w:rPr>
        <w:t>.</w:t>
      </w:r>
    </w:p>
  </w:footnote>
  <w:footnote w:id="79">
    <w:p w14:paraId="3BC99C3C" w14:textId="354E80E8"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kern w:val="2"/>
          <w:szCs w:val="18"/>
          <w:lang w:val="es-PE" w:eastAsia="en-US"/>
          <w14:ligatures w14:val="standardContextual"/>
        </w:rPr>
        <w:t>Ibid.</w:t>
      </w:r>
    </w:p>
  </w:footnote>
  <w:footnote w:id="80">
    <w:p w14:paraId="407B8104" w14:textId="25FD74F7"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 xml:space="preserve">. HOJA DE </w:t>
      </w:r>
      <w:proofErr w:type="spellStart"/>
      <w:r w:rsidR="00362916" w:rsidRPr="005741D2">
        <w:rPr>
          <w:rFonts w:eastAsia="Times New Roman"/>
          <w:color w:val="000000"/>
          <w:kern w:val="2"/>
          <w:szCs w:val="18"/>
          <w:lang w:val="es-PE" w:eastAsia="en-US"/>
          <w14:ligatures w14:val="standardContextual"/>
        </w:rPr>
        <w:t>ELEVACION</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N°00505</w:t>
      </w:r>
      <w:proofErr w:type="spellEnd"/>
      <w:r w:rsidR="00362916" w:rsidRPr="005741D2">
        <w:rPr>
          <w:rFonts w:eastAsia="Times New Roman"/>
          <w:color w:val="000000"/>
          <w:kern w:val="2"/>
          <w:szCs w:val="18"/>
          <w:lang w:val="es-PE" w:eastAsia="en-US"/>
          <w14:ligatures w14:val="standardContextual"/>
        </w:rPr>
        <w:t>-2024-</w:t>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/3/19. Fecha: 14.10.24</w:t>
      </w:r>
      <w:r w:rsidR="00FF3E21" w:rsidRPr="005741D2">
        <w:rPr>
          <w:rFonts w:eastAsia="Times New Roman"/>
          <w:color w:val="000000"/>
          <w:kern w:val="2"/>
          <w:szCs w:val="18"/>
          <w:lang w:val="es-PE" w:eastAsia="en-US"/>
          <w14:ligatures w14:val="standardContextual"/>
        </w:rPr>
        <w:t>.</w:t>
      </w:r>
    </w:p>
  </w:footnote>
  <w:footnote w:id="81">
    <w:p w14:paraId="5D113A69" w14:textId="4D708DC0"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kern w:val="2"/>
          <w:szCs w:val="18"/>
          <w:lang w:val="es-PE" w:eastAsia="en-US"/>
          <w14:ligatures w14:val="standardContextual"/>
        </w:rPr>
        <w:t>Ibid.</w:t>
      </w:r>
    </w:p>
  </w:footnote>
  <w:footnote w:id="82">
    <w:p w14:paraId="78FAC4AE" w14:textId="0610CC0C" w:rsidR="00362916" w:rsidRPr="005741D2" w:rsidRDefault="0063452F" w:rsidP="00362916">
      <w:pPr>
        <w:pStyle w:val="Textonotapie"/>
        <w:rPr>
          <w:szCs w:val="18"/>
        </w:rPr>
      </w:pPr>
      <w:r w:rsidRPr="005741D2">
        <w:rPr>
          <w:rFonts w:eastAsia="Times New Roman"/>
          <w:color w:val="000000"/>
          <w:kern w:val="2"/>
          <w:szCs w:val="18"/>
          <w:lang w:val="es-PE" w:eastAsia="en-US"/>
          <w14:ligatures w14:val="standardContextual"/>
        </w:rPr>
        <w:tab/>
      </w:r>
      <w:r w:rsidR="00362916" w:rsidRPr="005741D2">
        <w:rPr>
          <w:rStyle w:val="Refdenotaalpie"/>
          <w:szCs w:val="18"/>
        </w:rPr>
        <w:footnoteRef/>
      </w:r>
      <w:r w:rsidR="00362916" w:rsidRPr="005741D2">
        <w:rPr>
          <w:rFonts w:eastAsia="Times New Roman"/>
          <w:color w:val="000000"/>
          <w:kern w:val="2"/>
          <w:szCs w:val="18"/>
          <w:lang w:val="es-PE" w:eastAsia="en-US"/>
          <w14:ligatures w14:val="standardContextual"/>
        </w:rPr>
        <w:t xml:space="preserve"> </w:t>
      </w:r>
      <w:r w:rsidRPr="005741D2">
        <w:rPr>
          <w:rFonts w:eastAsia="Times New Roman"/>
          <w:color w:val="000000"/>
          <w:kern w:val="2"/>
          <w:szCs w:val="18"/>
          <w:lang w:val="es-PE" w:eastAsia="en-US"/>
          <w14:ligatures w14:val="standardContextual"/>
        </w:rPr>
        <w:tab/>
      </w:r>
      <w:r w:rsidR="00362916" w:rsidRPr="005741D2">
        <w:rPr>
          <w:rFonts w:eastAsia="Times New Roman"/>
          <w:color w:val="000000"/>
          <w:kern w:val="2"/>
          <w:szCs w:val="18"/>
          <w:lang w:val="es-PE" w:eastAsia="en-US"/>
          <w14:ligatures w14:val="standardContextual"/>
        </w:rPr>
        <w:t>Ibid.</w:t>
      </w:r>
    </w:p>
  </w:footnote>
  <w:footnote w:id="83">
    <w:p w14:paraId="47582EB0" w14:textId="077CF5CF"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R.M</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N°169</w:t>
      </w:r>
      <w:proofErr w:type="spellEnd"/>
      <w:r w:rsidR="00362916" w:rsidRPr="005741D2">
        <w:rPr>
          <w:rFonts w:eastAsia="Times New Roman"/>
          <w:color w:val="000000"/>
          <w:kern w:val="2"/>
          <w:szCs w:val="18"/>
          <w:lang w:val="es-PE" w:eastAsia="en-US"/>
          <w14:ligatures w14:val="standardContextual"/>
        </w:rPr>
        <w:t>-2018-</w:t>
      </w:r>
      <w:proofErr w:type="spellStart"/>
      <w:r w:rsidR="00362916" w:rsidRPr="005741D2">
        <w:rPr>
          <w:rFonts w:eastAsia="Times New Roman"/>
          <w:color w:val="000000"/>
          <w:kern w:val="2"/>
          <w:szCs w:val="18"/>
          <w:lang w:val="es-PE" w:eastAsia="en-US"/>
          <w14:ligatures w14:val="standardContextual"/>
        </w:rPr>
        <w:t>TR</w:t>
      </w:r>
      <w:proofErr w:type="spellEnd"/>
      <w:r w:rsidR="00362916" w:rsidRPr="005741D2">
        <w:rPr>
          <w:rFonts w:eastAsia="Times New Roman"/>
          <w:color w:val="000000"/>
          <w:kern w:val="2"/>
          <w:szCs w:val="18"/>
          <w:lang w:val="es-PE" w:eastAsia="en-US"/>
          <w14:ligatures w14:val="standardContextual"/>
        </w:rPr>
        <w:t xml:space="preserve"> publicado el 29 de unió de 2018</w:t>
      </w:r>
      <w:r w:rsidR="00FF3E21" w:rsidRPr="005741D2">
        <w:rPr>
          <w:rFonts w:eastAsia="Times New Roman"/>
          <w:color w:val="000000"/>
          <w:kern w:val="2"/>
          <w:szCs w:val="18"/>
          <w:lang w:val="es-PE" w:eastAsia="en-US"/>
          <w14:ligatures w14:val="standardContextual"/>
        </w:rPr>
        <w:t>.</w:t>
      </w:r>
    </w:p>
  </w:footnote>
  <w:footnote w:id="84">
    <w:p w14:paraId="1D03E9EF" w14:textId="1A28C2B3"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kern w:val="2"/>
          <w:szCs w:val="18"/>
          <w:lang w:val="es-PE" w:eastAsia="en-US"/>
          <w14:ligatures w14:val="standardContextual"/>
        </w:rPr>
        <w:t>Artículo 25 de la Constitución Política del Perú</w:t>
      </w:r>
      <w:r w:rsidR="00FF3E21" w:rsidRPr="005741D2">
        <w:rPr>
          <w:rFonts w:eastAsia="Times New Roman"/>
          <w:color w:val="000000"/>
          <w:kern w:val="2"/>
          <w:szCs w:val="18"/>
          <w:lang w:val="es-PE" w:eastAsia="en-US"/>
          <w14:ligatures w14:val="standardContextual"/>
        </w:rPr>
        <w:t>.</w:t>
      </w:r>
    </w:p>
  </w:footnote>
  <w:footnote w:id="85">
    <w:p w14:paraId="3A32410E" w14:textId="5FEEC403" w:rsidR="00362916" w:rsidRPr="005741D2" w:rsidRDefault="0063452F"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kern w:val="2"/>
          <w:szCs w:val="18"/>
          <w:lang w:val="es-PE" w:eastAsia="en-US"/>
          <w14:ligatures w14:val="standardContextual"/>
        </w:rPr>
        <w:t xml:space="preserve">El artículo 1 del Decreto Legislativo </w:t>
      </w:r>
      <w:proofErr w:type="spellStart"/>
      <w:r w:rsidR="00362916" w:rsidRPr="005741D2">
        <w:rPr>
          <w:rFonts w:eastAsia="Times New Roman"/>
          <w:color w:val="000000"/>
          <w:kern w:val="2"/>
          <w:szCs w:val="18"/>
          <w:lang w:val="es-PE" w:eastAsia="en-US"/>
          <w14:ligatures w14:val="standardContextual"/>
        </w:rPr>
        <w:t>N°713</w:t>
      </w:r>
      <w:proofErr w:type="spellEnd"/>
      <w:r w:rsidR="00FF3E21" w:rsidRPr="005741D2">
        <w:rPr>
          <w:rFonts w:eastAsia="Times New Roman"/>
          <w:color w:val="000000"/>
          <w:kern w:val="2"/>
          <w:szCs w:val="18"/>
          <w:lang w:val="es-PE" w:eastAsia="en-US"/>
          <w14:ligatures w14:val="standardContextual"/>
        </w:rPr>
        <w:t>.</w:t>
      </w:r>
      <w:r w:rsidR="003405FF" w:rsidRPr="005741D2">
        <w:rPr>
          <w:rFonts w:eastAsia="Times New Roman"/>
          <w:color w:val="000000"/>
          <w:kern w:val="2"/>
          <w:szCs w:val="18"/>
          <w:lang w:val="es-PE" w:eastAsia="en-US"/>
          <w14:ligatures w14:val="standardContextual"/>
        </w:rPr>
        <w:t xml:space="preserve"> </w:t>
      </w:r>
    </w:p>
  </w:footnote>
  <w:footnote w:id="86">
    <w:p w14:paraId="34F677A6" w14:textId="65E2A1AC" w:rsidR="00362916" w:rsidRPr="0011749C" w:rsidRDefault="0063452F"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kern w:val="2"/>
          <w:szCs w:val="18"/>
          <w:lang w:val="es-PE" w:eastAsia="en-US"/>
          <w14:ligatures w14:val="standardContextual"/>
        </w:rPr>
        <w:t xml:space="preserve">El artículo 3 del Decreto Legislativo </w:t>
      </w:r>
      <w:proofErr w:type="spellStart"/>
      <w:r w:rsidR="00362916" w:rsidRPr="005741D2">
        <w:rPr>
          <w:rFonts w:eastAsia="Times New Roman"/>
          <w:color w:val="000000"/>
          <w:kern w:val="2"/>
          <w:szCs w:val="18"/>
          <w:lang w:val="es-PE" w:eastAsia="en-US"/>
          <w14:ligatures w14:val="standardContextual"/>
        </w:rPr>
        <w:t>N°713</w:t>
      </w:r>
      <w:proofErr w:type="spellEnd"/>
      <w:r w:rsidR="00FF3E21" w:rsidRPr="005741D2">
        <w:rPr>
          <w:rFonts w:eastAsia="Times New Roman"/>
          <w:color w:val="000000"/>
          <w:kern w:val="2"/>
          <w:szCs w:val="18"/>
          <w:lang w:val="es-PE" w:eastAsia="en-US"/>
          <w14:ligatures w14:val="standardContextual"/>
        </w:rPr>
        <w:t>.</w:t>
      </w:r>
      <w:r w:rsidR="003405FF">
        <w:rPr>
          <w:sz w:val="16"/>
          <w:szCs w:val="16"/>
        </w:rPr>
        <w:t xml:space="preserve"> </w:t>
      </w:r>
    </w:p>
  </w:footnote>
  <w:footnote w:id="87">
    <w:p w14:paraId="6E58F2AB" w14:textId="2DB98F03" w:rsidR="00362916" w:rsidRPr="005741D2" w:rsidRDefault="00145C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 Disponible en: https://</w:t>
      </w:r>
      <w:proofErr w:type="spellStart"/>
      <w:r w:rsidR="00362916" w:rsidRPr="005741D2">
        <w:rPr>
          <w:rFonts w:eastAsia="Times New Roman"/>
          <w:color w:val="000000"/>
          <w:kern w:val="2"/>
          <w:szCs w:val="18"/>
          <w:lang w:val="es-PE" w:eastAsia="en-US"/>
          <w14:ligatures w14:val="standardContextual"/>
        </w:rPr>
        <w:t>micarrera.trabajo.gob.pe</w:t>
      </w:r>
      <w:proofErr w:type="spellEnd"/>
      <w:r w:rsidR="00362916" w:rsidRPr="005741D2">
        <w:rPr>
          <w:rFonts w:eastAsia="Times New Roman"/>
          <w:color w:val="000000"/>
          <w:kern w:val="2"/>
          <w:szCs w:val="18"/>
          <w:lang w:val="es-PE" w:eastAsia="en-US"/>
          <w14:ligatures w14:val="standardContextual"/>
        </w:rPr>
        <w:t>/</w:t>
      </w:r>
      <w:r w:rsidR="00FF3E21" w:rsidRPr="005741D2">
        <w:rPr>
          <w:rFonts w:eastAsia="Times New Roman"/>
          <w:color w:val="000000"/>
          <w:kern w:val="2"/>
          <w:szCs w:val="18"/>
          <w:lang w:val="es-PE" w:eastAsia="en-US"/>
          <w14:ligatures w14:val="standardContextual"/>
        </w:rPr>
        <w:t>.</w:t>
      </w:r>
    </w:p>
  </w:footnote>
  <w:footnote w:id="88">
    <w:p w14:paraId="65628261" w14:textId="265B7ACC" w:rsidR="00362916" w:rsidRPr="005741D2" w:rsidRDefault="00145C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 xml:space="preserve">. HOJA DE </w:t>
      </w:r>
      <w:proofErr w:type="spellStart"/>
      <w:r w:rsidR="00362916" w:rsidRPr="005741D2">
        <w:rPr>
          <w:rFonts w:eastAsia="Times New Roman"/>
          <w:color w:val="000000"/>
          <w:kern w:val="2"/>
          <w:szCs w:val="18"/>
          <w:lang w:val="es-PE" w:eastAsia="en-US"/>
          <w14:ligatures w14:val="standardContextual"/>
        </w:rPr>
        <w:t>ELEVACION</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N°00505</w:t>
      </w:r>
      <w:proofErr w:type="spellEnd"/>
      <w:r w:rsidR="00362916" w:rsidRPr="005741D2">
        <w:rPr>
          <w:rFonts w:eastAsia="Times New Roman"/>
          <w:color w:val="000000"/>
          <w:kern w:val="2"/>
          <w:szCs w:val="18"/>
          <w:lang w:val="es-PE" w:eastAsia="en-US"/>
          <w14:ligatures w14:val="standardContextual"/>
        </w:rPr>
        <w:t>-2024-</w:t>
      </w:r>
      <w:proofErr w:type="spellStart"/>
      <w:r w:rsidR="00362916" w:rsidRPr="005741D2">
        <w:rPr>
          <w:rFonts w:eastAsia="Times New Roman"/>
          <w:color w:val="000000"/>
          <w:kern w:val="2"/>
          <w:szCs w:val="18"/>
          <w:lang w:val="es-PE" w:eastAsia="en-US"/>
          <w14:ligatures w14:val="standardContextual"/>
        </w:rPr>
        <w:t>MTPE</w:t>
      </w:r>
      <w:proofErr w:type="spellEnd"/>
      <w:r w:rsidR="00362916" w:rsidRPr="005741D2">
        <w:rPr>
          <w:rFonts w:eastAsia="Times New Roman"/>
          <w:color w:val="000000"/>
          <w:kern w:val="2"/>
          <w:szCs w:val="18"/>
          <w:lang w:val="es-PE" w:eastAsia="en-US"/>
          <w14:ligatures w14:val="standardContextual"/>
        </w:rPr>
        <w:t>/3/19. Fecha: 14.10.24</w:t>
      </w:r>
      <w:r w:rsidR="00FF3E21" w:rsidRPr="005741D2">
        <w:rPr>
          <w:rFonts w:eastAsia="Times New Roman"/>
          <w:color w:val="000000"/>
          <w:kern w:val="2"/>
          <w:szCs w:val="18"/>
          <w:lang w:val="es-PE" w:eastAsia="en-US"/>
          <w14:ligatures w14:val="standardContextual"/>
        </w:rPr>
        <w:t>.</w:t>
      </w:r>
    </w:p>
  </w:footnote>
  <w:footnote w:id="89">
    <w:p w14:paraId="0F30B19C" w14:textId="3F3D0F1E" w:rsidR="00362916" w:rsidRPr="005741D2" w:rsidRDefault="00145C76" w:rsidP="00145C76">
      <w:pPr>
        <w:pStyle w:val="Textonotapie"/>
        <w:rPr>
          <w:rFonts w:eastAsia="Times New Roman"/>
          <w:color w:val="000000"/>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Estas 1,691 participaciones, representan la inscripción, asistencia, y evaluación de 610 servidores, durante el periodo señalado.</w:t>
      </w:r>
    </w:p>
  </w:footnote>
  <w:footnote w:id="90">
    <w:p w14:paraId="5A1A7680" w14:textId="205FD95E" w:rsidR="00362916" w:rsidRDefault="00145C76" w:rsidP="00145C76">
      <w:pPr>
        <w:pStyle w:val="Textonotapie"/>
        <w:rPr>
          <w:rFonts w:eastAsia="Times New Roman"/>
          <w:color w:val="000000"/>
          <w:sz w:val="16"/>
          <w:szCs w:val="16"/>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MINSA. Oficio 420-2024-</w:t>
      </w:r>
      <w:proofErr w:type="spellStart"/>
      <w:r w:rsidR="00362916" w:rsidRPr="005741D2">
        <w:rPr>
          <w:rFonts w:eastAsia="Times New Roman"/>
          <w:color w:val="000000"/>
          <w:szCs w:val="18"/>
        </w:rPr>
        <w:t>DVMSP</w:t>
      </w:r>
      <w:proofErr w:type="spellEnd"/>
      <w:r w:rsidR="00362916" w:rsidRPr="005741D2">
        <w:rPr>
          <w:rFonts w:eastAsia="Times New Roman"/>
          <w:color w:val="000000"/>
          <w:szCs w:val="18"/>
        </w:rPr>
        <w:t>-MINSA del 10 de septiembre de 2024.</w:t>
      </w:r>
    </w:p>
  </w:footnote>
  <w:footnote w:id="91">
    <w:p w14:paraId="4440FB9E" w14:textId="70941259" w:rsidR="00362916" w:rsidRPr="005741D2" w:rsidRDefault="00145C76" w:rsidP="00362916">
      <w:pPr>
        <w:pStyle w:val="Textonotapie"/>
        <w:rPr>
          <w:rFonts w:eastAsia="Times New Roman"/>
          <w:szCs w:val="18"/>
        </w:rPr>
      </w:pPr>
      <w: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kern w:val="2"/>
          <w:szCs w:val="18"/>
          <w:lang w:val="es-PE" w:eastAsia="en-US"/>
          <w14:ligatures w14:val="standardContextual"/>
        </w:rPr>
        <w:t>MIMP</w:t>
      </w:r>
      <w:proofErr w:type="spellEnd"/>
      <w:r w:rsidR="00362916" w:rsidRPr="005741D2">
        <w:rPr>
          <w:rFonts w:eastAsia="Times New Roman"/>
          <w:color w:val="000000"/>
          <w:kern w:val="2"/>
          <w:szCs w:val="18"/>
          <w:lang w:val="es-PE" w:eastAsia="en-US"/>
          <w14:ligatures w14:val="standardContextual"/>
        </w:rPr>
        <w:t xml:space="preserve"> </w:t>
      </w:r>
      <w:proofErr w:type="spellStart"/>
      <w:r w:rsidR="00362916" w:rsidRPr="005741D2">
        <w:rPr>
          <w:rFonts w:eastAsia="Times New Roman"/>
          <w:color w:val="000000"/>
          <w:kern w:val="2"/>
          <w:szCs w:val="18"/>
          <w:lang w:val="es-PE" w:eastAsia="en-US"/>
          <w14:ligatures w14:val="standardContextual"/>
        </w:rPr>
        <w:t>R.M</w:t>
      </w:r>
      <w:proofErr w:type="spellEnd"/>
      <w:r w:rsidR="00362916" w:rsidRPr="005741D2">
        <w:rPr>
          <w:rFonts w:eastAsia="Times New Roman"/>
          <w:color w:val="000000"/>
          <w:kern w:val="2"/>
          <w:szCs w:val="18"/>
          <w:lang w:val="es-PE" w:eastAsia="en-US"/>
          <w14:ligatures w14:val="standardContextual"/>
        </w:rPr>
        <w:t>. 242-2024-</w:t>
      </w:r>
      <w:proofErr w:type="spellStart"/>
      <w:r w:rsidR="00362916" w:rsidRPr="005741D2">
        <w:rPr>
          <w:rFonts w:eastAsia="Times New Roman"/>
          <w:color w:val="000000"/>
          <w:kern w:val="2"/>
          <w:szCs w:val="18"/>
          <w:lang w:val="es-PE" w:eastAsia="en-US"/>
          <w14:ligatures w14:val="standardContextual"/>
        </w:rPr>
        <w:t>MIMP</w:t>
      </w:r>
      <w:proofErr w:type="spellEnd"/>
      <w:r w:rsidR="00362916" w:rsidRPr="005741D2">
        <w:rPr>
          <w:rFonts w:eastAsia="Times New Roman"/>
          <w:color w:val="000000"/>
          <w:kern w:val="2"/>
          <w:szCs w:val="18"/>
          <w:lang w:val="es-PE" w:eastAsia="en-US"/>
          <w14:ligatures w14:val="standardContextual"/>
        </w:rPr>
        <w:t>. Publicado: 13.07.24</w:t>
      </w:r>
      <w:r w:rsidR="00FF3E21" w:rsidRPr="005741D2">
        <w:rPr>
          <w:rFonts w:eastAsia="Times New Roman"/>
          <w:color w:val="000000"/>
          <w:kern w:val="2"/>
          <w:szCs w:val="18"/>
          <w:lang w:val="es-PE" w:eastAsia="en-US"/>
          <w14:ligatures w14:val="standardContextual"/>
        </w:rPr>
        <w:t>.</w:t>
      </w:r>
    </w:p>
  </w:footnote>
  <w:footnote w:id="92">
    <w:p w14:paraId="0C01C48D" w14:textId="2B261F86" w:rsidR="00362916" w:rsidRPr="005741D2" w:rsidRDefault="00145C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szCs w:val="18"/>
        </w:rPr>
        <w:t>MIMP</w:t>
      </w:r>
      <w:proofErr w:type="spellEnd"/>
      <w:r w:rsidR="00362916" w:rsidRPr="005741D2">
        <w:rPr>
          <w:rFonts w:eastAsia="Times New Roman"/>
          <w:szCs w:val="18"/>
        </w:rPr>
        <w:t xml:space="preserve"> </w:t>
      </w:r>
      <w:proofErr w:type="spellStart"/>
      <w:r w:rsidR="00362916" w:rsidRPr="005741D2">
        <w:rPr>
          <w:rFonts w:eastAsia="Times New Roman"/>
          <w:szCs w:val="18"/>
        </w:rPr>
        <w:t>R.M</w:t>
      </w:r>
      <w:proofErr w:type="spellEnd"/>
      <w:r w:rsidR="00362916" w:rsidRPr="005741D2">
        <w:rPr>
          <w:rFonts w:eastAsia="Times New Roman"/>
          <w:szCs w:val="18"/>
        </w:rPr>
        <w:t>. 062-2024-</w:t>
      </w:r>
      <w:proofErr w:type="spellStart"/>
      <w:r w:rsidR="00362916" w:rsidRPr="005741D2">
        <w:rPr>
          <w:rFonts w:eastAsia="Times New Roman"/>
          <w:szCs w:val="18"/>
        </w:rPr>
        <w:t>MIMP</w:t>
      </w:r>
      <w:proofErr w:type="spellEnd"/>
      <w:r w:rsidR="00362916" w:rsidRPr="005741D2">
        <w:rPr>
          <w:rFonts w:eastAsia="Times New Roman"/>
          <w:szCs w:val="18"/>
        </w:rPr>
        <w:t>. Publicado: 10.02.23</w:t>
      </w:r>
      <w:r w:rsidR="00FF3E21" w:rsidRPr="005741D2">
        <w:rPr>
          <w:rFonts w:eastAsia="Times New Roman"/>
          <w:szCs w:val="18"/>
        </w:rPr>
        <w:t>.</w:t>
      </w:r>
    </w:p>
  </w:footnote>
  <w:footnote w:id="93">
    <w:p w14:paraId="3ADE1B22" w14:textId="78359BED" w:rsidR="00362916" w:rsidRPr="005741D2" w:rsidRDefault="00145C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MIMP</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N°D000656</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DGDAPS-PACM.Fecha</w:t>
      </w:r>
      <w:proofErr w:type="spellEnd"/>
      <w:r w:rsidR="00362916" w:rsidRPr="005741D2">
        <w:rPr>
          <w:rFonts w:eastAsia="Times New Roman"/>
          <w:color w:val="000000"/>
          <w:szCs w:val="18"/>
        </w:rPr>
        <w:t>: 10.09.2024</w:t>
      </w:r>
      <w:r w:rsidR="00FF3E21" w:rsidRPr="005741D2">
        <w:rPr>
          <w:rFonts w:eastAsia="Times New Roman"/>
          <w:color w:val="000000"/>
          <w:szCs w:val="18"/>
        </w:rPr>
        <w:t>.</w:t>
      </w:r>
    </w:p>
  </w:footnote>
  <w:footnote w:id="94">
    <w:p w14:paraId="75C3ACE2" w14:textId="40482FB4" w:rsidR="00362916" w:rsidRPr="005741D2" w:rsidRDefault="00145C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95">
    <w:p w14:paraId="6ECC4984" w14:textId="3BABCAD5" w:rsidR="00362916" w:rsidRPr="00CB2606" w:rsidRDefault="00145C76" w:rsidP="00362916">
      <w:pPr>
        <w:pStyle w:val="Textonotapie"/>
        <w:rPr>
          <w:rFonts w:eastAsia="Times New Roman"/>
          <w:color w:val="000000"/>
          <w:sz w:val="16"/>
          <w:szCs w:val="16"/>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OFICIO </w:t>
      </w:r>
      <w:proofErr w:type="spellStart"/>
      <w:r w:rsidR="00362916" w:rsidRPr="005741D2">
        <w:rPr>
          <w:rFonts w:eastAsia="Times New Roman"/>
          <w:color w:val="000000"/>
          <w:szCs w:val="18"/>
        </w:rPr>
        <w:t>N°D000103</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VMPS</w:t>
      </w:r>
      <w:proofErr w:type="spellEnd"/>
      <w:r w:rsidR="00362916" w:rsidRPr="005741D2">
        <w:rPr>
          <w:rFonts w:eastAsia="Times New Roman"/>
          <w:color w:val="000000"/>
          <w:szCs w:val="18"/>
        </w:rPr>
        <w:t>. Fecha: 13.09.2024</w:t>
      </w:r>
      <w:r w:rsidR="00FF3E21" w:rsidRPr="005741D2">
        <w:rPr>
          <w:rFonts w:eastAsia="Times New Roman"/>
          <w:color w:val="000000"/>
          <w:szCs w:val="18"/>
        </w:rPr>
        <w:t>.</w:t>
      </w:r>
    </w:p>
  </w:footnote>
  <w:footnote w:id="96">
    <w:p w14:paraId="2E2D510E" w14:textId="6D5B2F6B" w:rsidR="00362916" w:rsidRPr="005741D2" w:rsidRDefault="00145C76" w:rsidP="00362916">
      <w:pPr>
        <w:pStyle w:val="Textonotapie"/>
        <w:rPr>
          <w:szCs w:val="18"/>
        </w:rPr>
      </w:pPr>
      <w: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N°D000277</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DGPE</w:t>
      </w:r>
      <w:proofErr w:type="spellEnd"/>
      <w:r w:rsidR="00362916" w:rsidRPr="005741D2">
        <w:rPr>
          <w:rFonts w:eastAsia="Times New Roman"/>
          <w:color w:val="000000"/>
          <w:szCs w:val="18"/>
        </w:rPr>
        <w:t>. Fecha: 11.09.2024</w:t>
      </w:r>
      <w:r w:rsidR="00FF3E21" w:rsidRPr="005741D2">
        <w:rPr>
          <w:rFonts w:eastAsia="Times New Roman"/>
          <w:color w:val="000000"/>
          <w:szCs w:val="18"/>
        </w:rPr>
        <w:t>.</w:t>
      </w:r>
    </w:p>
  </w:footnote>
  <w:footnote w:id="97">
    <w:p w14:paraId="1B8B428E" w14:textId="612D81E8" w:rsidR="00362916" w:rsidRPr="005741D2" w:rsidRDefault="00145C7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98">
    <w:p w14:paraId="48850B77" w14:textId="461D2E4A" w:rsidR="00362916" w:rsidRPr="005741D2" w:rsidRDefault="00EA165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99">
    <w:p w14:paraId="3315B1D1" w14:textId="5E371D45" w:rsidR="00362916" w:rsidRPr="005741D2" w:rsidRDefault="00EA165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 xml:space="preserve">. INFORME </w:t>
      </w:r>
      <w:proofErr w:type="spellStart"/>
      <w:r w:rsidR="00362916" w:rsidRPr="005741D2">
        <w:rPr>
          <w:rFonts w:eastAsia="Times New Roman"/>
          <w:color w:val="000000"/>
          <w:szCs w:val="18"/>
        </w:rPr>
        <w:t>N°D000656</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MIDIS</w:t>
      </w:r>
      <w:proofErr w:type="spellEnd"/>
      <w:r w:rsidR="00362916" w:rsidRPr="005741D2">
        <w:rPr>
          <w:rFonts w:eastAsia="Times New Roman"/>
          <w:color w:val="000000"/>
          <w:szCs w:val="18"/>
        </w:rPr>
        <w:t>-</w:t>
      </w:r>
      <w:proofErr w:type="spellStart"/>
      <w:r w:rsidR="00362916" w:rsidRPr="005741D2">
        <w:rPr>
          <w:rFonts w:eastAsia="Times New Roman"/>
          <w:color w:val="000000"/>
          <w:szCs w:val="18"/>
        </w:rPr>
        <w:t>DGDAPS</w:t>
      </w:r>
      <w:proofErr w:type="spellEnd"/>
      <w:r w:rsidR="00362916" w:rsidRPr="005741D2">
        <w:rPr>
          <w:rFonts w:eastAsia="Times New Roman"/>
          <w:color w:val="000000"/>
          <w:szCs w:val="18"/>
        </w:rPr>
        <w:t>. Fecha: 12.09.2024</w:t>
      </w:r>
      <w:r w:rsidR="00FF3E21" w:rsidRPr="005741D2">
        <w:rPr>
          <w:rFonts w:eastAsia="Times New Roman"/>
          <w:color w:val="000000"/>
          <w:szCs w:val="18"/>
        </w:rPr>
        <w:t>.</w:t>
      </w:r>
    </w:p>
  </w:footnote>
  <w:footnote w:id="100">
    <w:p w14:paraId="625373BE" w14:textId="6CC3DD12" w:rsidR="00362916" w:rsidRPr="005741D2" w:rsidRDefault="00EA165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101">
    <w:p w14:paraId="368C318A" w14:textId="3104F79F" w:rsidR="00362916" w:rsidRPr="005741D2" w:rsidRDefault="00EA165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102">
    <w:p w14:paraId="3B555C17" w14:textId="269C60CF" w:rsidR="00362916" w:rsidRPr="005741D2" w:rsidRDefault="00EA1656" w:rsidP="00362916">
      <w:pPr>
        <w:pStyle w:val="Textonotapie"/>
        <w:rPr>
          <w:szCs w:val="18"/>
        </w:rPr>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103">
    <w:p w14:paraId="54BAB9D8" w14:textId="583ABB11" w:rsidR="00362916" w:rsidRDefault="00EA1656" w:rsidP="00362916">
      <w:pPr>
        <w:pStyle w:val="Textonotapie"/>
      </w:pPr>
      <w:r w:rsidRPr="005741D2">
        <w:rPr>
          <w:szCs w:val="18"/>
        </w:rPr>
        <w:tab/>
      </w:r>
      <w:r w:rsidR="00362916" w:rsidRPr="005741D2">
        <w:rPr>
          <w:rStyle w:val="Refdenotaalpie"/>
          <w:szCs w:val="18"/>
        </w:rPr>
        <w:footnoteRef/>
      </w:r>
      <w:r w:rsidR="00362916" w:rsidRPr="005741D2">
        <w:rPr>
          <w:szCs w:val="18"/>
        </w:rPr>
        <w:t xml:space="preserve"> </w:t>
      </w:r>
      <w:r w:rsidRPr="005741D2">
        <w:rPr>
          <w:szCs w:val="18"/>
        </w:rPr>
        <w:tab/>
      </w:r>
      <w:r w:rsidR="00362916" w:rsidRPr="005741D2">
        <w:rPr>
          <w:rFonts w:eastAsia="Times New Roman"/>
          <w:color w:val="000000"/>
          <w:szCs w:val="18"/>
        </w:rPr>
        <w:t>Ibid.</w:t>
      </w:r>
    </w:p>
  </w:footnote>
  <w:footnote w:id="104">
    <w:p w14:paraId="1A7864FE" w14:textId="6B69885B" w:rsidR="00362916" w:rsidRPr="005741D2" w:rsidRDefault="00EA1656" w:rsidP="00EA1656">
      <w:pPr>
        <w:pStyle w:val="Textonotapie"/>
        <w:rPr>
          <w:rFonts w:eastAsia="Times New Roman"/>
          <w:color w:val="000000"/>
          <w:szCs w:val="18"/>
        </w:rPr>
      </w:pPr>
      <w:r>
        <w:rPr>
          <w:rFonts w:eastAsia="Times New Roman"/>
          <w:color w:val="000000"/>
          <w:sz w:val="16"/>
          <w:szCs w:val="16"/>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Oficio </w:t>
      </w:r>
      <w:proofErr w:type="spellStart"/>
      <w:r w:rsidR="00362916" w:rsidRPr="005741D2">
        <w:rPr>
          <w:rFonts w:eastAsia="Times New Roman"/>
          <w:color w:val="000000"/>
          <w:szCs w:val="18"/>
        </w:rPr>
        <w:t>N°420</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DVMSP</w:t>
      </w:r>
      <w:proofErr w:type="spellEnd"/>
      <w:r w:rsidR="00362916" w:rsidRPr="005741D2">
        <w:rPr>
          <w:rFonts w:eastAsia="Times New Roman"/>
          <w:color w:val="000000"/>
          <w:szCs w:val="18"/>
        </w:rPr>
        <w:t>-MINSA del 10.09.2024.</w:t>
      </w:r>
    </w:p>
  </w:footnote>
  <w:footnote w:id="105">
    <w:p w14:paraId="17C72FBB" w14:textId="1EE04A90"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228-2029/MINSA. Aprobado: 09.03.2019.</w:t>
      </w:r>
    </w:p>
  </w:footnote>
  <w:footnote w:id="106">
    <w:p w14:paraId="4F7EC909" w14:textId="4AA1020C"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Oficio </w:t>
      </w:r>
      <w:proofErr w:type="spellStart"/>
      <w:r w:rsidR="00362916" w:rsidRPr="005741D2">
        <w:rPr>
          <w:rFonts w:eastAsia="Times New Roman"/>
          <w:color w:val="000000"/>
          <w:szCs w:val="18"/>
        </w:rPr>
        <w:t>N°420</w:t>
      </w:r>
      <w:proofErr w:type="spellEnd"/>
      <w:r w:rsidR="00362916" w:rsidRPr="005741D2">
        <w:rPr>
          <w:rFonts w:eastAsia="Times New Roman"/>
          <w:color w:val="000000"/>
          <w:szCs w:val="18"/>
        </w:rPr>
        <w:t>-2024-</w:t>
      </w:r>
      <w:proofErr w:type="spellStart"/>
      <w:r w:rsidR="00362916" w:rsidRPr="005741D2">
        <w:rPr>
          <w:rFonts w:eastAsia="Times New Roman"/>
          <w:color w:val="000000"/>
          <w:szCs w:val="18"/>
        </w:rPr>
        <w:t>DVMSP</w:t>
      </w:r>
      <w:proofErr w:type="spellEnd"/>
      <w:r w:rsidR="00362916" w:rsidRPr="005741D2">
        <w:rPr>
          <w:rFonts w:eastAsia="Times New Roman"/>
          <w:color w:val="000000"/>
          <w:szCs w:val="18"/>
        </w:rPr>
        <w:t>-MINSA del 10.09.2024.</w:t>
      </w:r>
    </w:p>
  </w:footnote>
  <w:footnote w:id="107">
    <w:p w14:paraId="4DF34FA3" w14:textId="18551704" w:rsidR="00362916" w:rsidRPr="005741D2" w:rsidRDefault="00EA1656" w:rsidP="00EA1656">
      <w:pPr>
        <w:pStyle w:val="Textonotapie"/>
        <w:rPr>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Ibid.</w:t>
      </w:r>
    </w:p>
  </w:footnote>
  <w:footnote w:id="108">
    <w:p w14:paraId="0A42F33D" w14:textId="1360A037" w:rsidR="00362916" w:rsidRPr="005741D2" w:rsidRDefault="00EA1656" w:rsidP="00EA1656">
      <w:pPr>
        <w:pStyle w:val="Textonotapie"/>
        <w:rPr>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Ibid.</w:t>
      </w:r>
    </w:p>
  </w:footnote>
  <w:footnote w:id="109">
    <w:p w14:paraId="457A2887" w14:textId="7CEF1473"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778-2022-MINSA. Aprobado: 02.10.2022.</w:t>
      </w:r>
    </w:p>
  </w:footnote>
  <w:footnote w:id="110">
    <w:p w14:paraId="7A7193D0" w14:textId="7AF08200" w:rsidR="00362916" w:rsidRPr="005741D2" w:rsidRDefault="00EA1656" w:rsidP="00EA1656">
      <w:pPr>
        <w:pStyle w:val="Textonotapie"/>
        <w:rPr>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Ibid.</w:t>
      </w:r>
    </w:p>
  </w:footnote>
  <w:footnote w:id="111">
    <w:p w14:paraId="72408B6B" w14:textId="77B82E83"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782-2022-MINSA. Aprobada: 05.10.2022.</w:t>
      </w:r>
    </w:p>
  </w:footnote>
  <w:footnote w:id="112">
    <w:p w14:paraId="313187A0" w14:textId="6FDD42CF" w:rsidR="00362916" w:rsidRDefault="00EA1656" w:rsidP="00EA1656">
      <w:pPr>
        <w:pStyle w:val="Textonotapie"/>
        <w:rPr>
          <w:rFonts w:eastAsia="Times New Roman"/>
          <w:color w:val="000000"/>
          <w:sz w:val="16"/>
          <w:szCs w:val="16"/>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1175-2023-MINSA. Aprobada: 03.1.2024.</w:t>
      </w:r>
    </w:p>
  </w:footnote>
  <w:footnote w:id="113">
    <w:p w14:paraId="542CD36D" w14:textId="1658FCB5" w:rsidR="00362916" w:rsidRPr="005741D2" w:rsidRDefault="00EA1656" w:rsidP="00EA1656">
      <w:pPr>
        <w:pStyle w:val="Textonotapie"/>
        <w:rPr>
          <w:rFonts w:eastAsia="Times New Roman"/>
          <w:color w:val="000000"/>
          <w:szCs w:val="18"/>
        </w:rPr>
      </w:pPr>
      <w:r>
        <w:rPr>
          <w:rFonts w:eastAsia="Times New Roman"/>
          <w:color w:val="000000"/>
          <w:sz w:val="16"/>
          <w:szCs w:val="16"/>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MINSA. Oficio 420-2024-</w:t>
      </w:r>
      <w:proofErr w:type="spellStart"/>
      <w:r w:rsidR="00362916" w:rsidRPr="005741D2">
        <w:rPr>
          <w:rFonts w:eastAsia="Times New Roman"/>
          <w:color w:val="000000"/>
          <w:szCs w:val="18"/>
        </w:rPr>
        <w:t>DVMSP</w:t>
      </w:r>
      <w:proofErr w:type="spellEnd"/>
      <w:r w:rsidR="00362916" w:rsidRPr="005741D2">
        <w:rPr>
          <w:rFonts w:eastAsia="Times New Roman"/>
          <w:color w:val="000000"/>
          <w:szCs w:val="18"/>
        </w:rPr>
        <w:t>-MINSA del 10.09.2024.</w:t>
      </w:r>
    </w:p>
  </w:footnote>
  <w:footnote w:id="114">
    <w:p w14:paraId="56B7CF51" w14:textId="6EE368D1"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Ibid.</w:t>
      </w:r>
    </w:p>
  </w:footnote>
  <w:footnote w:id="115">
    <w:p w14:paraId="649944A5" w14:textId="3B5EF15E"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Comunicado </w:t>
      </w:r>
      <w:proofErr w:type="spellStart"/>
      <w:r w:rsidR="00362916" w:rsidRPr="005741D2">
        <w:rPr>
          <w:rFonts w:eastAsia="Times New Roman"/>
          <w:color w:val="000000"/>
          <w:szCs w:val="18"/>
        </w:rPr>
        <w:t>N°</w:t>
      </w:r>
      <w:proofErr w:type="spellEnd"/>
      <w:r w:rsidR="00362916" w:rsidRPr="005741D2">
        <w:rPr>
          <w:rFonts w:eastAsia="Times New Roman"/>
          <w:color w:val="000000"/>
          <w:szCs w:val="18"/>
        </w:rPr>
        <w:t xml:space="preserve"> 472: “Vacunación nacional universal, gratuita y progresiva con participación de sector público y privado”. Fecha: 31.03.2021. Disponible en: </w:t>
      </w:r>
      <w:hyperlink r:id="rId4">
        <w:r w:rsidR="00362916" w:rsidRPr="005741D2">
          <w:rPr>
            <w:rFonts w:eastAsia="Times New Roman"/>
            <w:color w:val="0563C1"/>
            <w:szCs w:val="18"/>
          </w:rPr>
          <w:t>https://www.gob.pe/institucion/minsa/noticias/350995-vacunacion-nacional-universal-gratuita-y-progresiva-con-participacion-de-sector-publico-y-privado-comunicado-n-472</w:t>
        </w:r>
      </w:hyperlink>
      <w:r w:rsidR="00FC5D0B" w:rsidRPr="005741D2">
        <w:rPr>
          <w:szCs w:val="18"/>
        </w:rPr>
        <w:t>.</w:t>
      </w:r>
      <w:r w:rsidR="00362916" w:rsidRPr="005741D2">
        <w:rPr>
          <w:rFonts w:eastAsia="Times New Roman"/>
          <w:color w:val="000000"/>
          <w:szCs w:val="18"/>
        </w:rPr>
        <w:t xml:space="preserve"> </w:t>
      </w:r>
    </w:p>
  </w:footnote>
  <w:footnote w:id="116">
    <w:p w14:paraId="66EB4F32" w14:textId="60A50DE0"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869-2023/MINSA. Aprobada: 09.09.2023.</w:t>
      </w:r>
    </w:p>
  </w:footnote>
  <w:footnote w:id="117">
    <w:p w14:paraId="6C4A2886" w14:textId="37122F87" w:rsidR="00362916" w:rsidRPr="005741D2" w:rsidRDefault="00EA1656" w:rsidP="00EA1656">
      <w:pPr>
        <w:pStyle w:val="Textonotapie"/>
        <w:rPr>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560-2024/MINSA. Aprobada: 20.08.2024.</w:t>
      </w:r>
    </w:p>
  </w:footnote>
  <w:footnote w:id="118">
    <w:p w14:paraId="74018414" w14:textId="6F12B2B6"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Reporte sobre la vacuna contra la Covid-19 en el Perú. Disponible en: </w:t>
      </w:r>
      <w:hyperlink r:id="rId5">
        <w:r w:rsidR="00362916" w:rsidRPr="005741D2">
          <w:rPr>
            <w:rFonts w:eastAsia="Times New Roman"/>
            <w:color w:val="0563C1"/>
            <w:szCs w:val="18"/>
          </w:rPr>
          <w:t>https://</w:t>
        </w:r>
        <w:proofErr w:type="spellStart"/>
        <w:r w:rsidR="00362916" w:rsidRPr="005741D2">
          <w:rPr>
            <w:rFonts w:eastAsia="Times New Roman"/>
            <w:color w:val="0563C1"/>
            <w:szCs w:val="18"/>
          </w:rPr>
          <w:t>www.minsa.gob.pe</w:t>
        </w:r>
        <w:proofErr w:type="spellEnd"/>
        <w:r w:rsidR="00362916" w:rsidRPr="005741D2">
          <w:rPr>
            <w:rFonts w:eastAsia="Times New Roman"/>
            <w:color w:val="0563C1"/>
            <w:szCs w:val="18"/>
          </w:rPr>
          <w:t>/</w:t>
        </w:r>
        <w:proofErr w:type="spellStart"/>
        <w:r w:rsidR="00362916" w:rsidRPr="005741D2">
          <w:rPr>
            <w:rFonts w:eastAsia="Times New Roman"/>
            <w:color w:val="0563C1"/>
            <w:szCs w:val="18"/>
          </w:rPr>
          <w:t>reunis</w:t>
        </w:r>
        <w:proofErr w:type="spellEnd"/>
        <w:r w:rsidR="00362916" w:rsidRPr="005741D2">
          <w:rPr>
            <w:rFonts w:eastAsia="Times New Roman"/>
            <w:color w:val="0563C1"/>
            <w:szCs w:val="18"/>
          </w:rPr>
          <w:t>/data/vacunas-</w:t>
        </w:r>
        <w:proofErr w:type="spellStart"/>
        <w:r w:rsidR="00362916" w:rsidRPr="005741D2">
          <w:rPr>
            <w:rFonts w:eastAsia="Times New Roman"/>
            <w:color w:val="0563C1"/>
            <w:szCs w:val="18"/>
          </w:rPr>
          <w:t>covid19.asp</w:t>
        </w:r>
        <w:proofErr w:type="spellEnd"/>
      </w:hyperlink>
      <w:r w:rsidR="00FC5D0B" w:rsidRPr="005741D2">
        <w:rPr>
          <w:szCs w:val="18"/>
        </w:rPr>
        <w:t>.</w:t>
      </w:r>
      <w:r w:rsidR="00362916" w:rsidRPr="005741D2">
        <w:rPr>
          <w:rFonts w:eastAsia="Times New Roman"/>
          <w:color w:val="000000"/>
          <w:szCs w:val="18"/>
        </w:rPr>
        <w:t xml:space="preserve"> </w:t>
      </w:r>
    </w:p>
  </w:footnote>
  <w:footnote w:id="119">
    <w:p w14:paraId="7934E694" w14:textId="1B610C8D"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MINSA. Oficio 420-2024-</w:t>
      </w:r>
      <w:proofErr w:type="spellStart"/>
      <w:r w:rsidR="00362916" w:rsidRPr="005741D2">
        <w:rPr>
          <w:rFonts w:eastAsia="Times New Roman"/>
          <w:color w:val="000000"/>
          <w:szCs w:val="18"/>
        </w:rPr>
        <w:t>DVMSP</w:t>
      </w:r>
      <w:proofErr w:type="spellEnd"/>
      <w:r w:rsidR="00362916" w:rsidRPr="005741D2">
        <w:rPr>
          <w:rFonts w:eastAsia="Times New Roman"/>
          <w:color w:val="000000"/>
          <w:szCs w:val="18"/>
        </w:rPr>
        <w:t>-MINSA del 10.09.2024.</w:t>
      </w:r>
    </w:p>
  </w:footnote>
  <w:footnote w:id="120">
    <w:p w14:paraId="7D7EAA95" w14:textId="17D8B133"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Para visualizar la sección “Covid-19: Prevención”, dirigirse a: </w:t>
      </w:r>
      <w:hyperlink r:id="rId6">
        <w:r w:rsidR="00362916" w:rsidRPr="005741D2">
          <w:rPr>
            <w:rFonts w:eastAsia="Times New Roman"/>
            <w:color w:val="0563C1"/>
            <w:szCs w:val="18"/>
          </w:rPr>
          <w:t>https://</w:t>
        </w:r>
        <w:proofErr w:type="spellStart"/>
        <w:r w:rsidR="00362916" w:rsidRPr="005741D2">
          <w:rPr>
            <w:rFonts w:eastAsia="Times New Roman"/>
            <w:color w:val="0563C1"/>
            <w:szCs w:val="18"/>
          </w:rPr>
          <w:t>www.gob.pe</w:t>
        </w:r>
        <w:proofErr w:type="spellEnd"/>
        <w:r w:rsidR="00362916" w:rsidRPr="005741D2">
          <w:rPr>
            <w:rFonts w:eastAsia="Times New Roman"/>
            <w:color w:val="0563C1"/>
            <w:szCs w:val="18"/>
          </w:rPr>
          <w:t>/</w:t>
        </w:r>
        <w:proofErr w:type="spellStart"/>
        <w:r w:rsidR="00362916" w:rsidRPr="005741D2">
          <w:rPr>
            <w:rFonts w:eastAsia="Times New Roman"/>
            <w:color w:val="0563C1"/>
            <w:szCs w:val="18"/>
          </w:rPr>
          <w:t>institucion</w:t>
        </w:r>
        <w:proofErr w:type="spellEnd"/>
        <w:r w:rsidR="00362916" w:rsidRPr="005741D2">
          <w:rPr>
            <w:rFonts w:eastAsia="Times New Roman"/>
            <w:color w:val="0563C1"/>
            <w:szCs w:val="18"/>
          </w:rPr>
          <w:t>/</w:t>
        </w:r>
        <w:proofErr w:type="spellStart"/>
        <w:r w:rsidR="00362916" w:rsidRPr="005741D2">
          <w:rPr>
            <w:rFonts w:eastAsia="Times New Roman"/>
            <w:color w:val="0563C1"/>
            <w:szCs w:val="18"/>
          </w:rPr>
          <w:t>minsa</w:t>
        </w:r>
        <w:proofErr w:type="spellEnd"/>
        <w:r w:rsidR="00362916" w:rsidRPr="005741D2">
          <w:rPr>
            <w:rFonts w:eastAsia="Times New Roman"/>
            <w:color w:val="0563C1"/>
            <w:szCs w:val="18"/>
          </w:rPr>
          <w:t>/tema/covid-19-</w:t>
        </w:r>
        <w:proofErr w:type="spellStart"/>
        <w:r w:rsidR="00362916" w:rsidRPr="005741D2">
          <w:rPr>
            <w:rFonts w:eastAsia="Times New Roman"/>
            <w:color w:val="0563C1"/>
            <w:szCs w:val="18"/>
          </w:rPr>
          <w:t>prevencion</w:t>
        </w:r>
        <w:proofErr w:type="spellEnd"/>
      </w:hyperlink>
      <w:r w:rsidR="00FC5D0B" w:rsidRPr="005741D2">
        <w:rPr>
          <w:szCs w:val="18"/>
        </w:rPr>
        <w:t>.</w:t>
      </w:r>
      <w:r w:rsidR="00362916" w:rsidRPr="005741D2">
        <w:rPr>
          <w:rFonts w:eastAsia="Times New Roman"/>
          <w:color w:val="000000"/>
          <w:szCs w:val="18"/>
        </w:rPr>
        <w:t xml:space="preserve"> </w:t>
      </w:r>
    </w:p>
  </w:footnote>
  <w:footnote w:id="121">
    <w:p w14:paraId="7F6308D7" w14:textId="4BD079AD"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Para visualizar la sección “Covid-19: Vacunas”, dirigirse a: </w:t>
      </w:r>
      <w:hyperlink r:id="rId7">
        <w:r w:rsidR="00362916" w:rsidRPr="005741D2">
          <w:rPr>
            <w:rFonts w:eastAsia="Times New Roman"/>
            <w:color w:val="0563C1"/>
            <w:szCs w:val="18"/>
          </w:rPr>
          <w:t>https://</w:t>
        </w:r>
        <w:proofErr w:type="spellStart"/>
        <w:r w:rsidR="00362916" w:rsidRPr="005741D2">
          <w:rPr>
            <w:rFonts w:eastAsia="Times New Roman"/>
            <w:color w:val="0563C1"/>
            <w:szCs w:val="18"/>
          </w:rPr>
          <w:t>www.gob.pe</w:t>
        </w:r>
        <w:proofErr w:type="spellEnd"/>
        <w:r w:rsidR="00362916" w:rsidRPr="005741D2">
          <w:rPr>
            <w:rFonts w:eastAsia="Times New Roman"/>
            <w:color w:val="0563C1"/>
            <w:szCs w:val="18"/>
          </w:rPr>
          <w:t>/</w:t>
        </w:r>
        <w:proofErr w:type="spellStart"/>
        <w:r w:rsidR="00362916" w:rsidRPr="005741D2">
          <w:rPr>
            <w:rFonts w:eastAsia="Times New Roman"/>
            <w:color w:val="0563C1"/>
            <w:szCs w:val="18"/>
          </w:rPr>
          <w:t>institucion</w:t>
        </w:r>
        <w:proofErr w:type="spellEnd"/>
        <w:r w:rsidR="00362916" w:rsidRPr="005741D2">
          <w:rPr>
            <w:rFonts w:eastAsia="Times New Roman"/>
            <w:color w:val="0563C1"/>
            <w:szCs w:val="18"/>
          </w:rPr>
          <w:t>/</w:t>
        </w:r>
        <w:proofErr w:type="spellStart"/>
        <w:r w:rsidR="00362916" w:rsidRPr="005741D2">
          <w:rPr>
            <w:rFonts w:eastAsia="Times New Roman"/>
            <w:color w:val="0563C1"/>
            <w:szCs w:val="18"/>
          </w:rPr>
          <w:t>minsa</w:t>
        </w:r>
        <w:proofErr w:type="spellEnd"/>
        <w:r w:rsidR="00362916" w:rsidRPr="005741D2">
          <w:rPr>
            <w:rFonts w:eastAsia="Times New Roman"/>
            <w:color w:val="0563C1"/>
            <w:szCs w:val="18"/>
          </w:rPr>
          <w:t>/tema/covid-19-vacunas</w:t>
        </w:r>
      </w:hyperlink>
      <w:r w:rsidR="00FC5D0B" w:rsidRPr="005741D2">
        <w:rPr>
          <w:rFonts w:eastAsia="Times New Roman"/>
          <w:color w:val="000000"/>
          <w:szCs w:val="18"/>
        </w:rPr>
        <w:t>.</w:t>
      </w:r>
    </w:p>
  </w:footnote>
  <w:footnote w:id="122">
    <w:p w14:paraId="155723E8" w14:textId="580732D2" w:rsidR="00362916" w:rsidRPr="005741D2" w:rsidRDefault="00EA1656" w:rsidP="00EA1656">
      <w:pPr>
        <w:pStyle w:val="Textonotapie"/>
        <w:rPr>
          <w:rFonts w:eastAsia="Times New Roman"/>
          <w:color w:val="000000"/>
          <w:szCs w:val="18"/>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Para visualizar la página web “Sala Covid-19”, dirigirse a: </w:t>
      </w:r>
      <w:hyperlink r:id="rId8">
        <w:r w:rsidR="00362916" w:rsidRPr="005741D2">
          <w:rPr>
            <w:rFonts w:eastAsia="Times New Roman"/>
            <w:color w:val="0563C1"/>
            <w:szCs w:val="18"/>
          </w:rPr>
          <w:t>https://</w:t>
        </w:r>
        <w:proofErr w:type="spellStart"/>
        <w:r w:rsidR="00362916" w:rsidRPr="005741D2">
          <w:rPr>
            <w:rFonts w:eastAsia="Times New Roman"/>
            <w:color w:val="0563C1"/>
            <w:szCs w:val="18"/>
          </w:rPr>
          <w:t>app7.dge.gob.pe</w:t>
        </w:r>
        <w:proofErr w:type="spellEnd"/>
        <w:r w:rsidR="00362916" w:rsidRPr="005741D2">
          <w:rPr>
            <w:rFonts w:eastAsia="Times New Roman"/>
            <w:color w:val="0563C1"/>
            <w:szCs w:val="18"/>
          </w:rPr>
          <w:t>/</w:t>
        </w:r>
        <w:proofErr w:type="spellStart"/>
        <w:r w:rsidR="00362916" w:rsidRPr="005741D2">
          <w:rPr>
            <w:rFonts w:eastAsia="Times New Roman"/>
            <w:color w:val="0563C1"/>
            <w:szCs w:val="18"/>
          </w:rPr>
          <w:t>maps</w:t>
        </w:r>
        <w:proofErr w:type="spellEnd"/>
        <w:r w:rsidR="00362916" w:rsidRPr="005741D2">
          <w:rPr>
            <w:rFonts w:eastAsia="Times New Roman"/>
            <w:color w:val="0563C1"/>
            <w:szCs w:val="18"/>
          </w:rPr>
          <w:t>/</w:t>
        </w:r>
        <w:proofErr w:type="spellStart"/>
        <w:r w:rsidR="00362916" w:rsidRPr="005741D2">
          <w:rPr>
            <w:rFonts w:eastAsia="Times New Roman"/>
            <w:color w:val="0563C1"/>
            <w:szCs w:val="18"/>
          </w:rPr>
          <w:t>sala_covid</w:t>
        </w:r>
        <w:proofErr w:type="spellEnd"/>
        <w:r w:rsidR="00362916" w:rsidRPr="005741D2">
          <w:rPr>
            <w:rFonts w:eastAsia="Times New Roman"/>
            <w:color w:val="0563C1"/>
            <w:szCs w:val="18"/>
          </w:rPr>
          <w:t>/</w:t>
        </w:r>
      </w:hyperlink>
      <w:r w:rsidR="00FC5D0B" w:rsidRPr="005741D2">
        <w:rPr>
          <w:szCs w:val="18"/>
        </w:rPr>
        <w:t>.</w:t>
      </w:r>
      <w:r w:rsidR="00362916" w:rsidRPr="005741D2">
        <w:rPr>
          <w:rFonts w:eastAsia="Times New Roman"/>
          <w:color w:val="000000"/>
          <w:szCs w:val="18"/>
        </w:rPr>
        <w:t xml:space="preserve"> </w:t>
      </w:r>
    </w:p>
  </w:footnote>
  <w:footnote w:id="123">
    <w:p w14:paraId="4B09423D" w14:textId="07DB58AF" w:rsidR="00362916" w:rsidRDefault="00EA1656" w:rsidP="00EA1656">
      <w:pPr>
        <w:pStyle w:val="Textonotapie"/>
        <w:rPr>
          <w:rFonts w:eastAsia="Times New Roman"/>
          <w:color w:val="000000"/>
          <w:sz w:val="16"/>
          <w:szCs w:val="16"/>
        </w:rPr>
      </w:pPr>
      <w:r w:rsidRPr="005741D2">
        <w:rPr>
          <w:rFonts w:eastAsia="Times New Roman"/>
          <w:color w:val="000000"/>
          <w:szCs w:val="18"/>
        </w:rPr>
        <w:tab/>
      </w:r>
      <w:r w:rsidR="00362916" w:rsidRPr="005741D2">
        <w:rPr>
          <w:szCs w:val="18"/>
          <w:vertAlign w:val="superscript"/>
        </w:rPr>
        <w:footnoteRef/>
      </w:r>
      <w:r w:rsidR="00362916" w:rsidRPr="005741D2">
        <w:rPr>
          <w:rFonts w:eastAsia="Times New Roman"/>
          <w:color w:val="000000"/>
          <w:szCs w:val="18"/>
        </w:rPr>
        <w:t xml:space="preserve"> </w:t>
      </w:r>
      <w:r w:rsidRPr="005741D2">
        <w:rPr>
          <w:rFonts w:eastAsia="Times New Roman"/>
          <w:color w:val="000000"/>
          <w:szCs w:val="18"/>
        </w:rPr>
        <w:tab/>
      </w:r>
      <w:r w:rsidR="00362916" w:rsidRPr="005741D2">
        <w:rPr>
          <w:rFonts w:eastAsia="Times New Roman"/>
          <w:color w:val="000000"/>
          <w:szCs w:val="18"/>
        </w:rPr>
        <w:t xml:space="preserve">MINSA. </w:t>
      </w:r>
      <w:proofErr w:type="spellStart"/>
      <w:r w:rsidR="00362916" w:rsidRPr="005741D2">
        <w:rPr>
          <w:rFonts w:eastAsia="Times New Roman"/>
          <w:color w:val="000000"/>
          <w:szCs w:val="18"/>
        </w:rPr>
        <w:t>R.M</w:t>
      </w:r>
      <w:proofErr w:type="spellEnd"/>
      <w:r w:rsidR="00362916" w:rsidRPr="005741D2">
        <w:rPr>
          <w:rFonts w:eastAsia="Times New Roman"/>
          <w:color w:val="000000"/>
          <w:szCs w:val="18"/>
        </w:rPr>
        <w:t>. 776-2022-MINSA. Aprobado: 30.09.2022.</w:t>
      </w:r>
    </w:p>
  </w:footnote>
  <w:footnote w:id="124">
    <w:p w14:paraId="3D3EF886" w14:textId="04E5F23E" w:rsidR="00362916" w:rsidRPr="00973540" w:rsidRDefault="00EA1656" w:rsidP="00EA1656">
      <w:pPr>
        <w:pStyle w:val="Textonotapie"/>
        <w:rPr>
          <w:rFonts w:eastAsia="Times New Roman"/>
          <w:color w:val="000000"/>
          <w:szCs w:val="18"/>
        </w:rPr>
      </w:pPr>
      <w:r>
        <w:rPr>
          <w:rFonts w:eastAsia="Times New Roman"/>
          <w:color w:val="000000"/>
          <w:sz w:val="16"/>
          <w:szCs w:val="16"/>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MINSA. Oficio 420-2024-</w:t>
      </w:r>
      <w:proofErr w:type="spellStart"/>
      <w:r w:rsidR="00362916" w:rsidRPr="00973540">
        <w:rPr>
          <w:rFonts w:eastAsia="Times New Roman"/>
          <w:color w:val="000000"/>
          <w:szCs w:val="18"/>
        </w:rPr>
        <w:t>DVMSP</w:t>
      </w:r>
      <w:proofErr w:type="spellEnd"/>
      <w:r w:rsidR="00362916" w:rsidRPr="00973540">
        <w:rPr>
          <w:rFonts w:eastAsia="Times New Roman"/>
          <w:color w:val="000000"/>
          <w:szCs w:val="18"/>
        </w:rPr>
        <w:t>-MINSA del 10.09.2024.</w:t>
      </w:r>
    </w:p>
  </w:footnote>
  <w:footnote w:id="125">
    <w:p w14:paraId="33D108C5" w14:textId="048ADEA3" w:rsidR="00362916" w:rsidRPr="00973540" w:rsidRDefault="00EA1656" w:rsidP="00EA1656">
      <w:pPr>
        <w:pStyle w:val="Textonotapie"/>
        <w:rPr>
          <w:rFonts w:eastAsia="Times New Roman"/>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Ibid.</w:t>
      </w:r>
    </w:p>
  </w:footnote>
  <w:footnote w:id="126">
    <w:p w14:paraId="754A2A1B" w14:textId="24302F48" w:rsidR="00362916" w:rsidRPr="00973540" w:rsidRDefault="00EA1656" w:rsidP="00EA1656">
      <w:pPr>
        <w:pStyle w:val="Textonotapie"/>
        <w:rPr>
          <w:rFonts w:eastAsia="Times New Roman"/>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MINSA. Oficio 420-2024-</w:t>
      </w:r>
      <w:proofErr w:type="spellStart"/>
      <w:r w:rsidR="00362916" w:rsidRPr="00973540">
        <w:rPr>
          <w:rFonts w:eastAsia="Times New Roman"/>
          <w:color w:val="000000"/>
          <w:szCs w:val="18"/>
        </w:rPr>
        <w:t>DVMSP</w:t>
      </w:r>
      <w:proofErr w:type="spellEnd"/>
      <w:r w:rsidR="00362916" w:rsidRPr="00973540">
        <w:rPr>
          <w:rFonts w:eastAsia="Times New Roman"/>
          <w:color w:val="000000"/>
          <w:szCs w:val="18"/>
        </w:rPr>
        <w:t>-MINSA del 10.09.2024.</w:t>
      </w:r>
    </w:p>
  </w:footnote>
  <w:footnote w:id="127">
    <w:p w14:paraId="393E4505" w14:textId="7DA71AC9" w:rsidR="00362916" w:rsidRPr="00973540" w:rsidRDefault="00EA1656" w:rsidP="00EA1656">
      <w:pPr>
        <w:pStyle w:val="Textonotapie"/>
        <w:rPr>
          <w:rFonts w:eastAsia="Times New Roman"/>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 xml:space="preserve">MEF. </w:t>
      </w:r>
      <w:proofErr w:type="spellStart"/>
      <w:r w:rsidR="00362916" w:rsidRPr="00973540">
        <w:rPr>
          <w:rFonts w:eastAsia="Times New Roman"/>
          <w:color w:val="000000"/>
          <w:szCs w:val="18"/>
        </w:rPr>
        <w:t>D.S</w:t>
      </w:r>
      <w:proofErr w:type="spellEnd"/>
      <w:r w:rsidR="00362916" w:rsidRPr="00973540">
        <w:rPr>
          <w:rFonts w:eastAsia="Times New Roman"/>
          <w:color w:val="000000"/>
          <w:szCs w:val="18"/>
        </w:rPr>
        <w:t>. 049-2022-EF. Publicado: 28.03.2022.</w:t>
      </w:r>
    </w:p>
  </w:footnote>
  <w:footnote w:id="128">
    <w:p w14:paraId="24EAAA5C" w14:textId="0EBB8516" w:rsidR="00362916" w:rsidRPr="00973540" w:rsidRDefault="00EA1656" w:rsidP="00EA1656">
      <w:pPr>
        <w:pStyle w:val="Textonotapie"/>
        <w:rPr>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MEF. 108-2023-EF. Publicado: 04.06.2023.</w:t>
      </w:r>
    </w:p>
  </w:footnote>
  <w:footnote w:id="129">
    <w:p w14:paraId="59964138" w14:textId="4AED5E67" w:rsidR="00362916" w:rsidRPr="00973540" w:rsidRDefault="00EA1656" w:rsidP="00EA1656">
      <w:pPr>
        <w:pStyle w:val="Textonotapie"/>
        <w:rPr>
          <w:rFonts w:eastAsia="Times New Roman"/>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CR. Ley 31953. Publicado: 06.12.2023.</w:t>
      </w:r>
    </w:p>
  </w:footnote>
  <w:footnote w:id="130">
    <w:p w14:paraId="7450EB37" w14:textId="0F4B8537" w:rsidR="00362916" w:rsidRPr="00973540" w:rsidRDefault="00EA1656" w:rsidP="00EA1656">
      <w:pPr>
        <w:pStyle w:val="Textonotapie"/>
        <w:rPr>
          <w:rFonts w:eastAsia="Times New Roman"/>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 xml:space="preserve">MINSA. </w:t>
      </w:r>
      <w:proofErr w:type="spellStart"/>
      <w:r w:rsidR="00362916" w:rsidRPr="00973540">
        <w:rPr>
          <w:rFonts w:eastAsia="Times New Roman"/>
          <w:color w:val="000000"/>
          <w:szCs w:val="18"/>
        </w:rPr>
        <w:t>R.M</w:t>
      </w:r>
      <w:proofErr w:type="spellEnd"/>
      <w:r w:rsidR="00362916" w:rsidRPr="00973540">
        <w:rPr>
          <w:rFonts w:eastAsia="Times New Roman"/>
          <w:color w:val="000000"/>
          <w:szCs w:val="18"/>
        </w:rPr>
        <w:t>. 935-2018/MINSA. Aprobada: 12.10.2018.</w:t>
      </w:r>
    </w:p>
  </w:footnote>
  <w:footnote w:id="131">
    <w:p w14:paraId="5F5C9012" w14:textId="5F4242C1" w:rsidR="00362916" w:rsidRPr="00973540" w:rsidRDefault="00EA1656" w:rsidP="00EA1656">
      <w:pPr>
        <w:pStyle w:val="Textonotapie"/>
        <w:rPr>
          <w:rFonts w:eastAsia="Times New Roman"/>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 xml:space="preserve">MINSA. </w:t>
      </w:r>
      <w:proofErr w:type="spellStart"/>
      <w:r w:rsidR="00362916" w:rsidRPr="00973540">
        <w:rPr>
          <w:rFonts w:eastAsia="Times New Roman"/>
          <w:color w:val="000000"/>
          <w:szCs w:val="18"/>
        </w:rPr>
        <w:t>R.M</w:t>
      </w:r>
      <w:proofErr w:type="spellEnd"/>
      <w:r w:rsidR="00362916" w:rsidRPr="00973540">
        <w:rPr>
          <w:rFonts w:eastAsia="Times New Roman"/>
          <w:color w:val="000000"/>
          <w:szCs w:val="18"/>
        </w:rPr>
        <w:t>. 868-2022-MINSA. Aprobada: 05.11.2022.</w:t>
      </w:r>
    </w:p>
  </w:footnote>
  <w:footnote w:id="132">
    <w:p w14:paraId="7D0FDC60" w14:textId="0C07D3A9" w:rsidR="00362916" w:rsidRPr="00973540" w:rsidRDefault="00EA1656" w:rsidP="00EA1656">
      <w:pPr>
        <w:pStyle w:val="Textonotapie"/>
        <w:rPr>
          <w:rFonts w:eastAsia="Times New Roman"/>
          <w:color w:val="000000"/>
          <w:szCs w:val="18"/>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szCs w:val="18"/>
        </w:rPr>
        <w:t>MINSA</w:t>
      </w:r>
      <w:r w:rsidR="00362916" w:rsidRPr="00973540">
        <w:rPr>
          <w:rFonts w:eastAsia="Times New Roman"/>
          <w:color w:val="000000"/>
          <w:szCs w:val="18"/>
        </w:rPr>
        <w:t xml:space="preserve">. </w:t>
      </w:r>
      <w:proofErr w:type="spellStart"/>
      <w:r w:rsidR="00362916" w:rsidRPr="00973540">
        <w:rPr>
          <w:rFonts w:eastAsia="Times New Roman"/>
          <w:color w:val="000000"/>
          <w:szCs w:val="18"/>
        </w:rPr>
        <w:t>R.M</w:t>
      </w:r>
      <w:proofErr w:type="spellEnd"/>
      <w:r w:rsidR="00362916" w:rsidRPr="00973540">
        <w:rPr>
          <w:rFonts w:eastAsia="Times New Roman"/>
          <w:color w:val="000000"/>
          <w:szCs w:val="18"/>
        </w:rPr>
        <w:t>. 1024-2020/MINSA. Aprobada: 12.12.2020.</w:t>
      </w:r>
    </w:p>
  </w:footnote>
  <w:footnote w:id="133">
    <w:p w14:paraId="648646E9" w14:textId="7875263F" w:rsidR="00362916" w:rsidRDefault="00EA1656" w:rsidP="00EA1656">
      <w:pPr>
        <w:pStyle w:val="Textonotapie"/>
        <w:rPr>
          <w:rFonts w:eastAsia="Times New Roman"/>
          <w:color w:val="000000"/>
          <w:sz w:val="16"/>
          <w:szCs w:val="16"/>
        </w:rPr>
      </w:pPr>
      <w:r w:rsidRPr="00973540">
        <w:rPr>
          <w:rFonts w:eastAsia="Times New Roman"/>
          <w:color w:val="000000"/>
          <w:szCs w:val="18"/>
        </w:rPr>
        <w:tab/>
      </w:r>
      <w:r w:rsidR="00362916" w:rsidRPr="00973540">
        <w:rPr>
          <w:szCs w:val="18"/>
          <w:vertAlign w:val="superscript"/>
        </w:rPr>
        <w:footnoteRef/>
      </w:r>
      <w:r w:rsidR="00362916" w:rsidRPr="00973540">
        <w:rPr>
          <w:rFonts w:eastAsia="Times New Roman"/>
          <w:color w:val="000000"/>
          <w:szCs w:val="18"/>
        </w:rPr>
        <w:t xml:space="preserve"> </w:t>
      </w:r>
      <w:r w:rsidRPr="00973540">
        <w:rPr>
          <w:rFonts w:eastAsia="Times New Roman"/>
          <w:color w:val="000000"/>
          <w:szCs w:val="18"/>
        </w:rPr>
        <w:tab/>
      </w:r>
      <w:r w:rsidR="00362916" w:rsidRPr="00973540">
        <w:rPr>
          <w:rFonts w:eastAsia="Times New Roman"/>
          <w:color w:val="000000"/>
          <w:szCs w:val="18"/>
        </w:rPr>
        <w:t xml:space="preserve">MINSA. Oficio </w:t>
      </w:r>
      <w:proofErr w:type="spellStart"/>
      <w:r w:rsidR="00362916" w:rsidRPr="00973540">
        <w:rPr>
          <w:rFonts w:eastAsia="Times New Roman"/>
          <w:color w:val="000000"/>
          <w:szCs w:val="18"/>
        </w:rPr>
        <w:t>N°420</w:t>
      </w:r>
      <w:proofErr w:type="spellEnd"/>
      <w:r w:rsidR="00362916" w:rsidRPr="00973540">
        <w:rPr>
          <w:rFonts w:eastAsia="Times New Roman"/>
          <w:color w:val="000000"/>
          <w:szCs w:val="18"/>
        </w:rPr>
        <w:t>-2024-</w:t>
      </w:r>
      <w:proofErr w:type="spellStart"/>
      <w:r w:rsidR="00362916" w:rsidRPr="00973540">
        <w:rPr>
          <w:rFonts w:eastAsia="Times New Roman"/>
          <w:color w:val="000000"/>
          <w:szCs w:val="18"/>
        </w:rPr>
        <w:t>DVMSP</w:t>
      </w:r>
      <w:proofErr w:type="spellEnd"/>
      <w:r w:rsidR="00362916" w:rsidRPr="00973540">
        <w:rPr>
          <w:rFonts w:eastAsia="Times New Roman"/>
          <w:color w:val="000000"/>
          <w:szCs w:val="18"/>
        </w:rPr>
        <w:t>-MINSA del 10.09.2024.</w:t>
      </w:r>
    </w:p>
  </w:footnote>
  <w:footnote w:id="134">
    <w:p w14:paraId="0E5B3230" w14:textId="62B86BAA" w:rsidR="00362916" w:rsidRPr="00973540" w:rsidRDefault="00EA1656" w:rsidP="00362916">
      <w:pPr>
        <w:pStyle w:val="Textonotapie"/>
        <w:rPr>
          <w:szCs w:val="18"/>
        </w:rPr>
      </w:pPr>
      <w: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 xml:space="preserve">Según el informe </w:t>
      </w:r>
      <w:proofErr w:type="spellStart"/>
      <w:r w:rsidR="00362916" w:rsidRPr="00973540">
        <w:rPr>
          <w:rFonts w:eastAsia="Times New Roman"/>
          <w:color w:val="000000"/>
          <w:szCs w:val="18"/>
        </w:rPr>
        <w:t>LIO2021</w:t>
      </w:r>
      <w:proofErr w:type="spellEnd"/>
      <w:r w:rsidR="00362916" w:rsidRPr="00973540">
        <w:rPr>
          <w:rFonts w:eastAsia="Times New Roman"/>
          <w:color w:val="000000"/>
          <w:szCs w:val="18"/>
        </w:rPr>
        <w:t>, recoge “El MINSA informó que cuenta con Normas y Guías Técnicas para el funcionamiento de servicios [de salud sexual y reproductiva]”. Informe LIO 2021 (</w:t>
      </w:r>
      <w:proofErr w:type="spellStart"/>
      <w:r w:rsidR="00362916" w:rsidRPr="00973540">
        <w:rPr>
          <w:rFonts w:eastAsia="Times New Roman"/>
          <w:color w:val="000000"/>
          <w:szCs w:val="18"/>
        </w:rPr>
        <w:t>p.152</w:t>
      </w:r>
      <w:proofErr w:type="spellEnd"/>
      <w:r w:rsidR="00362916" w:rsidRPr="00973540">
        <w:rPr>
          <w:rFonts w:eastAsia="Times New Roman"/>
          <w:color w:val="000000"/>
          <w:szCs w:val="18"/>
        </w:rPr>
        <w:t>). Disponible: https://cdn.www.gob.pe/uploads/document/file/3474197/XV-Informe-LIO-2021.pdf?v=1659726752</w:t>
      </w:r>
      <w:r w:rsidR="00FC5D0B" w:rsidRPr="00973540">
        <w:rPr>
          <w:rFonts w:eastAsia="Times New Roman"/>
          <w:color w:val="000000"/>
          <w:szCs w:val="18"/>
        </w:rPr>
        <w:t>.</w:t>
      </w:r>
    </w:p>
  </w:footnote>
  <w:footnote w:id="135">
    <w:p w14:paraId="5BA1113C" w14:textId="29E21E7D" w:rsidR="00362916" w:rsidRPr="00973540" w:rsidRDefault="0063452F" w:rsidP="00362916">
      <w:pPr>
        <w:pStyle w:val="Textonotapie"/>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proofErr w:type="spellStart"/>
      <w:r w:rsidR="00362916" w:rsidRPr="00973540">
        <w:rPr>
          <w:rFonts w:eastAsia="Times New Roman"/>
          <w:color w:val="000000"/>
          <w:szCs w:val="18"/>
        </w:rPr>
        <w:t>MIMP</w:t>
      </w:r>
      <w:proofErr w:type="spellEnd"/>
      <w:r w:rsidR="00362916" w:rsidRPr="00973540">
        <w:rPr>
          <w:rFonts w:eastAsia="Times New Roman"/>
          <w:color w:val="000000"/>
          <w:szCs w:val="18"/>
        </w:rPr>
        <w:t xml:space="preserve">. INFORME </w:t>
      </w:r>
      <w:proofErr w:type="spellStart"/>
      <w:r w:rsidR="00362916" w:rsidRPr="00973540">
        <w:rPr>
          <w:rFonts w:eastAsia="Times New Roman"/>
          <w:color w:val="000000"/>
          <w:szCs w:val="18"/>
        </w:rPr>
        <w:t>D00054-MIMP-DGPDAEM-PACM</w:t>
      </w:r>
      <w:proofErr w:type="spellEnd"/>
      <w:r w:rsidR="00FC5D0B" w:rsidRPr="00973540">
        <w:rPr>
          <w:rFonts w:eastAsia="Times New Roman"/>
          <w:color w:val="000000"/>
          <w:szCs w:val="18"/>
        </w:rPr>
        <w:t>.</w:t>
      </w:r>
    </w:p>
  </w:footnote>
  <w:footnote w:id="136">
    <w:p w14:paraId="4D1F14AC" w14:textId="533A250A" w:rsidR="00362916" w:rsidRPr="00973540" w:rsidRDefault="0063452F" w:rsidP="00362916">
      <w:pPr>
        <w:pStyle w:val="Textonotapie"/>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Ibid.</w:t>
      </w:r>
    </w:p>
  </w:footnote>
  <w:footnote w:id="137">
    <w:p w14:paraId="3C68D736" w14:textId="0DBAD2EA" w:rsidR="00362916" w:rsidRPr="00973540" w:rsidRDefault="0063452F" w:rsidP="00362916">
      <w:pPr>
        <w:pStyle w:val="Textonotapie"/>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Ibid.</w:t>
      </w:r>
    </w:p>
  </w:footnote>
  <w:footnote w:id="138">
    <w:p w14:paraId="1D150C75" w14:textId="2210774A" w:rsidR="00362916" w:rsidRPr="00973540" w:rsidRDefault="0063452F" w:rsidP="00362916">
      <w:pPr>
        <w:pStyle w:val="Textonotapie"/>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 xml:space="preserve">Informe </w:t>
      </w:r>
      <w:proofErr w:type="spellStart"/>
      <w:r w:rsidR="00362916" w:rsidRPr="00973540">
        <w:rPr>
          <w:rFonts w:eastAsia="Times New Roman"/>
          <w:color w:val="000000"/>
          <w:szCs w:val="18"/>
        </w:rPr>
        <w:t>N°00742</w:t>
      </w:r>
      <w:proofErr w:type="spellEnd"/>
      <w:r w:rsidR="00362916" w:rsidRPr="00973540">
        <w:rPr>
          <w:rFonts w:eastAsia="Times New Roman"/>
          <w:color w:val="000000"/>
          <w:szCs w:val="18"/>
        </w:rPr>
        <w:t>-2024-MINEDU/</w:t>
      </w:r>
      <w:proofErr w:type="spellStart"/>
      <w:r w:rsidR="00362916" w:rsidRPr="00973540">
        <w:rPr>
          <w:rFonts w:eastAsia="Times New Roman"/>
          <w:color w:val="000000"/>
          <w:szCs w:val="18"/>
        </w:rPr>
        <w:t>VMGP-DIGEBR</w:t>
      </w:r>
      <w:proofErr w:type="spellEnd"/>
      <w:r w:rsidR="00856B4B" w:rsidRPr="00973540">
        <w:rPr>
          <w:rFonts w:eastAsia="Times New Roman"/>
          <w:color w:val="000000"/>
          <w:szCs w:val="18"/>
        </w:rPr>
        <w:t>.</w:t>
      </w:r>
    </w:p>
  </w:footnote>
  <w:footnote w:id="139">
    <w:p w14:paraId="4B8BB62D" w14:textId="41A560DD" w:rsidR="00362916" w:rsidRDefault="0063452F" w:rsidP="00362916">
      <w:pPr>
        <w:pStyle w:val="Textonotapie"/>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Ibid.</w:t>
      </w:r>
    </w:p>
  </w:footnote>
  <w:footnote w:id="140">
    <w:p w14:paraId="49D8B5BD" w14:textId="75C5B7E8" w:rsidR="00362916" w:rsidRPr="00973540" w:rsidRDefault="0063452F" w:rsidP="00362916">
      <w:pPr>
        <w:pStyle w:val="Textonotapie"/>
        <w:rPr>
          <w:szCs w:val="18"/>
        </w:rPr>
      </w:pPr>
      <w: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 xml:space="preserve">MINEDU </w:t>
      </w:r>
      <w:proofErr w:type="spellStart"/>
      <w:r w:rsidR="00362916" w:rsidRPr="00973540">
        <w:rPr>
          <w:rFonts w:eastAsia="Times New Roman"/>
          <w:color w:val="000000"/>
          <w:szCs w:val="18"/>
        </w:rPr>
        <w:t>R.M</w:t>
      </w:r>
      <w:proofErr w:type="spellEnd"/>
      <w:r w:rsidR="00362916" w:rsidRPr="00973540">
        <w:rPr>
          <w:rFonts w:eastAsia="Times New Roman"/>
          <w:color w:val="000000"/>
          <w:szCs w:val="18"/>
        </w:rPr>
        <w:t xml:space="preserve">. </w:t>
      </w:r>
      <w:proofErr w:type="spellStart"/>
      <w:r w:rsidR="00362916" w:rsidRPr="00973540">
        <w:rPr>
          <w:rFonts w:eastAsia="Times New Roman"/>
          <w:color w:val="000000"/>
          <w:szCs w:val="18"/>
        </w:rPr>
        <w:t>N°161</w:t>
      </w:r>
      <w:proofErr w:type="spellEnd"/>
      <w:r w:rsidR="00362916" w:rsidRPr="00973540">
        <w:rPr>
          <w:rFonts w:eastAsia="Times New Roman"/>
          <w:color w:val="000000"/>
          <w:szCs w:val="18"/>
        </w:rPr>
        <w:t>-2022-MINEDU</w:t>
      </w:r>
      <w:r w:rsidR="00856B4B" w:rsidRPr="00973540">
        <w:rPr>
          <w:rFonts w:eastAsia="Times New Roman"/>
          <w:color w:val="000000"/>
          <w:szCs w:val="18"/>
        </w:rPr>
        <w:t>.</w:t>
      </w:r>
    </w:p>
  </w:footnote>
  <w:footnote w:id="141">
    <w:p w14:paraId="19C0E1E3" w14:textId="0C66E2FA" w:rsidR="00362916" w:rsidRPr="00973540" w:rsidRDefault="0063452F" w:rsidP="00362916">
      <w:pPr>
        <w:pStyle w:val="Textonotapie"/>
        <w:rPr>
          <w:szCs w:val="18"/>
        </w:rPr>
      </w:pPr>
      <w:r w:rsidRPr="00973540">
        <w:rPr>
          <w:szCs w:val="18"/>
        </w:rPr>
        <w:tab/>
      </w:r>
      <w:r w:rsidR="00362916" w:rsidRPr="00973540">
        <w:rPr>
          <w:rStyle w:val="Refdenotaalpie"/>
          <w:szCs w:val="18"/>
        </w:rPr>
        <w:footnoteRef/>
      </w:r>
      <w:r w:rsidR="00362916" w:rsidRPr="00973540">
        <w:rPr>
          <w:szCs w:val="18"/>
        </w:rPr>
        <w:t xml:space="preserve"> </w:t>
      </w:r>
      <w:bookmarkStart w:id="37" w:name="_Hlk184753026"/>
      <w:r w:rsidRPr="00973540">
        <w:rPr>
          <w:szCs w:val="18"/>
        </w:rPr>
        <w:tab/>
      </w:r>
      <w:r w:rsidR="00362916" w:rsidRPr="00973540">
        <w:rPr>
          <w:rFonts w:eastAsia="Times New Roman"/>
          <w:color w:val="000000"/>
          <w:szCs w:val="18"/>
        </w:rPr>
        <w:t>MINEDU. Informe 00742-2024-MINEDU/</w:t>
      </w:r>
      <w:proofErr w:type="spellStart"/>
      <w:r w:rsidR="00362916" w:rsidRPr="00973540">
        <w:rPr>
          <w:rFonts w:eastAsia="Times New Roman"/>
          <w:color w:val="000000"/>
          <w:szCs w:val="18"/>
        </w:rPr>
        <w:t>VMGP-DIGEBR</w:t>
      </w:r>
      <w:bookmarkEnd w:id="37"/>
      <w:proofErr w:type="spellEnd"/>
      <w:r w:rsidR="00856B4B" w:rsidRPr="00973540">
        <w:rPr>
          <w:rFonts w:eastAsia="Times New Roman"/>
          <w:color w:val="000000"/>
          <w:szCs w:val="18"/>
        </w:rPr>
        <w:t>.</w:t>
      </w:r>
    </w:p>
  </w:footnote>
  <w:footnote w:id="142">
    <w:p w14:paraId="17A68D38" w14:textId="3F9B5B17" w:rsidR="00362916" w:rsidRPr="00973540" w:rsidRDefault="0063452F" w:rsidP="00362916">
      <w:pPr>
        <w:pStyle w:val="Textonotapie"/>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szCs w:val="18"/>
        </w:rPr>
        <w:t>Informe 00742-2024-MINEDU/</w:t>
      </w:r>
      <w:proofErr w:type="spellStart"/>
      <w:r w:rsidR="00362916" w:rsidRPr="00973540">
        <w:rPr>
          <w:rFonts w:eastAsia="Times New Roman"/>
          <w:szCs w:val="18"/>
        </w:rPr>
        <w:t>VMGP-DIGEBR</w:t>
      </w:r>
      <w:proofErr w:type="spellEnd"/>
      <w:r w:rsidR="00D95D28" w:rsidRPr="00973540">
        <w:rPr>
          <w:rFonts w:eastAsia="Times New Roman"/>
          <w:szCs w:val="18"/>
        </w:rPr>
        <w:t>.</w:t>
      </w:r>
    </w:p>
  </w:footnote>
  <w:footnote w:id="143">
    <w:p w14:paraId="6B846952" w14:textId="5724F36C" w:rsidR="00362916" w:rsidRPr="00973540" w:rsidRDefault="0063452F" w:rsidP="00362916">
      <w:pPr>
        <w:pStyle w:val="Textonotapie"/>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szCs w:val="18"/>
        </w:rPr>
        <w:t>MINEDU Resolución Viceministerial No 045- 2022-MINEDU</w:t>
      </w:r>
      <w:r w:rsidR="00D95D28" w:rsidRPr="00973540">
        <w:rPr>
          <w:rFonts w:eastAsia="Times New Roman"/>
          <w:szCs w:val="18"/>
        </w:rPr>
        <w:t>.</w:t>
      </w:r>
    </w:p>
  </w:footnote>
  <w:footnote w:id="144">
    <w:p w14:paraId="51C94FAC" w14:textId="78283E2E" w:rsidR="00362916" w:rsidRPr="003E567B" w:rsidRDefault="0063452F" w:rsidP="00362916">
      <w:pPr>
        <w:pStyle w:val="Textonotapie"/>
        <w:rPr>
          <w:rFonts w:eastAsia="Times New Roman"/>
          <w:sz w:val="16"/>
          <w:szCs w:val="16"/>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szCs w:val="18"/>
        </w:rPr>
        <w:t>Ibid.</w:t>
      </w:r>
    </w:p>
  </w:footnote>
  <w:footnote w:id="145">
    <w:p w14:paraId="33024E14" w14:textId="49691D76" w:rsidR="00362916" w:rsidRPr="00973540" w:rsidRDefault="0063452F" w:rsidP="00144819">
      <w:pPr>
        <w:pStyle w:val="Textonotapie"/>
        <w:tabs>
          <w:tab w:val="clear" w:pos="1021"/>
          <w:tab w:val="right" w:pos="993"/>
        </w:tabs>
        <w:rPr>
          <w:rFonts w:eastAsia="Times New Roman"/>
          <w:szCs w:val="18"/>
        </w:rPr>
      </w:pPr>
      <w:r>
        <w:tab/>
      </w:r>
      <w:r w:rsidR="00362916" w:rsidRPr="00973540">
        <w:rPr>
          <w:rStyle w:val="Refdenotaalpie"/>
          <w:szCs w:val="18"/>
        </w:rPr>
        <w:footnoteRef/>
      </w:r>
      <w:r w:rsidRPr="00973540">
        <w:rPr>
          <w:rFonts w:eastAsia="Times New Roman"/>
          <w:szCs w:val="18"/>
        </w:rPr>
        <w:tab/>
      </w:r>
      <w:proofErr w:type="spellStart"/>
      <w:r w:rsidR="00362916" w:rsidRPr="00973540">
        <w:rPr>
          <w:rFonts w:eastAsia="Times New Roman"/>
          <w:szCs w:val="18"/>
        </w:rPr>
        <w:t>IVIENDA</w:t>
      </w:r>
      <w:proofErr w:type="spellEnd"/>
      <w:r w:rsidR="00362916" w:rsidRPr="00973540">
        <w:rPr>
          <w:rFonts w:eastAsia="Times New Roman"/>
          <w:szCs w:val="18"/>
        </w:rPr>
        <w:t xml:space="preserve">. INFORME </w:t>
      </w:r>
      <w:proofErr w:type="spellStart"/>
      <w:r w:rsidR="00362916" w:rsidRPr="00973540">
        <w:rPr>
          <w:rFonts w:eastAsia="Times New Roman"/>
          <w:szCs w:val="18"/>
        </w:rPr>
        <w:t>N°D00200</w:t>
      </w:r>
      <w:proofErr w:type="spellEnd"/>
      <w:r w:rsidR="00362916" w:rsidRPr="00973540">
        <w:rPr>
          <w:rFonts w:eastAsia="Times New Roman"/>
          <w:szCs w:val="18"/>
        </w:rPr>
        <w:t>-2024-VIVIENDA/</w:t>
      </w:r>
      <w:proofErr w:type="spellStart"/>
      <w:r w:rsidR="00362916" w:rsidRPr="00973540">
        <w:rPr>
          <w:rFonts w:eastAsia="Times New Roman"/>
          <w:szCs w:val="18"/>
        </w:rPr>
        <w:t>VMCS-DGPPCS</w:t>
      </w:r>
      <w:proofErr w:type="spellEnd"/>
      <w:r w:rsidR="00D95D28" w:rsidRPr="00973540">
        <w:rPr>
          <w:rFonts w:eastAsia="Times New Roman"/>
          <w:szCs w:val="18"/>
        </w:rPr>
        <w:t>.</w:t>
      </w:r>
    </w:p>
  </w:footnote>
  <w:footnote w:id="146">
    <w:p w14:paraId="7A7A31E0" w14:textId="72B604E7" w:rsidR="00362916" w:rsidRPr="00973540" w:rsidRDefault="0063452F" w:rsidP="00144819">
      <w:pPr>
        <w:pStyle w:val="Textonotapie"/>
        <w:tabs>
          <w:tab w:val="clear" w:pos="1021"/>
          <w:tab w:val="right" w:pos="993"/>
        </w:tabs>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szCs w:val="18"/>
        </w:rPr>
        <w:t>Ibid.</w:t>
      </w:r>
    </w:p>
  </w:footnote>
  <w:footnote w:id="147">
    <w:p w14:paraId="3CD84BB2" w14:textId="609C0CAF" w:rsidR="00362916" w:rsidRPr="00973540" w:rsidRDefault="0063452F" w:rsidP="00144819">
      <w:pPr>
        <w:pStyle w:val="Textonotapie"/>
        <w:tabs>
          <w:tab w:val="clear" w:pos="1021"/>
          <w:tab w:val="right" w:pos="993"/>
        </w:tabs>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 xml:space="preserve">Resolución Suprema </w:t>
      </w:r>
      <w:proofErr w:type="spellStart"/>
      <w:r w:rsidR="00362916" w:rsidRPr="00973540">
        <w:rPr>
          <w:rFonts w:eastAsia="Times New Roman"/>
          <w:color w:val="000000"/>
          <w:szCs w:val="18"/>
        </w:rPr>
        <w:t>N°024</w:t>
      </w:r>
      <w:proofErr w:type="spellEnd"/>
      <w:r w:rsidR="00362916" w:rsidRPr="00973540">
        <w:rPr>
          <w:rFonts w:eastAsia="Times New Roman"/>
          <w:color w:val="000000"/>
          <w:szCs w:val="18"/>
        </w:rPr>
        <w:t>-2019-EF</w:t>
      </w:r>
      <w:r w:rsidR="00D95D28" w:rsidRPr="00973540">
        <w:rPr>
          <w:rFonts w:eastAsia="Times New Roman"/>
          <w:color w:val="000000"/>
          <w:szCs w:val="18"/>
        </w:rPr>
        <w:t>.</w:t>
      </w:r>
    </w:p>
  </w:footnote>
  <w:footnote w:id="148">
    <w:p w14:paraId="50DCC61A" w14:textId="5D9F8717" w:rsidR="00362916" w:rsidRPr="00973540" w:rsidRDefault="0063452F" w:rsidP="00144819">
      <w:pPr>
        <w:pStyle w:val="Textonotapie"/>
        <w:tabs>
          <w:tab w:val="clear" w:pos="1021"/>
          <w:tab w:val="right" w:pos="993"/>
        </w:tabs>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 xml:space="preserve">MINEDU. Resolución Ministerial </w:t>
      </w:r>
      <w:proofErr w:type="spellStart"/>
      <w:r w:rsidR="00362916" w:rsidRPr="00973540">
        <w:rPr>
          <w:rFonts w:eastAsia="Times New Roman"/>
          <w:color w:val="000000"/>
          <w:szCs w:val="18"/>
        </w:rPr>
        <w:t>N°161</w:t>
      </w:r>
      <w:proofErr w:type="spellEnd"/>
      <w:r w:rsidR="00362916" w:rsidRPr="00973540">
        <w:rPr>
          <w:rFonts w:eastAsia="Times New Roman"/>
          <w:color w:val="000000"/>
          <w:szCs w:val="18"/>
        </w:rPr>
        <w:t>-2022-MINEDU</w:t>
      </w:r>
      <w:r w:rsidR="00D95D28" w:rsidRPr="00973540">
        <w:rPr>
          <w:rFonts w:eastAsia="Times New Roman"/>
          <w:color w:val="000000"/>
          <w:szCs w:val="18"/>
        </w:rPr>
        <w:t>.</w:t>
      </w:r>
    </w:p>
  </w:footnote>
  <w:footnote w:id="149">
    <w:p w14:paraId="40A8B680" w14:textId="4C0E5E50" w:rsidR="00362916" w:rsidRPr="00973540" w:rsidRDefault="0063452F" w:rsidP="00144819">
      <w:pPr>
        <w:pStyle w:val="Textonotapie"/>
        <w:tabs>
          <w:tab w:val="clear" w:pos="1021"/>
          <w:tab w:val="right" w:pos="993"/>
        </w:tabs>
        <w:rPr>
          <w:rFonts w:eastAsia="Times New Roman"/>
          <w:color w:val="000000"/>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r w:rsidR="00362916" w:rsidRPr="00973540">
        <w:rPr>
          <w:rFonts w:eastAsia="Times New Roman"/>
          <w:color w:val="000000"/>
          <w:szCs w:val="18"/>
        </w:rPr>
        <w:t xml:space="preserve">MINEDU. INFORME </w:t>
      </w:r>
      <w:proofErr w:type="spellStart"/>
      <w:r w:rsidR="00362916" w:rsidRPr="00973540">
        <w:rPr>
          <w:rFonts w:eastAsia="Times New Roman"/>
          <w:color w:val="000000"/>
          <w:szCs w:val="18"/>
        </w:rPr>
        <w:t>N°D000054</w:t>
      </w:r>
      <w:proofErr w:type="spellEnd"/>
      <w:r w:rsidR="00362916" w:rsidRPr="00973540">
        <w:rPr>
          <w:rFonts w:eastAsia="Times New Roman"/>
          <w:color w:val="000000"/>
          <w:szCs w:val="18"/>
        </w:rPr>
        <w:t>-2024-</w:t>
      </w:r>
      <w:proofErr w:type="spellStart"/>
      <w:r w:rsidR="00362916" w:rsidRPr="00973540">
        <w:rPr>
          <w:rFonts w:eastAsia="Times New Roman"/>
          <w:color w:val="000000"/>
          <w:szCs w:val="18"/>
        </w:rPr>
        <w:t>MIMP</w:t>
      </w:r>
      <w:proofErr w:type="spellEnd"/>
      <w:r w:rsidR="00362916" w:rsidRPr="00973540">
        <w:rPr>
          <w:rFonts w:eastAsia="Times New Roman"/>
          <w:color w:val="000000"/>
          <w:szCs w:val="18"/>
        </w:rPr>
        <w:t>-</w:t>
      </w:r>
      <w:proofErr w:type="spellStart"/>
      <w:r w:rsidR="00362916" w:rsidRPr="00973540">
        <w:rPr>
          <w:rFonts w:eastAsia="Times New Roman"/>
          <w:color w:val="000000"/>
          <w:szCs w:val="18"/>
        </w:rPr>
        <w:t>DGPDAEM</w:t>
      </w:r>
      <w:proofErr w:type="spellEnd"/>
      <w:r w:rsidR="00362916" w:rsidRPr="00973540">
        <w:rPr>
          <w:rFonts w:eastAsia="Times New Roman"/>
          <w:color w:val="000000"/>
          <w:szCs w:val="18"/>
        </w:rPr>
        <w:t>-PAC</w:t>
      </w:r>
      <w:r w:rsidR="00D95D28" w:rsidRPr="00973540">
        <w:rPr>
          <w:rFonts w:eastAsia="Times New Roman"/>
          <w:color w:val="000000"/>
          <w:szCs w:val="18"/>
        </w:rPr>
        <w:t>.</w:t>
      </w:r>
    </w:p>
  </w:footnote>
  <w:footnote w:id="150">
    <w:p w14:paraId="236E2B49" w14:textId="5E44FE8C" w:rsidR="00362916" w:rsidRPr="00973540" w:rsidRDefault="0063452F" w:rsidP="00144819">
      <w:pPr>
        <w:pStyle w:val="Textonotapie"/>
        <w:tabs>
          <w:tab w:val="clear" w:pos="1021"/>
          <w:tab w:val="right" w:pos="993"/>
        </w:tabs>
        <w:rPr>
          <w:szCs w:val="18"/>
        </w:rPr>
      </w:pPr>
      <w:r w:rsidRPr="00973540">
        <w:rPr>
          <w:szCs w:val="18"/>
        </w:rPr>
        <w:tab/>
      </w:r>
      <w:r w:rsidR="00362916" w:rsidRPr="00973540">
        <w:rPr>
          <w:rStyle w:val="Refdenotaalpie"/>
          <w:szCs w:val="18"/>
        </w:rPr>
        <w:footnoteRef/>
      </w:r>
      <w:r w:rsidR="00362916" w:rsidRPr="00973540">
        <w:rPr>
          <w:szCs w:val="18"/>
        </w:rPr>
        <w:t xml:space="preserve"> </w:t>
      </w:r>
      <w:r w:rsidRPr="00973540">
        <w:rPr>
          <w:szCs w:val="18"/>
        </w:rPr>
        <w:tab/>
      </w:r>
      <w:proofErr w:type="spellStart"/>
      <w:r w:rsidR="00362916" w:rsidRPr="00973540">
        <w:rPr>
          <w:rFonts w:eastAsia="Times New Roman"/>
          <w:color w:val="000000"/>
          <w:szCs w:val="18"/>
        </w:rPr>
        <w:t>MINCUL</w:t>
      </w:r>
      <w:proofErr w:type="spellEnd"/>
      <w:r w:rsidR="00362916" w:rsidRPr="00973540">
        <w:rPr>
          <w:rFonts w:eastAsia="Times New Roman"/>
          <w:color w:val="000000"/>
          <w:szCs w:val="18"/>
        </w:rPr>
        <w:t xml:space="preserve">. INFORME </w:t>
      </w:r>
      <w:proofErr w:type="spellStart"/>
      <w:r w:rsidR="00362916" w:rsidRPr="00973540">
        <w:rPr>
          <w:rFonts w:eastAsia="Times New Roman"/>
          <w:color w:val="000000"/>
          <w:szCs w:val="18"/>
        </w:rPr>
        <w:t>N°00092</w:t>
      </w:r>
      <w:proofErr w:type="spellEnd"/>
      <w:r w:rsidR="00362916" w:rsidRPr="00973540">
        <w:rPr>
          <w:rFonts w:eastAsia="Times New Roman"/>
          <w:color w:val="000000"/>
          <w:szCs w:val="18"/>
        </w:rPr>
        <w:t>-2024-</w:t>
      </w:r>
      <w:proofErr w:type="spellStart"/>
      <w:r w:rsidR="00362916" w:rsidRPr="00973540">
        <w:rPr>
          <w:rFonts w:eastAsia="Times New Roman"/>
          <w:color w:val="000000"/>
          <w:szCs w:val="18"/>
        </w:rPr>
        <w:t>DEDR</w:t>
      </w:r>
      <w:proofErr w:type="spellEnd"/>
      <w:r w:rsidR="00362916" w:rsidRPr="00973540">
        <w:rPr>
          <w:rFonts w:eastAsia="Times New Roman"/>
          <w:color w:val="000000"/>
          <w:szCs w:val="18"/>
        </w:rPr>
        <w:t>-</w:t>
      </w:r>
      <w:proofErr w:type="spellStart"/>
      <w:r w:rsidR="00362916" w:rsidRPr="00973540">
        <w:rPr>
          <w:rFonts w:eastAsia="Times New Roman"/>
          <w:color w:val="000000"/>
          <w:szCs w:val="18"/>
        </w:rPr>
        <w:t>DGCI-VMI</w:t>
      </w:r>
      <w:proofErr w:type="spellEnd"/>
      <w:r w:rsidR="00362916" w:rsidRPr="00973540">
        <w:rPr>
          <w:rFonts w:eastAsia="Times New Roman"/>
          <w:color w:val="000000"/>
          <w:szCs w:val="18"/>
        </w:rPr>
        <w:t>/MC. Fecha: 31.10.2024</w:t>
      </w:r>
    </w:p>
  </w:footnote>
  <w:footnote w:id="151">
    <w:p w14:paraId="547F60BE" w14:textId="5AEF6E02" w:rsidR="00362916" w:rsidRPr="00973540" w:rsidRDefault="00144819" w:rsidP="00144819">
      <w:pPr>
        <w:pBdr>
          <w:top w:val="nil"/>
          <w:left w:val="nil"/>
          <w:bottom w:val="nil"/>
          <w:right w:val="nil"/>
          <w:between w:val="nil"/>
        </w:pBdr>
        <w:tabs>
          <w:tab w:val="right" w:pos="993"/>
        </w:tabs>
        <w:spacing w:line="240" w:lineRule="auto"/>
        <w:jc w:val="both"/>
        <w:rPr>
          <w:rFonts w:eastAsia="Times New Roman"/>
          <w:color w:val="000000"/>
          <w:sz w:val="18"/>
          <w:szCs w:val="18"/>
        </w:rPr>
      </w:pPr>
      <w:r w:rsidRPr="00973540">
        <w:rPr>
          <w:rFonts w:eastAsia="Times New Roman"/>
          <w:color w:val="000000"/>
          <w:sz w:val="18"/>
          <w:szCs w:val="18"/>
        </w:rPr>
        <w:tab/>
      </w:r>
      <w:r w:rsidR="00362916" w:rsidRPr="00973540">
        <w:rPr>
          <w:sz w:val="18"/>
          <w:szCs w:val="18"/>
          <w:vertAlign w:val="superscript"/>
        </w:rPr>
        <w:footnoteRef/>
      </w:r>
      <w:r w:rsidR="003405FF" w:rsidRPr="00973540">
        <w:rPr>
          <w:rFonts w:eastAsia="Times New Roman"/>
          <w:color w:val="000000"/>
          <w:sz w:val="18"/>
          <w:szCs w:val="18"/>
        </w:rPr>
        <w:t xml:space="preserve"> </w:t>
      </w:r>
      <w:r w:rsidRPr="00973540">
        <w:rPr>
          <w:rFonts w:eastAsia="Times New Roman"/>
          <w:color w:val="000000"/>
          <w:sz w:val="18"/>
          <w:szCs w:val="18"/>
        </w:rPr>
        <w:tab/>
      </w:r>
      <w:proofErr w:type="spellStart"/>
      <w:r w:rsidR="00362916" w:rsidRPr="00973540">
        <w:rPr>
          <w:rFonts w:eastAsia="Times New Roman"/>
          <w:color w:val="000000"/>
          <w:sz w:val="18"/>
          <w:szCs w:val="18"/>
        </w:rPr>
        <w:t>MINCUL</w:t>
      </w:r>
      <w:proofErr w:type="spellEnd"/>
      <w:r w:rsidR="00362916" w:rsidRPr="00973540">
        <w:rPr>
          <w:rFonts w:eastAsia="Times New Roman"/>
          <w:color w:val="000000"/>
          <w:sz w:val="18"/>
          <w:szCs w:val="18"/>
        </w:rPr>
        <w:t xml:space="preserve">. </w:t>
      </w:r>
      <w:proofErr w:type="spellStart"/>
      <w:r w:rsidR="00362916" w:rsidRPr="00973540">
        <w:rPr>
          <w:rFonts w:eastAsia="Times New Roman"/>
          <w:color w:val="000000"/>
          <w:sz w:val="18"/>
          <w:szCs w:val="18"/>
        </w:rPr>
        <w:t>R.M</w:t>
      </w:r>
      <w:proofErr w:type="spellEnd"/>
      <w:r w:rsidR="00362916" w:rsidRPr="00973540">
        <w:rPr>
          <w:rFonts w:eastAsia="Times New Roman"/>
          <w:color w:val="000000"/>
          <w:sz w:val="18"/>
          <w:szCs w:val="18"/>
        </w:rPr>
        <w:t>. 313-2023-CULTURA. Aprobada: 17.08.2023.</w:t>
      </w:r>
    </w:p>
  </w:footnote>
  <w:footnote w:id="152">
    <w:p w14:paraId="35AF2EF8" w14:textId="1B2957F7" w:rsidR="00362916" w:rsidRPr="00973540" w:rsidRDefault="00144819" w:rsidP="00144819">
      <w:pPr>
        <w:pBdr>
          <w:top w:val="nil"/>
          <w:left w:val="nil"/>
          <w:bottom w:val="nil"/>
          <w:right w:val="nil"/>
          <w:between w:val="nil"/>
        </w:pBdr>
        <w:tabs>
          <w:tab w:val="right" w:pos="993"/>
        </w:tabs>
        <w:spacing w:line="240" w:lineRule="auto"/>
        <w:jc w:val="both"/>
        <w:rPr>
          <w:rFonts w:eastAsia="Times New Roman"/>
          <w:color w:val="000000"/>
          <w:sz w:val="18"/>
          <w:szCs w:val="18"/>
        </w:rPr>
      </w:pPr>
      <w:r w:rsidRPr="00973540">
        <w:rPr>
          <w:rFonts w:eastAsia="Times New Roman"/>
          <w:color w:val="000000"/>
          <w:sz w:val="18"/>
          <w:szCs w:val="18"/>
        </w:rPr>
        <w:tab/>
      </w:r>
      <w:r w:rsidR="00362916" w:rsidRPr="00973540">
        <w:rPr>
          <w:sz w:val="18"/>
          <w:szCs w:val="18"/>
          <w:vertAlign w:val="superscript"/>
        </w:rPr>
        <w:footnoteRef/>
      </w:r>
      <w:r w:rsidR="00362916" w:rsidRPr="00973540">
        <w:rPr>
          <w:rFonts w:eastAsia="Times New Roman"/>
          <w:color w:val="000000"/>
          <w:sz w:val="18"/>
          <w:szCs w:val="18"/>
        </w:rPr>
        <w:t xml:space="preserve"> </w:t>
      </w:r>
      <w:r w:rsidRPr="00973540">
        <w:rPr>
          <w:rFonts w:eastAsia="Times New Roman"/>
          <w:color w:val="000000"/>
          <w:sz w:val="18"/>
          <w:szCs w:val="18"/>
        </w:rPr>
        <w:tab/>
      </w:r>
      <w:proofErr w:type="spellStart"/>
      <w:r w:rsidR="00362916" w:rsidRPr="00973540">
        <w:rPr>
          <w:rFonts w:eastAsia="Times New Roman"/>
          <w:color w:val="000000"/>
          <w:sz w:val="18"/>
          <w:szCs w:val="18"/>
        </w:rPr>
        <w:t>MINCUL</w:t>
      </w:r>
      <w:proofErr w:type="spellEnd"/>
      <w:r w:rsidR="00362916" w:rsidRPr="00973540">
        <w:rPr>
          <w:rFonts w:eastAsia="Times New Roman"/>
          <w:color w:val="000000"/>
          <w:sz w:val="18"/>
          <w:szCs w:val="18"/>
        </w:rPr>
        <w:t xml:space="preserve">. Oficio </w:t>
      </w:r>
      <w:proofErr w:type="spellStart"/>
      <w:r w:rsidR="00362916" w:rsidRPr="00973540">
        <w:rPr>
          <w:rFonts w:eastAsia="Times New Roman"/>
          <w:color w:val="000000"/>
          <w:sz w:val="18"/>
          <w:szCs w:val="18"/>
        </w:rPr>
        <w:t>N°616</w:t>
      </w:r>
      <w:proofErr w:type="spellEnd"/>
      <w:r w:rsidR="00362916" w:rsidRPr="00973540">
        <w:rPr>
          <w:rFonts w:eastAsia="Times New Roman"/>
          <w:color w:val="000000"/>
          <w:sz w:val="18"/>
          <w:szCs w:val="18"/>
        </w:rPr>
        <w:t>-2024-</w:t>
      </w:r>
      <w:proofErr w:type="spellStart"/>
      <w:r w:rsidR="00362916" w:rsidRPr="00973540">
        <w:rPr>
          <w:rFonts w:eastAsia="Times New Roman"/>
          <w:color w:val="000000"/>
          <w:sz w:val="18"/>
          <w:szCs w:val="18"/>
        </w:rPr>
        <w:t>VMPCIC</w:t>
      </w:r>
      <w:proofErr w:type="spellEnd"/>
      <w:r w:rsidR="00362916" w:rsidRPr="00973540">
        <w:rPr>
          <w:rFonts w:eastAsia="Times New Roman"/>
          <w:color w:val="000000"/>
          <w:sz w:val="18"/>
          <w:szCs w:val="18"/>
        </w:rPr>
        <w:t>/MC del 23.09.2024</w:t>
      </w:r>
      <w:r w:rsidR="00843EA1" w:rsidRPr="00973540">
        <w:rPr>
          <w:rFonts w:eastAsia="Times New Roman"/>
          <w:color w:val="000000"/>
          <w:sz w:val="18"/>
          <w:szCs w:val="18"/>
        </w:rPr>
        <w:t>.</w:t>
      </w:r>
    </w:p>
  </w:footnote>
  <w:footnote w:id="153">
    <w:p w14:paraId="1CA9A0AF" w14:textId="1C206AC9" w:rsidR="00362916" w:rsidRPr="00973540" w:rsidRDefault="00144819" w:rsidP="00144819">
      <w:pPr>
        <w:pBdr>
          <w:top w:val="nil"/>
          <w:left w:val="nil"/>
          <w:bottom w:val="nil"/>
          <w:right w:val="nil"/>
          <w:between w:val="nil"/>
        </w:pBdr>
        <w:tabs>
          <w:tab w:val="right" w:pos="993"/>
        </w:tabs>
        <w:spacing w:line="240" w:lineRule="auto"/>
        <w:jc w:val="both"/>
        <w:rPr>
          <w:rFonts w:eastAsia="Times New Roman"/>
          <w:color w:val="000000"/>
          <w:sz w:val="18"/>
          <w:szCs w:val="18"/>
        </w:rPr>
      </w:pPr>
      <w:r w:rsidRPr="00973540">
        <w:rPr>
          <w:rFonts w:eastAsia="Times New Roman"/>
          <w:color w:val="000000"/>
          <w:sz w:val="18"/>
          <w:szCs w:val="18"/>
        </w:rPr>
        <w:tab/>
      </w:r>
      <w:r w:rsidR="00362916" w:rsidRPr="00973540">
        <w:rPr>
          <w:sz w:val="18"/>
          <w:szCs w:val="18"/>
          <w:vertAlign w:val="superscript"/>
        </w:rPr>
        <w:footnoteRef/>
      </w:r>
      <w:r w:rsidR="00362916" w:rsidRPr="00973540">
        <w:rPr>
          <w:rFonts w:eastAsia="Times New Roman"/>
          <w:color w:val="000000"/>
          <w:sz w:val="18"/>
          <w:szCs w:val="18"/>
        </w:rPr>
        <w:t xml:space="preserve"> </w:t>
      </w:r>
      <w:r w:rsidR="0063452F" w:rsidRPr="00973540">
        <w:rPr>
          <w:rFonts w:eastAsia="Times New Roman"/>
          <w:color w:val="000000"/>
          <w:sz w:val="18"/>
          <w:szCs w:val="18"/>
        </w:rPr>
        <w:tab/>
      </w:r>
      <w:r w:rsidR="00362916" w:rsidRPr="00973540">
        <w:rPr>
          <w:rFonts w:eastAsia="Times New Roman"/>
          <w:color w:val="000000"/>
          <w:sz w:val="18"/>
          <w:szCs w:val="18"/>
        </w:rPr>
        <w:t xml:space="preserve">Para acceder a la plataforma referida, dirigirse a: </w:t>
      </w:r>
      <w:hyperlink r:id="rId9">
        <w:r w:rsidR="00362916" w:rsidRPr="00973540">
          <w:rPr>
            <w:rFonts w:eastAsia="Times New Roman"/>
            <w:color w:val="0563C1"/>
            <w:sz w:val="18"/>
            <w:szCs w:val="18"/>
          </w:rPr>
          <w:t>https://</w:t>
        </w:r>
        <w:proofErr w:type="spellStart"/>
        <w:r w:rsidR="00362916" w:rsidRPr="00973540">
          <w:rPr>
            <w:rFonts w:eastAsia="Times New Roman"/>
            <w:color w:val="0563C1"/>
            <w:sz w:val="18"/>
            <w:szCs w:val="18"/>
          </w:rPr>
          <w:t>www.cultura24.tv</w:t>
        </w:r>
        <w:proofErr w:type="spellEnd"/>
        <w:r w:rsidR="00362916" w:rsidRPr="00973540">
          <w:rPr>
            <w:rFonts w:eastAsia="Times New Roman"/>
            <w:color w:val="0563C1"/>
            <w:sz w:val="18"/>
            <w:szCs w:val="18"/>
          </w:rPr>
          <w:t>/</w:t>
        </w:r>
      </w:hyperlink>
      <w:r w:rsidR="00843EA1" w:rsidRPr="00973540">
        <w:rPr>
          <w:sz w:val="18"/>
          <w:szCs w:val="18"/>
        </w:rPr>
        <w:t>.</w:t>
      </w:r>
      <w:r w:rsidR="00362916" w:rsidRPr="00973540">
        <w:rPr>
          <w:rFonts w:eastAsia="Times New Roman"/>
          <w:color w:val="000000"/>
          <w:sz w:val="18"/>
          <w:szCs w:val="18"/>
        </w:rPr>
        <w:t xml:space="preserve"> </w:t>
      </w:r>
    </w:p>
  </w:footnote>
  <w:footnote w:id="154">
    <w:p w14:paraId="32862314" w14:textId="22AD6282" w:rsidR="00362916" w:rsidRPr="00973540" w:rsidRDefault="00144819" w:rsidP="00144819">
      <w:pPr>
        <w:pBdr>
          <w:top w:val="nil"/>
          <w:left w:val="nil"/>
          <w:bottom w:val="nil"/>
          <w:right w:val="nil"/>
          <w:between w:val="nil"/>
        </w:pBdr>
        <w:tabs>
          <w:tab w:val="right" w:pos="993"/>
        </w:tabs>
        <w:spacing w:line="240" w:lineRule="auto"/>
        <w:jc w:val="both"/>
        <w:rPr>
          <w:rFonts w:eastAsia="Times New Roman"/>
          <w:color w:val="000000"/>
          <w:sz w:val="18"/>
          <w:szCs w:val="18"/>
        </w:rPr>
      </w:pPr>
      <w:r w:rsidRPr="00973540">
        <w:rPr>
          <w:rFonts w:eastAsia="Times New Roman"/>
          <w:color w:val="000000"/>
          <w:sz w:val="18"/>
          <w:szCs w:val="18"/>
        </w:rPr>
        <w:tab/>
      </w:r>
      <w:r w:rsidR="00362916" w:rsidRPr="00973540">
        <w:rPr>
          <w:sz w:val="18"/>
          <w:szCs w:val="18"/>
          <w:vertAlign w:val="superscript"/>
        </w:rPr>
        <w:footnoteRef/>
      </w:r>
      <w:r w:rsidR="00362916" w:rsidRPr="00973540">
        <w:rPr>
          <w:rFonts w:eastAsia="Times New Roman"/>
          <w:color w:val="000000"/>
          <w:sz w:val="18"/>
          <w:szCs w:val="18"/>
        </w:rPr>
        <w:t xml:space="preserve"> </w:t>
      </w:r>
      <w:r w:rsidR="0063452F" w:rsidRPr="00973540">
        <w:rPr>
          <w:rFonts w:eastAsia="Times New Roman"/>
          <w:color w:val="000000"/>
          <w:sz w:val="18"/>
          <w:szCs w:val="18"/>
        </w:rPr>
        <w:tab/>
      </w:r>
      <w:r w:rsidR="00362916" w:rsidRPr="00973540">
        <w:rPr>
          <w:rFonts w:eastAsia="Times New Roman"/>
          <w:color w:val="000000"/>
          <w:sz w:val="18"/>
          <w:szCs w:val="18"/>
        </w:rPr>
        <w:t xml:space="preserve">Para acceder a la plataforma referida, dirigirse a: </w:t>
      </w:r>
      <w:hyperlink r:id="rId10">
        <w:r w:rsidR="00362916" w:rsidRPr="00973540">
          <w:rPr>
            <w:rFonts w:eastAsia="Times New Roman"/>
            <w:color w:val="0563C1"/>
            <w:sz w:val="18"/>
            <w:szCs w:val="18"/>
          </w:rPr>
          <w:t>https://</w:t>
        </w:r>
        <w:proofErr w:type="spellStart"/>
        <w:r w:rsidR="00362916" w:rsidRPr="00973540">
          <w:rPr>
            <w:rFonts w:eastAsia="Times New Roman"/>
            <w:color w:val="0563C1"/>
            <w:sz w:val="18"/>
            <w:szCs w:val="18"/>
          </w:rPr>
          <w:t>www.retinalatina.org</w:t>
        </w:r>
        <w:proofErr w:type="spellEnd"/>
        <w:r w:rsidR="00362916" w:rsidRPr="00973540">
          <w:rPr>
            <w:rFonts w:eastAsia="Times New Roman"/>
            <w:color w:val="0563C1"/>
            <w:sz w:val="18"/>
            <w:szCs w:val="18"/>
          </w:rPr>
          <w:t>/</w:t>
        </w:r>
      </w:hyperlink>
      <w:r w:rsidR="00843EA1" w:rsidRPr="00973540">
        <w:rPr>
          <w:sz w:val="18"/>
          <w:szCs w:val="18"/>
        </w:rPr>
        <w:t>.</w:t>
      </w:r>
      <w:r w:rsidR="00362916" w:rsidRPr="00973540">
        <w:rPr>
          <w:rFonts w:eastAsia="Times New Roman"/>
          <w:color w:val="000000"/>
          <w:sz w:val="18"/>
          <w:szCs w:val="18"/>
        </w:rPr>
        <w:t xml:space="preserve"> </w:t>
      </w:r>
    </w:p>
  </w:footnote>
  <w:footnote w:id="155">
    <w:p w14:paraId="5EFC975F" w14:textId="70A8E59F" w:rsidR="00362916" w:rsidRDefault="00144819" w:rsidP="00144819">
      <w:pPr>
        <w:pBdr>
          <w:top w:val="nil"/>
          <w:left w:val="nil"/>
          <w:bottom w:val="nil"/>
          <w:right w:val="nil"/>
          <w:between w:val="nil"/>
        </w:pBdr>
        <w:tabs>
          <w:tab w:val="right" w:pos="993"/>
        </w:tabs>
        <w:spacing w:line="240" w:lineRule="auto"/>
        <w:jc w:val="both"/>
        <w:rPr>
          <w:rFonts w:eastAsia="Times New Roman"/>
          <w:color w:val="000000"/>
          <w:sz w:val="16"/>
          <w:szCs w:val="16"/>
        </w:rPr>
      </w:pPr>
      <w:r w:rsidRPr="00973540">
        <w:rPr>
          <w:rFonts w:eastAsia="Times New Roman"/>
          <w:color w:val="000000"/>
          <w:sz w:val="18"/>
          <w:szCs w:val="18"/>
        </w:rPr>
        <w:tab/>
      </w:r>
      <w:r w:rsidR="00362916" w:rsidRPr="00973540">
        <w:rPr>
          <w:sz w:val="18"/>
          <w:szCs w:val="18"/>
          <w:vertAlign w:val="superscript"/>
        </w:rPr>
        <w:footnoteRef/>
      </w:r>
      <w:r w:rsidR="00362916" w:rsidRPr="00973540">
        <w:rPr>
          <w:rFonts w:eastAsia="Times New Roman"/>
          <w:color w:val="000000"/>
          <w:sz w:val="18"/>
          <w:szCs w:val="18"/>
        </w:rPr>
        <w:t xml:space="preserve"> </w:t>
      </w:r>
      <w:r w:rsidR="0063452F" w:rsidRPr="00973540">
        <w:rPr>
          <w:rFonts w:eastAsia="Times New Roman"/>
          <w:color w:val="000000"/>
          <w:sz w:val="18"/>
          <w:szCs w:val="18"/>
        </w:rPr>
        <w:tab/>
      </w:r>
      <w:r w:rsidR="00362916" w:rsidRPr="00973540">
        <w:rPr>
          <w:rFonts w:eastAsia="Times New Roman"/>
          <w:color w:val="000000"/>
          <w:sz w:val="18"/>
          <w:szCs w:val="18"/>
        </w:rPr>
        <w:t xml:space="preserve">Para acceder a la plataforma referida, dirigirse a: </w:t>
      </w:r>
      <w:hyperlink r:id="rId11">
        <w:r w:rsidR="00362916" w:rsidRPr="00973540">
          <w:rPr>
            <w:rFonts w:eastAsia="Times New Roman"/>
            <w:color w:val="0563C1"/>
            <w:sz w:val="18"/>
            <w:szCs w:val="18"/>
          </w:rPr>
          <w:t>https://</w:t>
        </w:r>
        <w:proofErr w:type="spellStart"/>
        <w:r w:rsidR="00362916" w:rsidRPr="00973540">
          <w:rPr>
            <w:rFonts w:eastAsia="Times New Roman"/>
            <w:color w:val="0563C1"/>
            <w:sz w:val="18"/>
            <w:szCs w:val="18"/>
          </w:rPr>
          <w:t>envivo.granteatronacional.pe</w:t>
        </w:r>
        <w:proofErr w:type="spellEnd"/>
        <w:r w:rsidR="00362916" w:rsidRPr="00973540">
          <w:rPr>
            <w:rFonts w:eastAsia="Times New Roman"/>
            <w:color w:val="0563C1"/>
            <w:sz w:val="18"/>
            <w:szCs w:val="18"/>
          </w:rPr>
          <w:t>/</w:t>
        </w:r>
      </w:hyperlink>
      <w:r w:rsidR="00843EA1" w:rsidRPr="00973540">
        <w:rPr>
          <w:sz w:val="18"/>
          <w:szCs w:val="18"/>
        </w:rPr>
        <w:t>.</w:t>
      </w:r>
      <w:r w:rsidR="00362916">
        <w:rPr>
          <w:rFonts w:eastAsia="Times New Roman"/>
          <w:color w:val="000000"/>
          <w:sz w:val="16"/>
          <w:szCs w:val="16"/>
        </w:rPr>
        <w:t xml:space="preserve"> </w:t>
      </w:r>
    </w:p>
  </w:footnote>
  <w:footnote w:id="156">
    <w:p w14:paraId="1B4800F0" w14:textId="465834ED" w:rsidR="00362916" w:rsidRPr="00973540" w:rsidRDefault="00AF4FC4" w:rsidP="00AF4FC4">
      <w:pPr>
        <w:pBdr>
          <w:top w:val="nil"/>
          <w:left w:val="nil"/>
          <w:bottom w:val="nil"/>
          <w:right w:val="nil"/>
          <w:between w:val="nil"/>
        </w:pBdr>
        <w:tabs>
          <w:tab w:val="right" w:pos="993"/>
        </w:tabs>
        <w:spacing w:line="240" w:lineRule="auto"/>
        <w:jc w:val="both"/>
        <w:rPr>
          <w:rFonts w:eastAsia="Times New Roman"/>
          <w:color w:val="000000"/>
          <w:sz w:val="18"/>
          <w:szCs w:val="18"/>
        </w:rPr>
      </w:pPr>
      <w:r>
        <w:rPr>
          <w:rFonts w:eastAsia="Times New Roman"/>
          <w:color w:val="000000"/>
          <w:sz w:val="16"/>
          <w:szCs w:val="16"/>
        </w:rPr>
        <w:tab/>
      </w:r>
      <w:r w:rsidR="00362916" w:rsidRPr="00973540">
        <w:rPr>
          <w:sz w:val="18"/>
          <w:szCs w:val="18"/>
          <w:vertAlign w:val="superscript"/>
        </w:rPr>
        <w:footnoteRef/>
      </w:r>
      <w:r w:rsidR="00362916" w:rsidRPr="00973540">
        <w:rPr>
          <w:rFonts w:eastAsia="Times New Roman"/>
          <w:color w:val="000000"/>
          <w:sz w:val="18"/>
          <w:szCs w:val="18"/>
        </w:rPr>
        <w:t xml:space="preserve"> </w:t>
      </w:r>
      <w:r w:rsidR="0063452F" w:rsidRPr="00973540">
        <w:rPr>
          <w:rFonts w:eastAsia="Times New Roman"/>
          <w:color w:val="000000"/>
          <w:sz w:val="18"/>
          <w:szCs w:val="18"/>
        </w:rPr>
        <w:tab/>
      </w:r>
      <w:proofErr w:type="spellStart"/>
      <w:r w:rsidR="00362916" w:rsidRPr="00973540">
        <w:rPr>
          <w:rFonts w:eastAsia="Times New Roman"/>
          <w:color w:val="000000"/>
          <w:sz w:val="18"/>
          <w:szCs w:val="18"/>
        </w:rPr>
        <w:t>MINCUL</w:t>
      </w:r>
      <w:proofErr w:type="spellEnd"/>
      <w:r w:rsidR="00362916" w:rsidRPr="00973540">
        <w:rPr>
          <w:rFonts w:eastAsia="Times New Roman"/>
          <w:color w:val="000000"/>
          <w:sz w:val="18"/>
          <w:szCs w:val="18"/>
        </w:rPr>
        <w:t xml:space="preserve">. Oficio </w:t>
      </w:r>
      <w:proofErr w:type="spellStart"/>
      <w:r w:rsidR="00362916" w:rsidRPr="00973540">
        <w:rPr>
          <w:rFonts w:eastAsia="Times New Roman"/>
          <w:color w:val="000000"/>
          <w:sz w:val="18"/>
          <w:szCs w:val="18"/>
        </w:rPr>
        <w:t>N°616</w:t>
      </w:r>
      <w:proofErr w:type="spellEnd"/>
      <w:r w:rsidR="00362916" w:rsidRPr="00973540">
        <w:rPr>
          <w:rFonts w:eastAsia="Times New Roman"/>
          <w:color w:val="000000"/>
          <w:sz w:val="18"/>
          <w:szCs w:val="18"/>
        </w:rPr>
        <w:t>-2024-</w:t>
      </w:r>
      <w:proofErr w:type="spellStart"/>
      <w:r w:rsidR="00362916" w:rsidRPr="00973540">
        <w:rPr>
          <w:rFonts w:eastAsia="Times New Roman"/>
          <w:color w:val="000000"/>
          <w:sz w:val="18"/>
          <w:szCs w:val="18"/>
        </w:rPr>
        <w:t>VMPCIC</w:t>
      </w:r>
      <w:proofErr w:type="spellEnd"/>
      <w:r w:rsidR="00362916" w:rsidRPr="00973540">
        <w:rPr>
          <w:rFonts w:eastAsia="Times New Roman"/>
          <w:color w:val="000000"/>
          <w:sz w:val="18"/>
          <w:szCs w:val="18"/>
        </w:rPr>
        <w:t>/MC del 23.09.2024.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7207" w14:textId="77777777" w:rsidR="001A4396" w:rsidRPr="001A4396" w:rsidRDefault="00053EA6">
    <w:pPr>
      <w:pStyle w:val="Encabezado"/>
    </w:pPr>
    <w:r>
      <w:t>E/C.12/PER/</w:t>
    </w:r>
    <w:proofErr w:type="spellStart"/>
    <w:r>
      <w:t>RQ</w:t>
    </w:r>
    <w:proofErr w:type="spellEnd"/>
    <w: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8418D" w14:textId="77777777" w:rsidR="001A4396" w:rsidRPr="00935A0B" w:rsidRDefault="00053EA6" w:rsidP="00935A0B">
    <w:pPr>
      <w:pStyle w:val="Encabezado"/>
      <w:jc w:val="right"/>
      <w:rPr>
        <w:u w:val="double"/>
      </w:rPr>
    </w:pPr>
    <w:r>
      <w:t>E/C.12/PER/</w:t>
    </w:r>
    <w:proofErr w:type="spellStart"/>
    <w:r>
      <w:t>RQ</w:t>
    </w:r>
    <w:proofErr w:type="spellEnd"/>
    <w: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CF0DF"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E224F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FF65670" w:tentative="1">
      <w:start w:val="1"/>
      <w:numFmt w:val="lowerLetter"/>
      <w:lvlText w:val="%2."/>
      <w:lvlJc w:val="left"/>
      <w:pPr>
        <w:tabs>
          <w:tab w:val="num" w:pos="1440"/>
        </w:tabs>
        <w:ind w:left="1440" w:hanging="360"/>
      </w:pPr>
    </w:lvl>
    <w:lvl w:ilvl="2" w:tplc="650E691C" w:tentative="1">
      <w:start w:val="1"/>
      <w:numFmt w:val="lowerRoman"/>
      <w:lvlText w:val="%3."/>
      <w:lvlJc w:val="right"/>
      <w:pPr>
        <w:tabs>
          <w:tab w:val="num" w:pos="2160"/>
        </w:tabs>
        <w:ind w:left="2160" w:hanging="180"/>
      </w:pPr>
    </w:lvl>
    <w:lvl w:ilvl="3" w:tplc="D7E4C434" w:tentative="1">
      <w:start w:val="1"/>
      <w:numFmt w:val="decimal"/>
      <w:lvlText w:val="%4."/>
      <w:lvlJc w:val="left"/>
      <w:pPr>
        <w:tabs>
          <w:tab w:val="num" w:pos="2880"/>
        </w:tabs>
        <w:ind w:left="2880" w:hanging="360"/>
      </w:pPr>
    </w:lvl>
    <w:lvl w:ilvl="4" w:tplc="9552F834" w:tentative="1">
      <w:start w:val="1"/>
      <w:numFmt w:val="lowerLetter"/>
      <w:lvlText w:val="%5."/>
      <w:lvlJc w:val="left"/>
      <w:pPr>
        <w:tabs>
          <w:tab w:val="num" w:pos="3600"/>
        </w:tabs>
        <w:ind w:left="3600" w:hanging="360"/>
      </w:pPr>
    </w:lvl>
    <w:lvl w:ilvl="5" w:tplc="6F684AA0" w:tentative="1">
      <w:start w:val="1"/>
      <w:numFmt w:val="lowerRoman"/>
      <w:lvlText w:val="%6."/>
      <w:lvlJc w:val="right"/>
      <w:pPr>
        <w:tabs>
          <w:tab w:val="num" w:pos="4320"/>
        </w:tabs>
        <w:ind w:left="4320" w:hanging="180"/>
      </w:pPr>
    </w:lvl>
    <w:lvl w:ilvl="6" w:tplc="6A0E20EA" w:tentative="1">
      <w:start w:val="1"/>
      <w:numFmt w:val="decimal"/>
      <w:lvlText w:val="%7."/>
      <w:lvlJc w:val="left"/>
      <w:pPr>
        <w:tabs>
          <w:tab w:val="num" w:pos="5040"/>
        </w:tabs>
        <w:ind w:left="5040" w:hanging="360"/>
      </w:pPr>
    </w:lvl>
    <w:lvl w:ilvl="7" w:tplc="380A5B38" w:tentative="1">
      <w:start w:val="1"/>
      <w:numFmt w:val="lowerLetter"/>
      <w:lvlText w:val="%8."/>
      <w:lvlJc w:val="left"/>
      <w:pPr>
        <w:tabs>
          <w:tab w:val="num" w:pos="5760"/>
        </w:tabs>
        <w:ind w:left="5760" w:hanging="360"/>
      </w:pPr>
    </w:lvl>
    <w:lvl w:ilvl="8" w:tplc="EF32F086" w:tentative="1">
      <w:start w:val="1"/>
      <w:numFmt w:val="lowerRoman"/>
      <w:lvlText w:val="%9."/>
      <w:lvlJc w:val="right"/>
      <w:pPr>
        <w:tabs>
          <w:tab w:val="num" w:pos="6480"/>
        </w:tabs>
        <w:ind w:left="6480" w:hanging="180"/>
      </w:pPr>
    </w:lvl>
  </w:abstractNum>
  <w:abstractNum w:abstractNumId="11" w15:restartNumberingAfterBreak="0">
    <w:nsid w:val="17456EFE"/>
    <w:multiLevelType w:val="multilevel"/>
    <w:tmpl w:val="34B08B30"/>
    <w:lvl w:ilvl="0">
      <w:start w:val="1"/>
      <w:numFmt w:val="decimal"/>
      <w:lvlText w:val="%1."/>
      <w:lvlJc w:val="left"/>
      <w:pPr>
        <w:ind w:left="360" w:hanging="360"/>
      </w:pPr>
      <w:rPr>
        <w:sz w:val="20"/>
        <w:szCs w:val="2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D92DAF"/>
    <w:multiLevelType w:val="multilevel"/>
    <w:tmpl w:val="8F0AD49A"/>
    <w:lvl w:ilvl="0">
      <w:start w:val="1"/>
      <w:numFmt w:val="upperRoman"/>
      <w:lvlText w:val="%1."/>
      <w:lvlJc w:val="left"/>
      <w:pPr>
        <w:ind w:left="720" w:hanging="72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6A7743B"/>
    <w:multiLevelType w:val="hybridMultilevel"/>
    <w:tmpl w:val="165289D8"/>
    <w:lvl w:ilvl="0" w:tplc="CBBA1DCA">
      <w:start w:val="1"/>
      <w:numFmt w:val="bullet"/>
      <w:pStyle w:val="Bullet2G"/>
      <w:lvlText w:val="•"/>
      <w:lvlJc w:val="left"/>
      <w:pPr>
        <w:tabs>
          <w:tab w:val="num" w:pos="2268"/>
        </w:tabs>
        <w:ind w:left="2268" w:hanging="170"/>
      </w:pPr>
      <w:rPr>
        <w:rFonts w:ascii="Times New Roman" w:hAnsi="Times New Roman" w:cs="Times New Roman" w:hint="default"/>
      </w:rPr>
    </w:lvl>
    <w:lvl w:ilvl="1" w:tplc="26B43740" w:tentative="1">
      <w:start w:val="1"/>
      <w:numFmt w:val="bullet"/>
      <w:lvlText w:val="o"/>
      <w:lvlJc w:val="left"/>
      <w:pPr>
        <w:tabs>
          <w:tab w:val="num" w:pos="1440"/>
        </w:tabs>
        <w:ind w:left="1440" w:hanging="360"/>
      </w:pPr>
      <w:rPr>
        <w:rFonts w:ascii="Courier New" w:hAnsi="Courier New" w:hint="default"/>
      </w:rPr>
    </w:lvl>
    <w:lvl w:ilvl="2" w:tplc="F4C4B288" w:tentative="1">
      <w:start w:val="1"/>
      <w:numFmt w:val="bullet"/>
      <w:lvlText w:val=""/>
      <w:lvlJc w:val="left"/>
      <w:pPr>
        <w:tabs>
          <w:tab w:val="num" w:pos="2160"/>
        </w:tabs>
        <w:ind w:left="2160" w:hanging="360"/>
      </w:pPr>
      <w:rPr>
        <w:rFonts w:ascii="Wingdings" w:hAnsi="Wingdings" w:hint="default"/>
      </w:rPr>
    </w:lvl>
    <w:lvl w:ilvl="3" w:tplc="B2D87B80" w:tentative="1">
      <w:start w:val="1"/>
      <w:numFmt w:val="bullet"/>
      <w:lvlText w:val=""/>
      <w:lvlJc w:val="left"/>
      <w:pPr>
        <w:tabs>
          <w:tab w:val="num" w:pos="2880"/>
        </w:tabs>
        <w:ind w:left="2880" w:hanging="360"/>
      </w:pPr>
      <w:rPr>
        <w:rFonts w:ascii="Symbol" w:hAnsi="Symbol" w:hint="default"/>
      </w:rPr>
    </w:lvl>
    <w:lvl w:ilvl="4" w:tplc="4B764602" w:tentative="1">
      <w:start w:val="1"/>
      <w:numFmt w:val="bullet"/>
      <w:lvlText w:val="o"/>
      <w:lvlJc w:val="left"/>
      <w:pPr>
        <w:tabs>
          <w:tab w:val="num" w:pos="3600"/>
        </w:tabs>
        <w:ind w:left="3600" w:hanging="360"/>
      </w:pPr>
      <w:rPr>
        <w:rFonts w:ascii="Courier New" w:hAnsi="Courier New" w:hint="default"/>
      </w:rPr>
    </w:lvl>
    <w:lvl w:ilvl="5" w:tplc="4F3AF66E" w:tentative="1">
      <w:start w:val="1"/>
      <w:numFmt w:val="bullet"/>
      <w:lvlText w:val=""/>
      <w:lvlJc w:val="left"/>
      <w:pPr>
        <w:tabs>
          <w:tab w:val="num" w:pos="4320"/>
        </w:tabs>
        <w:ind w:left="4320" w:hanging="360"/>
      </w:pPr>
      <w:rPr>
        <w:rFonts w:ascii="Wingdings" w:hAnsi="Wingdings" w:hint="default"/>
      </w:rPr>
    </w:lvl>
    <w:lvl w:ilvl="6" w:tplc="768E8DD2" w:tentative="1">
      <w:start w:val="1"/>
      <w:numFmt w:val="bullet"/>
      <w:lvlText w:val=""/>
      <w:lvlJc w:val="left"/>
      <w:pPr>
        <w:tabs>
          <w:tab w:val="num" w:pos="5040"/>
        </w:tabs>
        <w:ind w:left="5040" w:hanging="360"/>
      </w:pPr>
      <w:rPr>
        <w:rFonts w:ascii="Symbol" w:hAnsi="Symbol" w:hint="default"/>
      </w:rPr>
    </w:lvl>
    <w:lvl w:ilvl="7" w:tplc="2CA63FE4" w:tentative="1">
      <w:start w:val="1"/>
      <w:numFmt w:val="bullet"/>
      <w:lvlText w:val="o"/>
      <w:lvlJc w:val="left"/>
      <w:pPr>
        <w:tabs>
          <w:tab w:val="num" w:pos="5760"/>
        </w:tabs>
        <w:ind w:left="5760" w:hanging="360"/>
      </w:pPr>
      <w:rPr>
        <w:rFonts w:ascii="Courier New" w:hAnsi="Courier New" w:hint="default"/>
      </w:rPr>
    </w:lvl>
    <w:lvl w:ilvl="8" w:tplc="6B8674C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84EB864">
      <w:start w:val="1"/>
      <w:numFmt w:val="bullet"/>
      <w:pStyle w:val="Bullet1G"/>
      <w:lvlText w:val="•"/>
      <w:lvlJc w:val="left"/>
      <w:pPr>
        <w:tabs>
          <w:tab w:val="num" w:pos="1701"/>
        </w:tabs>
        <w:ind w:left="1701" w:hanging="170"/>
      </w:pPr>
      <w:rPr>
        <w:rFonts w:ascii="Times New Roman" w:hAnsi="Times New Roman" w:cs="Times New Roman" w:hint="default"/>
      </w:rPr>
    </w:lvl>
    <w:lvl w:ilvl="1" w:tplc="5BA05EC8" w:tentative="1">
      <w:start w:val="1"/>
      <w:numFmt w:val="bullet"/>
      <w:lvlText w:val="o"/>
      <w:lvlJc w:val="left"/>
      <w:pPr>
        <w:tabs>
          <w:tab w:val="num" w:pos="1440"/>
        </w:tabs>
        <w:ind w:left="1440" w:hanging="360"/>
      </w:pPr>
      <w:rPr>
        <w:rFonts w:ascii="Courier New" w:hAnsi="Courier New" w:hint="default"/>
      </w:rPr>
    </w:lvl>
    <w:lvl w:ilvl="2" w:tplc="7230209C" w:tentative="1">
      <w:start w:val="1"/>
      <w:numFmt w:val="bullet"/>
      <w:lvlText w:val=""/>
      <w:lvlJc w:val="left"/>
      <w:pPr>
        <w:tabs>
          <w:tab w:val="num" w:pos="2160"/>
        </w:tabs>
        <w:ind w:left="2160" w:hanging="360"/>
      </w:pPr>
      <w:rPr>
        <w:rFonts w:ascii="Wingdings" w:hAnsi="Wingdings" w:hint="default"/>
      </w:rPr>
    </w:lvl>
    <w:lvl w:ilvl="3" w:tplc="5DE0E1C2" w:tentative="1">
      <w:start w:val="1"/>
      <w:numFmt w:val="bullet"/>
      <w:lvlText w:val=""/>
      <w:lvlJc w:val="left"/>
      <w:pPr>
        <w:tabs>
          <w:tab w:val="num" w:pos="2880"/>
        </w:tabs>
        <w:ind w:left="2880" w:hanging="360"/>
      </w:pPr>
      <w:rPr>
        <w:rFonts w:ascii="Symbol" w:hAnsi="Symbol" w:hint="default"/>
      </w:rPr>
    </w:lvl>
    <w:lvl w:ilvl="4" w:tplc="731C6A3C" w:tentative="1">
      <w:start w:val="1"/>
      <w:numFmt w:val="bullet"/>
      <w:lvlText w:val="o"/>
      <w:lvlJc w:val="left"/>
      <w:pPr>
        <w:tabs>
          <w:tab w:val="num" w:pos="3600"/>
        </w:tabs>
        <w:ind w:left="3600" w:hanging="360"/>
      </w:pPr>
      <w:rPr>
        <w:rFonts w:ascii="Courier New" w:hAnsi="Courier New" w:hint="default"/>
      </w:rPr>
    </w:lvl>
    <w:lvl w:ilvl="5" w:tplc="F5C076CE" w:tentative="1">
      <w:start w:val="1"/>
      <w:numFmt w:val="bullet"/>
      <w:lvlText w:val=""/>
      <w:lvlJc w:val="left"/>
      <w:pPr>
        <w:tabs>
          <w:tab w:val="num" w:pos="4320"/>
        </w:tabs>
        <w:ind w:left="4320" w:hanging="360"/>
      </w:pPr>
      <w:rPr>
        <w:rFonts w:ascii="Wingdings" w:hAnsi="Wingdings" w:hint="default"/>
      </w:rPr>
    </w:lvl>
    <w:lvl w:ilvl="6" w:tplc="6100A126" w:tentative="1">
      <w:start w:val="1"/>
      <w:numFmt w:val="bullet"/>
      <w:lvlText w:val=""/>
      <w:lvlJc w:val="left"/>
      <w:pPr>
        <w:tabs>
          <w:tab w:val="num" w:pos="5040"/>
        </w:tabs>
        <w:ind w:left="5040" w:hanging="360"/>
      </w:pPr>
      <w:rPr>
        <w:rFonts w:ascii="Symbol" w:hAnsi="Symbol" w:hint="default"/>
      </w:rPr>
    </w:lvl>
    <w:lvl w:ilvl="7" w:tplc="D85A943C" w:tentative="1">
      <w:start w:val="1"/>
      <w:numFmt w:val="bullet"/>
      <w:lvlText w:val="o"/>
      <w:lvlJc w:val="left"/>
      <w:pPr>
        <w:tabs>
          <w:tab w:val="num" w:pos="5760"/>
        </w:tabs>
        <w:ind w:left="5760" w:hanging="360"/>
      </w:pPr>
      <w:rPr>
        <w:rFonts w:ascii="Courier New" w:hAnsi="Courier New" w:hint="default"/>
      </w:rPr>
    </w:lvl>
    <w:lvl w:ilvl="8" w:tplc="2E3AC24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99204557">
    <w:abstractNumId w:val="17"/>
  </w:num>
  <w:num w:numId="2" w16cid:durableId="1742287639">
    <w:abstractNumId w:val="16"/>
  </w:num>
  <w:num w:numId="3" w16cid:durableId="1899314502">
    <w:abstractNumId w:val="14"/>
  </w:num>
  <w:num w:numId="4" w16cid:durableId="1638413245">
    <w:abstractNumId w:val="15"/>
  </w:num>
  <w:num w:numId="5" w16cid:durableId="969702114">
    <w:abstractNumId w:val="13"/>
  </w:num>
  <w:num w:numId="6" w16cid:durableId="637808515">
    <w:abstractNumId w:val="9"/>
  </w:num>
  <w:num w:numId="7" w16cid:durableId="639072708">
    <w:abstractNumId w:val="7"/>
  </w:num>
  <w:num w:numId="8" w16cid:durableId="1895123369">
    <w:abstractNumId w:val="6"/>
  </w:num>
  <w:num w:numId="9" w16cid:durableId="1992251827">
    <w:abstractNumId w:val="5"/>
  </w:num>
  <w:num w:numId="10" w16cid:durableId="1834182021">
    <w:abstractNumId w:val="4"/>
  </w:num>
  <w:num w:numId="11" w16cid:durableId="1350061629">
    <w:abstractNumId w:val="8"/>
  </w:num>
  <w:num w:numId="12" w16cid:durableId="1449278311">
    <w:abstractNumId w:val="3"/>
  </w:num>
  <w:num w:numId="13" w16cid:durableId="1024594438">
    <w:abstractNumId w:val="2"/>
  </w:num>
  <w:num w:numId="14" w16cid:durableId="1984970730">
    <w:abstractNumId w:val="1"/>
  </w:num>
  <w:num w:numId="15" w16cid:durableId="1075280098">
    <w:abstractNumId w:val="0"/>
  </w:num>
  <w:num w:numId="16" w16cid:durableId="2134588530">
    <w:abstractNumId w:val="10"/>
  </w:num>
  <w:num w:numId="17" w16cid:durableId="458034063">
    <w:abstractNumId w:val="11"/>
  </w:num>
  <w:num w:numId="18" w16cid:durableId="194376039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2"/>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15C4"/>
    <w:rsid w:val="00033EE1"/>
    <w:rsid w:val="00042B72"/>
    <w:rsid w:val="0004434E"/>
    <w:rsid w:val="00053EA6"/>
    <w:rsid w:val="000558BD"/>
    <w:rsid w:val="000A322D"/>
    <w:rsid w:val="000B57E7"/>
    <w:rsid w:val="000B6373"/>
    <w:rsid w:val="000D314C"/>
    <w:rsid w:val="000D3664"/>
    <w:rsid w:val="000D4C6E"/>
    <w:rsid w:val="000E14A8"/>
    <w:rsid w:val="000F09DF"/>
    <w:rsid w:val="000F61B2"/>
    <w:rsid w:val="00100908"/>
    <w:rsid w:val="001075E9"/>
    <w:rsid w:val="00130A42"/>
    <w:rsid w:val="0013589C"/>
    <w:rsid w:val="00144819"/>
    <w:rsid w:val="00145C76"/>
    <w:rsid w:val="00153AF0"/>
    <w:rsid w:val="00177160"/>
    <w:rsid w:val="00180183"/>
    <w:rsid w:val="0018024D"/>
    <w:rsid w:val="00180B8D"/>
    <w:rsid w:val="0018649F"/>
    <w:rsid w:val="00196389"/>
    <w:rsid w:val="001A423B"/>
    <w:rsid w:val="001A4396"/>
    <w:rsid w:val="001B3EF6"/>
    <w:rsid w:val="001C7A89"/>
    <w:rsid w:val="00201C4D"/>
    <w:rsid w:val="002130FE"/>
    <w:rsid w:val="00213E6C"/>
    <w:rsid w:val="002152FA"/>
    <w:rsid w:val="00250475"/>
    <w:rsid w:val="002A02C6"/>
    <w:rsid w:val="002A2EFC"/>
    <w:rsid w:val="002C0E18"/>
    <w:rsid w:val="002C3864"/>
    <w:rsid w:val="002C735B"/>
    <w:rsid w:val="002D4163"/>
    <w:rsid w:val="002D4172"/>
    <w:rsid w:val="002D5AAC"/>
    <w:rsid w:val="002D67D4"/>
    <w:rsid w:val="002F405F"/>
    <w:rsid w:val="00301299"/>
    <w:rsid w:val="00307FB6"/>
    <w:rsid w:val="00317339"/>
    <w:rsid w:val="00322004"/>
    <w:rsid w:val="003402C2"/>
    <w:rsid w:val="003405FF"/>
    <w:rsid w:val="003531D4"/>
    <w:rsid w:val="003533E9"/>
    <w:rsid w:val="00362916"/>
    <w:rsid w:val="00362BB9"/>
    <w:rsid w:val="00372DE1"/>
    <w:rsid w:val="00376E4E"/>
    <w:rsid w:val="00381C24"/>
    <w:rsid w:val="003852EC"/>
    <w:rsid w:val="003958D0"/>
    <w:rsid w:val="003A3CE4"/>
    <w:rsid w:val="003A4CF7"/>
    <w:rsid w:val="003B00E5"/>
    <w:rsid w:val="003D3526"/>
    <w:rsid w:val="003E0332"/>
    <w:rsid w:val="003F09C0"/>
    <w:rsid w:val="003F43D1"/>
    <w:rsid w:val="003F6FF0"/>
    <w:rsid w:val="00407B78"/>
    <w:rsid w:val="00424203"/>
    <w:rsid w:val="004452DE"/>
    <w:rsid w:val="00454E07"/>
    <w:rsid w:val="004743BD"/>
    <w:rsid w:val="004A2A0F"/>
    <w:rsid w:val="004A7C5F"/>
    <w:rsid w:val="004B6CC2"/>
    <w:rsid w:val="004D1828"/>
    <w:rsid w:val="0050108D"/>
    <w:rsid w:val="00513081"/>
    <w:rsid w:val="005172CB"/>
    <w:rsid w:val="00517901"/>
    <w:rsid w:val="00521DC1"/>
    <w:rsid w:val="00526683"/>
    <w:rsid w:val="0054386B"/>
    <w:rsid w:val="0054679A"/>
    <w:rsid w:val="005709E0"/>
    <w:rsid w:val="00572E19"/>
    <w:rsid w:val="005741D2"/>
    <w:rsid w:val="005961C8"/>
    <w:rsid w:val="005A2866"/>
    <w:rsid w:val="005A3EB6"/>
    <w:rsid w:val="005B0279"/>
    <w:rsid w:val="005B33A0"/>
    <w:rsid w:val="005C3181"/>
    <w:rsid w:val="005D7914"/>
    <w:rsid w:val="005F0B42"/>
    <w:rsid w:val="00600EF8"/>
    <w:rsid w:val="006069E2"/>
    <w:rsid w:val="00615628"/>
    <w:rsid w:val="00621949"/>
    <w:rsid w:val="006327D9"/>
    <w:rsid w:val="0063452F"/>
    <w:rsid w:val="006551F6"/>
    <w:rsid w:val="00672734"/>
    <w:rsid w:val="00681A10"/>
    <w:rsid w:val="00684D99"/>
    <w:rsid w:val="00693EA0"/>
    <w:rsid w:val="006C1D60"/>
    <w:rsid w:val="006C2031"/>
    <w:rsid w:val="006C5A98"/>
    <w:rsid w:val="006D317E"/>
    <w:rsid w:val="006D461A"/>
    <w:rsid w:val="006E795A"/>
    <w:rsid w:val="006F35EE"/>
    <w:rsid w:val="006F62F1"/>
    <w:rsid w:val="007021FF"/>
    <w:rsid w:val="00712895"/>
    <w:rsid w:val="007333D6"/>
    <w:rsid w:val="00744447"/>
    <w:rsid w:val="00750B54"/>
    <w:rsid w:val="00754B77"/>
    <w:rsid w:val="00757357"/>
    <w:rsid w:val="007812C0"/>
    <w:rsid w:val="00794179"/>
    <w:rsid w:val="007B09CD"/>
    <w:rsid w:val="007B22E3"/>
    <w:rsid w:val="007C333F"/>
    <w:rsid w:val="007D1893"/>
    <w:rsid w:val="007E072F"/>
    <w:rsid w:val="007E2C6D"/>
    <w:rsid w:val="00805D1C"/>
    <w:rsid w:val="00813243"/>
    <w:rsid w:val="0082352E"/>
    <w:rsid w:val="00825F8D"/>
    <w:rsid w:val="00834B71"/>
    <w:rsid w:val="00841CBA"/>
    <w:rsid w:val="00843EA1"/>
    <w:rsid w:val="00855EE9"/>
    <w:rsid w:val="00856B4B"/>
    <w:rsid w:val="0086445C"/>
    <w:rsid w:val="0087333F"/>
    <w:rsid w:val="00894693"/>
    <w:rsid w:val="008A08D7"/>
    <w:rsid w:val="008A308A"/>
    <w:rsid w:val="008B1388"/>
    <w:rsid w:val="008B6909"/>
    <w:rsid w:val="008E13B7"/>
    <w:rsid w:val="008E4B7D"/>
    <w:rsid w:val="00906890"/>
    <w:rsid w:val="00911BE4"/>
    <w:rsid w:val="009149EE"/>
    <w:rsid w:val="0093083D"/>
    <w:rsid w:val="00935A0B"/>
    <w:rsid w:val="00951972"/>
    <w:rsid w:val="009530A2"/>
    <w:rsid w:val="00953B31"/>
    <w:rsid w:val="009608F3"/>
    <w:rsid w:val="00973540"/>
    <w:rsid w:val="00973E6B"/>
    <w:rsid w:val="00975974"/>
    <w:rsid w:val="009874BF"/>
    <w:rsid w:val="009922E1"/>
    <w:rsid w:val="009A4034"/>
    <w:rsid w:val="00A32382"/>
    <w:rsid w:val="00A44B2D"/>
    <w:rsid w:val="00A711FB"/>
    <w:rsid w:val="00A84021"/>
    <w:rsid w:val="00A86F80"/>
    <w:rsid w:val="00A90C2B"/>
    <w:rsid w:val="00A917B3"/>
    <w:rsid w:val="00AB4B51"/>
    <w:rsid w:val="00AC04F0"/>
    <w:rsid w:val="00AE5F3B"/>
    <w:rsid w:val="00AF4FC4"/>
    <w:rsid w:val="00B10AA4"/>
    <w:rsid w:val="00B10CC7"/>
    <w:rsid w:val="00B11438"/>
    <w:rsid w:val="00B1665D"/>
    <w:rsid w:val="00B443C7"/>
    <w:rsid w:val="00B539E7"/>
    <w:rsid w:val="00B563EB"/>
    <w:rsid w:val="00B62458"/>
    <w:rsid w:val="00B62DF1"/>
    <w:rsid w:val="00B80A93"/>
    <w:rsid w:val="00BB26E7"/>
    <w:rsid w:val="00BC2E61"/>
    <w:rsid w:val="00BD3142"/>
    <w:rsid w:val="00BD33EE"/>
    <w:rsid w:val="00BE6106"/>
    <w:rsid w:val="00BF2E5C"/>
    <w:rsid w:val="00C106D6"/>
    <w:rsid w:val="00C12A61"/>
    <w:rsid w:val="00C21F69"/>
    <w:rsid w:val="00C43EFF"/>
    <w:rsid w:val="00C4725C"/>
    <w:rsid w:val="00C60F0C"/>
    <w:rsid w:val="00C60FC7"/>
    <w:rsid w:val="00C67E7F"/>
    <w:rsid w:val="00C805C9"/>
    <w:rsid w:val="00C92939"/>
    <w:rsid w:val="00CA1679"/>
    <w:rsid w:val="00CA3658"/>
    <w:rsid w:val="00CB151C"/>
    <w:rsid w:val="00CB242B"/>
    <w:rsid w:val="00CB6A33"/>
    <w:rsid w:val="00CE5A1A"/>
    <w:rsid w:val="00CF55F6"/>
    <w:rsid w:val="00D04407"/>
    <w:rsid w:val="00D236FD"/>
    <w:rsid w:val="00D31A4A"/>
    <w:rsid w:val="00D32CB7"/>
    <w:rsid w:val="00D33D63"/>
    <w:rsid w:val="00D46FF5"/>
    <w:rsid w:val="00D4778E"/>
    <w:rsid w:val="00D51FEE"/>
    <w:rsid w:val="00D7481B"/>
    <w:rsid w:val="00D76123"/>
    <w:rsid w:val="00D8113C"/>
    <w:rsid w:val="00D82740"/>
    <w:rsid w:val="00D90138"/>
    <w:rsid w:val="00D95D28"/>
    <w:rsid w:val="00DC0B76"/>
    <w:rsid w:val="00DE1145"/>
    <w:rsid w:val="00DF2648"/>
    <w:rsid w:val="00E03195"/>
    <w:rsid w:val="00E05118"/>
    <w:rsid w:val="00E14E23"/>
    <w:rsid w:val="00E3142F"/>
    <w:rsid w:val="00E31CF9"/>
    <w:rsid w:val="00E3227E"/>
    <w:rsid w:val="00E56EE3"/>
    <w:rsid w:val="00E73F76"/>
    <w:rsid w:val="00E82E67"/>
    <w:rsid w:val="00E86371"/>
    <w:rsid w:val="00E939A3"/>
    <w:rsid w:val="00E9695E"/>
    <w:rsid w:val="00EA1656"/>
    <w:rsid w:val="00EA2C9F"/>
    <w:rsid w:val="00ED0BDA"/>
    <w:rsid w:val="00ED3749"/>
    <w:rsid w:val="00ED3A23"/>
    <w:rsid w:val="00EE7654"/>
    <w:rsid w:val="00EF1360"/>
    <w:rsid w:val="00EF3220"/>
    <w:rsid w:val="00F06F76"/>
    <w:rsid w:val="00F10C8A"/>
    <w:rsid w:val="00F10EA4"/>
    <w:rsid w:val="00F37BF0"/>
    <w:rsid w:val="00F43810"/>
    <w:rsid w:val="00F63772"/>
    <w:rsid w:val="00F76A49"/>
    <w:rsid w:val="00F77B12"/>
    <w:rsid w:val="00F87E66"/>
    <w:rsid w:val="00F9377E"/>
    <w:rsid w:val="00F94155"/>
    <w:rsid w:val="00FC5D0B"/>
    <w:rsid w:val="00FD234F"/>
    <w:rsid w:val="00FD2EF7"/>
    <w:rsid w:val="00FE2332"/>
    <w:rsid w:val="00FE447E"/>
    <w:rsid w:val="00FF3E2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24C31"/>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1"/>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ootnote Reference.SES,Ref,de nota al pie,Appel note de bas de page,Texto de nota al pie,Ref. de nota al pie.,Footnotes refss,BVI fnr, BVI fnr,Footnote number,referencia nota al pie,Texto nota al pie"/>
    <w:link w:val="Refdenotaalpie1"/>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uiPriority w:val="99"/>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uiPriority w:val="99"/>
    <w:rsid w:val="00D7481B"/>
    <w:pPr>
      <w:ind w:left="283" w:hanging="283"/>
    </w:pPr>
  </w:style>
  <w:style w:type="paragraph" w:styleId="Lista2">
    <w:name w:val="List 2"/>
    <w:basedOn w:val="Normal"/>
    <w:uiPriority w:val="99"/>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uiPriority w:val="99"/>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1">
    <w:name w:val="Título 1 Car1"/>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uiPriority w:val="3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Ttulo2Car">
    <w:name w:val="Título 2 Car"/>
    <w:basedOn w:val="Fuentedeprrafopredeter"/>
    <w:link w:val="Ttulo2"/>
    <w:uiPriority w:val="9"/>
    <w:semiHidden/>
    <w:rsid w:val="00362916"/>
    <w:rPr>
      <w:rFonts w:eastAsiaTheme="minorEastAsia" w:cs="Arial"/>
      <w:bCs/>
      <w:iCs/>
      <w:szCs w:val="28"/>
      <w:lang w:val="es-ES" w:eastAsia="es-ES"/>
    </w:rPr>
  </w:style>
  <w:style w:type="character" w:customStyle="1" w:styleId="Ttulo3Car">
    <w:name w:val="Título 3 Car"/>
    <w:basedOn w:val="Fuentedeprrafopredeter"/>
    <w:link w:val="Ttulo3"/>
    <w:uiPriority w:val="9"/>
    <w:semiHidden/>
    <w:rsid w:val="00362916"/>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362916"/>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362916"/>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362916"/>
    <w:rPr>
      <w:rFonts w:eastAsiaTheme="minorEastAsia"/>
      <w:b/>
      <w:bCs/>
      <w:sz w:val="22"/>
      <w:szCs w:val="22"/>
      <w:lang w:val="es-ES" w:eastAsia="es-ES"/>
    </w:rPr>
  </w:style>
  <w:style w:type="paragraph" w:customStyle="1" w:styleId="Ttulo11">
    <w:name w:val="Título 11"/>
    <w:basedOn w:val="Normal"/>
    <w:next w:val="Normal"/>
    <w:link w:val="Ttulo1Car"/>
    <w:uiPriority w:val="9"/>
    <w:qFormat/>
    <w:rsid w:val="00362916"/>
    <w:pPr>
      <w:keepNext/>
      <w:keepLines/>
      <w:spacing w:before="240" w:line="259" w:lineRule="auto"/>
      <w:outlineLvl w:val="0"/>
    </w:pPr>
    <w:rPr>
      <w:rFonts w:ascii="Calibri Light" w:eastAsia="Times New Roman" w:hAnsi="Calibri Light"/>
      <w:color w:val="2F5496"/>
      <w:kern w:val="2"/>
      <w:sz w:val="32"/>
      <w:szCs w:val="32"/>
      <w:lang w:val="es-PE" w:eastAsia="en-US"/>
      <w14:ligatures w14:val="standardContextual"/>
    </w:rPr>
  </w:style>
  <w:style w:type="paragraph" w:customStyle="1" w:styleId="Ttulo21">
    <w:name w:val="Título 21"/>
    <w:basedOn w:val="Normal"/>
    <w:next w:val="Normal"/>
    <w:uiPriority w:val="9"/>
    <w:unhideWhenUsed/>
    <w:qFormat/>
    <w:rsid w:val="00362916"/>
    <w:pPr>
      <w:keepNext/>
      <w:keepLines/>
      <w:spacing w:before="40" w:line="259" w:lineRule="auto"/>
      <w:outlineLvl w:val="1"/>
    </w:pPr>
    <w:rPr>
      <w:rFonts w:ascii="Calibri Light" w:eastAsia="Times New Roman" w:hAnsi="Calibri Light"/>
      <w:color w:val="2F5496"/>
      <w:sz w:val="26"/>
      <w:szCs w:val="26"/>
      <w:lang w:val="es-MX" w:eastAsia="es-PE"/>
    </w:rPr>
  </w:style>
  <w:style w:type="numbering" w:customStyle="1" w:styleId="Sinlista1">
    <w:name w:val="Sin lista1"/>
    <w:next w:val="Sinlista"/>
    <w:uiPriority w:val="99"/>
    <w:semiHidden/>
    <w:unhideWhenUsed/>
    <w:rsid w:val="00362916"/>
  </w:style>
  <w:style w:type="table" w:customStyle="1" w:styleId="TableNormal1">
    <w:name w:val="Table Normal1"/>
    <w:rsid w:val="00362916"/>
    <w:pPr>
      <w:spacing w:after="160" w:line="259" w:lineRule="auto"/>
    </w:pPr>
    <w:rPr>
      <w:rFonts w:ascii="Calibri" w:eastAsia="Calibri" w:hAnsi="Calibri" w:cs="Calibri"/>
      <w:sz w:val="22"/>
      <w:szCs w:val="22"/>
      <w:lang w:val="es-MX" w:eastAsia="es-PE"/>
    </w:rPr>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362916"/>
    <w:rPr>
      <w:rFonts w:ascii="Arial" w:eastAsiaTheme="minorEastAsia" w:hAnsi="Arial" w:cs="Arial"/>
      <w:b/>
      <w:bCs/>
      <w:kern w:val="28"/>
      <w:sz w:val="32"/>
      <w:szCs w:val="32"/>
      <w:lang w:val="es-ES" w:eastAsia="es-ES"/>
    </w:rPr>
  </w:style>
  <w:style w:type="character" w:customStyle="1" w:styleId="EncabezadoCar">
    <w:name w:val="Encabezado Car"/>
    <w:aliases w:val="6_G Car"/>
    <w:basedOn w:val="Fuentedeprrafopredeter"/>
    <w:link w:val="Encabezado"/>
    <w:uiPriority w:val="99"/>
    <w:rsid w:val="00362916"/>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362916"/>
    <w:rPr>
      <w:rFonts w:eastAsiaTheme="minorEastAsia"/>
      <w:sz w:val="16"/>
      <w:lang w:val="es-ES" w:eastAsia="es-ES"/>
    </w:rPr>
  </w:style>
  <w:style w:type="character" w:customStyle="1" w:styleId="Ttulo1Car">
    <w:name w:val="Título 1 Car"/>
    <w:basedOn w:val="Fuentedeprrafopredeter"/>
    <w:link w:val="Ttulo11"/>
    <w:uiPriority w:val="9"/>
    <w:rsid w:val="00362916"/>
    <w:rPr>
      <w:rFonts w:ascii="Calibri Light" w:hAnsi="Calibri Light"/>
      <w:color w:val="2F5496"/>
      <w:kern w:val="2"/>
      <w:sz w:val="32"/>
      <w:szCs w:val="32"/>
      <w:lang w:val="es-PE" w:eastAsia="en-US"/>
      <w14:ligatures w14:val="standardContextual"/>
    </w:rPr>
  </w:style>
  <w:style w:type="paragraph" w:styleId="Prrafodelista">
    <w:name w:val="List Paragraph"/>
    <w:basedOn w:val="Normal"/>
    <w:uiPriority w:val="34"/>
    <w:qFormat/>
    <w:rsid w:val="00362916"/>
    <w:pPr>
      <w:spacing w:after="160" w:line="259" w:lineRule="auto"/>
      <w:ind w:left="720"/>
      <w:contextualSpacing/>
    </w:pPr>
    <w:rPr>
      <w:rFonts w:ascii="Calibri" w:eastAsia="Calibri" w:hAnsi="Calibri" w:cs="Calibri"/>
      <w:sz w:val="22"/>
      <w:szCs w:val="22"/>
      <w:lang w:val="es-MX" w:eastAsia="es-PE"/>
    </w:rPr>
  </w:style>
  <w:style w:type="paragraph" w:styleId="TDC1">
    <w:name w:val="toc 1"/>
    <w:basedOn w:val="Normal"/>
    <w:next w:val="Normal"/>
    <w:autoRedefine/>
    <w:uiPriority w:val="39"/>
    <w:unhideWhenUsed/>
    <w:rsid w:val="00362916"/>
    <w:pPr>
      <w:spacing w:after="100" w:line="259" w:lineRule="auto"/>
    </w:pPr>
    <w:rPr>
      <w:rFonts w:ascii="Calibri" w:eastAsia="Calibri" w:hAnsi="Calibri" w:cs="Calibri"/>
      <w:sz w:val="22"/>
      <w:szCs w:val="22"/>
      <w:lang w:val="es-MX" w:eastAsia="es-PE"/>
    </w:rPr>
  </w:style>
  <w:style w:type="paragraph" w:styleId="TDC2">
    <w:name w:val="toc 2"/>
    <w:basedOn w:val="Normal"/>
    <w:next w:val="Normal"/>
    <w:autoRedefine/>
    <w:uiPriority w:val="39"/>
    <w:unhideWhenUsed/>
    <w:rsid w:val="00362916"/>
    <w:pPr>
      <w:spacing w:after="100" w:line="259" w:lineRule="auto"/>
      <w:ind w:left="220"/>
    </w:pPr>
    <w:rPr>
      <w:rFonts w:ascii="Calibri" w:eastAsia="Calibri" w:hAnsi="Calibri" w:cs="Calibri"/>
      <w:sz w:val="22"/>
      <w:szCs w:val="22"/>
      <w:lang w:val="es-MX" w:eastAsia="es-PE"/>
    </w:rPr>
  </w:style>
  <w:style w:type="character" w:customStyle="1" w:styleId="Hipervnculo1">
    <w:name w:val="Hipervínculo1"/>
    <w:basedOn w:val="Fuentedeprrafopredeter"/>
    <w:uiPriority w:val="99"/>
    <w:unhideWhenUsed/>
    <w:rsid w:val="00362916"/>
    <w:rPr>
      <w:color w:val="0563C1"/>
      <w:u w:val="single"/>
    </w:rPr>
  </w:style>
  <w:style w:type="character" w:styleId="Mencinsinresolver">
    <w:name w:val="Unresolved Mention"/>
    <w:basedOn w:val="Fuentedeprrafopredeter"/>
    <w:uiPriority w:val="99"/>
    <w:semiHidden/>
    <w:unhideWhenUsed/>
    <w:rsid w:val="00362916"/>
    <w:rPr>
      <w:color w:val="605E5C"/>
      <w:shd w:val="clear" w:color="auto" w:fill="E1DFDD"/>
    </w:rPr>
  </w:style>
  <w:style w:type="character" w:customStyle="1" w:styleId="SubttuloCar">
    <w:name w:val="Subtítulo Car"/>
    <w:basedOn w:val="Fuentedeprrafopredeter"/>
    <w:link w:val="Subttulo"/>
    <w:uiPriority w:val="11"/>
    <w:rsid w:val="00362916"/>
    <w:rPr>
      <w:rFonts w:ascii="Arial" w:eastAsiaTheme="minorEastAsia" w:hAnsi="Arial" w:cs="Arial"/>
      <w:sz w:val="24"/>
      <w:szCs w:val="24"/>
      <w:lang w:val="es-ES" w:eastAsia="es-ES"/>
    </w:rPr>
  </w:style>
  <w:style w:type="paragraph" w:customStyle="1" w:styleId="Refdenotaalpie1">
    <w:name w:val="Ref. de nota al pie1"/>
    <w:basedOn w:val="Normal"/>
    <w:link w:val="Refdenotaalpie"/>
    <w:uiPriority w:val="99"/>
    <w:rsid w:val="00362916"/>
    <w:pPr>
      <w:spacing w:before="200" w:after="160" w:line="240" w:lineRule="exact"/>
    </w:pPr>
    <w:rPr>
      <w:rFonts w:eastAsia="Times New Roman"/>
      <w:sz w:val="18"/>
      <w:vertAlign w:val="superscript"/>
      <w:lang w:val="fr-FR" w:eastAsia="fr-FR"/>
    </w:rPr>
  </w:style>
  <w:style w:type="paragraph" w:customStyle="1" w:styleId="Default">
    <w:name w:val="Default"/>
    <w:rsid w:val="00362916"/>
    <w:pPr>
      <w:autoSpaceDE w:val="0"/>
      <w:autoSpaceDN w:val="0"/>
      <w:adjustRightInd w:val="0"/>
    </w:pPr>
    <w:rPr>
      <w:rFonts w:ascii="Arial" w:eastAsia="Calibri" w:hAnsi="Arial" w:cs="Arial"/>
      <w:color w:val="000000"/>
      <w:sz w:val="24"/>
      <w:szCs w:val="24"/>
      <w:lang w:val="es-PE" w:eastAsia="es-PE"/>
    </w:rPr>
  </w:style>
  <w:style w:type="character" w:customStyle="1" w:styleId="TextoindependienteCar">
    <w:name w:val="Texto independiente Car"/>
    <w:basedOn w:val="Fuentedeprrafopredeter"/>
    <w:link w:val="Textoindependiente"/>
    <w:uiPriority w:val="99"/>
    <w:rsid w:val="00362916"/>
    <w:rPr>
      <w:rFonts w:eastAsiaTheme="minorEastAsia"/>
      <w:lang w:val="es-ES" w:eastAsia="es-ES"/>
    </w:rPr>
  </w:style>
  <w:style w:type="paragraph" w:styleId="TtuloTDC">
    <w:name w:val="TOC Heading"/>
    <w:basedOn w:val="Ttulo1"/>
    <w:next w:val="Normal"/>
    <w:uiPriority w:val="39"/>
    <w:unhideWhenUsed/>
    <w:qFormat/>
    <w:rsid w:val="00362916"/>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PE" w:eastAsia="es-PE"/>
    </w:rPr>
  </w:style>
  <w:style w:type="paragraph" w:styleId="Revisin">
    <w:name w:val="Revision"/>
    <w:hidden/>
    <w:uiPriority w:val="99"/>
    <w:semiHidden/>
    <w:rsid w:val="00362916"/>
    <w:rPr>
      <w:rFonts w:ascii="Calibri" w:eastAsia="Calibri" w:hAnsi="Calibri" w:cs="Calibri"/>
      <w:sz w:val="22"/>
      <w:szCs w:val="22"/>
      <w:lang w:val="es-MX" w:eastAsia="es-PE"/>
    </w:rPr>
  </w:style>
  <w:style w:type="character" w:customStyle="1" w:styleId="Ttulo2Car1">
    <w:name w:val="Título 2 Car1"/>
    <w:basedOn w:val="Fuentedeprrafopredeter"/>
    <w:uiPriority w:val="9"/>
    <w:semiHidden/>
    <w:rsid w:val="0036291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pp7.dge.gob.pe/maps/sala_covid/" TargetMode="External"/><Relationship Id="rId3" Type="http://schemas.openxmlformats.org/officeDocument/2006/relationships/hyperlink" Target="mailto:dirrehum.depsicp.bd@policia.gob.pe" TargetMode="External"/><Relationship Id="rId7" Type="http://schemas.openxmlformats.org/officeDocument/2006/relationships/hyperlink" Target="https://www.gob.pe/institucion/minsa/tema/covid-19-vacunas" TargetMode="External"/><Relationship Id="rId2" Type="http://schemas.openxmlformats.org/officeDocument/2006/relationships/hyperlink" Target="https://cdn01.pucp.education/idehpucp/wp-content/uploads/2022/04/25155551/guia_actores_judiciales_2021-version-digital_3_dic_2-1.pdf" TargetMode="External"/><Relationship Id="rId1" Type="http://schemas.openxmlformats.org/officeDocument/2006/relationships/hyperlink" Target="mailto:infoinei@inei.gob.pe" TargetMode="External"/><Relationship Id="rId6" Type="http://schemas.openxmlformats.org/officeDocument/2006/relationships/hyperlink" Target="https://www.gob.pe/institucion/minsa/tema/covid-19-prevencion" TargetMode="External"/><Relationship Id="rId11" Type="http://schemas.openxmlformats.org/officeDocument/2006/relationships/hyperlink" Target="https://envivo.granteatronacional.pe/" TargetMode="External"/><Relationship Id="rId5" Type="http://schemas.openxmlformats.org/officeDocument/2006/relationships/hyperlink" Target="https://www.minsa.gob.pe/reunis/data/vacunas-covid19.asp" TargetMode="External"/><Relationship Id="rId10" Type="http://schemas.openxmlformats.org/officeDocument/2006/relationships/hyperlink" Target="https://www.retinalatina.org/" TargetMode="External"/><Relationship Id="rId4" Type="http://schemas.openxmlformats.org/officeDocument/2006/relationships/hyperlink" Target="https://www.gob.pe/institucion/minsa/noticias/350995-vacunacion-nacional-universal-gratuita-y-progresiva-con-participacion-de-sector-publico-y-privado-comunicado-n-472" TargetMode="External"/><Relationship Id="rId9" Type="http://schemas.openxmlformats.org/officeDocument/2006/relationships/hyperlink" Target="https://www.cultura24.tv/"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D344B-49B6-4CA1-A5A4-5AF7EE4404B9}">
  <ds:schemaRefs>
    <ds:schemaRef ds:uri="http://schemas.openxmlformats.org/officeDocument/2006/bibliography"/>
  </ds:schemaRefs>
</ds:datastoreItem>
</file>

<file path=customXml/itemProps2.xml><?xml version="1.0" encoding="utf-8"?>
<ds:datastoreItem xmlns:ds="http://schemas.openxmlformats.org/officeDocument/2006/customXml" ds:itemID="{8934432F-D576-4E40-A8AF-8800CD6AACF8}">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3.xml><?xml version="1.0" encoding="utf-8"?>
<ds:datastoreItem xmlns:ds="http://schemas.openxmlformats.org/officeDocument/2006/customXml" ds:itemID="{F9BC8C61-2F7C-4C63-8905-DE8106FF8015}">
  <ds:schemaRefs>
    <ds:schemaRef ds:uri="http://schemas.microsoft.com/sharepoint/v3/contenttype/forms"/>
  </ds:schemaRefs>
</ds:datastoreItem>
</file>

<file path=customXml/itemProps4.xml><?xml version="1.0" encoding="utf-8"?>
<ds:datastoreItem xmlns:ds="http://schemas.openxmlformats.org/officeDocument/2006/customXml" ds:itemID="{9AC390E1-AF78-4302-A638-49AB141F5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25</Pages>
  <Words>10912</Words>
  <Characters>57909</Characters>
  <Application>Microsoft Office Word</Application>
  <DocSecurity>0</DocSecurity>
  <Lines>1348</Lines>
  <Paragraphs>594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68215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E/C.12/PER/RQ/5</dc:title>
  <dc:subject/>
  <dc:creator>Gloria</dc:creator>
  <cp:keywords/>
  <cp:lastModifiedBy>Juan Korol</cp:lastModifiedBy>
  <cp:revision>3</cp:revision>
  <cp:lastPrinted>2025-01-14T16:30:00Z</cp:lastPrinted>
  <dcterms:created xsi:type="dcterms:W3CDTF">2025-01-14T16:30:00Z</dcterms:created>
  <dcterms:modified xsi:type="dcterms:W3CDTF">2025-01-14T16:32:00Z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0x010100F6C8A26EFEF88B48B35F38778DBC3EF6</vt:lpwstr>
  </property>
  <property fmtid="{D5CDD505-2E9C-101B-9397-08002B2CF9AE}" pid="8" name="count">
    <vt:lpwstr>del Perú</vt:lpwstr>
  </property>
  <property fmtid="{D5CDD505-2E9C-101B-9397-08002B2CF9AE}" pid="9" name="countw">
    <vt:lpwstr>Perú</vt:lpwstr>
  </property>
  <property fmtid="{D5CDD505-2E9C-101B-9397-08002B2CF9AE}" pid="10" name="countwd">
    <vt:lpwstr>el Perú</vt:lpwstr>
  </property>
  <property fmtid="{D5CDD505-2E9C-101B-9397-08002B2CF9AE}" pid="11" name="date">
    <vt:lpwstr>19 de diciembre de 2024</vt:lpwstr>
  </property>
  <property fmtid="{D5CDD505-2E9C-101B-9397-08002B2CF9AE}" pid="12" name="Date-Generated">
    <vt:filetime>2024-12-19T14:25:05Z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262800</vt:r8>
  </property>
  <property fmtid="{D5CDD505-2E9C-101B-9397-08002B2CF9AE}" pid="23" name="Org">
    <vt:lpwstr>OHCHR</vt:lpwstr>
  </property>
  <property fmtid="{D5CDD505-2E9C-101B-9397-08002B2CF9AE}" pid="24" name="prep">
    <vt:lpwstr>al quinto informe periódico del Perú</vt:lpwstr>
  </property>
  <property fmtid="{D5CDD505-2E9C-101B-9397-08002B2CF9AE}" pid="25" name="preps">
    <vt:lpwstr>quinto informe periódico del Perú</vt:lpwstr>
  </property>
  <property fmtid="{D5CDD505-2E9C-101B-9397-08002B2CF9AE}" pid="26" name="prepw">
    <vt:lpwstr>al quinto informe periódico </vt:lpwstr>
  </property>
  <property fmtid="{D5CDD505-2E9C-101B-9397-08002B2CF9AE}" pid="27" name="prepwc">
    <vt:lpwstr>Quinto informe periódico </vt:lpwstr>
  </property>
  <property fmtid="{D5CDD505-2E9C-101B-9397-08002B2CF9AE}" pid="28" name="prepws">
    <vt:lpwstr>quinto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C.12/PER/RQ/5</vt:lpwstr>
  </property>
  <property fmtid="{D5CDD505-2E9C-101B-9397-08002B2CF9AE}" pid="34" name="symh">
    <vt:lpwstr>E/C.12/PER/RQ/5</vt:lpwstr>
  </property>
  <property fmtid="{D5CDD505-2E9C-101B-9397-08002B2CF9AE}" pid="35" name="Title">
    <vt:lpwstr>E/C.12/PER/RQ/5</vt:lpwstr>
  </property>
  <property fmtid="{D5CDD505-2E9C-101B-9397-08002B2CF9AE}" pid="36" name="tlang">
    <vt:lpwstr/>
  </property>
  <property fmtid="{D5CDD505-2E9C-101B-9397-08002B2CF9AE}" pid="37" name="virs">
    <vt:lpwstr>Español, francés e inglés únicamente</vt:lpwstr>
  </property>
</Properties>
</file>