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819B9" w14:paraId="034790EB" w14:textId="77777777" w:rsidTr="00462E81">
        <w:trPr>
          <w:trHeight w:hRule="exact" w:val="851"/>
        </w:trPr>
        <w:tc>
          <w:tcPr>
            <w:tcW w:w="1276" w:type="dxa"/>
            <w:tcBorders>
              <w:bottom w:val="single" w:sz="4" w:space="0" w:color="auto"/>
            </w:tcBorders>
          </w:tcPr>
          <w:p w14:paraId="3EFA49CE" w14:textId="77777777" w:rsidR="002D5AAC" w:rsidRPr="00C819B9" w:rsidRDefault="002D5AAC" w:rsidP="00C7151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2EE4B3D" w14:textId="77777777" w:rsidR="002D5AAC" w:rsidRPr="00C819B9" w:rsidRDefault="00BD33EE" w:rsidP="00462E81">
            <w:pPr>
              <w:spacing w:after="80" w:line="300" w:lineRule="exact"/>
              <w:rPr>
                <w:sz w:val="28"/>
              </w:rPr>
            </w:pPr>
            <w:r w:rsidRPr="00C819B9">
              <w:rPr>
                <w:sz w:val="28"/>
              </w:rPr>
              <w:t>Naciones Unidas</w:t>
            </w:r>
          </w:p>
        </w:tc>
        <w:tc>
          <w:tcPr>
            <w:tcW w:w="6073" w:type="dxa"/>
            <w:gridSpan w:val="2"/>
            <w:tcBorders>
              <w:bottom w:val="single" w:sz="4" w:space="0" w:color="auto"/>
            </w:tcBorders>
            <w:vAlign w:val="bottom"/>
          </w:tcPr>
          <w:p w14:paraId="2AC9301D" w14:textId="0B26D36E" w:rsidR="002D5AAC" w:rsidRPr="00C819B9" w:rsidRDefault="00C71514" w:rsidP="00C71514">
            <w:pPr>
              <w:jc w:val="right"/>
            </w:pPr>
            <w:r w:rsidRPr="00C819B9">
              <w:rPr>
                <w:sz w:val="40"/>
              </w:rPr>
              <w:t>CAT</w:t>
            </w:r>
            <w:r w:rsidRPr="00C819B9">
              <w:t>/C/AUS/FCO/6</w:t>
            </w:r>
          </w:p>
        </w:tc>
      </w:tr>
      <w:tr w:rsidR="002D5AAC" w:rsidRPr="00C819B9" w14:paraId="1735D258" w14:textId="77777777" w:rsidTr="00462E81">
        <w:trPr>
          <w:trHeight w:hRule="exact" w:val="2835"/>
        </w:trPr>
        <w:tc>
          <w:tcPr>
            <w:tcW w:w="1276" w:type="dxa"/>
            <w:tcBorders>
              <w:top w:val="single" w:sz="4" w:space="0" w:color="auto"/>
              <w:bottom w:val="single" w:sz="12" w:space="0" w:color="auto"/>
            </w:tcBorders>
          </w:tcPr>
          <w:p w14:paraId="6B8F4CAD" w14:textId="77777777" w:rsidR="002D5AAC" w:rsidRPr="00C819B9" w:rsidRDefault="00FD6905" w:rsidP="00462E81">
            <w:pPr>
              <w:spacing w:before="120"/>
              <w:jc w:val="center"/>
            </w:pPr>
            <w:r w:rsidRPr="00C819B9">
              <w:rPr>
                <w:noProof/>
              </w:rPr>
              <w:drawing>
                <wp:inline distT="0" distB="0" distL="0" distR="0" wp14:anchorId="75772A0C" wp14:editId="7795127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7D89B9" w14:textId="77777777" w:rsidR="002D5AAC" w:rsidRPr="00C819B9" w:rsidRDefault="00F94155" w:rsidP="00462E81">
            <w:pPr>
              <w:spacing w:before="120" w:line="360" w:lineRule="exact"/>
              <w:rPr>
                <w:b/>
                <w:sz w:val="34"/>
                <w:szCs w:val="34"/>
              </w:rPr>
            </w:pPr>
            <w:r w:rsidRPr="00C819B9">
              <w:rPr>
                <w:b/>
                <w:sz w:val="34"/>
                <w:szCs w:val="34"/>
              </w:rPr>
              <w:t xml:space="preserve">Convención contra </w:t>
            </w:r>
            <w:r w:rsidR="007021FF" w:rsidRPr="00C819B9">
              <w:rPr>
                <w:b/>
                <w:sz w:val="34"/>
                <w:szCs w:val="34"/>
              </w:rPr>
              <w:t xml:space="preserve">la </w:t>
            </w:r>
            <w:r w:rsidRPr="00C819B9">
              <w:rPr>
                <w:b/>
                <w:sz w:val="34"/>
                <w:szCs w:val="34"/>
              </w:rPr>
              <w:t>Tortura</w:t>
            </w:r>
            <w:r w:rsidR="00033EE1" w:rsidRPr="00C819B9">
              <w:rPr>
                <w:b/>
                <w:sz w:val="34"/>
                <w:szCs w:val="34"/>
              </w:rPr>
              <w:br/>
            </w:r>
            <w:r w:rsidRPr="00C819B9">
              <w:rPr>
                <w:b/>
                <w:sz w:val="34"/>
                <w:szCs w:val="34"/>
              </w:rPr>
              <w:t xml:space="preserve">y Otros </w:t>
            </w:r>
            <w:r w:rsidR="007021FF" w:rsidRPr="00C819B9">
              <w:rPr>
                <w:b/>
                <w:sz w:val="34"/>
                <w:szCs w:val="34"/>
              </w:rPr>
              <w:t xml:space="preserve">Tratos </w:t>
            </w:r>
            <w:r w:rsidRPr="00C819B9">
              <w:rPr>
                <w:b/>
                <w:sz w:val="34"/>
                <w:szCs w:val="34"/>
              </w:rPr>
              <w:t>o Penas Crueles,</w:t>
            </w:r>
            <w:r w:rsidRPr="00C819B9">
              <w:rPr>
                <w:b/>
                <w:sz w:val="34"/>
                <w:szCs w:val="34"/>
              </w:rPr>
              <w:br/>
              <w:t>Inhumanos o Degradantes</w:t>
            </w:r>
          </w:p>
        </w:tc>
        <w:tc>
          <w:tcPr>
            <w:tcW w:w="2813" w:type="dxa"/>
            <w:tcBorders>
              <w:top w:val="single" w:sz="4" w:space="0" w:color="auto"/>
              <w:bottom w:val="single" w:sz="12" w:space="0" w:color="auto"/>
            </w:tcBorders>
          </w:tcPr>
          <w:p w14:paraId="6DABC118" w14:textId="77777777" w:rsidR="002D5AAC" w:rsidRPr="00C819B9" w:rsidRDefault="00C71514" w:rsidP="00462E81">
            <w:pPr>
              <w:spacing w:before="240"/>
            </w:pPr>
            <w:r w:rsidRPr="00C819B9">
              <w:t>Distr. general</w:t>
            </w:r>
          </w:p>
          <w:p w14:paraId="5DB95C43" w14:textId="77777777" w:rsidR="00C71514" w:rsidRPr="00C819B9" w:rsidRDefault="00C71514" w:rsidP="00C71514">
            <w:pPr>
              <w:spacing w:line="240" w:lineRule="exact"/>
            </w:pPr>
            <w:r w:rsidRPr="00C819B9">
              <w:t>5 de junio de 2024</w:t>
            </w:r>
          </w:p>
          <w:p w14:paraId="7E11BB93" w14:textId="77777777" w:rsidR="00C71514" w:rsidRPr="00C819B9" w:rsidRDefault="00C71514" w:rsidP="00C71514">
            <w:pPr>
              <w:spacing w:line="240" w:lineRule="exact"/>
            </w:pPr>
            <w:r w:rsidRPr="00C819B9">
              <w:t>Español</w:t>
            </w:r>
          </w:p>
          <w:p w14:paraId="32C7BFC7" w14:textId="77777777" w:rsidR="00C71514" w:rsidRPr="00C819B9" w:rsidRDefault="00C71514" w:rsidP="00C71514">
            <w:pPr>
              <w:spacing w:line="240" w:lineRule="exact"/>
            </w:pPr>
            <w:r w:rsidRPr="00C819B9">
              <w:t>Original: inglés</w:t>
            </w:r>
          </w:p>
          <w:p w14:paraId="32197F4F" w14:textId="7640BD8A" w:rsidR="00C71514" w:rsidRPr="00C819B9" w:rsidRDefault="00C71514" w:rsidP="00C71514">
            <w:pPr>
              <w:spacing w:line="240" w:lineRule="exact"/>
            </w:pPr>
            <w:r w:rsidRPr="00C819B9">
              <w:t>Español, francés e inglés únicamente</w:t>
            </w:r>
          </w:p>
        </w:tc>
      </w:tr>
    </w:tbl>
    <w:p w14:paraId="06D328E1" w14:textId="77777777" w:rsidR="00505971" w:rsidRPr="00C819B9" w:rsidRDefault="00505971" w:rsidP="00004304">
      <w:pPr>
        <w:spacing w:before="120"/>
        <w:rPr>
          <w:b/>
          <w:sz w:val="24"/>
          <w:szCs w:val="24"/>
        </w:rPr>
      </w:pPr>
      <w:r w:rsidRPr="00C819B9">
        <w:rPr>
          <w:b/>
          <w:sz w:val="24"/>
          <w:szCs w:val="24"/>
        </w:rPr>
        <w:t>Comité contra la Tortura</w:t>
      </w:r>
    </w:p>
    <w:p w14:paraId="7969616E" w14:textId="5403B221" w:rsidR="00C71514" w:rsidRPr="00C819B9" w:rsidRDefault="00C71514" w:rsidP="00C71514">
      <w:pPr>
        <w:pStyle w:val="HMG"/>
      </w:pPr>
      <w:r w:rsidRPr="00C819B9">
        <w:tab/>
      </w:r>
      <w:r w:rsidRPr="00C819B9">
        <w:tab/>
        <w:t xml:space="preserve">Información recibida de Australia relativa </w:t>
      </w:r>
      <w:r w:rsidRPr="00C819B9">
        <w:br/>
        <w:t xml:space="preserve">al seguimiento de las observaciones finales </w:t>
      </w:r>
      <w:r w:rsidRPr="00C819B9">
        <w:br/>
        <w:t>sobre su sexto informe periódico</w:t>
      </w:r>
      <w:r w:rsidRPr="00C819B9">
        <w:rPr>
          <w:rStyle w:val="Refdenotaalpie"/>
          <w:b w:val="0"/>
          <w:bCs/>
          <w:sz w:val="20"/>
          <w:vertAlign w:val="baseline"/>
        </w:rPr>
        <w:footnoteReference w:customMarkFollows="1" w:id="1"/>
        <w:t>*</w:t>
      </w:r>
    </w:p>
    <w:p w14:paraId="5ACBACB9" w14:textId="77777777" w:rsidR="00C71514" w:rsidRPr="00C819B9" w:rsidRDefault="00C71514" w:rsidP="00C71514">
      <w:pPr>
        <w:pStyle w:val="SingleTxtG"/>
        <w:jc w:val="right"/>
      </w:pPr>
      <w:r w:rsidRPr="00C819B9">
        <w:t>[Fecha de recepción: 13 de mayo de 2024]</w:t>
      </w:r>
    </w:p>
    <w:p w14:paraId="52AE2779" w14:textId="77777777" w:rsidR="00C71514" w:rsidRPr="00C819B9" w:rsidRDefault="00C71514" w:rsidP="00C71514">
      <w:pPr>
        <w:pStyle w:val="SingleTxtG"/>
      </w:pPr>
      <w:r w:rsidRPr="00C819B9">
        <w:br w:type="page"/>
      </w:r>
    </w:p>
    <w:p w14:paraId="7E2D26DE" w14:textId="766427E8" w:rsidR="00C71514" w:rsidRPr="00C819B9" w:rsidRDefault="00C71514" w:rsidP="00C71514">
      <w:pPr>
        <w:pStyle w:val="HChG"/>
      </w:pPr>
      <w:bookmarkStart w:id="0" w:name="_Toc157763280"/>
      <w:r w:rsidRPr="00C819B9">
        <w:lastRenderedPageBreak/>
        <w:tab/>
        <w:t>I.</w:t>
      </w:r>
      <w:r w:rsidRPr="00C819B9">
        <w:tab/>
        <w:t xml:space="preserve">Información adicional facilitada al Comité </w:t>
      </w:r>
      <w:r w:rsidRPr="00C819B9">
        <w:br/>
        <w:t xml:space="preserve">de las Naciones Unidas contra la Tortura por el Gobierno </w:t>
      </w:r>
      <w:r w:rsidRPr="00C819B9">
        <w:br/>
        <w:t xml:space="preserve">de Australia en respuesta a las observaciones finales </w:t>
      </w:r>
      <w:r w:rsidRPr="00C819B9">
        <w:br/>
        <w:t>del Comité (CAT/C/AUS/CO/6)</w:t>
      </w:r>
      <w:bookmarkEnd w:id="0"/>
    </w:p>
    <w:p w14:paraId="253911A7" w14:textId="377588EE" w:rsidR="00C71514" w:rsidRPr="00C819B9" w:rsidRDefault="00C71514" w:rsidP="00C71514">
      <w:pPr>
        <w:pStyle w:val="SingleTxtG"/>
      </w:pPr>
      <w:r w:rsidRPr="00C819B9">
        <w:t>1.</w:t>
      </w:r>
      <w:r w:rsidRPr="00C819B9">
        <w:tab/>
        <w:t>El Comité contra la Tortura, en sus observaciones finales sobre Australia, publicadas el 28 de noviembre de 2022 (CAT/C/AUS/CO/6), solicitó en el párrafo 53 que Australia diera “información sobre el seguimiento dado a las recomendaciones del Comité sobre la detención obligatoria de inmigrantes, incluidos los niños, las condiciones de detención y la justicia juvenil”.</w:t>
      </w:r>
    </w:p>
    <w:p w14:paraId="19670904" w14:textId="4743C6F5" w:rsidR="00C71514" w:rsidRPr="00C819B9" w:rsidRDefault="00C71514" w:rsidP="00C71514">
      <w:pPr>
        <w:pStyle w:val="SingleTxtG"/>
      </w:pPr>
      <w:r w:rsidRPr="00C819B9">
        <w:t>2.</w:t>
      </w:r>
      <w:r w:rsidRPr="00C819B9">
        <w:tab/>
        <w:t>Australia toma nota de las recomendaciones del Comité que figuran en los párrafos</w:t>
      </w:r>
      <w:r w:rsidR="00E3703E">
        <w:t> </w:t>
      </w:r>
      <w:r w:rsidRPr="00C819B9">
        <w:t>28, 32 y 38 de las observaciones finales.</w:t>
      </w:r>
    </w:p>
    <w:p w14:paraId="20D18DA9" w14:textId="77777777" w:rsidR="00C71514" w:rsidRPr="00C819B9" w:rsidRDefault="00C71514" w:rsidP="00C71514">
      <w:pPr>
        <w:pStyle w:val="SingleTxtG"/>
      </w:pPr>
      <w:r w:rsidRPr="00C819B9">
        <w:t>3.</w:t>
      </w:r>
      <w:r w:rsidRPr="00C819B9">
        <w:tab/>
        <w:t>A continuación figura la información que Australia facilita sobre el seguimiento que ha dado a estas cuestiones.</w:t>
      </w:r>
    </w:p>
    <w:p w14:paraId="22345082" w14:textId="77777777" w:rsidR="00C71514" w:rsidRPr="00C819B9" w:rsidRDefault="00C71514" w:rsidP="00C71514">
      <w:pPr>
        <w:pStyle w:val="SingleTxtG"/>
      </w:pPr>
      <w:r w:rsidRPr="00C819B9">
        <w:t>4.</w:t>
      </w:r>
      <w:r w:rsidRPr="00C819B9">
        <w:tab/>
        <w:t>En el apéndice se ofrece información sobre las medidas adoptadas recientemente en las distintas jurisdicciones en relación con dichos asuntos.</w:t>
      </w:r>
    </w:p>
    <w:p w14:paraId="4C0142F9" w14:textId="7B5BF939" w:rsidR="00C71514" w:rsidRPr="00C819B9" w:rsidRDefault="00C71514" w:rsidP="00C71514">
      <w:pPr>
        <w:pStyle w:val="H1G"/>
      </w:pPr>
      <w:bookmarkStart w:id="1" w:name="_Toc157763281"/>
      <w:bookmarkStart w:id="2" w:name="_Hlk152179789"/>
      <w:r w:rsidRPr="00C819B9">
        <w:tab/>
      </w:r>
      <w:r w:rsidRPr="00C819B9">
        <w:tab/>
        <w:t xml:space="preserve">Detención obligatoria de inmigrantes, incluidos </w:t>
      </w:r>
      <w:bookmarkEnd w:id="1"/>
      <w:r w:rsidRPr="00C819B9">
        <w:t>los niños</w:t>
      </w:r>
    </w:p>
    <w:bookmarkEnd w:id="2"/>
    <w:p w14:paraId="677329B0" w14:textId="77777777" w:rsidR="00C71514" w:rsidRPr="00C819B9" w:rsidRDefault="00C71514" w:rsidP="00C71514">
      <w:pPr>
        <w:pStyle w:val="SingleTxtG"/>
      </w:pPr>
      <w:r w:rsidRPr="00C819B9">
        <w:t>5.</w:t>
      </w:r>
      <w:r w:rsidRPr="00C819B9">
        <w:tab/>
        <w:t>Australia tiene derecho a tomar medidas para mantener la integridad de sus fronteras nacionales. En virtud de la Ley de Migración de 1958 (Ley de Migración), una persona que no posea un visado válido es un no ciudadano en situación irregular y debe ser detenida para que pueda ser objeto de los controles de seguridad, salud e identidad pertinentes, a fin de comprobar que no supone un riesgo inaceptable para la comunidad.</w:t>
      </w:r>
    </w:p>
    <w:p w14:paraId="48133FF8" w14:textId="77777777" w:rsidR="00C71514" w:rsidRPr="00C819B9" w:rsidRDefault="00C71514" w:rsidP="00C71514">
      <w:pPr>
        <w:pStyle w:val="SingleTxtG"/>
      </w:pPr>
      <w:r w:rsidRPr="00C819B9">
        <w:t>6.</w:t>
      </w:r>
      <w:r w:rsidRPr="00C819B9">
        <w:tab/>
        <w:t>La detención de inmigrantes finaliza cuando a la persona se le concede un visado o es expulsada de Australia. Esto depende de una serie de factores, como la determinación de la identidad de la persona, la información sobre la situación en el país de procedencia y la complejidad de los trámites por circunstancias individuales relacionadas con la salud o conducta de la persona o por motivos de seguridad.</w:t>
      </w:r>
    </w:p>
    <w:p w14:paraId="2589F0AD" w14:textId="77777777" w:rsidR="00C71514" w:rsidRPr="00C819B9" w:rsidRDefault="00C71514" w:rsidP="00C71514">
      <w:pPr>
        <w:pStyle w:val="SingleTxtG"/>
      </w:pPr>
      <w:r w:rsidRPr="00C819B9">
        <w:t>7.</w:t>
      </w:r>
      <w:r w:rsidRPr="00C819B9">
        <w:tab/>
        <w:t>La detención de inmigrantes es de carácter administrativo y no tiene fines punitivos. Cuando se detiene a una persona, su privación de libertad obedece a las disposiciones de la Ley de Migración y no se debe a una detención policial o a que se la acuse de un delito.</w:t>
      </w:r>
    </w:p>
    <w:p w14:paraId="37E2DFAF" w14:textId="0D9445EC" w:rsidR="00C71514" w:rsidRPr="00C819B9" w:rsidRDefault="00C71514" w:rsidP="00C71514">
      <w:pPr>
        <w:pStyle w:val="SingleTxtG"/>
      </w:pPr>
      <w:r w:rsidRPr="00C819B9">
        <w:t>8.</w:t>
      </w:r>
      <w:r w:rsidRPr="00C819B9">
        <w:tab/>
        <w:t>El ministro competente tiene la facultad de poner en libertad a una persona detenida concediéndole un visado en virtud del artículo 195A de la Ley de Migración, o para colocarla en régimen de determinación de residencia (detención comunitaria) en virtud del artículo</w:t>
      </w:r>
      <w:r w:rsidR="00E3703E">
        <w:t> </w:t>
      </w:r>
      <w:r w:rsidRPr="00C819B9">
        <w:t xml:space="preserve">197AB de la Ley de Migración, en función de las circunstancias del caso. En la mayoría de las circunstancias, los no ciudadanos presentes en Australia pueden solicitar que se revise en cuanto al fondo una decisión de denegación o anulación de visado a través de los </w:t>
      </w:r>
      <w:r w:rsidR="00130699" w:rsidRPr="00C819B9">
        <w:t>tribunales administrativos de apelac</w:t>
      </w:r>
      <w:r w:rsidRPr="00C819B9">
        <w:t>ión o, en algunos casos, a través del Organismo de Evaluación en materia de Inmigración. Las decisiones de estas entidades también pueden ser objeto de recurso judicial, incluido el de apelación.</w:t>
      </w:r>
    </w:p>
    <w:p w14:paraId="15AC1751" w14:textId="77777777" w:rsidR="00C71514" w:rsidRPr="00C819B9" w:rsidRDefault="00C71514" w:rsidP="00C71514">
      <w:pPr>
        <w:pStyle w:val="SingleTxtG"/>
      </w:pPr>
      <w:r w:rsidRPr="00C819B9">
        <w:t>9.</w:t>
      </w:r>
      <w:r w:rsidRPr="00C819B9">
        <w:tab/>
        <w:t xml:space="preserve">En la causa </w:t>
      </w:r>
      <w:r w:rsidRPr="00C819B9">
        <w:rPr>
          <w:i/>
        </w:rPr>
        <w:t xml:space="preserve">NZYQ </w:t>
      </w:r>
      <w:r w:rsidRPr="00C819B9">
        <w:rPr>
          <w:i/>
          <w:iCs/>
        </w:rPr>
        <w:t>v Minister for Immigration, Citizenship and Multicultural Affairs &amp; Anor</w:t>
      </w:r>
      <w:r w:rsidRPr="00C819B9">
        <w:t xml:space="preserve"> [2023] HCA 37 (NZYQ), el Tribunal Superior dictaminó que no se podía mantener detenidos por motivos de inmigración a los no ciudadanos en situación irregular a efectos de su expulsión de Australia cuando no había perspectivas reales de que su expulsión fuera a devenir viable en un futuro razonablemente previsible.</w:t>
      </w:r>
    </w:p>
    <w:p w14:paraId="060730A2" w14:textId="77777777" w:rsidR="00C71514" w:rsidRPr="00C819B9" w:rsidRDefault="00C71514" w:rsidP="00C71514">
      <w:pPr>
        <w:pStyle w:val="SingleTxtG"/>
      </w:pPr>
      <w:r w:rsidRPr="00C819B9">
        <w:t>10.</w:t>
      </w:r>
      <w:r w:rsidRPr="00C819B9">
        <w:tab/>
        <w:t xml:space="preserve">La detención de niños por motivos de inmigración es siempre una medida de último recurso. Los niños permanecen detenidos el menor tiempo posible en lugares de detención alternativos y no en un centro de detención de inmigrantes. Cuando se retiene a niños en un lugar de detención alternativo, se toman disposiciones acordes con la utilización de las mejores prácticas y conformes con las obligaciones de protección de la infancia. Los menores no acompañados y las familias con hijos menores se derivan hacia el ministerio competente para que tome una decisión de determinación de residencia, de modo que puedan ser </w:t>
      </w:r>
      <w:r w:rsidRPr="00C819B9">
        <w:lastRenderedPageBreak/>
        <w:t>trasladados rápidamente del centro de detención alternativo a la comunidad, una vez realizados los controles de identidad, salud y seguridad. Al adoptar cualquier medida en relación con un niño, Australia tiene en cuenta su interés superior, y proporciona a los menores acceso a la enseñanza escolar gratuita mientras están en edad de escolarización obligatoria, de acuerdo con la legislación del estado o territorio en cuestión. A 31 de agosto de 2023, no había ningún niño (persona menor de 18 años) en los centros de detención de inmigrantes.</w:t>
      </w:r>
    </w:p>
    <w:p w14:paraId="5CE15EC9" w14:textId="77777777" w:rsidR="00C71514" w:rsidRPr="00C819B9" w:rsidRDefault="00C71514" w:rsidP="00C71514">
      <w:pPr>
        <w:pStyle w:val="SingleTxtG"/>
      </w:pPr>
      <w:r w:rsidRPr="00C819B9">
        <w:t>11.</w:t>
      </w:r>
      <w:r w:rsidRPr="00C819B9">
        <w:tab/>
        <w:t>El Gobierno de Australia se asegura de que todos los detenidos sean alojados en los centros más adecuados a sus necesidades, circunstancias y perfil de riesgo, y tengan acceso a servicios de salud, alimentación adecuada (adaptada a sus necesidades dietéticas y culturales), programas educativos, actividades culturales, recreativas y deportivas, Internet y servicios informáticos, televisión y dormitorios limpios y cómodos.</w:t>
      </w:r>
    </w:p>
    <w:p w14:paraId="4CFE3E1A" w14:textId="77777777" w:rsidR="00C71514" w:rsidRPr="00C819B9" w:rsidRDefault="00C71514" w:rsidP="00C71514">
      <w:pPr>
        <w:pStyle w:val="SingleTxtG"/>
      </w:pPr>
      <w:r w:rsidRPr="00C819B9">
        <w:t>12.</w:t>
      </w:r>
      <w:r w:rsidRPr="00C819B9">
        <w:tab/>
        <w:t>El Gobierno de Australia ha contratado a un proveedor de servicios de salud, International Health and Medical Services, para cerciorarse de que los servicios de salud de los centros de detención, incluidos los de salud mental, son comparables a los que ofrece el sistema de salud pública a la ciudadanía australiana.</w:t>
      </w:r>
    </w:p>
    <w:p w14:paraId="50A159AA" w14:textId="77777777" w:rsidR="00C71514" w:rsidRPr="00C819B9" w:rsidRDefault="00C71514" w:rsidP="00C71514">
      <w:pPr>
        <w:pStyle w:val="SingleTxtG"/>
      </w:pPr>
      <w:r w:rsidRPr="00C819B9">
        <w:t>13.</w:t>
      </w:r>
      <w:r w:rsidRPr="00C819B9">
        <w:tab/>
        <w:t>El uso de la fuerza en los centros de detención de inmigrantes, incluido el uso de medios de inmovilización, es una medida de último recurso. El uso de la fuerza está sujeto a estrictos procesos de notificación y supervisión y a las facultades ejercidas por los agentes de la Fuerza Fronteriza Australiana y el proveedor de instalaciones y servicios de detención, cuyos cimientos son unas orientaciones de política claras basadas en los riesgos, la formación impartida y la toma de decisiones por parte de la jerarquía.</w:t>
      </w:r>
    </w:p>
    <w:p w14:paraId="58F9B003" w14:textId="77777777" w:rsidR="00C71514" w:rsidRPr="00C819B9" w:rsidRDefault="00C71514" w:rsidP="00C71514">
      <w:pPr>
        <w:pStyle w:val="SingleTxtG"/>
      </w:pPr>
      <w:r w:rsidRPr="00C819B9">
        <w:t>14.</w:t>
      </w:r>
      <w:r w:rsidRPr="00C819B9">
        <w:tab/>
        <w:t>Se separa inmediatamente a las personas implicadas en casos de violencia entre detenidos y, en caso necesario, se les ofrece asistencia médica. Entre 24 y 48 horas después de un incidente, deben revisarse las condiciones de internamiento de los detenidos para determinar su conveniencia.</w:t>
      </w:r>
    </w:p>
    <w:p w14:paraId="7DE25A72" w14:textId="77777777" w:rsidR="00C71514" w:rsidRPr="00C819B9" w:rsidRDefault="00C71514" w:rsidP="00C71514">
      <w:pPr>
        <w:pStyle w:val="SingleTxtG"/>
      </w:pPr>
      <w:r w:rsidRPr="00C819B9">
        <w:t>15.</w:t>
      </w:r>
      <w:r w:rsidRPr="00C819B9">
        <w:tab/>
        <w:t>Todas las personas internadas en centros de detención de inmigrantes tienen derecho a presentar denuncias sin impedimentos ni temor a represalias, y son informadas de sus derechos, incluidos los que les confiere el derecho internacional de los derechos humanos, y de las vías para presentar denuncias y obtener reparación. Las quejas pueden dirigirse a los proveedores de servicios, la Fuerza Fronteriza, el Ministerio del Interior, la Oficina del Ombudsman del Commonwealth o la Comisión de Derechos Humanos de Australia. La identidad del denunciante y todas las denuncias se tratan de forma estrictamente confidencial, con mecanismos que garantizan el anonimato.</w:t>
      </w:r>
    </w:p>
    <w:p w14:paraId="6FB4D52D" w14:textId="77777777" w:rsidR="00C71514" w:rsidRPr="00C819B9" w:rsidRDefault="00C71514" w:rsidP="00C71514">
      <w:pPr>
        <w:pStyle w:val="SingleTxtG"/>
      </w:pPr>
      <w:bookmarkStart w:id="3" w:name="_Hlk155886577"/>
      <w:r w:rsidRPr="00C819B9">
        <w:t>16.</w:t>
      </w:r>
      <w:r w:rsidRPr="00C819B9">
        <w:tab/>
        <w:t>La información sobre la detención de inmigrantes se limita a esta sección. En las secciones siguientes, dedicadas a las condiciones de detención y la justicia juvenil, no se hace referencia a la detención de inmigrantes.</w:t>
      </w:r>
    </w:p>
    <w:p w14:paraId="076312AB" w14:textId="1274E8FC" w:rsidR="00C71514" w:rsidRPr="00C819B9" w:rsidRDefault="00C71514" w:rsidP="00C71514">
      <w:pPr>
        <w:pStyle w:val="H1G"/>
      </w:pPr>
      <w:bookmarkStart w:id="4" w:name="_Toc157763282"/>
      <w:bookmarkEnd w:id="3"/>
      <w:r w:rsidRPr="00C819B9">
        <w:tab/>
      </w:r>
      <w:r w:rsidRPr="00C819B9">
        <w:tab/>
        <w:t>Condiciones de detención</w:t>
      </w:r>
      <w:bookmarkEnd w:id="4"/>
    </w:p>
    <w:p w14:paraId="7ECFCC36" w14:textId="51B3FAB0" w:rsidR="00C71514" w:rsidRPr="00C819B9" w:rsidRDefault="00C71514" w:rsidP="00C71514">
      <w:pPr>
        <w:pStyle w:val="SingleTxtG"/>
      </w:pPr>
      <w:r w:rsidRPr="00C819B9">
        <w:t>17.</w:t>
      </w:r>
      <w:r w:rsidRPr="00C819B9">
        <w:tab/>
        <w:t>En 2021</w:t>
      </w:r>
      <w:r w:rsidR="00F03E20">
        <w:t>/</w:t>
      </w:r>
      <w:r w:rsidRPr="00C819B9">
        <w:t>22, la tasa nacional de encarcelamiento en Australia descendió por tercer año consecutivo y la tasa de ocupación de las prisiones se redujo en todas las jurisdicciones sobre las que se dispone de datos, excepto en el Territorio del Norte. La mayoría de los delincuentes condenados por la vía penal recibieron una pena no privativa de libertad, y en más de la mitad de los casos el principal componente de la condena fue una pena pecuniaria.</w:t>
      </w:r>
    </w:p>
    <w:p w14:paraId="04DA2643" w14:textId="0E0814D8" w:rsidR="00C71514" w:rsidRPr="00C819B9" w:rsidRDefault="00C71514" w:rsidP="00C71514">
      <w:pPr>
        <w:pStyle w:val="SingleTxtG"/>
      </w:pPr>
      <w:r w:rsidRPr="00C819B9">
        <w:t>18.</w:t>
      </w:r>
      <w:r w:rsidRPr="00C819B9">
        <w:tab/>
        <w:t xml:space="preserve">Entre los esfuerzos que están realizando los gobiernos de los estados y territorios para mejorar las condiciones de detención figura la inversión en nuevas prisiones y centros para menores que estén adaptados a su uso. Los esfuerzos para mejorar las condiciones de detención también incluyen programas de rehabilitación y reintegración para reducir la reincidencia, </w:t>
      </w:r>
      <w:r w:rsidR="00F03E20">
        <w:t xml:space="preserve">y </w:t>
      </w:r>
      <w:r w:rsidRPr="00C819B9">
        <w:t>programas de derivación para evitar el contacto con el sistema de justicia penal y ofrecer alternativas a la prisión y a la detención de menores.</w:t>
      </w:r>
    </w:p>
    <w:p w14:paraId="3FFA8885" w14:textId="77777777" w:rsidR="00C71514" w:rsidRPr="00C819B9" w:rsidRDefault="00C71514" w:rsidP="00C71514">
      <w:pPr>
        <w:pStyle w:val="SingleTxtG"/>
      </w:pPr>
      <w:r w:rsidRPr="00C819B9">
        <w:t>19.</w:t>
      </w:r>
      <w:r w:rsidRPr="00C819B9">
        <w:tab/>
        <w:t xml:space="preserve">Los estados y territorios australianos prestan servicios correccionales para adultos de acuerdo con los Principios Rectores de las Instituciones Penitenciarias en Australia (los Principios Rectores). Los Principios Rectores se utilizan para elaborar normas legislativas, </w:t>
      </w:r>
      <w:r w:rsidRPr="00C819B9">
        <w:lastRenderedPageBreak/>
        <w:t>políticas y criterios de desempeño pertinentes sobre la práctica penitenciaria. Los Principios Rectores se han inspirado en reglas, normas y prácticas internacionalmente aceptadas, incluidas las Reglas Nelson Mandela, las Reglas de Tokio y las Reglas de Bangkok.</w:t>
      </w:r>
    </w:p>
    <w:p w14:paraId="0954284B" w14:textId="2E60DE7D" w:rsidR="00C71514" w:rsidRPr="00C819B9" w:rsidRDefault="00C71514" w:rsidP="00C71514">
      <w:pPr>
        <w:pStyle w:val="SingleTxtG"/>
      </w:pPr>
      <w:r w:rsidRPr="00C819B9">
        <w:t>20.</w:t>
      </w:r>
      <w:r w:rsidRPr="00C819B9">
        <w:tab/>
        <w:t>En 2021</w:t>
      </w:r>
      <w:r w:rsidR="00F03E20">
        <w:t>/</w:t>
      </w:r>
      <w:r w:rsidRPr="00C819B9">
        <w:t>22, el 80 % de la población reclusa adulta que podía hacerlo tenía un empleo y el 24 % de la población reclusa adulta que podía hacerlo participaba en actividades de educación y formación para reclusos. En promedio, en 2021</w:t>
      </w:r>
      <w:r w:rsidR="00F03E20">
        <w:t>/</w:t>
      </w:r>
      <w:r w:rsidRPr="00C819B9">
        <w:t>22, los presos adultos pasaron nueve horas al día fuera de su celda. Los Principios Rectores prevén la rehabilitación y reintegración de los reclusos, lo que incluye el acceso a programas educativos reconocidos a nivel nacional que se ajusten a su nivel académico y a sus necesidades de aprendizaje, y que estén en consonancia con una formación profesional que les ayude a conseguir un empleo tras su puesta en libertad. “Time to Work” es un servicio nacional de empleo voluntario en prisión que ayuda a los reclusos adultos pertenecientes a las Primeras Naciones a acceder al apoyo que necesitan para estar mejor preparados para encontrar empleo y reintegrarse en la comunidad al salir de prisión.</w:t>
      </w:r>
    </w:p>
    <w:p w14:paraId="7C9A6DC7" w14:textId="77777777" w:rsidR="00C71514" w:rsidRPr="00C819B9" w:rsidRDefault="00C71514" w:rsidP="00C71514">
      <w:pPr>
        <w:pStyle w:val="SingleTxtG"/>
      </w:pPr>
      <w:r w:rsidRPr="00C819B9">
        <w:t>21.</w:t>
      </w:r>
      <w:r w:rsidRPr="00C819B9">
        <w:tab/>
        <w:t>La oferta de oportunidades educativas existe en todas las jurisdicciones de Australia, e incluye la presencia de escuelas en el mismo recinto que muchos centros de justicia juvenil. Aunque los programas educativos varían, suelen incluir apoyo a la alfabetización y la adquisición de conocimientos aritméticos y ofrecen a los jóvenes oportunidades de cursar formación profesional y acceder a bibliotecas, centros de aprendizaje y equipos informáticos. Las jurisdicciones también ofrecen programas de resiliencia, apoyo psicológico y para usuarios de drogas y alcohol, servicios de transición a la libertad, atención pastoral y programas culturales, deportivos y recreativos, de implicación familiar, de crianza y de apoyo entre iguales.</w:t>
      </w:r>
    </w:p>
    <w:p w14:paraId="4B7275C3" w14:textId="77777777" w:rsidR="00C71514" w:rsidRPr="00C819B9" w:rsidRDefault="00C71514" w:rsidP="00C71514">
      <w:pPr>
        <w:pStyle w:val="SingleTxtG"/>
      </w:pPr>
      <w:r w:rsidRPr="00C819B9">
        <w:t>22.</w:t>
      </w:r>
      <w:r w:rsidRPr="00C819B9">
        <w:tab/>
        <w:t>En los distintos estados y territorios, los servicios penitenciarios y/o de salud velan por que se preste un nivel adecuado de atención de la salud a las personas detenidas en los centros penitenciarios y de justicia juvenil. Las personas privadas de libertad reciben, mientras dura su internamiento, el mismo nivel de atención sanitaria que recibiría cualquier otra persona en el sistema de salud pública de Australia. De conformidad con las políticas vigentes toda persona privada de libertad debe someterse a una evaluación inicial de su salud física y mental lo antes posible tras su ingreso en un centro penitenciario o de justicia juvenil (normalmente en un plazo de 24 horas), y los riesgos y las necesidades se abordan en el plan de tratamiento de su caso.</w:t>
      </w:r>
    </w:p>
    <w:p w14:paraId="011C8718" w14:textId="77777777" w:rsidR="00C71514" w:rsidRPr="00C819B9" w:rsidRDefault="00C71514" w:rsidP="00C71514">
      <w:pPr>
        <w:pStyle w:val="SingleTxtG"/>
      </w:pPr>
      <w:r w:rsidRPr="00C819B9">
        <w:t>23.</w:t>
      </w:r>
      <w:r w:rsidRPr="00C819B9">
        <w:tab/>
        <w:t>La Carta Australiana de Derechos a la Atención de la Salud se aplica a todas las personas privadas de libertad del país y exige que estas sean tratadas con respeto, que reciban servicios sanitarios seguros y de buena calidad prestados con atención y competencia profesionales y que la información sobre su estado de salud esté protegida y sea tratada debidamente.</w:t>
      </w:r>
    </w:p>
    <w:p w14:paraId="3E77619C" w14:textId="77777777" w:rsidR="00C71514" w:rsidRPr="00C819B9" w:rsidRDefault="00C71514" w:rsidP="00C71514">
      <w:pPr>
        <w:pStyle w:val="SingleTxtG"/>
      </w:pPr>
      <w:r w:rsidRPr="00C819B9">
        <w:t>24.</w:t>
      </w:r>
      <w:r w:rsidRPr="00C819B9">
        <w:tab/>
        <w:t>El estudio independiente del Gobierno de Australia sobre los servicios de atención médica prestados a las personas de las Primeras Naciones encarceladas, que los ministros de salud examinarán a mediados de 2024, contendrá recomendaciones a todos los gobiernos australianos para la salud de los reclusos de las Primeras Naciones. Al mismo tiempo está teniendo lugar un proceso de diseño conjunto para reforzar los modelos de atención de la salud de las personas privadas de libertad dirigidos por el Sector Sanitario Controlado por la Comunidad Aborigen, el cual contribuirá a mejorar el acceso a servicios sanitarios eficaces, culturalmente seguros y equitativos para los reclusos de las Primeras Naciones.</w:t>
      </w:r>
    </w:p>
    <w:p w14:paraId="04E878DD" w14:textId="77777777" w:rsidR="00C71514" w:rsidRPr="00C819B9" w:rsidRDefault="00C71514" w:rsidP="00C71514">
      <w:pPr>
        <w:pStyle w:val="SingleTxtG"/>
      </w:pPr>
      <w:r w:rsidRPr="00C819B9">
        <w:t>25.</w:t>
      </w:r>
      <w:r w:rsidRPr="00C819B9">
        <w:tab/>
        <w:t>En el marco de la Estrategia Australiana sobre la Discapacidad 2021-2031, los gobiernos australianos han acordado trabajar para cerciorarse de que el sistema de justicia penal se ocupe eficazmente de las complejas necesidades y vulnerabilidades de las personas con discapacidad y para reducir la sobrerrepresentación de este colectivo en el sistema de justicia penal. La Estrategia refleja las funciones y responsabilidades respectivas de los gobiernos del sistema federal australiano y les permite colaborar y concentrar sus esfuerzos.</w:t>
      </w:r>
    </w:p>
    <w:p w14:paraId="65717765" w14:textId="77777777" w:rsidR="00C71514" w:rsidRPr="00C819B9" w:rsidRDefault="00C71514" w:rsidP="00C71514">
      <w:pPr>
        <w:pStyle w:val="SingleTxtG"/>
      </w:pPr>
      <w:r w:rsidRPr="00C819B9">
        <w:t>26.</w:t>
      </w:r>
      <w:r w:rsidRPr="00C819B9">
        <w:tab/>
        <w:t>Los Principios Rectores establecen que las prácticas penitenciarias deben identificar, minimizar y controlar cualquier riesgo para las personas privadas de libertad y que estas, especialmente las más vulnerables o en situación de riesgo, deben quedar a salvo de acoso, intimidación y victimización, incluidos los malos tratos verbales, psicológicos o físicos, todo daño o el robo de sus pertenencias.</w:t>
      </w:r>
    </w:p>
    <w:p w14:paraId="4CFE57F9" w14:textId="77777777" w:rsidR="00C71514" w:rsidRPr="00C819B9" w:rsidRDefault="00C71514" w:rsidP="00C71514">
      <w:pPr>
        <w:pStyle w:val="SingleTxtG"/>
      </w:pPr>
      <w:r w:rsidRPr="00C819B9">
        <w:lastRenderedPageBreak/>
        <w:t>27.</w:t>
      </w:r>
      <w:r w:rsidRPr="00C819B9">
        <w:tab/>
        <w:t>Los requisitos estatales y territoriales relativos al uso de medios de inmovilización en centros penitenciarios para adultos se ajustan a los Principios Rectores. En todas las jurisdicciones, el personal penitenciario está adiestrado en los métodos adecuados de inmovilización y control, basados en el principio de la reducción de tensiones y en el uso del mínimo nivel de fuerza necesario para mantener el orden y la seguridad del público, del personal y de otros reclusos. Las directrices establecen que el uso de la fuerza y las medidas de seguridad, incluidos los instrumentos de inmovilización, las armas y los agentes químicos, son lícitos pero deben constituir una medida de último recurso, y limitarse a la fuerza mínima necesaria para controlar la situación. El uso de medios de inmovilización por parte de los servicios penitenciarios está reglamentado y sometido a supervisión y, por lo general, requiere procesos de autorización, registro y revisión.</w:t>
      </w:r>
      <w:bookmarkStart w:id="5" w:name="_Hlk157601063"/>
    </w:p>
    <w:p w14:paraId="5481D614" w14:textId="77777777" w:rsidR="00C71514" w:rsidRPr="00C819B9" w:rsidRDefault="00C71514" w:rsidP="00C71514">
      <w:pPr>
        <w:pStyle w:val="SingleTxtG"/>
      </w:pPr>
      <w:r w:rsidRPr="00C819B9">
        <w:t>28.</w:t>
      </w:r>
      <w:r w:rsidRPr="00C819B9">
        <w:tab/>
        <w:t>Las capuchas antiescupitajos y equipos similares ya no se utilizan en los centros de justicia federales. Todos los estados y territorios prohíben el uso de capuchas antiescupitajos en menores privados de libertad por la justicia juvenil o detenidos por la policía. El 22 de septiembre de 2023, en el Consejo Permanente de Fiscales Generales, las jurisdicciones acordaron examinar de manera individual toda decisión de mantener el uso de capuchas antiescupitajos en centros de privación de libertad, estudiando además la idoneidad de recurrir a medidas de protección alternativas.</w:t>
      </w:r>
      <w:bookmarkEnd w:id="5"/>
    </w:p>
    <w:p w14:paraId="13FEA951" w14:textId="77777777" w:rsidR="00C71514" w:rsidRPr="00C819B9" w:rsidRDefault="00C71514" w:rsidP="00C71514">
      <w:pPr>
        <w:pStyle w:val="SingleTxtG"/>
      </w:pPr>
      <w:r w:rsidRPr="00C819B9">
        <w:t>29.</w:t>
      </w:r>
      <w:r w:rsidRPr="00C819B9">
        <w:tab/>
        <w:t>Los procedimientos para proceder a un cacheo sin ropa varían según las jurisdicciones. Sin embargo, todo cacheo, en particular cuando el interesado es un niño o joven, debe realizarse en estricta observancia de los requisitos establecidos en la legislación de la jurisdicción pertinente. Los procedimientos incluyen un conjunto de medidas para proteger tanto la dignidad de la persona privada de libertad como el respeto de sí misma, e incluyen disposiciones para preservar su intimidad en la mayor medida posible, evitar todo uso innecesario de la fuerza, evitar tocar a la persona durante el cacheo, salvo cuando se utilice una fuerza razonable para obligarla a cooperar, y establecer que el cacheo lo lleve a cabo una persona del mismo género que la persona en cuestión. En todas las jurisdicciones deben llevarse registros de los cacheos, que deben estar disponibles para su inspección por órganos de vigilancia independientes.</w:t>
      </w:r>
    </w:p>
    <w:p w14:paraId="2BB2390E" w14:textId="77777777" w:rsidR="00C71514" w:rsidRPr="00C819B9" w:rsidRDefault="00C71514" w:rsidP="00C71514">
      <w:pPr>
        <w:pStyle w:val="SingleTxtG"/>
      </w:pPr>
      <w:r w:rsidRPr="00C819B9">
        <w:t>30.</w:t>
      </w:r>
      <w:r w:rsidRPr="00C819B9">
        <w:tab/>
        <w:t>El creciente uso de escáneres corporales en todas las jurisdicciones está reduciendo significativamente el recurso a los cacheos de personas semidesnudas. La mayoría de las jurisdicciones utilizan escáneres corporales en los centros de privación de libertad, incluidos los de justicia juvenil, con el objetivo de minimizar la necesidad de proceder a un cacheo.</w:t>
      </w:r>
    </w:p>
    <w:p w14:paraId="6F43A380" w14:textId="77777777" w:rsidR="00C71514" w:rsidRPr="00C819B9" w:rsidRDefault="00C71514" w:rsidP="00C71514">
      <w:pPr>
        <w:pStyle w:val="SingleTxtG"/>
      </w:pPr>
      <w:bookmarkStart w:id="6" w:name="_Hlk150777850"/>
      <w:r w:rsidRPr="00C819B9">
        <w:t>31.</w:t>
      </w:r>
      <w:r w:rsidRPr="00C819B9">
        <w:tab/>
        <w:t>Todas las jurisdicciones australianas tienen normativas que regulan claramente el recurso al aislamiento y la incomunicación y su correspondiente régimen, y cuentan con controles de la duración, procesos de aprobación, revisiones periódicas y requisitos de notificación. Todas las jurisdicciones disponen de legislación o directrices que establecen que el régimen de aislamiento puede utilizarse en algunos centros de internamiento, pero solo con el fin de proteger la seguridad del interesado, la seguridad de otra persona o la seguridad y el orden del establecimiento. Las decisiones de colocar a alguien en internamiento segregado son objeto de examen, seguimiento y supervisión de manera periódica. Algunas jurisdicciones, como Victoria y Australia Occidental, no recurren al régimen de aislamiento en los centros de justicia juvenil.</w:t>
      </w:r>
    </w:p>
    <w:p w14:paraId="10E46867" w14:textId="2A1AC6F7" w:rsidR="00C71514" w:rsidRPr="00C819B9" w:rsidRDefault="00C71514" w:rsidP="00C71514">
      <w:pPr>
        <w:pStyle w:val="H1G"/>
      </w:pPr>
      <w:bookmarkStart w:id="7" w:name="_Toc157763283"/>
      <w:r w:rsidRPr="00C819B9">
        <w:tab/>
      </w:r>
      <w:r w:rsidRPr="00C819B9">
        <w:tab/>
        <w:t>Justicia juvenil</w:t>
      </w:r>
      <w:bookmarkEnd w:id="7"/>
    </w:p>
    <w:p w14:paraId="2585F77C" w14:textId="77777777" w:rsidR="00C71514" w:rsidRPr="00C819B9" w:rsidRDefault="00C71514" w:rsidP="00C71514">
      <w:pPr>
        <w:pStyle w:val="SingleTxtG"/>
      </w:pPr>
      <w:r w:rsidRPr="00C819B9">
        <w:t>32.</w:t>
      </w:r>
      <w:r w:rsidRPr="00C819B9">
        <w:tab/>
        <w:t>Esta sección contiene información sobre la justicia juvenil, la cual puede guardar relación además con elementos del sistema de justicia penal que afectan a los reclusos adultos.</w:t>
      </w:r>
    </w:p>
    <w:p w14:paraId="1F740F24" w14:textId="77777777" w:rsidR="00C71514" w:rsidRPr="00C819B9" w:rsidRDefault="00C71514" w:rsidP="00C71514">
      <w:pPr>
        <w:pStyle w:val="SingleTxtG"/>
      </w:pPr>
      <w:r w:rsidRPr="00C819B9">
        <w:t>33.</w:t>
      </w:r>
      <w:r w:rsidRPr="00C819B9">
        <w:tab/>
        <w:t>La edad mínima de responsabilidad penal en casi todas las jurisdicciones australianas son los 10 años, con excepción del Territorio del Norte y el Territorio de la Capital de Australia, donde actualmente es de 12 años. En todas las jurisdicciones se aplica la presunción relativa de que un niño cuya edad se sitúa entre la edad mínima de responsabilidad penal y los 14 años no es penalmente responsable. Varias jurisdicciones están tomando medidas para elevar aún más la edad mínima de responsabilidad penal.</w:t>
      </w:r>
    </w:p>
    <w:p w14:paraId="4275894E" w14:textId="77777777" w:rsidR="00C71514" w:rsidRPr="00C819B9" w:rsidRDefault="00C71514" w:rsidP="00C71514">
      <w:pPr>
        <w:pStyle w:val="SingleTxtG"/>
      </w:pPr>
      <w:r w:rsidRPr="00C819B9">
        <w:lastRenderedPageBreak/>
        <w:t>34.</w:t>
      </w:r>
      <w:r w:rsidRPr="00C819B9">
        <w:tab/>
        <w:t>La edad mínima de responsabilidad penal sigue siendo objeto de debate entre los fiscales generales en el seno del Consejo Permanente de Fiscales Generales. El 1 de diciembre de 2023, dicho órgano publicó el informe de 2023 del Grupo de Trabajo del Consejo de Fiscales Generales sobre la edad de responsabilidad penal, en el que se presentaba un marco basado en principios que las jurisdicciones podían utilizar al estudiar un aumento de la edad mínima de responsabilidad penal.</w:t>
      </w:r>
    </w:p>
    <w:p w14:paraId="32215C24" w14:textId="60B4720F" w:rsidR="00C71514" w:rsidRPr="00C819B9" w:rsidRDefault="00C71514" w:rsidP="00C71514">
      <w:pPr>
        <w:pStyle w:val="SingleTxtG"/>
      </w:pPr>
      <w:r w:rsidRPr="00C819B9">
        <w:t>35.</w:t>
      </w:r>
      <w:r w:rsidRPr="00C819B9">
        <w:tab/>
        <w:t xml:space="preserve">Mediante el Acuerdo Nacional sobre la </w:t>
      </w:r>
      <w:r w:rsidR="00F03E20" w:rsidRPr="00C819B9">
        <w:t>estrategia</w:t>
      </w:r>
      <w:r w:rsidRPr="00C819B9">
        <w:t xml:space="preserve"> Cerrar la Brecha, el Gobierno de Australia y los gobiernos estatales y territoriales se han comprometido a combatir los factores socioeconómicos que favorecen la delincuencia y a reducir las tasas de encarcelamiento de adultos y niños de las Primeras Naciones en el sistema de justicia penal.</w:t>
      </w:r>
    </w:p>
    <w:p w14:paraId="44D88CA5" w14:textId="011D07BC" w:rsidR="00C71514" w:rsidRPr="00C819B9" w:rsidRDefault="00C71514" w:rsidP="00C71514">
      <w:pPr>
        <w:pStyle w:val="SingleTxtG"/>
      </w:pPr>
      <w:r w:rsidRPr="00C819B9">
        <w:t>36.</w:t>
      </w:r>
      <w:r w:rsidRPr="00C819B9">
        <w:tab/>
        <w:t xml:space="preserve">La Alianza para las Políticas de Justicia reúne a representantes de la Coalición de Organizaciones Sectoriales, expertos aborígenes e isleños del </w:t>
      </w:r>
      <w:r w:rsidR="00F03E20" w:rsidRPr="00C819B9">
        <w:t>estrecho</w:t>
      </w:r>
      <w:r w:rsidRPr="00C819B9">
        <w:t xml:space="preserve"> de Torres y gobiernos de los estados y territorios de Australia para adoptar un enfoque coordinado de la política de justicia para los aborígenes y los isleños del </w:t>
      </w:r>
      <w:r w:rsidR="00F03E20" w:rsidRPr="00C819B9">
        <w:t>estrecho</w:t>
      </w:r>
      <w:r w:rsidRPr="00C819B9">
        <w:t xml:space="preserve"> de Torres.</w:t>
      </w:r>
    </w:p>
    <w:p w14:paraId="42987F4A" w14:textId="2CBBE566" w:rsidR="00C71514" w:rsidRPr="00C819B9" w:rsidRDefault="00C71514" w:rsidP="00C71514">
      <w:pPr>
        <w:pStyle w:val="SingleTxtG"/>
      </w:pPr>
      <w:r w:rsidRPr="00C819B9">
        <w:t>37.</w:t>
      </w:r>
      <w:r w:rsidRPr="00C819B9">
        <w:tab/>
        <w:t>En el presupuesto de octubre de 2022</w:t>
      </w:r>
      <w:r w:rsidR="00F03E20">
        <w:t>/</w:t>
      </w:r>
      <w:r w:rsidRPr="00C819B9">
        <w:t>23, el Gobierno de Australia destinó 99 millones de dólares a un programa de reforma de la justicia para las Primeras Naciones. Esto incluyó 81,5 millones de dólares para la reinversión en la justicia, repartidos en 69 millones de dólares durante cuatro años a partir de 2022</w:t>
      </w:r>
      <w:r w:rsidR="00F03E20">
        <w:t>/</w:t>
      </w:r>
      <w:r w:rsidRPr="00C819B9">
        <w:t>23 para establecer un Programa Nacional de Reinversión en la Justicia para apoyar hasta 30 iniciativas de reinversión en la justicia en todo el país y 12,5 millones de dólares para establecer una Unidad Nacional de Reinversión en la Justicia, de carácter independiente, para coordinar y apoyar las iniciativas de reinversión en la justicia a nivel nacional.</w:t>
      </w:r>
    </w:p>
    <w:p w14:paraId="6F58228E" w14:textId="2B2675A8" w:rsidR="00C71514" w:rsidRPr="00C819B9" w:rsidRDefault="00C71514" w:rsidP="00C71514">
      <w:pPr>
        <w:pStyle w:val="SingleTxtG"/>
      </w:pPr>
      <w:r w:rsidRPr="00C819B9">
        <w:t>38.</w:t>
      </w:r>
      <w:r w:rsidRPr="00C819B9">
        <w:tab/>
        <w:t>En el presupuesto de 2023</w:t>
      </w:r>
      <w:r w:rsidR="00F03E20">
        <w:t>/</w:t>
      </w:r>
      <w:r w:rsidRPr="00C819B9">
        <w:t>24, el Gobierno asignó 10 millones de dólares adicionales a lo largo de cuatro años a partir de 2023</w:t>
      </w:r>
      <w:r w:rsidR="00F03E20">
        <w:t>/</w:t>
      </w:r>
      <w:r w:rsidRPr="00C819B9">
        <w:t xml:space="preserve">24 al Programa de Reinversión en la Justicia en la Región Central de Australia. Ambos </w:t>
      </w:r>
      <w:r w:rsidR="00CE14A5">
        <w:t>P</w:t>
      </w:r>
      <w:r w:rsidRPr="00C819B9">
        <w:t xml:space="preserve">rogramas de </w:t>
      </w:r>
      <w:r w:rsidR="00CE14A5">
        <w:t>R</w:t>
      </w:r>
      <w:r w:rsidRPr="00C819B9">
        <w:t xml:space="preserve">einversión en la </w:t>
      </w:r>
      <w:r w:rsidR="00CE14A5">
        <w:t>J</w:t>
      </w:r>
      <w:r w:rsidRPr="00C819B9">
        <w:t>usticia se pusieron en marcha en septiembre de 2023.</w:t>
      </w:r>
    </w:p>
    <w:p w14:paraId="23329846" w14:textId="77777777" w:rsidR="00C71514" w:rsidRPr="00C819B9" w:rsidRDefault="00C71514" w:rsidP="00C71514">
      <w:pPr>
        <w:pStyle w:val="SingleTxtG"/>
      </w:pPr>
      <w:r w:rsidRPr="00C819B9">
        <w:t>39.</w:t>
      </w:r>
      <w:r w:rsidRPr="00C819B9">
        <w:tab/>
        <w:t>El Gobierno de Australia colabora actualmente con un Grupo de Trabajo sobre Reinversión en la Justicia para diseñar la Unidad Nacional de Reinversión en la Justicia.</w:t>
      </w:r>
    </w:p>
    <w:p w14:paraId="6708847A" w14:textId="77777777" w:rsidR="00C71514" w:rsidRPr="00C819B9" w:rsidRDefault="00C71514" w:rsidP="00C71514">
      <w:pPr>
        <w:pStyle w:val="SingleTxtG"/>
      </w:pPr>
      <w:r w:rsidRPr="00C819B9">
        <w:t>40.</w:t>
      </w:r>
      <w:r w:rsidRPr="00C819B9">
        <w:tab/>
        <w:t>A través de la Estrategia de Promoción de los Indígenas, el Gobierno de Australia también financia una serie de programas cuyo propósito es reducir las tasas de encarcelamiento de personas de las Primeras Naciones. Entre ellos figuran:</w:t>
      </w:r>
    </w:p>
    <w:p w14:paraId="4CCF2E5C" w14:textId="77777777" w:rsidR="00C71514" w:rsidRPr="00C819B9" w:rsidRDefault="00C71514" w:rsidP="00C71514">
      <w:pPr>
        <w:pStyle w:val="Bullet1G"/>
      </w:pPr>
      <w:r w:rsidRPr="00C819B9">
        <w:t>Programas de ayuda a la transición para adultos y jóvenes que ofrecen un tratamiento intensivo de los casos de personas de las Primeras Naciones para ayudarlas en la transición desde el entorno carcelario o el centro de detención a sus comunidades y para evitar la reincidencia.</w:t>
      </w:r>
    </w:p>
    <w:p w14:paraId="43326ACB" w14:textId="64CDA615" w:rsidR="00C71514" w:rsidRPr="00C819B9" w:rsidRDefault="00C71514" w:rsidP="00C71514">
      <w:pPr>
        <w:pStyle w:val="Bullet1G"/>
      </w:pPr>
      <w:r w:rsidRPr="00C819B9">
        <w:t>Patrullas de seguridad comunitarias, en las que personas de las Primeras Naciones patrullan sus comunidades y ofrecen a quienes están en peligro asistencia y transporte a un lugar seguro, de una manera acorde con la cultura local.</w:t>
      </w:r>
    </w:p>
    <w:p w14:paraId="0037D2C1" w14:textId="77777777" w:rsidR="00C71514" w:rsidRPr="00C819B9" w:rsidRDefault="00C71514" w:rsidP="00C71514">
      <w:pPr>
        <w:pStyle w:val="Bullet1G"/>
      </w:pPr>
      <w:r w:rsidRPr="00C819B9">
        <w:t>Actividades de apoyo y derivación para los jóvenes, cuyo objetivo es combatir los factores subyacentes que propician la delincuencia, prestar apoyo a los jóvenes de las Primeras Naciones para que permanezcan escolarizados y consigan empleo y mejorar su bienestar.</w:t>
      </w:r>
    </w:p>
    <w:p w14:paraId="789CE3E4" w14:textId="5F295AEE" w:rsidR="00C71514" w:rsidRPr="00C819B9" w:rsidRDefault="00C71514" w:rsidP="00C71514">
      <w:pPr>
        <w:pStyle w:val="SingleTxtG"/>
      </w:pPr>
      <w:r w:rsidRPr="00C819B9">
        <w:t>41.</w:t>
      </w:r>
      <w:r w:rsidRPr="00C819B9">
        <w:tab/>
        <w:t xml:space="preserve">Conscientes de la necesidad de eliminar las barreras sistémicas, todos los gobiernos se han comprometido, a través de la Estrategia Australiana sobre la Discapacidad, a velar por que las personas con discapacidad gocen de igualdad de acceso a la justicia, a fin de contribuir a la labor general sobre la que se sustenta la Esfera de Resultados sobre Seguridad, Derechos y Justicia. El Plan de Seguridad de Acción Selectiva enmarcado en la Estrategia contiene los compromisos de todos los gobiernos para reforzar el diseño de los sistemas y puntos de apoyo que permiten a las personas con discapacidad, incluidos los niños con discapacidad, recibir servicios seguros y de alta calidad </w:t>
      </w:r>
      <w:r w:rsidR="00F03E20">
        <w:t>de</w:t>
      </w:r>
      <w:r w:rsidRPr="00C819B9">
        <w:t xml:space="preserve"> 2021</w:t>
      </w:r>
      <w:r w:rsidR="00F03E20">
        <w:t>/</w:t>
      </w:r>
      <w:r w:rsidRPr="00C819B9">
        <w:t xml:space="preserve">22 </w:t>
      </w:r>
      <w:r w:rsidR="00F03E20">
        <w:t>a</w:t>
      </w:r>
      <w:r w:rsidRPr="00C819B9">
        <w:t xml:space="preserve"> 2023</w:t>
      </w:r>
      <w:r w:rsidR="00F03E20">
        <w:t>/</w:t>
      </w:r>
      <w:r w:rsidRPr="00C819B9">
        <w:t>24.</w:t>
      </w:r>
    </w:p>
    <w:p w14:paraId="35DFA15C" w14:textId="77777777" w:rsidR="00C71514" w:rsidRPr="00C819B9" w:rsidRDefault="00C71514" w:rsidP="00C71514">
      <w:pPr>
        <w:pStyle w:val="SingleTxtG"/>
      </w:pPr>
      <w:r w:rsidRPr="00C819B9">
        <w:t>42.</w:t>
      </w:r>
      <w:r w:rsidRPr="00C819B9">
        <w:tab/>
        <w:t xml:space="preserve">La Declaración Nacional de Principios sobre las Personas Incapaces de Defenderse o Declaradas No Culpables por Deficiencia Cognitiva o Motivos de Salud Mental reconoce los derechos de las personas con deficiencia cognitiva o problemas de salud mental, y trata de identificar medidas de protección a lo largo del proceso judicial y durante el período en que </w:t>
      </w:r>
      <w:r w:rsidRPr="00C819B9">
        <w:lastRenderedPageBreak/>
        <w:t>una persona incapaz de defenderse o que es declarada no culpable por deficiencia cognitiva o motivos de salud mental es objeto de una orden dictada por los tribunales. Se trata de principios basados en las mejores prácticas cuyo fin es velar por que el tratamiento se adapte a las necesidades de la persona en cuestión, sea inclusivo y esté orientado a la recuperación, y por que los organismos y los proveedores de servicios colaboren para ofrecer una atención coordinada. El informe final de la Comisión Real sobre la Violencia, el Abuso, el Descuido y la Explotación de las Personas con Discapacidad recomendó poner fin a los regímenes que permiten la detención indefinida de personas con discapacidad. El Gobierno de Australia está estudiando detenidamente el informe.</w:t>
      </w:r>
    </w:p>
    <w:p w14:paraId="5F3E0E20" w14:textId="77777777" w:rsidR="00C71514" w:rsidRPr="00C819B9" w:rsidRDefault="00C71514" w:rsidP="00C71514">
      <w:pPr>
        <w:pStyle w:val="SingleTxtG"/>
      </w:pPr>
      <w:r w:rsidRPr="00C819B9">
        <w:t>43.</w:t>
      </w:r>
      <w:r w:rsidRPr="00C819B9">
        <w:tab/>
        <w:t>En todas las jurisdicciones, los medios de inmovilización en el ámbito de la justicia juvenil solo pueden utilizarse en circunstancias muy concretas para paliar el riesgo de que la persona se haga daño o haga daño a los demás o en aras del funcionamiento seguro y el orden, y como medida de último recurso. Las jurisdicciones cuentan con una legislación y unas políticas claras sobre el uso de la fuerza como medidas de último recurso, imparten formación sobre técnicas de distensión y documentan cada caso de uso de la fuerza en interés de la transparencia a este respecto. La mayoría de las jurisdicciones cuentan con una legislación que prevé el uso de medios de inmovilización en los centros de justicia juvenil en circunstancias muy concretas que están sujetas a una obligación de dejar constancia, de solicitar aprobación y de evaluar los riesgos convenientemente.</w:t>
      </w:r>
    </w:p>
    <w:p w14:paraId="6AB0DB4E" w14:textId="77777777" w:rsidR="00C71514" w:rsidRPr="00C819B9" w:rsidRDefault="00C71514" w:rsidP="00C71514">
      <w:pPr>
        <w:pStyle w:val="SingleTxtG"/>
      </w:pPr>
      <w:r w:rsidRPr="00C819B9">
        <w:t>44.</w:t>
      </w:r>
      <w:r w:rsidRPr="00C819B9">
        <w:tab/>
        <w:t>La mayoría de las jurisdicciones australianas cuentan con legislación específica que prohíbe el uso del confinamiento como castigo en los centros de justicia juvenil. Los estados y territorios difieren en cuanto a las circunstancias en las que se puede aislar a los jóvenes, pero todas las jurisdicciones limitan esta práctica a circunstancias muy concretas. El régimen de aislamiento, segregación o confinamiento se limita principalmente circunstancias en las que resulta razonablemente necesario para la protección del niño afectado, de algún otro niño o de las instalaciones. Existe una serie de condiciones que acompañan la decisión de aplicar a un niño el régimen de aislamiento, segregación o confinamiento, entre ellas un período máximo determinado, una obligación de dejar constancia de la medida y de informar al respecto, y exigencias de contacto asiduo con el personal y de acceso a los servicios de apoyo, la educación, las necesidades humanas básicas y el ejercicio físico.</w:t>
      </w:r>
    </w:p>
    <w:p w14:paraId="1DDA3EF1" w14:textId="1692BE9E" w:rsidR="00C71514" w:rsidRPr="00C819B9" w:rsidRDefault="00C71514" w:rsidP="00C71514">
      <w:pPr>
        <w:pStyle w:val="SingleTxtG"/>
      </w:pPr>
      <w:r w:rsidRPr="00C819B9">
        <w:t>45.</w:t>
      </w:r>
      <w:r w:rsidRPr="00C819B9">
        <w:tab/>
        <w:t>Los gobiernos estatales y territoriales mantienen diversos programas para derivar a los jóvenes hacia alternativas a los sistemas de justicia juvenil. En todas las jurisdicciones, privar de libertad a una persona joven suele ser una medida de último recurso. En 2021</w:t>
      </w:r>
      <w:r w:rsidR="00F03E20">
        <w:t>/</w:t>
      </w:r>
      <w:r w:rsidRPr="00C819B9">
        <w:t>22, el promedio diario de jóvenes bajo supervisión de la justicia juvenil de Australia fue de 4.536, de los cuales el 82 % estaban en la comunidad y el 18 % privados de libertad. Las medidas no judiciales incluyen programas de intervención precoz, servicios de tratamiento de casos, reuniones de justicia juvenil, amonestaciones policiales, tribunales de derivación y penas no privativas de libertad.</w:t>
      </w:r>
    </w:p>
    <w:p w14:paraId="58AD63D7" w14:textId="77777777" w:rsidR="00C71514" w:rsidRPr="00C819B9" w:rsidRDefault="00C71514" w:rsidP="00C71514">
      <w:pPr>
        <w:pStyle w:val="SingleTxtG"/>
      </w:pPr>
      <w:r w:rsidRPr="00C819B9">
        <w:t>46.</w:t>
      </w:r>
      <w:r w:rsidRPr="00C819B9">
        <w:tab/>
        <w:t>Las jurisdicciones reconocen la importancia de contar con lugares de detención distintos para niños y adultos, y se aseguran de que esta separación tenga lugar en la inmensa mayoría de las circunstancias. Por lo general, los Estados y territorios cuentan con leyes que establecen el marco jurídico para garantizar que los menores en prisión preventiva o privados de libertad ingresen en centros de detención de menores, distintos de los centros penitenciarios para adultos. Si un niño se encuentra detenido por la policía o en un calabozo, se lo mantiene separado de los adultos y es puesto a disposición judicial o trasladado desde dependencias policiales a un centro de detención de menores lo antes posible.</w:t>
      </w:r>
    </w:p>
    <w:p w14:paraId="0EDC031A" w14:textId="77777777" w:rsidR="00C71514" w:rsidRPr="00C819B9" w:rsidRDefault="00C71514" w:rsidP="00C71514">
      <w:pPr>
        <w:pStyle w:val="SingleTxtG"/>
      </w:pPr>
      <w:r w:rsidRPr="00C819B9">
        <w:t>47.</w:t>
      </w:r>
      <w:r w:rsidRPr="00C819B9">
        <w:tab/>
        <w:t>Las garantías que amparan los derechos de las personas, incluidas las personas jóvenes, detenidas por la policía son equivalentes en todas las jurisdicciones del Gobierno de Australia y de los gobiernos estatales y territoriales. Se trata en particular del derecho de toda persona a:</w:t>
      </w:r>
    </w:p>
    <w:p w14:paraId="296FC7AD" w14:textId="22734A8E" w:rsidR="00C71514" w:rsidRPr="00C819B9" w:rsidRDefault="00C71514" w:rsidP="00C71514">
      <w:pPr>
        <w:pStyle w:val="Bullet1G"/>
      </w:pPr>
      <w:r w:rsidRPr="00C819B9">
        <w:t>Guardar silencio (excepto para facilitar su nombre y dirección).</w:t>
      </w:r>
    </w:p>
    <w:p w14:paraId="404BF969" w14:textId="63EA084C" w:rsidR="00C71514" w:rsidRPr="00C819B9" w:rsidRDefault="00C71514" w:rsidP="00C71514">
      <w:pPr>
        <w:pStyle w:val="Bullet1G"/>
      </w:pPr>
      <w:r w:rsidRPr="00C819B9">
        <w:t>Permanecer detenida durante un tiempo razonable únicamente.</w:t>
      </w:r>
    </w:p>
    <w:p w14:paraId="3DAC0883" w14:textId="43CFA2D4" w:rsidR="00C71514" w:rsidRPr="00C819B9" w:rsidRDefault="00C71514" w:rsidP="00C71514">
      <w:pPr>
        <w:pStyle w:val="Bullet1G"/>
      </w:pPr>
      <w:r w:rsidRPr="00C819B9">
        <w:t>La presencia de un acompañante en las entrevistas, en el caso de los menores.</w:t>
      </w:r>
    </w:p>
    <w:p w14:paraId="0BCF5B7D" w14:textId="75FF9AAF" w:rsidR="00C71514" w:rsidRPr="00C819B9" w:rsidRDefault="00C71514" w:rsidP="00C71514">
      <w:pPr>
        <w:pStyle w:val="Bullet1G"/>
      </w:pPr>
      <w:r w:rsidRPr="00C819B9">
        <w:t>Ser informada del motivo de su detención.</w:t>
      </w:r>
    </w:p>
    <w:p w14:paraId="2CF59258" w14:textId="77777777" w:rsidR="00C71514" w:rsidRPr="00C819B9" w:rsidRDefault="00C71514" w:rsidP="00C71514">
      <w:pPr>
        <w:pStyle w:val="Bullet1G"/>
      </w:pPr>
      <w:r w:rsidRPr="00C819B9">
        <w:lastRenderedPageBreak/>
        <w:t>Recibir asistencia letrada.</w:t>
      </w:r>
    </w:p>
    <w:p w14:paraId="63FBFBD4" w14:textId="77777777" w:rsidR="00C71514" w:rsidRPr="00C819B9" w:rsidRDefault="00C71514" w:rsidP="00C71514">
      <w:pPr>
        <w:pStyle w:val="SingleTxtG"/>
      </w:pPr>
      <w:r w:rsidRPr="00C819B9">
        <w:t>48.</w:t>
      </w:r>
      <w:r w:rsidRPr="00C819B9">
        <w:tab/>
        <w:t>Las personas jóvenes que ingresan en un centro de detención de menores son informadas de sus derechos, incluidos los que las asisten en virtud del derecho internacional de los derechos humanos, y pueden formular observaciones o quejas sobre cualquier asunto relacionado con las condiciones de detención. En todas las jurisdicciones, las personas jóvenes detenidas tienen acceso a numerosas vías para presentar quejas sobre su privación de libertad. Estas vías incluyen mecanismos internos de denuncia y entidades externas independientes, como los visitadores oficiales, los servicios del ombudsman, las entidades anticorrupción y los servicios de defensa.</w:t>
      </w:r>
    </w:p>
    <w:p w14:paraId="54F8E741" w14:textId="77777777" w:rsidR="00C71514" w:rsidRPr="00C819B9" w:rsidRDefault="00C71514" w:rsidP="00C71514">
      <w:pPr>
        <w:pStyle w:val="SingleTxtG"/>
      </w:pPr>
      <w:r w:rsidRPr="00C819B9">
        <w:t>49.</w:t>
      </w:r>
      <w:r w:rsidRPr="00C819B9">
        <w:tab/>
        <w:t xml:space="preserve">Los mecanismos de denuncia se promueven dentro de los lugares de detención durante la orientación inicial impartida a los detenidos y de forma continua mediante el uso de materiales como carteles, folletos y líneas telefónicas gratuitas y confidenciales. Los jóvenes pueden presentar quejas directamente o ante un organismo regulador como la Comisión de Derechos Humanos de Australia o el </w:t>
      </w:r>
      <w:r w:rsidRPr="00F03E20">
        <w:rPr>
          <w:i/>
        </w:rPr>
        <w:t>ombudsman</w:t>
      </w:r>
      <w:r w:rsidRPr="00C819B9">
        <w:t xml:space="preserve"> del estado o territorio correspondiente o, en los lugares donde existen, ante los inspectores penitenciarios y visitadores oficiales. El material donde se informa sobre el derecho a presentar quejas se exhibe de manera destacada en todo momento en los centros de detención y también está a disposición de los detenidos que lo solicitan. Las oficinas del ombudsman de cada estado y territorio, u otros funcionarios designados, realizan visitas e inspecciones periódicas de los centros de justicia juvenil, y están facultados para recibir quejas de los reclusos.</w:t>
      </w:r>
      <w:bookmarkEnd w:id="6"/>
    </w:p>
    <w:p w14:paraId="6BCC9063" w14:textId="3238ED7C" w:rsidR="00C71514" w:rsidRPr="00C819B9" w:rsidRDefault="00C71514" w:rsidP="00C71514">
      <w:pPr>
        <w:pStyle w:val="HChG"/>
      </w:pPr>
      <w:bookmarkStart w:id="8" w:name="_Toc516824542"/>
      <w:r w:rsidRPr="00C819B9">
        <w:tab/>
        <w:t>II.</w:t>
      </w:r>
      <w:r w:rsidRPr="00C819B9">
        <w:tab/>
        <w:t xml:space="preserve">Apéndices </w:t>
      </w:r>
      <w:r w:rsidR="00F03E20">
        <w:t>–</w:t>
      </w:r>
      <w:r w:rsidRPr="00C819B9">
        <w:t xml:space="preserve"> Información adicional facilitada al Comité </w:t>
      </w:r>
      <w:r w:rsidRPr="00C819B9">
        <w:br/>
        <w:t xml:space="preserve">de las Naciones Unidas contra la Tortura por el Gobierno </w:t>
      </w:r>
      <w:r w:rsidRPr="00C819B9">
        <w:br/>
        <w:t xml:space="preserve">de Australia en respuesta a las observaciones finales </w:t>
      </w:r>
      <w:r w:rsidRPr="00C819B9">
        <w:br/>
        <w:t>del Comité (CAT/C/AUS/CO/6)</w:t>
      </w:r>
    </w:p>
    <w:p w14:paraId="21CC15C3" w14:textId="656B65BC" w:rsidR="00C71514" w:rsidRPr="00C819B9" w:rsidRDefault="00C71514" w:rsidP="00C71514">
      <w:pPr>
        <w:pStyle w:val="H1G"/>
      </w:pPr>
      <w:bookmarkStart w:id="9" w:name="_Toc157763284"/>
      <w:bookmarkEnd w:id="8"/>
      <w:r w:rsidRPr="00C819B9">
        <w:tab/>
      </w:r>
      <w:r w:rsidRPr="00C819B9">
        <w:tab/>
        <w:t xml:space="preserve">Apéndice I </w:t>
      </w:r>
      <w:r w:rsidR="00F03E20">
        <w:t>–</w:t>
      </w:r>
      <w:r w:rsidRPr="00C819B9">
        <w:t xml:space="preserve"> Condiciones de detención</w:t>
      </w:r>
      <w:bookmarkEnd w:id="9"/>
    </w:p>
    <w:p w14:paraId="2D6B8D9E" w14:textId="4EE08329" w:rsidR="00C71514" w:rsidRPr="00C819B9" w:rsidRDefault="00C71514" w:rsidP="00C71514">
      <w:pPr>
        <w:pStyle w:val="H23G"/>
        <w:rPr>
          <w:i/>
        </w:rPr>
      </w:pPr>
      <w:bookmarkStart w:id="10" w:name="_Toc157763285"/>
      <w:r w:rsidRPr="00C819B9">
        <w:tab/>
      </w:r>
      <w:r w:rsidRPr="00C819B9">
        <w:tab/>
        <w:t xml:space="preserve">Recomendación 32 a) </w:t>
      </w:r>
      <w:r w:rsidR="00C819B9" w:rsidRPr="00C819B9">
        <w:t>–</w:t>
      </w:r>
      <w:r w:rsidRPr="00C819B9">
        <w:t xml:space="preserve"> Condiciones de detención</w:t>
      </w:r>
      <w:bookmarkEnd w:id="10"/>
    </w:p>
    <w:p w14:paraId="1224AD95" w14:textId="77777777" w:rsidR="00C71514" w:rsidRPr="00C819B9" w:rsidRDefault="00C71514" w:rsidP="00C71514">
      <w:pPr>
        <w:pStyle w:val="SingleTxtG"/>
      </w:pPr>
      <w:r w:rsidRPr="00C819B9">
        <w:t>50.</w:t>
      </w:r>
      <w:r w:rsidRPr="00C819B9">
        <w:tab/>
        <w:t>Seguir esforzándose para mejorar las condiciones de reclusión en todos los lugares de privación de libertad y reducir el hacinamiento en los establecimientos penitenciarios y otros centros de internamiento, en particular aplicando medidas no privativas de la libertad. A este respecto, el Comité señala a la atención del Estado parte las Reglas Mínimas de las Naciones Unidas para el Tratamiento de los Reclusos (Reglas Nelson Mandela), las Reglas de Tokio y las Reglas de Bangkok.</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162"/>
        <w:gridCol w:w="6208"/>
      </w:tblGrid>
      <w:tr w:rsidR="00A63FD5" w:rsidRPr="00C819B9" w14:paraId="0021A24F" w14:textId="77777777" w:rsidTr="005775E9">
        <w:trPr>
          <w:trHeight w:val="240"/>
          <w:tblHeader/>
        </w:trPr>
        <w:tc>
          <w:tcPr>
            <w:tcW w:w="1162" w:type="dxa"/>
            <w:tcBorders>
              <w:top w:val="single" w:sz="4" w:space="0" w:color="auto"/>
              <w:bottom w:val="single" w:sz="12" w:space="0" w:color="auto"/>
            </w:tcBorders>
            <w:shd w:val="clear" w:color="auto" w:fill="auto"/>
            <w:vAlign w:val="bottom"/>
          </w:tcPr>
          <w:p w14:paraId="2423F609" w14:textId="77777777" w:rsidR="00C71514" w:rsidRPr="00C819B9" w:rsidRDefault="00C71514" w:rsidP="00A63FD5">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12A286FF" w14:textId="77777777" w:rsidR="00C71514" w:rsidRPr="00C819B9" w:rsidRDefault="00C71514" w:rsidP="00A63FD5">
            <w:pPr>
              <w:spacing w:before="80" w:after="80" w:line="200" w:lineRule="exact"/>
              <w:rPr>
                <w:rFonts w:eastAsiaTheme="minorHAnsi"/>
                <w:i/>
                <w:sz w:val="16"/>
              </w:rPr>
            </w:pPr>
            <w:r w:rsidRPr="00C819B9">
              <w:rPr>
                <w:i/>
                <w:sz w:val="16"/>
              </w:rPr>
              <w:t>Medidas adoptadas en el último año</w:t>
            </w:r>
          </w:p>
        </w:tc>
      </w:tr>
      <w:tr w:rsidR="00A63FD5" w:rsidRPr="00C819B9" w14:paraId="121D8622" w14:textId="77777777" w:rsidTr="005775E9">
        <w:trPr>
          <w:trHeight w:hRule="exact" w:val="113"/>
          <w:tblHeader/>
        </w:trPr>
        <w:tc>
          <w:tcPr>
            <w:tcW w:w="1162" w:type="dxa"/>
            <w:tcBorders>
              <w:top w:val="single" w:sz="12" w:space="0" w:color="auto"/>
            </w:tcBorders>
            <w:shd w:val="clear" w:color="auto" w:fill="auto"/>
          </w:tcPr>
          <w:p w14:paraId="255C509F" w14:textId="77777777" w:rsidR="00C71514" w:rsidRPr="00C819B9" w:rsidRDefault="00C71514" w:rsidP="00A63FD5">
            <w:pPr>
              <w:spacing w:before="40" w:after="120"/>
              <w:rPr>
                <w:rFonts w:eastAsiaTheme="minorHAnsi"/>
              </w:rPr>
            </w:pPr>
          </w:p>
        </w:tc>
        <w:tc>
          <w:tcPr>
            <w:tcW w:w="6208" w:type="dxa"/>
            <w:tcBorders>
              <w:top w:val="single" w:sz="12" w:space="0" w:color="auto"/>
            </w:tcBorders>
            <w:shd w:val="clear" w:color="auto" w:fill="auto"/>
            <w:tcMar>
              <w:right w:w="0" w:type="dxa"/>
            </w:tcMar>
          </w:tcPr>
          <w:p w14:paraId="618DA5C6" w14:textId="77777777" w:rsidR="00C71514" w:rsidRPr="00C819B9" w:rsidRDefault="00C71514" w:rsidP="00A63FD5">
            <w:pPr>
              <w:spacing w:before="40" w:after="120"/>
              <w:rPr>
                <w:rFonts w:eastAsiaTheme="minorHAnsi"/>
              </w:rPr>
            </w:pPr>
          </w:p>
        </w:tc>
      </w:tr>
      <w:tr w:rsidR="00A63FD5" w:rsidRPr="00C819B9" w14:paraId="7EA52933" w14:textId="77777777" w:rsidTr="005775E9">
        <w:tc>
          <w:tcPr>
            <w:tcW w:w="1162" w:type="dxa"/>
            <w:shd w:val="clear" w:color="auto" w:fill="auto"/>
          </w:tcPr>
          <w:p w14:paraId="11AF7ABB" w14:textId="77777777" w:rsidR="00A63FD5" w:rsidRPr="00C819B9" w:rsidRDefault="00A63FD5" w:rsidP="00A63FD5">
            <w:pPr>
              <w:spacing w:before="40" w:after="120"/>
              <w:rPr>
                <w:rFonts w:eastAsiaTheme="minorHAnsi"/>
              </w:rPr>
            </w:pPr>
            <w:r w:rsidRPr="00C819B9">
              <w:t>Territorio de la Capital de Australia</w:t>
            </w:r>
          </w:p>
        </w:tc>
        <w:tc>
          <w:tcPr>
            <w:tcW w:w="6208" w:type="dxa"/>
            <w:shd w:val="clear" w:color="auto" w:fill="auto"/>
            <w:tcMar>
              <w:right w:w="0" w:type="dxa"/>
            </w:tcMar>
          </w:tcPr>
          <w:p w14:paraId="14040A23" w14:textId="15754791" w:rsidR="00A63FD5" w:rsidRPr="00C819B9" w:rsidRDefault="00A63FD5" w:rsidP="00A63FD5">
            <w:pPr>
              <w:spacing w:before="40" w:after="120"/>
              <w:rPr>
                <w:rFonts w:eastAsiaTheme="minorHAnsi"/>
              </w:rPr>
            </w:pPr>
            <w:r w:rsidRPr="00C819B9">
              <w:t>El plan “Reducir la Reincidencia en un 25 % para 2025” ha fijado el objetivo de reducir la reincidencia en el Territorio de la Capital de Australia en un</w:t>
            </w:r>
            <w:r w:rsidR="005775E9">
              <w:t> </w:t>
            </w:r>
            <w:r w:rsidRPr="00C819B9">
              <w:t>25 % a más tardar en 2025. Este plan aprovecha el enfoque de reinversión en la justicia empleado por el Territorio de la Capital de Australia, a fin de evitar el contacto reiterado con el sistema de justicia penal invirtiendo en una serie de programas destinados a atajar las causas de la delincuencia.</w:t>
            </w:r>
          </w:p>
          <w:p w14:paraId="7A05AF03" w14:textId="77777777" w:rsidR="00A63FD5" w:rsidRPr="00C819B9" w:rsidRDefault="00A63FD5" w:rsidP="00A63FD5">
            <w:pPr>
              <w:spacing w:before="40" w:after="120"/>
              <w:rPr>
                <w:rFonts w:eastAsiaTheme="minorHAnsi"/>
              </w:rPr>
            </w:pPr>
            <w:r w:rsidRPr="00C819B9">
              <w:t>El gobierno del Territorio de la Capital de Australia establecerá un Consejo Asesor sobre Reforma Legislativa e Imposición de Penas, que asesorará al Gobierno sobre posibles reformas legislativas e impartirá asesoramiento especializado en materia de imposición de penas.</w:t>
            </w:r>
          </w:p>
          <w:p w14:paraId="3F4B13C8" w14:textId="77777777" w:rsidR="00A63FD5" w:rsidRPr="00C819B9" w:rsidRDefault="00A63FD5" w:rsidP="00A63FD5">
            <w:pPr>
              <w:spacing w:before="40" w:after="120"/>
              <w:rPr>
                <w:rFonts w:eastAsiaTheme="minorHAnsi"/>
              </w:rPr>
            </w:pPr>
            <w:r w:rsidRPr="00C819B9">
              <w:t>El 29 de agosto de 2023, el gobierno del Territorio de la Capital de Australia anunció, mediante su respuesta al informe sobre la cuestión de la conducción temeraria realizado por la Comisión de Justicia y Seguridad Comunitaria de la Asamblea Legislativa del Territorio, que el gobierno del Territorio remitiría al Consejo la Ley de Libertad bajo Fianza de 1992 para que la examinara e impartiera asesoramiento al respecto.</w:t>
            </w:r>
          </w:p>
          <w:p w14:paraId="3E42C0EA" w14:textId="77777777" w:rsidR="00A63FD5" w:rsidRPr="00C819B9" w:rsidRDefault="00A63FD5" w:rsidP="00A63FD5">
            <w:pPr>
              <w:spacing w:before="40" w:after="120"/>
              <w:rPr>
                <w:rFonts w:eastAsiaTheme="minorHAnsi"/>
              </w:rPr>
            </w:pPr>
            <w:r w:rsidRPr="00C819B9">
              <w:lastRenderedPageBreak/>
              <w:t xml:space="preserve">El Territorio de la Capital de Australia ha iniciado conversaciones para la creación o utilización bajo licencia de una </w:t>
            </w:r>
            <w:r w:rsidRPr="001E7EB0">
              <w:rPr>
                <w:i/>
              </w:rPr>
              <w:t>app</w:t>
            </w:r>
            <w:r w:rsidRPr="00C819B9">
              <w:t xml:space="preserve"> de libertad bajo fianza que ayude a las personas en libertad bajo fianza enviándoles recordatorios de sus citas judiciales y obligaciones referidas a su libertad bajo fianza, y permitiéndoles consultar fácilmente las condiciones de su libertad bajo fianza.</w:t>
            </w:r>
          </w:p>
          <w:p w14:paraId="21EFA202" w14:textId="77777777" w:rsidR="00A63FD5" w:rsidRPr="00C819B9" w:rsidRDefault="00A63FD5" w:rsidP="00A63FD5">
            <w:pPr>
              <w:spacing w:before="40" w:after="120"/>
              <w:rPr>
                <w:rFonts w:eastAsiaTheme="minorHAnsi"/>
              </w:rPr>
            </w:pPr>
            <w:r w:rsidRPr="00C819B9">
              <w:t>El gobierno del Territorio de la Capital de Australia también está llevando a cabo un estudio de la sobrerrepresentación de personas de las Primeras Naciones en el sistema de justicia penal del Territorio. Las cuestiones relativas a la aplicación de las leyes sobre la libertad bajo fianza a las personas de las Primeras Naciones también se abordarán en este estudio.</w:t>
            </w:r>
          </w:p>
          <w:p w14:paraId="0126E7C5" w14:textId="77777777" w:rsidR="00A63FD5" w:rsidRPr="00C819B9" w:rsidRDefault="00A63FD5" w:rsidP="00A63FD5">
            <w:pPr>
              <w:spacing w:before="40" w:after="120"/>
              <w:rPr>
                <w:rFonts w:eastAsiaTheme="minorHAnsi"/>
              </w:rPr>
            </w:pPr>
            <w:r w:rsidRPr="00C819B9">
              <w:t>El Tribunal Galambany para la Imposición Colegiada de Penas se ha ampliado para hacer frente al aumento de la demanda y para establecer una lista especializada para los casos de libertad bajo fianza. La propuesta de crear un tribunal galambany especializado en las fianzas tiene por objeto corregir la sobrerrepresentación de los aborígenes e isleños del estrecho de Torres entre las personas en prisión preventiva.</w:t>
            </w:r>
          </w:p>
          <w:p w14:paraId="4C961727" w14:textId="77777777" w:rsidR="00A63FD5" w:rsidRPr="00C819B9" w:rsidRDefault="00A63FD5" w:rsidP="00A63FD5">
            <w:pPr>
              <w:spacing w:before="40" w:after="120"/>
              <w:rPr>
                <w:rFonts w:eastAsiaTheme="minorHAnsi"/>
              </w:rPr>
            </w:pPr>
            <w:r w:rsidRPr="00C819B9">
              <w:t>“Aboriginal and Torres Strait Islander Interview Friends” empezará a operar a principios de 2024 con el objetivo de prestar apoyo independiente y culturalmente adecuado a los aborígenes e isleños del estrecho de Torres que han sido detenidos por la policía para ser interrogados en relación con un delito.</w:t>
            </w:r>
          </w:p>
          <w:p w14:paraId="4717FF2D" w14:textId="350321EA" w:rsidR="00A63FD5" w:rsidRPr="00C819B9" w:rsidRDefault="00A63FD5" w:rsidP="00A63FD5">
            <w:pPr>
              <w:spacing w:before="40" w:after="120"/>
              <w:rPr>
                <w:rFonts w:eastAsiaTheme="minorHAnsi"/>
              </w:rPr>
            </w:pPr>
            <w:r w:rsidRPr="00C819B9">
              <w:t>“Front Up” es un programa de apoyo a los aborígenes e isleños del estrecho de Torres que tienen una orden de detención pendiente o han incumplido las disposiciones de su libertad bajo fianza o de una condena comunitaria, para ayudarlos a declarar ante el tribunal y negociar en su nombre la resolución del asunto, siempre que sea posible, sin privación de libertad.</w:t>
            </w:r>
          </w:p>
        </w:tc>
      </w:tr>
      <w:tr w:rsidR="00A63FD5" w:rsidRPr="00C819B9" w14:paraId="00D6FBF5" w14:textId="77777777" w:rsidTr="005775E9">
        <w:trPr>
          <w:trHeight w:val="240"/>
        </w:trPr>
        <w:tc>
          <w:tcPr>
            <w:tcW w:w="1162" w:type="dxa"/>
            <w:shd w:val="clear" w:color="auto" w:fill="auto"/>
          </w:tcPr>
          <w:p w14:paraId="0DE93D2F" w14:textId="77777777" w:rsidR="00C71514" w:rsidRPr="00C819B9" w:rsidRDefault="00C71514" w:rsidP="00A63FD5">
            <w:pPr>
              <w:spacing w:before="40" w:after="120"/>
              <w:rPr>
                <w:rFonts w:eastAsiaTheme="minorHAnsi"/>
              </w:rPr>
            </w:pPr>
            <w:r w:rsidRPr="00C819B9">
              <w:lastRenderedPageBreak/>
              <w:t>Nueva Gales del Sur</w:t>
            </w:r>
          </w:p>
        </w:tc>
        <w:tc>
          <w:tcPr>
            <w:tcW w:w="6208" w:type="dxa"/>
            <w:shd w:val="clear" w:color="auto" w:fill="auto"/>
            <w:tcMar>
              <w:right w:w="0" w:type="dxa"/>
            </w:tcMar>
          </w:tcPr>
          <w:p w14:paraId="47DCE8AC" w14:textId="1340A684" w:rsidR="00C71514" w:rsidRPr="00C819B9" w:rsidRDefault="00C71514" w:rsidP="00A63FD5">
            <w:pPr>
              <w:spacing w:before="40" w:after="120"/>
              <w:rPr>
                <w:rFonts w:eastAsiaTheme="minorHAnsi"/>
              </w:rPr>
            </w:pPr>
            <w:r w:rsidRPr="00C819B9">
              <w:t xml:space="preserve">En Nueva Gales del Sur, el plan estratégico del Servicio Penitenciario llamado “Hacia 2030” tiene como objetivo reducir la reincidencia de los adultos en un 8 % para 2030 y la de los aborígenes e isleños del </w:t>
            </w:r>
            <w:r w:rsidR="00F03E20" w:rsidRPr="00C819B9">
              <w:t>estrecho</w:t>
            </w:r>
            <w:r w:rsidRPr="00C819B9">
              <w:t xml:space="preserve"> de Torres en un 10 % para la misma fecha. El indicador será la tasa de retorno al Servicio Penitenciario en los dos años siguientes a la puesta en libertad o a la entrada en vigor de la orden. Entre los elementos clave de la labor que está realizando el Servicio Penitenciario para reducir la reincidencia figuran aumentar el acceso a las intervenciones para los delincuentes de mayor riesgo y mejorar los programas y la continuidad de la atención diseñada para las personas con necesidades complejas, incluidas las que padecen una enfermedad mental grave y las mujeres con hijos privadas de libertad.</w:t>
            </w:r>
            <w:bookmarkStart w:id="11" w:name="_Toc144711532"/>
            <w:bookmarkStart w:id="12" w:name="_Hlk86677815"/>
            <w:bookmarkEnd w:id="11"/>
            <w:bookmarkEnd w:id="12"/>
          </w:p>
        </w:tc>
      </w:tr>
      <w:tr w:rsidR="00A63FD5" w:rsidRPr="00C819B9" w14:paraId="471F64E8" w14:textId="77777777" w:rsidTr="005775E9">
        <w:trPr>
          <w:trHeight w:val="240"/>
        </w:trPr>
        <w:tc>
          <w:tcPr>
            <w:tcW w:w="1162" w:type="dxa"/>
            <w:shd w:val="clear" w:color="auto" w:fill="auto"/>
          </w:tcPr>
          <w:p w14:paraId="528CA7F1" w14:textId="77777777" w:rsidR="00C71514" w:rsidRPr="00C819B9" w:rsidRDefault="00C71514" w:rsidP="00A63FD5">
            <w:pPr>
              <w:spacing w:before="40" w:after="120"/>
              <w:rPr>
                <w:rFonts w:eastAsiaTheme="minorHAnsi"/>
              </w:rPr>
            </w:pPr>
            <w:r w:rsidRPr="00C819B9">
              <w:t>Territorio del Norte</w:t>
            </w:r>
          </w:p>
        </w:tc>
        <w:tc>
          <w:tcPr>
            <w:tcW w:w="6208" w:type="dxa"/>
            <w:shd w:val="clear" w:color="auto" w:fill="auto"/>
            <w:tcMar>
              <w:right w:w="0" w:type="dxa"/>
            </w:tcMar>
          </w:tcPr>
          <w:p w14:paraId="79139C65" w14:textId="77777777" w:rsidR="00C71514" w:rsidRPr="00C819B9" w:rsidRDefault="00C71514" w:rsidP="00A63FD5">
            <w:pPr>
              <w:spacing w:before="40" w:after="120"/>
              <w:rPr>
                <w:rFonts w:eastAsiaTheme="minorHAnsi"/>
              </w:rPr>
            </w:pPr>
            <w:r w:rsidRPr="00C819B9">
              <w:t>El gobierno del Territorio del Norte ha invertido en el desarrollo de un nuevo Centro de Justicia Juvenil en Darwin y en la remodelación del centro de Alice Springs, para satisfacer las necesidades terapéuticas y de rehabilitación de los jóvenes. La finalización del nuevo centro de Darwin está prevista para mediados de 2024 y la del centro remodelado de Alice Springs para principios de 2024.</w:t>
            </w:r>
          </w:p>
          <w:p w14:paraId="0063BDD0" w14:textId="77777777" w:rsidR="00C71514" w:rsidRPr="00C819B9" w:rsidRDefault="00C71514" w:rsidP="00A63FD5">
            <w:pPr>
              <w:spacing w:before="40" w:after="120"/>
              <w:rPr>
                <w:rFonts w:eastAsiaTheme="minorHAnsi"/>
              </w:rPr>
            </w:pPr>
            <w:r w:rsidRPr="00C819B9">
              <w:t>Las nuevas instalaciones permitirán poner en marcha programas basados en pruebas, restaurativos y adaptados a la cultura y la edad de los beneficiarios, con el fin de reducir la reincidencia, al tiempo que se garantiza la seguridad de la comunidad gracias a un diseño seguro y adecuado a su finalidad. Ambos centros incluyen:</w:t>
            </w:r>
          </w:p>
          <w:p w14:paraId="0D75966E" w14:textId="6F995731" w:rsidR="00C71514" w:rsidRPr="00C819B9" w:rsidRDefault="00C71514" w:rsidP="001E7EB0">
            <w:pPr>
              <w:spacing w:before="40" w:after="120"/>
              <w:ind w:left="284"/>
              <w:rPr>
                <w:rFonts w:eastAsiaTheme="minorHAnsi"/>
              </w:rPr>
            </w:pPr>
            <w:r w:rsidRPr="00C819B9">
              <w:t>Zonas dedicadas al ingreso de los jóvenes, dotadas de tecnología de escaneado corporal;</w:t>
            </w:r>
          </w:p>
          <w:p w14:paraId="7318A079" w14:textId="34BC7821" w:rsidR="00C71514" w:rsidRPr="00C819B9" w:rsidRDefault="00C71514" w:rsidP="001E7EB0">
            <w:pPr>
              <w:spacing w:before="40" w:after="120"/>
              <w:ind w:left="284"/>
              <w:rPr>
                <w:rFonts w:eastAsiaTheme="minorHAnsi"/>
              </w:rPr>
            </w:pPr>
            <w:r w:rsidRPr="00C819B9">
              <w:lastRenderedPageBreak/>
              <w:t>Salas médicas de dedicación exclusiva, con sala de odontología y equipo de audiología;</w:t>
            </w:r>
          </w:p>
          <w:p w14:paraId="12D1381A" w14:textId="25B71776" w:rsidR="00C71514" w:rsidRPr="00C819B9" w:rsidRDefault="00C71514" w:rsidP="001E7EB0">
            <w:pPr>
              <w:spacing w:before="40" w:after="120"/>
              <w:ind w:left="284"/>
              <w:rPr>
                <w:rFonts w:eastAsiaTheme="minorHAnsi"/>
              </w:rPr>
            </w:pPr>
            <w:r w:rsidRPr="00C819B9">
              <w:t>Un nuevo centro de aprendizaje dedicado a la educación, la formación y el desarrollo de competencias profesionales;</w:t>
            </w:r>
          </w:p>
          <w:p w14:paraId="7F6209F2" w14:textId="6D5C9D3F" w:rsidR="00C71514" w:rsidRPr="00C819B9" w:rsidRDefault="00C71514" w:rsidP="001E7EB0">
            <w:pPr>
              <w:spacing w:before="40" w:after="120"/>
              <w:ind w:left="284"/>
              <w:rPr>
                <w:rFonts w:eastAsiaTheme="minorHAnsi"/>
              </w:rPr>
            </w:pPr>
            <w:r w:rsidRPr="00C819B9">
              <w:t>Zonas centrales para el personal y la recepción que ofrecen espacios de gran comodidad para el personal de justicia juvenil y demás personal que presta servicios en los centros de detención de menores;</w:t>
            </w:r>
          </w:p>
          <w:p w14:paraId="6F247435" w14:textId="23818570" w:rsidR="00C71514" w:rsidRPr="00C819B9" w:rsidRDefault="00C71514" w:rsidP="001E7EB0">
            <w:pPr>
              <w:spacing w:before="40" w:after="120"/>
              <w:ind w:left="284"/>
              <w:rPr>
                <w:rFonts w:eastAsiaTheme="minorHAnsi"/>
              </w:rPr>
            </w:pPr>
            <w:r w:rsidRPr="00C819B9">
              <w:t>Dormitorios con baño diseñados con robustez pero con una apariencia normativa;</w:t>
            </w:r>
          </w:p>
          <w:p w14:paraId="648B19A6" w14:textId="12DF55BB" w:rsidR="00C71514" w:rsidRPr="00C819B9" w:rsidRDefault="00C71514" w:rsidP="001E7EB0">
            <w:pPr>
              <w:spacing w:before="40" w:after="120"/>
              <w:ind w:left="284"/>
              <w:rPr>
                <w:rFonts w:eastAsiaTheme="minorHAnsi"/>
              </w:rPr>
            </w:pPr>
            <w:r w:rsidRPr="00C819B9">
              <w:t>Un diseño securitario contemporáneo y discreto que utiliza la tecnología más avanzada en materia de seguridad y protección;</w:t>
            </w:r>
          </w:p>
          <w:p w14:paraId="4763F402" w14:textId="23DA0FE9" w:rsidR="00C71514" w:rsidRPr="00C819B9" w:rsidRDefault="00C71514" w:rsidP="001E7EB0">
            <w:pPr>
              <w:spacing w:before="40" w:after="120"/>
              <w:ind w:left="284"/>
              <w:rPr>
                <w:rFonts w:eastAsiaTheme="minorHAnsi"/>
              </w:rPr>
            </w:pPr>
            <w:r w:rsidRPr="00C819B9">
              <w:t>Zonas de esparcimiento que incluyen espacios para actividades interiores y exteriores;</w:t>
            </w:r>
          </w:p>
          <w:p w14:paraId="6094D07C" w14:textId="658FD097" w:rsidR="00C71514" w:rsidRPr="00C819B9" w:rsidRDefault="00C71514" w:rsidP="001E7EB0">
            <w:pPr>
              <w:spacing w:before="40" w:after="120"/>
              <w:ind w:left="284"/>
              <w:rPr>
                <w:rFonts w:eastAsiaTheme="minorHAnsi"/>
              </w:rPr>
            </w:pPr>
            <w:r w:rsidRPr="00C819B9">
              <w:t>Cocinas totalmente equipadas para uso didáctico en las zonas de aprendizaje; y</w:t>
            </w:r>
          </w:p>
          <w:p w14:paraId="480F0421" w14:textId="579B0993" w:rsidR="00C71514" w:rsidRPr="00C819B9" w:rsidRDefault="00C71514" w:rsidP="001E7EB0">
            <w:pPr>
              <w:spacing w:before="40" w:after="120"/>
              <w:ind w:left="284"/>
              <w:rPr>
                <w:rFonts w:eastAsiaTheme="minorHAnsi"/>
              </w:rPr>
            </w:pPr>
            <w:r w:rsidRPr="00C819B9">
              <w:t>Equipo para videoconferencias de última generación y dependencias para los tribunales, incluida una zona para visitantes y una zona de juegos infantiles.</w:t>
            </w:r>
          </w:p>
          <w:p w14:paraId="031E5317" w14:textId="5A9391FF" w:rsidR="00C71514" w:rsidRPr="00C819B9" w:rsidRDefault="00C71514" w:rsidP="00A63FD5">
            <w:pPr>
              <w:spacing w:before="40" w:after="120"/>
              <w:rPr>
                <w:rFonts w:eastAsiaTheme="minorHAnsi"/>
              </w:rPr>
            </w:pPr>
            <w:r w:rsidRPr="00C819B9">
              <w:t xml:space="preserve">El </w:t>
            </w:r>
            <w:r w:rsidR="001E7EB0" w:rsidRPr="00C819B9">
              <w:t>departamento</w:t>
            </w:r>
            <w:r w:rsidRPr="00C819B9">
              <w:t xml:space="preserve"> continúa en estos centros la implementación del modelo de atención propio de los centros de detención de la justicia juvenil, que incluye una filosofía de funcionamiento que toma en consideración los traumas sufridos y un modelo de servicio estructurado.</w:t>
            </w:r>
          </w:p>
          <w:p w14:paraId="3D663874" w14:textId="77777777" w:rsidR="00C71514" w:rsidRPr="00C819B9" w:rsidRDefault="00C71514" w:rsidP="00A63FD5">
            <w:pPr>
              <w:spacing w:before="40" w:after="120"/>
              <w:rPr>
                <w:rFonts w:eastAsiaTheme="minorHAnsi"/>
              </w:rPr>
            </w:pPr>
            <w:r w:rsidRPr="00C819B9">
              <w:t>El Territorio del Norte está colaborando estrechamente con Mission Australia para garantizar un mayor acceso de las personas en custodia precautoria a locales destinados a recuperar la sobriedad como alternativa a los calabozos de la policía.</w:t>
            </w:r>
          </w:p>
          <w:p w14:paraId="15907C3C" w14:textId="77777777" w:rsidR="00C71514" w:rsidRPr="00C819B9" w:rsidRDefault="00C71514" w:rsidP="00A63FD5">
            <w:pPr>
              <w:spacing w:before="40" w:after="120"/>
              <w:rPr>
                <w:rFonts w:eastAsiaTheme="minorHAnsi"/>
              </w:rPr>
            </w:pPr>
            <w:r w:rsidRPr="00C819B9">
              <w:t>El Territorio del Norte ha creado un centro alternativo a la privación de libertad para mujeres en la región central de Australia y está elaborando planes para crear otros centros de este tipo.</w:t>
            </w:r>
          </w:p>
          <w:p w14:paraId="62FAB5DA" w14:textId="77777777" w:rsidR="00C71514" w:rsidRPr="00C819B9" w:rsidRDefault="00C71514" w:rsidP="00A63FD5">
            <w:pPr>
              <w:spacing w:before="40" w:after="120"/>
              <w:rPr>
                <w:rFonts w:eastAsiaTheme="minorHAnsi"/>
              </w:rPr>
            </w:pPr>
            <w:r w:rsidRPr="00C819B9">
              <w:t>El Territorio del Norte también ha apoyado los programas de alojamiento bajo fianza como alternativa a la prisión preventiva.</w:t>
            </w:r>
          </w:p>
        </w:tc>
      </w:tr>
      <w:tr w:rsidR="00A63FD5" w:rsidRPr="00C819B9" w14:paraId="2ADA6EC3" w14:textId="77777777" w:rsidTr="005775E9">
        <w:trPr>
          <w:trHeight w:val="240"/>
        </w:trPr>
        <w:tc>
          <w:tcPr>
            <w:tcW w:w="1162" w:type="dxa"/>
            <w:shd w:val="clear" w:color="auto" w:fill="auto"/>
          </w:tcPr>
          <w:p w14:paraId="1A6EE3A9" w14:textId="77777777" w:rsidR="00C71514" w:rsidRPr="00C819B9" w:rsidRDefault="00C71514" w:rsidP="00A63FD5">
            <w:pPr>
              <w:spacing w:before="40" w:after="120"/>
              <w:rPr>
                <w:rFonts w:eastAsiaTheme="minorHAnsi"/>
              </w:rPr>
            </w:pPr>
            <w:r w:rsidRPr="00C819B9">
              <w:lastRenderedPageBreak/>
              <w:t>Queensland</w:t>
            </w:r>
          </w:p>
        </w:tc>
        <w:tc>
          <w:tcPr>
            <w:tcW w:w="6208" w:type="dxa"/>
            <w:shd w:val="clear" w:color="auto" w:fill="auto"/>
            <w:tcMar>
              <w:right w:w="0" w:type="dxa"/>
            </w:tcMar>
          </w:tcPr>
          <w:p w14:paraId="2B2099E5" w14:textId="3EC6B53D" w:rsidR="00C71514" w:rsidRPr="00C819B9" w:rsidRDefault="00C71514" w:rsidP="00A63FD5">
            <w:pPr>
              <w:spacing w:before="40" w:after="120"/>
              <w:rPr>
                <w:rFonts w:eastAsiaTheme="minorHAnsi"/>
              </w:rPr>
            </w:pPr>
            <w:r w:rsidRPr="00C819B9">
              <w:t xml:space="preserve">El gobierno de Queensland ha iniciado la construcción del nuevo Centro Penitenciario de Lockyer Valley, que abrirá sus puertas en 2024. Este </w:t>
            </w:r>
            <w:r w:rsidR="006E282F" w:rsidRPr="00C819B9">
              <w:t>Centro Pe</w:t>
            </w:r>
            <w:r w:rsidRPr="00C819B9">
              <w:t>nitenciario permitirá un tratamiento integral de los casos con un diseño y un modelo operativo basados en la salud y la rehabilitación y dispondrá de servicios mejorados de salud mental y de rehabilitación de drogodependencias y alcoholismo.</w:t>
            </w:r>
          </w:p>
          <w:p w14:paraId="1CBCB551" w14:textId="77777777" w:rsidR="00C71514" w:rsidRPr="00C819B9" w:rsidRDefault="00C71514" w:rsidP="00A63FD5">
            <w:pPr>
              <w:spacing w:before="40" w:after="120"/>
              <w:rPr>
                <w:rFonts w:eastAsiaTheme="minorHAnsi"/>
              </w:rPr>
            </w:pPr>
            <w:r w:rsidRPr="00C819B9">
              <w:t>El gobierno de Queensland está construyendo dos nuevos centros terapéuticos de detención de menores, uno estará situado en el sudeste de Queensland y el otro en el norte del estado. Ambos centros de detención contribuyen al objetivo del gobierno de ofrecer más servicios regionales de detención de menores, facilitando la conexión con la familia, la comunidad y el país. Los dos nuevos centros incluirán elementos de diseño terapéutico para la rehabilitación de los jóvenes. Entre tales elementos figuran unas unidades de alojamiento más pequeñas y mejor adaptadas a su finalidad, salas de consulta y tratamiento, espacios polivalentes para la educación, el desarrollo de aptitudes y la formación y espacios para la conexión cultural.</w:t>
            </w:r>
          </w:p>
          <w:p w14:paraId="0E84B713" w14:textId="77777777" w:rsidR="00C71514" w:rsidRPr="00C819B9" w:rsidRDefault="00C71514" w:rsidP="00A63FD5">
            <w:pPr>
              <w:spacing w:before="40" w:after="120"/>
              <w:rPr>
                <w:rFonts w:eastAsiaTheme="minorHAnsi"/>
              </w:rPr>
            </w:pPr>
            <w:r w:rsidRPr="00C819B9">
              <w:lastRenderedPageBreak/>
              <w:t>Queensland está poniendo a prueba un trámite acelerado de imposición de condenas, con el fin de reducir el tiempo que los niños pasan en prisión preventiva.</w:t>
            </w:r>
          </w:p>
          <w:p w14:paraId="147014CB" w14:textId="46C36F64" w:rsidR="00C71514" w:rsidRPr="00C819B9" w:rsidRDefault="00C71514" w:rsidP="00A63FD5">
            <w:pPr>
              <w:spacing w:before="40" w:after="120"/>
              <w:rPr>
                <w:rFonts w:eastAsiaTheme="minorHAnsi"/>
              </w:rPr>
            </w:pPr>
            <w:r w:rsidRPr="00C819B9">
              <w:t xml:space="preserve">El Servicio de Policía de Queensland ha introducido un </w:t>
            </w:r>
            <w:r w:rsidR="006E282F" w:rsidRPr="00C819B9">
              <w:t>marco ampliado de penas condicionales y derivació</w:t>
            </w:r>
            <w:r w:rsidRPr="00C819B9">
              <w:t>n que incluye las amonestaciones policiales a adultos, reuniones de justicia restaurativa para adultos y medidas de derivación para los delitos de drogas.</w:t>
            </w:r>
          </w:p>
        </w:tc>
      </w:tr>
      <w:tr w:rsidR="00A63FD5" w:rsidRPr="00C819B9" w14:paraId="52ECCE0F" w14:textId="77777777" w:rsidTr="005775E9">
        <w:trPr>
          <w:trHeight w:val="240"/>
        </w:trPr>
        <w:tc>
          <w:tcPr>
            <w:tcW w:w="1162" w:type="dxa"/>
            <w:shd w:val="clear" w:color="auto" w:fill="auto"/>
          </w:tcPr>
          <w:p w14:paraId="18D7FF77" w14:textId="77777777" w:rsidR="00C71514" w:rsidRPr="00C819B9" w:rsidRDefault="00C71514" w:rsidP="00A63FD5">
            <w:pPr>
              <w:spacing w:before="40" w:after="120"/>
              <w:rPr>
                <w:rFonts w:eastAsiaTheme="minorHAnsi"/>
              </w:rPr>
            </w:pPr>
            <w:r w:rsidRPr="00C819B9">
              <w:lastRenderedPageBreak/>
              <w:t>Australia Meridional</w:t>
            </w:r>
          </w:p>
        </w:tc>
        <w:tc>
          <w:tcPr>
            <w:tcW w:w="6208" w:type="dxa"/>
            <w:shd w:val="clear" w:color="auto" w:fill="auto"/>
            <w:tcMar>
              <w:right w:w="0" w:type="dxa"/>
            </w:tcMar>
          </w:tcPr>
          <w:p w14:paraId="31703CCB" w14:textId="77777777" w:rsidR="00C71514" w:rsidRPr="00C819B9" w:rsidRDefault="00C71514" w:rsidP="00A63FD5">
            <w:pPr>
              <w:spacing w:before="40" w:after="120"/>
              <w:rPr>
                <w:rFonts w:eastAsiaTheme="minorHAnsi"/>
              </w:rPr>
            </w:pPr>
            <w:r w:rsidRPr="00C819B9">
              <w:t>El gobierno de Australia Meridional está desmantelando un centro de detención de menores construido en 1993 y centralizando todos los servicios de detención de menores en un único centro, construido en 2012. Se está construyendo la infraestructura adicional necesaria para esta centralización, que incorpora principios de diseño terapéutico contemporáneos, incluido el uso de espacios verdes y materiales naturales, habida cuenta del impacto físico y psicológico del entorno construido.</w:t>
            </w:r>
          </w:p>
          <w:p w14:paraId="39D8F2F1" w14:textId="509669FF" w:rsidR="00C71514" w:rsidRPr="00C819B9" w:rsidRDefault="00C71514" w:rsidP="00A63FD5">
            <w:pPr>
              <w:spacing w:before="40" w:after="120"/>
              <w:rPr>
                <w:rFonts w:eastAsiaTheme="minorHAnsi"/>
              </w:rPr>
            </w:pPr>
            <w:r w:rsidRPr="00C819B9">
              <w:t xml:space="preserve">Australia Meridional ha invertido unos 25 millones de dólares a lo largo de cuatro años para poner en marcha una iniciativa con varios frentes en diversos organismos, cuyo propósito es brindar apoyo a la población de las Primeras Naciones y reducir las tasas de encarcelamiento. El conjunto de medidas, que incluye programas de apoyo comunitario, programas de alojamiento y apoyo, la elaboración de un </w:t>
            </w:r>
            <w:r w:rsidR="00CE14A5" w:rsidRPr="00C819B9">
              <w:t xml:space="preserve">acuerdo sobre justicia aborigen </w:t>
            </w:r>
            <w:r w:rsidRPr="00C819B9">
              <w:t>y la puesta a prueba por dos años de un tribunal especializado en niños y jóvenes aborígenes, obedece directamente a las recomendaciones formuladas por la Comisión Asesora sobre las Tasas de Encarcelamiento de los Aborígenes en Australia Meridional.</w:t>
            </w:r>
          </w:p>
        </w:tc>
      </w:tr>
      <w:tr w:rsidR="00A63FD5" w:rsidRPr="00C819B9" w14:paraId="7A20A328" w14:textId="77777777" w:rsidTr="005775E9">
        <w:trPr>
          <w:trHeight w:val="240"/>
        </w:trPr>
        <w:tc>
          <w:tcPr>
            <w:tcW w:w="1162" w:type="dxa"/>
            <w:shd w:val="clear" w:color="auto" w:fill="auto"/>
          </w:tcPr>
          <w:p w14:paraId="61A9EC5D" w14:textId="77777777" w:rsidR="00C71514" w:rsidRPr="00C819B9" w:rsidRDefault="00C71514" w:rsidP="00A63FD5">
            <w:pPr>
              <w:spacing w:before="40" w:after="120"/>
              <w:rPr>
                <w:rFonts w:eastAsiaTheme="minorHAnsi"/>
              </w:rPr>
            </w:pPr>
            <w:r w:rsidRPr="00C819B9">
              <w:t>Tasmania</w:t>
            </w:r>
          </w:p>
        </w:tc>
        <w:tc>
          <w:tcPr>
            <w:tcW w:w="6208" w:type="dxa"/>
            <w:shd w:val="clear" w:color="auto" w:fill="auto"/>
            <w:tcMar>
              <w:right w:w="0" w:type="dxa"/>
            </w:tcMar>
          </w:tcPr>
          <w:p w14:paraId="4EDDA099" w14:textId="77777777" w:rsidR="00C71514" w:rsidRPr="00C819B9" w:rsidRDefault="00C71514" w:rsidP="00A63FD5">
            <w:pPr>
              <w:spacing w:before="40" w:after="120"/>
              <w:rPr>
                <w:rFonts w:eastAsiaTheme="minorHAnsi"/>
              </w:rPr>
            </w:pPr>
            <w:r w:rsidRPr="00C819B9">
              <w:t>El gobierno de Tasmania se ha comprometido a implantar un modelo terapéutico de justicia penal juvenil, el cual supondrá el cierre del Centro de Detención de Menores de Ashley y la construcción de un nuevo centro de justicia juvenil penal, mejor adaptado a su finalidad.</w:t>
            </w:r>
          </w:p>
          <w:p w14:paraId="2766EE3E" w14:textId="728CE3F8" w:rsidR="00C71514" w:rsidRPr="00C819B9" w:rsidRDefault="00C71514" w:rsidP="00A63FD5">
            <w:pPr>
              <w:spacing w:before="40" w:after="120"/>
              <w:rPr>
                <w:rFonts w:eastAsiaTheme="minorHAnsi"/>
              </w:rPr>
            </w:pPr>
            <w:r w:rsidRPr="00C819B9">
              <w:t>Las nuevas infraestructuras penitenciarias de Tasmania aseguran la disponibilidad de espacio suficiente para los reclusos y los presos preventivos. Entre ellas figura el recientemente inaugurado Centro de Prisión Preventiva del Sur, con 156 camas, y otros proyectos futuros, como la creación de una nueva unidad de máxima seguridad con 50 camas y un nuevo Centro Penitenciario del Norte que albergará hasta 270 reclusos. Las cárceles de Tasmania han mantenido una ocupación aproximada del 85 %, lo que garantiza la disponibilidad de espacio adecuado para todos los reclusos y presos preventivos.</w:t>
            </w:r>
          </w:p>
          <w:p w14:paraId="32CE8024" w14:textId="2C0DF7DA" w:rsidR="00C71514" w:rsidRPr="00C819B9" w:rsidRDefault="00C71514" w:rsidP="00A63FD5">
            <w:pPr>
              <w:spacing w:before="40" w:after="120"/>
              <w:rPr>
                <w:rFonts w:eastAsiaTheme="minorHAnsi"/>
              </w:rPr>
            </w:pPr>
            <w:r w:rsidRPr="00C819B9">
              <w:t xml:space="preserve">Tasmania está ampliando su catálogo de penas no privativas de libertad, entre otras cosas haciendo extensivo al alcoholismo el Programa de Derivación por Mandato Judicial para Delitos de Drogas, y poniendo este </w:t>
            </w:r>
            <w:r w:rsidR="00CE14A5" w:rsidRPr="00C819B9">
              <w:t>Programa</w:t>
            </w:r>
            <w:r w:rsidRPr="00C819B9">
              <w:t xml:space="preserve"> a disposición de infractores acusados de delitos más graves.</w:t>
            </w:r>
          </w:p>
          <w:p w14:paraId="3716A0B9" w14:textId="77777777" w:rsidR="00C71514" w:rsidRPr="00C819B9" w:rsidRDefault="00C71514" w:rsidP="00A63FD5">
            <w:pPr>
              <w:spacing w:before="40" w:after="120"/>
              <w:rPr>
                <w:rFonts w:eastAsiaTheme="minorHAnsi"/>
              </w:rPr>
            </w:pPr>
            <w:r w:rsidRPr="00C819B9">
              <w:t>Tasmania también ha recurrido al arresto domiciliario y a la vigilancia electrónica para determinados tipos de delincuentes.</w:t>
            </w:r>
          </w:p>
        </w:tc>
      </w:tr>
      <w:tr w:rsidR="00A63FD5" w:rsidRPr="00C819B9" w14:paraId="1B55350E" w14:textId="77777777" w:rsidTr="005775E9">
        <w:trPr>
          <w:trHeight w:val="240"/>
        </w:trPr>
        <w:tc>
          <w:tcPr>
            <w:tcW w:w="1162" w:type="dxa"/>
            <w:tcBorders>
              <w:bottom w:val="nil"/>
            </w:tcBorders>
            <w:shd w:val="clear" w:color="auto" w:fill="auto"/>
          </w:tcPr>
          <w:p w14:paraId="51204073" w14:textId="77777777" w:rsidR="00C71514" w:rsidRPr="00C819B9" w:rsidRDefault="00C71514" w:rsidP="00A63FD5">
            <w:pPr>
              <w:spacing w:before="40" w:after="120"/>
              <w:rPr>
                <w:rFonts w:eastAsiaTheme="minorHAnsi"/>
              </w:rPr>
            </w:pPr>
            <w:r w:rsidRPr="00C819B9">
              <w:t>Victoria</w:t>
            </w:r>
          </w:p>
        </w:tc>
        <w:tc>
          <w:tcPr>
            <w:tcW w:w="6208" w:type="dxa"/>
            <w:tcBorders>
              <w:bottom w:val="nil"/>
            </w:tcBorders>
            <w:shd w:val="clear" w:color="auto" w:fill="auto"/>
            <w:tcMar>
              <w:right w:w="0" w:type="dxa"/>
            </w:tcMar>
          </w:tcPr>
          <w:p w14:paraId="5D554CA0" w14:textId="3F3FEB19" w:rsidR="00C71514" w:rsidRPr="00C819B9" w:rsidRDefault="00C71514" w:rsidP="00A63FD5">
            <w:pPr>
              <w:spacing w:before="40" w:after="120"/>
              <w:rPr>
                <w:rFonts w:eastAsiaTheme="minorHAnsi"/>
              </w:rPr>
            </w:pPr>
            <w:r w:rsidRPr="00C819B9">
              <w:t>Las modificaciones de la Ley de Libertad bajo Fianza de 1977 recibieron la sanción real en octubre de 2023. Estas tienen por objeto que las leyes de libertad bajo fianza del estado sean más justas para las personas vulnerables y desfavorecidas, sin por ello abandonar el estricto trato reservado a quienes suponen un riesgo grave para los habitantes de Victoria. La nueva ley, que entrará en vigor en marzo de 2024, tendrá por objeto reducir los casos de prisión preventiva innecesaria cuando se trate de delitos leves.</w:t>
            </w:r>
          </w:p>
          <w:p w14:paraId="2C696F97" w14:textId="05150C2C" w:rsidR="00C71514" w:rsidRPr="00C819B9" w:rsidRDefault="00C71514" w:rsidP="00A63FD5">
            <w:pPr>
              <w:spacing w:before="40" w:after="120"/>
              <w:rPr>
                <w:rFonts w:eastAsiaTheme="minorHAnsi"/>
              </w:rPr>
            </w:pPr>
            <w:r w:rsidRPr="00C819B9">
              <w:t xml:space="preserve">El Servicio de Justicia Juvenil de Victoria está en fase de remodelación: la apertura del nuevo centro de Cherry Creek ofrece alojamiento en unidades </w:t>
            </w:r>
            <w:r w:rsidRPr="00C819B9">
              <w:lastRenderedPageBreak/>
              <w:t>para grupos reducidos de cuatro jóvenes de entre 15 y 17 años en vecindarios compartidos. Las personas internadas en Cherry Creek que durante su estancia superen la edad de 18 años pueden permanecer en el centro. El centro está formado por barrios compartidos y ofrece servicios de rehabilitación prestados internamente, los cuales incluyen intervenciones y apoyo multidisciplinares centrados en el logro de cambios positivos en el comportamiento. Con el cierre del centro de Malmsbury, el centro de Parkville acoge ahora a varones procesados según la doble vía judicial, constituyendo así una alternativa auténtica a la prisión para adultos. Con ello se reconoce que los adultos jóvenes aún se están desarrollando y tienen buenas perspectivas de rehabilitarse, y que la prisión para adultos puede no ser el entorno más propicio a la materialización de dichas perspectivas.</w:t>
            </w:r>
          </w:p>
          <w:p w14:paraId="63EAC90C" w14:textId="0F4FBCBA" w:rsidR="00C71514" w:rsidRPr="00C819B9" w:rsidRDefault="00C71514" w:rsidP="00A63FD5">
            <w:pPr>
              <w:spacing w:before="40" w:after="120"/>
              <w:rPr>
                <w:rFonts w:eastAsiaTheme="minorHAnsi"/>
              </w:rPr>
            </w:pPr>
            <w:r w:rsidRPr="00C819B9">
              <w:t>Cherry Creek permite la plena aplicación del modelo operativo “Comunidades bajo custodia” de Victoria, según el cual los jóvenes son alojados en el centro menos restrictivo y más adecuado desde el punto de vista terapéutico, para que los riesgos, necesidades y vulnerabilidades que presentan puedan atenderse mejor. Dentro de este modelo, el comportamiento positivo se incentiva mediante un aumento de la autonomía y el acceso a mejores actividades a medida que los jóvenes van accediendo a cada uno de los tres niveles comunitarios.</w:t>
            </w:r>
          </w:p>
          <w:p w14:paraId="412FBF5B" w14:textId="3E158518" w:rsidR="00C71514" w:rsidRPr="00C819B9" w:rsidRDefault="00C71514" w:rsidP="00A63FD5">
            <w:pPr>
              <w:spacing w:before="40" w:after="120"/>
              <w:rPr>
                <w:rFonts w:eastAsiaTheme="minorHAnsi"/>
              </w:rPr>
            </w:pPr>
            <w:r w:rsidRPr="00C819B9">
              <w:t>El Presupuesto del Estado 2022</w:t>
            </w:r>
            <w:r w:rsidR="00F03E20">
              <w:t>/</w:t>
            </w:r>
            <w:r w:rsidRPr="00C819B9">
              <w:t>23 destinó fondos a la Permanencia de Justicia Juvenil para la Determinación de Fianzas y a un tribunal de justicia juvenil en línea para las decisiones de libertad bajo fianza, para evitar que se someta a personas jóvenes a medidas innecesarias de prisión preventiva.</w:t>
            </w:r>
          </w:p>
          <w:p w14:paraId="5FCCD269" w14:textId="77777777" w:rsidR="00C71514" w:rsidRPr="00C819B9" w:rsidRDefault="00C71514" w:rsidP="00A63FD5">
            <w:pPr>
              <w:spacing w:before="40" w:after="120"/>
              <w:rPr>
                <w:rFonts w:eastAsiaTheme="minorHAnsi"/>
              </w:rPr>
            </w:pPr>
            <w:r w:rsidRPr="00C819B9">
              <w:t>En el sistema penitenciario para adultos de Victoria, la configuración de la red está en curso. La demanda de camas en las prisiones ha sido inferior a la prevista desde la pandemia de COVID-19, lo que ha brindado la oportunidad de sustituir las antiguas infraestructuras por otras nuevas, con el fin de mejorar las condiciones de los reclusos. Por ejemplo, el alojamiento en el sistema penitenciario para mujeres se diseña con arreglo a principios de práctica que tienen en cuenta los traumas sufridos.</w:t>
            </w:r>
          </w:p>
          <w:p w14:paraId="4FB0E381" w14:textId="77777777" w:rsidR="00C71514" w:rsidRPr="00C819B9" w:rsidRDefault="00C71514" w:rsidP="00A63FD5">
            <w:pPr>
              <w:spacing w:before="40" w:after="120"/>
              <w:rPr>
                <w:rFonts w:eastAsiaTheme="minorHAnsi"/>
              </w:rPr>
            </w:pPr>
            <w:r w:rsidRPr="00C819B9">
              <w:t>Se están elaborando planes para introducir mejoras en la infraestructura de los servicios forenses para personas con discapacidad en entorno seguro de Victoria. Esto incluye el estudio de mejoras que podrían conducir a una reducción del número de personas con discapacidad privadas de libertad gracias al aumento de la capacidad de estos servicios.</w:t>
            </w:r>
          </w:p>
          <w:p w14:paraId="5014B224" w14:textId="77777777" w:rsidR="00C71514" w:rsidRPr="00C819B9" w:rsidRDefault="00C71514" w:rsidP="00A63FD5">
            <w:pPr>
              <w:spacing w:before="40" w:after="120"/>
              <w:rPr>
                <w:rFonts w:eastAsiaTheme="minorHAnsi"/>
              </w:rPr>
            </w:pPr>
            <w:r w:rsidRPr="00C819B9">
              <w:t>El gobierno de Victoria sigue trabajando con el Grupo de Justicia Aborigen para aplicar las medidas previstas en el Acuerdo de Justicia Aborigen (cuyo objetivo es mejorar los resultados de la justicia aborigen) y encontrar oportunidades de reforma que corrijan la sobrerrepresentación de los aborígenes en los centros de detención. Hasta la fecha, el trabajo se ha centrado en la rehabilitación y la reintegración, con medidas de apoyo cultural previas y posteriores a la puesta en libertad, programas educativos, alojamiento de transición y el establecimiento de una unidad de curación para mujeres aborígenes.</w:t>
            </w:r>
          </w:p>
          <w:p w14:paraId="4502E698" w14:textId="77777777" w:rsidR="00C71514" w:rsidRPr="00C819B9" w:rsidRDefault="00C71514" w:rsidP="00A63FD5">
            <w:pPr>
              <w:spacing w:before="40" w:after="120"/>
              <w:rPr>
                <w:rFonts w:eastAsiaTheme="minorHAnsi"/>
              </w:rPr>
            </w:pPr>
            <w:r w:rsidRPr="00C819B9">
              <w:t>Las causas de la sobrerrepresentación de los aborígenes en los centros de detención y las medidas para reducirla también han sido estudiadas por la Comisión de Justicia Yoorrook de Victoria en su informe más reciente sobre los sistemas de protección infantil y justicia penal en Victoria.</w:t>
            </w:r>
          </w:p>
        </w:tc>
      </w:tr>
      <w:tr w:rsidR="005775E9" w:rsidRPr="00C819B9" w14:paraId="5D826175" w14:textId="77777777" w:rsidTr="005775E9">
        <w:trPr>
          <w:trHeight w:val="240"/>
        </w:trPr>
        <w:tc>
          <w:tcPr>
            <w:tcW w:w="1162" w:type="dxa"/>
            <w:tcBorders>
              <w:top w:val="nil"/>
              <w:bottom w:val="nil"/>
            </w:tcBorders>
            <w:shd w:val="clear" w:color="auto" w:fill="auto"/>
          </w:tcPr>
          <w:p w14:paraId="2B1885C2" w14:textId="174C1563" w:rsidR="005775E9" w:rsidRPr="00C819B9" w:rsidRDefault="005775E9" w:rsidP="00A63FD5">
            <w:pPr>
              <w:spacing w:before="40" w:after="120"/>
            </w:pPr>
            <w:r w:rsidRPr="00C819B9">
              <w:lastRenderedPageBreak/>
              <w:t>Australia Occidental</w:t>
            </w:r>
          </w:p>
        </w:tc>
        <w:tc>
          <w:tcPr>
            <w:tcW w:w="6208" w:type="dxa"/>
            <w:tcBorders>
              <w:top w:val="nil"/>
              <w:bottom w:val="nil"/>
            </w:tcBorders>
            <w:shd w:val="clear" w:color="auto" w:fill="auto"/>
            <w:tcMar>
              <w:right w:w="0" w:type="dxa"/>
            </w:tcMar>
          </w:tcPr>
          <w:p w14:paraId="66D03B5E" w14:textId="7EB9045B" w:rsidR="005775E9" w:rsidRPr="00C819B9" w:rsidRDefault="005775E9" w:rsidP="00A63FD5">
            <w:pPr>
              <w:spacing w:before="40" w:after="120"/>
            </w:pPr>
            <w:r w:rsidRPr="00C819B9">
              <w:t>El gobierno de Australia Occidental invertirá más de 100 millones de dólares en la mejora de los servicios para jóvenes privados de libertad. Esta inversión se destinará, entre otras cosas a crear nuevas infraestructuras, contratar a más personal y ampliar los servicios de apoyo.</w:t>
            </w:r>
          </w:p>
        </w:tc>
      </w:tr>
      <w:tr w:rsidR="00A63FD5" w:rsidRPr="00C819B9" w14:paraId="24EE727C" w14:textId="77777777" w:rsidTr="005775E9">
        <w:trPr>
          <w:trHeight w:val="240"/>
        </w:trPr>
        <w:tc>
          <w:tcPr>
            <w:tcW w:w="1162" w:type="dxa"/>
            <w:tcBorders>
              <w:top w:val="nil"/>
              <w:bottom w:val="single" w:sz="12" w:space="0" w:color="auto"/>
            </w:tcBorders>
            <w:shd w:val="clear" w:color="auto" w:fill="auto"/>
          </w:tcPr>
          <w:p w14:paraId="2EE119C7" w14:textId="082890EA" w:rsidR="00C71514" w:rsidRPr="00C819B9" w:rsidRDefault="00C71514" w:rsidP="00A63FD5">
            <w:pPr>
              <w:spacing w:before="40" w:after="120"/>
              <w:rPr>
                <w:rFonts w:eastAsiaTheme="minorHAnsi"/>
              </w:rPr>
            </w:pPr>
          </w:p>
        </w:tc>
        <w:tc>
          <w:tcPr>
            <w:tcW w:w="6208" w:type="dxa"/>
            <w:tcBorders>
              <w:top w:val="nil"/>
              <w:bottom w:val="single" w:sz="12" w:space="0" w:color="auto"/>
            </w:tcBorders>
            <w:shd w:val="clear" w:color="auto" w:fill="auto"/>
            <w:tcMar>
              <w:right w:w="0" w:type="dxa"/>
            </w:tcMar>
          </w:tcPr>
          <w:p w14:paraId="70D0EF1D" w14:textId="77777777" w:rsidR="00C71514" w:rsidRPr="00C819B9" w:rsidRDefault="00C71514" w:rsidP="00A63FD5">
            <w:pPr>
              <w:spacing w:before="40" w:after="120"/>
              <w:rPr>
                <w:rFonts w:eastAsiaTheme="minorHAnsi"/>
              </w:rPr>
            </w:pPr>
            <w:r w:rsidRPr="00C819B9">
              <w:t>En Australia Occidental se ha desarrollado una nueva filosofía operacional y un nuevo modelo de servicio para el internamiento de menores, el cual se basa en las mejores prácticas de la justicia juvenil de todo el mundo y pone énfasis en la rehabilitación y la reducción de la reincidencia a través de un enfoque terapéutico que tiene en cuenta los traumas sufridos.</w:t>
            </w:r>
          </w:p>
          <w:p w14:paraId="1A721077" w14:textId="77777777" w:rsidR="00C71514" w:rsidRPr="00C819B9" w:rsidRDefault="00C71514" w:rsidP="00A63FD5">
            <w:pPr>
              <w:spacing w:before="40" w:after="120"/>
              <w:rPr>
                <w:rFonts w:eastAsiaTheme="minorHAnsi"/>
              </w:rPr>
            </w:pPr>
            <w:r w:rsidRPr="00C819B9">
              <w:t>Una medida reciente para mejorar la justicia juvenil es la realización de un estudio de las infraestructuras para determinar cuáles son las necesidades del estado en materia de privación de libertad de menores y evaluar la necesidad de crear nuevos centros.</w:t>
            </w:r>
          </w:p>
        </w:tc>
      </w:tr>
    </w:tbl>
    <w:p w14:paraId="6AAABCEF" w14:textId="2FEC1185" w:rsidR="00C71514" w:rsidRPr="00C819B9" w:rsidRDefault="00A63FD5" w:rsidP="00A63FD5">
      <w:pPr>
        <w:pStyle w:val="H23G"/>
        <w:rPr>
          <w:i/>
        </w:rPr>
      </w:pPr>
      <w:bookmarkStart w:id="13" w:name="_Toc157763286"/>
      <w:r w:rsidRPr="00C819B9">
        <w:tab/>
      </w:r>
      <w:r w:rsidR="00C71514" w:rsidRPr="00C819B9">
        <w:tab/>
        <w:t xml:space="preserve">Recomendación 32 b) </w:t>
      </w:r>
      <w:r w:rsidR="00C819B9" w:rsidRPr="00C819B9">
        <w:t>–</w:t>
      </w:r>
      <w:r w:rsidR="00C71514" w:rsidRPr="00C819B9">
        <w:t xml:space="preserve"> Falta de actividades recreativas y educativas</w:t>
      </w:r>
      <w:bookmarkEnd w:id="13"/>
    </w:p>
    <w:p w14:paraId="331F1E60" w14:textId="77777777" w:rsidR="00C71514" w:rsidRPr="00C819B9" w:rsidRDefault="00C71514" w:rsidP="00C71514">
      <w:pPr>
        <w:pStyle w:val="SingleTxtG"/>
      </w:pPr>
      <w:r w:rsidRPr="00C819B9">
        <w:t>51.</w:t>
      </w:r>
      <w:r w:rsidRPr="00C819B9">
        <w:tab/>
        <w:t>Adoptar urgentemente medidas prácticas para remediar la falta de actividades recreativas y educativas para fomentar la rehabilitación de los reclusos.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162"/>
        <w:gridCol w:w="6208"/>
      </w:tblGrid>
      <w:tr w:rsidR="00303902" w:rsidRPr="00C819B9" w14:paraId="2098E864" w14:textId="77777777" w:rsidTr="005775E9">
        <w:trPr>
          <w:trHeight w:val="240"/>
          <w:tblHeader/>
        </w:trPr>
        <w:tc>
          <w:tcPr>
            <w:tcW w:w="1162" w:type="dxa"/>
            <w:tcBorders>
              <w:top w:val="single" w:sz="4" w:space="0" w:color="auto"/>
              <w:bottom w:val="single" w:sz="12" w:space="0" w:color="auto"/>
            </w:tcBorders>
            <w:shd w:val="clear" w:color="auto" w:fill="auto"/>
            <w:vAlign w:val="bottom"/>
          </w:tcPr>
          <w:p w14:paraId="4BDD24E3" w14:textId="77777777" w:rsidR="00C71514" w:rsidRPr="00C819B9" w:rsidRDefault="00C71514" w:rsidP="00303902">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7DDCF466" w14:textId="77777777" w:rsidR="00C71514" w:rsidRPr="00C819B9" w:rsidRDefault="00C71514" w:rsidP="00303902">
            <w:pPr>
              <w:spacing w:before="80" w:after="80" w:line="200" w:lineRule="exact"/>
              <w:rPr>
                <w:rFonts w:eastAsiaTheme="minorHAnsi"/>
                <w:i/>
                <w:sz w:val="16"/>
              </w:rPr>
            </w:pPr>
            <w:r w:rsidRPr="00C819B9">
              <w:rPr>
                <w:i/>
                <w:sz w:val="16"/>
              </w:rPr>
              <w:t>Medidas adoptadas en el último año</w:t>
            </w:r>
          </w:p>
        </w:tc>
      </w:tr>
      <w:tr w:rsidR="00303902" w:rsidRPr="00C819B9" w14:paraId="1E17E47E" w14:textId="77777777" w:rsidTr="005775E9">
        <w:trPr>
          <w:trHeight w:hRule="exact" w:val="113"/>
          <w:tblHeader/>
        </w:trPr>
        <w:tc>
          <w:tcPr>
            <w:tcW w:w="1162" w:type="dxa"/>
            <w:tcBorders>
              <w:top w:val="single" w:sz="12" w:space="0" w:color="auto"/>
            </w:tcBorders>
            <w:shd w:val="clear" w:color="auto" w:fill="auto"/>
          </w:tcPr>
          <w:p w14:paraId="2517F735" w14:textId="77777777" w:rsidR="00C71514" w:rsidRPr="00C819B9" w:rsidRDefault="00C71514" w:rsidP="00303902">
            <w:pPr>
              <w:spacing w:before="40" w:after="120"/>
              <w:rPr>
                <w:rFonts w:eastAsiaTheme="minorHAnsi"/>
              </w:rPr>
            </w:pPr>
          </w:p>
        </w:tc>
        <w:tc>
          <w:tcPr>
            <w:tcW w:w="6208" w:type="dxa"/>
            <w:tcBorders>
              <w:top w:val="single" w:sz="12" w:space="0" w:color="auto"/>
            </w:tcBorders>
            <w:shd w:val="clear" w:color="auto" w:fill="auto"/>
            <w:tcMar>
              <w:right w:w="0" w:type="dxa"/>
            </w:tcMar>
          </w:tcPr>
          <w:p w14:paraId="23736C8B" w14:textId="77777777" w:rsidR="00C71514" w:rsidRPr="00C819B9" w:rsidRDefault="00C71514" w:rsidP="00303902">
            <w:pPr>
              <w:spacing w:before="40" w:after="120"/>
              <w:rPr>
                <w:rFonts w:eastAsiaTheme="minorHAnsi"/>
              </w:rPr>
            </w:pPr>
          </w:p>
        </w:tc>
      </w:tr>
      <w:tr w:rsidR="00303902" w:rsidRPr="00C819B9" w14:paraId="7E65B047" w14:textId="77777777" w:rsidTr="005775E9">
        <w:trPr>
          <w:trHeight w:val="240"/>
        </w:trPr>
        <w:tc>
          <w:tcPr>
            <w:tcW w:w="1162" w:type="dxa"/>
            <w:shd w:val="clear" w:color="auto" w:fill="auto"/>
          </w:tcPr>
          <w:p w14:paraId="15A58101" w14:textId="77777777" w:rsidR="00C71514" w:rsidRPr="00C819B9" w:rsidRDefault="00C71514" w:rsidP="00303902">
            <w:pPr>
              <w:spacing w:before="40" w:after="120"/>
              <w:rPr>
                <w:rFonts w:eastAsiaTheme="minorHAnsi"/>
              </w:rPr>
            </w:pPr>
            <w:r w:rsidRPr="00C819B9">
              <w:t>Nueva Gales del Sur</w:t>
            </w:r>
          </w:p>
        </w:tc>
        <w:tc>
          <w:tcPr>
            <w:tcW w:w="6208" w:type="dxa"/>
            <w:shd w:val="clear" w:color="auto" w:fill="auto"/>
            <w:tcMar>
              <w:right w:w="0" w:type="dxa"/>
            </w:tcMar>
          </w:tcPr>
          <w:p w14:paraId="0952C4EE" w14:textId="77777777" w:rsidR="00C71514" w:rsidRPr="00C819B9" w:rsidRDefault="00C71514" w:rsidP="00303902">
            <w:pPr>
              <w:spacing w:before="40" w:after="120"/>
              <w:rPr>
                <w:rFonts w:eastAsiaTheme="minorHAnsi"/>
              </w:rPr>
            </w:pPr>
            <w:r w:rsidRPr="00C819B9">
              <w:t>El Servicio Penitenciario de Nueva Gales del Sur está decidido a crear un entorno penitenciario que sea propicio a la rehabilitación y complemente la ejecución de los programas. Las funciones, las responsabilidades y la cultura institucional en los centros penitenciarios están orientadas hacia la rehabilitación, el abandono de las conductas delictivas y la progresión a lo largo de la condena.</w:t>
            </w:r>
          </w:p>
          <w:p w14:paraId="47598F77" w14:textId="77B72388" w:rsidR="00C71514" w:rsidRPr="00C819B9" w:rsidRDefault="00C71514" w:rsidP="00303902">
            <w:pPr>
              <w:spacing w:before="40" w:after="120"/>
              <w:rPr>
                <w:rFonts w:eastAsiaTheme="minorHAnsi"/>
              </w:rPr>
            </w:pPr>
            <w:r w:rsidRPr="00C819B9">
              <w:t>El personal penitenciario ha recibido, y sigue recibiendo, formación en las denominadas “intervenciones de cinco minutos”, cuyo propósito es motivar a los reclusos a rehabilitarse y convertir las conversaciones cotidianas en oportunidades de rehabilitación.</w:t>
            </w:r>
          </w:p>
          <w:p w14:paraId="51E19A20" w14:textId="77777777" w:rsidR="00C71514" w:rsidRPr="00C819B9" w:rsidRDefault="00C71514" w:rsidP="00303902">
            <w:pPr>
              <w:spacing w:before="40" w:after="120"/>
              <w:rPr>
                <w:rFonts w:eastAsiaTheme="minorHAnsi"/>
              </w:rPr>
            </w:pPr>
            <w:r w:rsidRPr="00C819B9">
              <w:t>Mediante la transformación de la rehabilitación del recluso a través de la tecnología digital, el Servicio Penitenciario de Nueva Gales del Sur quiere aumentar las oportunidades y dosis de intervención a través de la digitalización de servicios y programas, y proporcionarlos de forma que el recluso se sienta implicado y asuma una mayor responsabilidad.</w:t>
            </w:r>
          </w:p>
          <w:p w14:paraId="56E2ABEB" w14:textId="4D0E5381" w:rsidR="00C71514" w:rsidRPr="00C819B9" w:rsidRDefault="00C71514" w:rsidP="00303902">
            <w:pPr>
              <w:spacing w:before="40" w:after="120"/>
              <w:rPr>
                <w:rFonts w:eastAsiaTheme="minorHAnsi"/>
              </w:rPr>
            </w:pPr>
            <w:r w:rsidRPr="00C819B9">
              <w:t>A finales de diciembre de 2023, había 27 centros penitenciarios de gestión pública y 2 de gestión privada con tecnología intracelda. Este nivel de expansión ha sido posible gracias a recursos procedentes del fondo Digital</w:t>
            </w:r>
            <w:r w:rsidR="005775E9">
              <w:t> </w:t>
            </w:r>
            <w:r w:rsidRPr="00C819B9">
              <w:t>Restart del gobierno de Nueva Gales del Sur. Además, hay 1.200</w:t>
            </w:r>
            <w:r w:rsidR="005775E9">
              <w:t> </w:t>
            </w:r>
            <w:r w:rsidRPr="00C819B9">
              <w:t>dispositivos a disposición de los reclusos en el Centro Penitenciario de Clarence, financiados por el operador de dicho centro.</w:t>
            </w:r>
          </w:p>
          <w:p w14:paraId="50EA3E98" w14:textId="77777777" w:rsidR="00C71514" w:rsidRPr="00C819B9" w:rsidRDefault="00C71514" w:rsidP="00303902">
            <w:pPr>
              <w:spacing w:before="40" w:after="120"/>
              <w:rPr>
                <w:rFonts w:eastAsiaTheme="minorHAnsi"/>
              </w:rPr>
            </w:pPr>
            <w:r w:rsidRPr="00C819B9">
              <w:t>Una característica importante de la nueva tecnología es que permite al recluso mantener el contacto con familiares y amigos durante los períodos de permanencia obligatoria en la celda, los contactos de carácter jurídico y los servicios autorizados, a través de tabletas electrónicas.</w:t>
            </w:r>
          </w:p>
          <w:p w14:paraId="45704075" w14:textId="77777777" w:rsidR="00C71514" w:rsidRPr="00C819B9" w:rsidRDefault="00C71514" w:rsidP="00303902">
            <w:pPr>
              <w:spacing w:before="40" w:after="120"/>
              <w:rPr>
                <w:rFonts w:eastAsiaTheme="minorHAnsi"/>
              </w:rPr>
            </w:pPr>
            <w:r w:rsidRPr="00C819B9">
              <w:t>Además, hay 800 televisores adicionales con protocolo de Internet en los centros de construcción rápida de Macquarie y Hunter.</w:t>
            </w:r>
          </w:p>
        </w:tc>
      </w:tr>
      <w:tr w:rsidR="00303902" w:rsidRPr="00C819B9" w14:paraId="3D7BBB2D" w14:textId="77777777" w:rsidTr="005775E9">
        <w:trPr>
          <w:trHeight w:val="240"/>
        </w:trPr>
        <w:tc>
          <w:tcPr>
            <w:tcW w:w="1162" w:type="dxa"/>
            <w:shd w:val="clear" w:color="auto" w:fill="auto"/>
          </w:tcPr>
          <w:p w14:paraId="1E288397" w14:textId="77777777" w:rsidR="00C71514" w:rsidRPr="00C819B9" w:rsidRDefault="00C71514" w:rsidP="00303902">
            <w:pPr>
              <w:spacing w:before="40" w:after="120"/>
              <w:rPr>
                <w:rFonts w:eastAsiaTheme="minorHAnsi"/>
              </w:rPr>
            </w:pPr>
            <w:r w:rsidRPr="00C819B9">
              <w:t>Territorio del Norte</w:t>
            </w:r>
          </w:p>
        </w:tc>
        <w:tc>
          <w:tcPr>
            <w:tcW w:w="6208" w:type="dxa"/>
            <w:shd w:val="clear" w:color="auto" w:fill="auto"/>
            <w:tcMar>
              <w:right w:w="0" w:type="dxa"/>
            </w:tcMar>
          </w:tcPr>
          <w:p w14:paraId="134CEBA2" w14:textId="77777777" w:rsidR="00C71514" w:rsidRPr="00C819B9" w:rsidRDefault="00C71514" w:rsidP="00303902">
            <w:pPr>
              <w:spacing w:before="40" w:after="120"/>
              <w:rPr>
                <w:rFonts w:eastAsiaTheme="minorHAnsi"/>
              </w:rPr>
            </w:pPr>
            <w:r w:rsidRPr="00C819B9">
              <w:t>El Servicio Penitenciario del Territorio del Norte sigue invirtiendo en programas, educación y empleo para aumentar el potencial de reintegración y minimizar el riesgo de reincidencia en adultos.</w:t>
            </w:r>
          </w:p>
          <w:p w14:paraId="08F86D0A" w14:textId="77777777" w:rsidR="00C71514" w:rsidRPr="00C819B9" w:rsidRDefault="00C71514" w:rsidP="00303902">
            <w:pPr>
              <w:spacing w:before="40" w:after="120"/>
              <w:rPr>
                <w:rFonts w:eastAsiaTheme="minorHAnsi"/>
              </w:rPr>
            </w:pPr>
            <w:r w:rsidRPr="00C819B9">
              <w:t>Las nuevas instalaciones de los centros de detención de menores incluirán nuevos centros de aprendizaje centrados en la educación, la formación y el desarrollo de aptitudes profesionales.</w:t>
            </w:r>
          </w:p>
        </w:tc>
      </w:tr>
      <w:tr w:rsidR="00303902" w:rsidRPr="00C819B9" w14:paraId="65DC473A" w14:textId="77777777" w:rsidTr="005775E9">
        <w:trPr>
          <w:trHeight w:val="240"/>
        </w:trPr>
        <w:tc>
          <w:tcPr>
            <w:tcW w:w="1162" w:type="dxa"/>
            <w:shd w:val="clear" w:color="auto" w:fill="auto"/>
          </w:tcPr>
          <w:p w14:paraId="4EC87D12" w14:textId="77777777" w:rsidR="00C71514" w:rsidRPr="00C819B9" w:rsidRDefault="00C71514" w:rsidP="00303902">
            <w:pPr>
              <w:spacing w:before="40" w:after="120"/>
              <w:rPr>
                <w:rFonts w:eastAsiaTheme="minorHAnsi"/>
              </w:rPr>
            </w:pPr>
            <w:r w:rsidRPr="00C819B9">
              <w:lastRenderedPageBreak/>
              <w:t>Victoria</w:t>
            </w:r>
          </w:p>
        </w:tc>
        <w:tc>
          <w:tcPr>
            <w:tcW w:w="6208" w:type="dxa"/>
            <w:shd w:val="clear" w:color="auto" w:fill="auto"/>
            <w:tcMar>
              <w:right w:w="0" w:type="dxa"/>
            </w:tcMar>
          </w:tcPr>
          <w:p w14:paraId="7C72FF91" w14:textId="77777777" w:rsidR="00C71514" w:rsidRPr="00C819B9" w:rsidRDefault="00C71514" w:rsidP="005775E9">
            <w:pPr>
              <w:keepNext/>
              <w:keepLines/>
              <w:spacing w:before="40" w:after="120"/>
              <w:rPr>
                <w:rFonts w:eastAsiaTheme="minorHAnsi"/>
              </w:rPr>
            </w:pPr>
            <w:r w:rsidRPr="00C819B9">
              <w:t>En Victoria se llevó a cabo un proyecto de abril a julio de 2023 para estudiar las oportunidades profesionales de los residentes adscritos a los servicios forenses para personas con discapacidad en entorno seguro y se ha obtenido financiación para crear en el centro una cocina de uso comercial con el fin de promover la educación y la formación.</w:t>
            </w:r>
          </w:p>
          <w:p w14:paraId="62C34A52" w14:textId="77777777" w:rsidR="00C71514" w:rsidRPr="00C819B9" w:rsidRDefault="00C71514" w:rsidP="00303902">
            <w:pPr>
              <w:spacing w:before="40" w:after="120"/>
              <w:rPr>
                <w:rFonts w:eastAsiaTheme="minorHAnsi"/>
              </w:rPr>
            </w:pPr>
            <w:r w:rsidRPr="00C819B9">
              <w:t>Las inversiones en educación, formación y desarrollo de itinerarios laborales en el sistema penitenciario de adultos de Victoria proporcionan a los reclusos los conocimientos necesarios para conseguir y conservar un empleo tras su puesta en libertad.</w:t>
            </w:r>
          </w:p>
          <w:p w14:paraId="79071450" w14:textId="3F61024B" w:rsidR="00C71514" w:rsidRPr="00C819B9" w:rsidRDefault="00C71514" w:rsidP="00303902">
            <w:pPr>
              <w:spacing w:before="40" w:after="120"/>
              <w:rPr>
                <w:rFonts w:eastAsiaTheme="minorHAnsi"/>
              </w:rPr>
            </w:pPr>
            <w:r w:rsidRPr="00C819B9">
              <w:t>Se alienta a toda la población reclusa a participar en programas de educación y formación profesional. A 30 de junio de 2023, el 31 % de las personas recluidas en Victoria que cumplían los requisitos para ello participaban en actividades de educación y formación.</w:t>
            </w:r>
          </w:p>
          <w:p w14:paraId="1FA329D1" w14:textId="198866F5" w:rsidR="00C71514" w:rsidRPr="00C819B9" w:rsidRDefault="00C71514" w:rsidP="00303902">
            <w:pPr>
              <w:spacing w:before="40" w:after="120"/>
              <w:rPr>
                <w:rFonts w:eastAsiaTheme="minorHAnsi"/>
              </w:rPr>
            </w:pPr>
            <w:r w:rsidRPr="00C819B9">
              <w:t>Los servicios de rehabilitación del sistema penitenciario de Victoria incluyen programas contra el alcoholismo y la drogadicción; servicios especializados de salud mental; programas para la modificación de conductas delictivas y lucha contra la violencia familiar; programas culturales, de relación con la familia y de crianza de los hijos</w:t>
            </w:r>
            <w:r w:rsidR="00E3703E">
              <w:t>;</w:t>
            </w:r>
            <w:r w:rsidRPr="00C819B9">
              <w:t xml:space="preserve"> servicios de transición previos y posteriores a la puesta en libertad; y tratamiento de casos para impulsar a los reclusos a participar en actividades que reduzcan la reincidencia. Hay programas de transición y reinserción, por ejemplo programas de empleo, vivienda y algunos programas sobre drogas y alcohol, a disposición tanto de los presos preventivos como de los condenados, y se basan en una evaluación de las necesidades de reinserción. Todas las prisiones cuentan con funcionarios de recreo que se ocupan de las actividades estructuradas cotidianas de los reclusos.</w:t>
            </w:r>
          </w:p>
          <w:p w14:paraId="5187E801" w14:textId="77777777" w:rsidR="00C71514" w:rsidRPr="00C819B9" w:rsidRDefault="00C71514" w:rsidP="00303902">
            <w:pPr>
              <w:spacing w:before="40" w:after="120"/>
              <w:rPr>
                <w:rFonts w:eastAsiaTheme="minorHAnsi"/>
              </w:rPr>
            </w:pPr>
            <w:r w:rsidRPr="00C819B9">
              <w:t>El Servicio de Justicia Juvenil de Victoria sigue ofreciendo actividades educativas y recreativas para niños y jóvenes a través de una jornada totalmente estructurada. La jornada estructurada comprende una mezcla de visitas, programas y tratamientos adaptados a la infracción cometida, comparecencias ante el tribunal, actividades ligadas al tratamiento de cada caso, interacciones con diversos profesionales de atención primaria y de salud mental, programas de ocio y un horario que ofrece hasta seis horas de actividades educativas.</w:t>
            </w:r>
          </w:p>
        </w:tc>
      </w:tr>
      <w:tr w:rsidR="00303902" w:rsidRPr="00C819B9" w14:paraId="33DF31FB" w14:textId="77777777" w:rsidTr="005775E9">
        <w:trPr>
          <w:trHeight w:val="240"/>
        </w:trPr>
        <w:tc>
          <w:tcPr>
            <w:tcW w:w="1162" w:type="dxa"/>
            <w:tcBorders>
              <w:bottom w:val="single" w:sz="12" w:space="0" w:color="auto"/>
            </w:tcBorders>
            <w:shd w:val="clear" w:color="auto" w:fill="auto"/>
          </w:tcPr>
          <w:p w14:paraId="4EA5663E" w14:textId="77777777" w:rsidR="00C71514" w:rsidRPr="00C819B9" w:rsidRDefault="00C71514" w:rsidP="00303902">
            <w:pPr>
              <w:spacing w:before="40" w:after="120"/>
              <w:rPr>
                <w:rFonts w:eastAsiaTheme="minorHAnsi"/>
              </w:rPr>
            </w:pPr>
            <w:r w:rsidRPr="00C819B9">
              <w:t>Australia Occidental</w:t>
            </w:r>
          </w:p>
        </w:tc>
        <w:tc>
          <w:tcPr>
            <w:tcW w:w="6208" w:type="dxa"/>
            <w:tcBorders>
              <w:bottom w:val="single" w:sz="12" w:space="0" w:color="auto"/>
            </w:tcBorders>
            <w:shd w:val="clear" w:color="auto" w:fill="auto"/>
            <w:tcMar>
              <w:right w:w="0" w:type="dxa"/>
            </w:tcMar>
          </w:tcPr>
          <w:p w14:paraId="3A504120" w14:textId="77777777" w:rsidR="00C71514" w:rsidRPr="00C819B9" w:rsidRDefault="00C71514" w:rsidP="00303902">
            <w:pPr>
              <w:spacing w:before="40" w:after="120"/>
              <w:rPr>
                <w:rFonts w:eastAsiaTheme="minorHAnsi"/>
              </w:rPr>
            </w:pPr>
            <w:r w:rsidRPr="00C819B9">
              <w:t>La incorporación de un nuevo grupo de mentores aborígenes mejorará la justicia juvenil y resultará de ayuda para los detenidos y el personal. Esto incluye medidas de apoyo adicionales a través de la recién creada Unidad de Servicios Aborígenes, que organiza iniciativas culturalmente adaptadas para los jóvenes detenidos, en colaboración con integrantes de la población aborigen y las organizaciones controladas por la comunidad aborigen. Otras medidas incluyen clases educativas, programas especiales de música y deporte para jóvenes, así como cursos de formación profesional en hostelería, carpintería, pintura y fontanería, cursos para servicios de emergencia, adiestramiento para cadetes del ejército australiano y aprendizaje de lenguas aborígenes.</w:t>
            </w:r>
          </w:p>
        </w:tc>
      </w:tr>
    </w:tbl>
    <w:p w14:paraId="148D3D5B" w14:textId="6A839D5C" w:rsidR="00C71514" w:rsidRPr="00C819B9" w:rsidRDefault="00303902" w:rsidP="00303902">
      <w:pPr>
        <w:pStyle w:val="H23G"/>
        <w:rPr>
          <w:i/>
        </w:rPr>
      </w:pPr>
      <w:bookmarkStart w:id="14" w:name="_Toc157763287"/>
      <w:r w:rsidRPr="00C819B9">
        <w:tab/>
      </w:r>
      <w:r w:rsidR="00C71514" w:rsidRPr="00C819B9">
        <w:tab/>
        <w:t xml:space="preserve">Recomendación 32 c) </w:t>
      </w:r>
      <w:r w:rsidR="00C819B9" w:rsidRPr="00C819B9">
        <w:t>–</w:t>
      </w:r>
      <w:r w:rsidR="00C71514" w:rsidRPr="00C819B9">
        <w:t xml:space="preserve"> Servicios médicos</w:t>
      </w:r>
      <w:bookmarkEnd w:id="14"/>
    </w:p>
    <w:p w14:paraId="0977975D" w14:textId="779791E0" w:rsidR="00C71514" w:rsidRPr="00C819B9" w:rsidRDefault="00C71514" w:rsidP="00C71514">
      <w:pPr>
        <w:pStyle w:val="SingleTxtG"/>
      </w:pPr>
      <w:r w:rsidRPr="00C819B9">
        <w:t>52.</w:t>
      </w:r>
      <w:r w:rsidRPr="00C819B9">
        <w:tab/>
        <w:t>Mejorar la prestación a todas las personas privadas de libertad de servicios médicos específicos en función de su género y edad, en particular a las personas con discapacidad intelectual o psicosocial</w:t>
      </w:r>
      <w:r w:rsidR="00C819B9" w:rsidRPr="00C819B9">
        <w:t>.</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162"/>
        <w:gridCol w:w="6208"/>
      </w:tblGrid>
      <w:tr w:rsidR="00C819B9" w:rsidRPr="00C819B9" w14:paraId="03DC61C2" w14:textId="77777777" w:rsidTr="005775E9">
        <w:trPr>
          <w:trHeight w:val="240"/>
          <w:tblHeader/>
        </w:trPr>
        <w:tc>
          <w:tcPr>
            <w:tcW w:w="1162" w:type="dxa"/>
            <w:tcBorders>
              <w:top w:val="single" w:sz="4" w:space="0" w:color="auto"/>
              <w:bottom w:val="single" w:sz="12" w:space="0" w:color="auto"/>
            </w:tcBorders>
            <w:shd w:val="clear" w:color="auto" w:fill="auto"/>
            <w:vAlign w:val="bottom"/>
          </w:tcPr>
          <w:p w14:paraId="4BF69351" w14:textId="77777777" w:rsidR="00C71514" w:rsidRPr="00C819B9" w:rsidRDefault="00C71514" w:rsidP="00C819B9">
            <w:pPr>
              <w:spacing w:before="80" w:after="80" w:line="200" w:lineRule="exact"/>
              <w:rPr>
                <w:rFonts w:eastAsiaTheme="minorHAnsi"/>
                <w:i/>
                <w:sz w:val="16"/>
              </w:rPr>
            </w:pPr>
            <w:r w:rsidRPr="00C819B9">
              <w:rPr>
                <w:i/>
                <w:sz w:val="16"/>
              </w:rPr>
              <w:lastRenderedPageBreak/>
              <w:t>Jurisdicción</w:t>
            </w:r>
          </w:p>
        </w:tc>
        <w:tc>
          <w:tcPr>
            <w:tcW w:w="6208" w:type="dxa"/>
            <w:tcBorders>
              <w:top w:val="single" w:sz="4" w:space="0" w:color="auto"/>
              <w:bottom w:val="single" w:sz="12" w:space="0" w:color="auto"/>
            </w:tcBorders>
            <w:shd w:val="clear" w:color="auto" w:fill="auto"/>
            <w:tcMar>
              <w:right w:w="0" w:type="dxa"/>
            </w:tcMar>
            <w:vAlign w:val="bottom"/>
          </w:tcPr>
          <w:p w14:paraId="4D7E5DAC"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02117DBF" w14:textId="77777777" w:rsidTr="005775E9">
        <w:trPr>
          <w:trHeight w:hRule="exact" w:val="113"/>
          <w:tblHeader/>
        </w:trPr>
        <w:tc>
          <w:tcPr>
            <w:tcW w:w="1162" w:type="dxa"/>
            <w:tcBorders>
              <w:top w:val="single" w:sz="12" w:space="0" w:color="auto"/>
            </w:tcBorders>
            <w:shd w:val="clear" w:color="auto" w:fill="auto"/>
          </w:tcPr>
          <w:p w14:paraId="389F13E3"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49CABF16" w14:textId="77777777" w:rsidR="00C71514" w:rsidRPr="00C819B9" w:rsidRDefault="00C71514" w:rsidP="00C819B9">
            <w:pPr>
              <w:spacing w:before="40" w:after="120"/>
              <w:rPr>
                <w:rFonts w:eastAsiaTheme="minorHAnsi"/>
              </w:rPr>
            </w:pPr>
          </w:p>
        </w:tc>
      </w:tr>
      <w:tr w:rsidR="00C819B9" w:rsidRPr="00C819B9" w14:paraId="0A48AD48" w14:textId="77777777" w:rsidTr="005775E9">
        <w:trPr>
          <w:trHeight w:val="240"/>
        </w:trPr>
        <w:tc>
          <w:tcPr>
            <w:tcW w:w="1162" w:type="dxa"/>
            <w:shd w:val="clear" w:color="auto" w:fill="auto"/>
          </w:tcPr>
          <w:p w14:paraId="7411B830" w14:textId="77777777" w:rsidR="00C71514" w:rsidRPr="00C819B9" w:rsidRDefault="00C71514" w:rsidP="00C819B9">
            <w:pPr>
              <w:spacing w:before="40" w:after="120"/>
              <w:rPr>
                <w:rFonts w:eastAsiaTheme="minorHAnsi"/>
              </w:rPr>
            </w:pPr>
            <w:r w:rsidRPr="00C819B9">
              <w:t>Territorio de la Capital de Australia</w:t>
            </w:r>
          </w:p>
        </w:tc>
        <w:tc>
          <w:tcPr>
            <w:tcW w:w="6208" w:type="dxa"/>
            <w:shd w:val="clear" w:color="auto" w:fill="auto"/>
            <w:tcMar>
              <w:right w:w="0" w:type="dxa"/>
            </w:tcMar>
          </w:tcPr>
          <w:p w14:paraId="66D4054B" w14:textId="77777777" w:rsidR="00C71514" w:rsidRPr="00C819B9" w:rsidRDefault="00C71514" w:rsidP="00C819B9">
            <w:pPr>
              <w:spacing w:before="40" w:after="120"/>
              <w:rPr>
                <w:rFonts w:eastAsiaTheme="minorHAnsi"/>
              </w:rPr>
            </w:pPr>
            <w:r w:rsidRPr="00C819B9">
              <w:t>Como parte de su compromiso con una atención sanitaria adecuada en los centros penitenciarios, el gobierno del Territorio de la Capital de Australia puso en marcha en agosto de 2023 la Estrategia de Salud y Bienestar de la Población Reclusa.</w:t>
            </w:r>
          </w:p>
          <w:p w14:paraId="6EDC08C0" w14:textId="030279B2" w:rsidR="00C71514" w:rsidRPr="00C819B9" w:rsidRDefault="00C71514" w:rsidP="00C819B9">
            <w:pPr>
              <w:spacing w:before="40" w:after="120"/>
              <w:rPr>
                <w:rFonts w:eastAsiaTheme="minorHAnsi"/>
              </w:rPr>
            </w:pPr>
            <w:r w:rsidRPr="00C819B9">
              <w:t xml:space="preserve">Se están actualizando las políticas vigentes de admisión y orientación inicial y en breve se publicarán una política y unos procedimientos más completos que reflejen los cambios que se están introduciendo en el </w:t>
            </w:r>
            <w:r w:rsidR="006E282F" w:rsidRPr="00C819B9">
              <w:t>Marco Integrado para el Tratamiento de los Infractores</w:t>
            </w:r>
            <w:r w:rsidRPr="00C819B9">
              <w:t>.</w:t>
            </w:r>
          </w:p>
        </w:tc>
      </w:tr>
      <w:tr w:rsidR="00C819B9" w:rsidRPr="00C819B9" w14:paraId="27188CFD" w14:textId="77777777" w:rsidTr="005775E9">
        <w:trPr>
          <w:trHeight w:val="240"/>
        </w:trPr>
        <w:tc>
          <w:tcPr>
            <w:tcW w:w="1162" w:type="dxa"/>
            <w:shd w:val="clear" w:color="auto" w:fill="auto"/>
          </w:tcPr>
          <w:p w14:paraId="212C5CA1"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3DEA4C2E" w14:textId="77777777" w:rsidR="00C71514" w:rsidRPr="00C819B9" w:rsidRDefault="00C71514" w:rsidP="00C819B9">
            <w:pPr>
              <w:spacing w:before="40" w:after="120"/>
              <w:rPr>
                <w:rFonts w:eastAsiaTheme="minorHAnsi"/>
              </w:rPr>
            </w:pPr>
            <w:r w:rsidRPr="00C819B9">
              <w:t>Nueva Gales del Sur cuenta con dos nuevos servicios para jóvenes relativos a la fetopatía alcohólica: servicios de diagnosis prioritaria de la fetopatía alcohólica para jóvenes en contacto con el Tribunal Koori de Menores; y un servicio de derivación para jóvenes residentes fuera del área metropolitana de Nueva Gales del Sur sospechosos de padecer fetopatía alcohólica, y para jóvenes en situación de riesgo en general.</w:t>
            </w:r>
          </w:p>
          <w:p w14:paraId="60794352" w14:textId="77777777" w:rsidR="00C71514" w:rsidRPr="00C819B9" w:rsidRDefault="00C71514" w:rsidP="00C819B9">
            <w:pPr>
              <w:spacing w:before="40" w:after="120"/>
              <w:rPr>
                <w:rFonts w:eastAsiaTheme="minorHAnsi"/>
              </w:rPr>
            </w:pPr>
            <w:r w:rsidRPr="00C819B9">
              <w:t>Está en fase de prueba una herramienta de evaluación específicamente orientada a las mujeres que cometen delitos sexuales, la cual identifica mejor las necesidades de estas personas que tienen que ver con la comisión de delitos sexuales, lo cual permite diseñar planes de tratamiento mejor adaptados desde el punto de vista del género.</w:t>
            </w:r>
          </w:p>
        </w:tc>
      </w:tr>
      <w:tr w:rsidR="00C819B9" w:rsidRPr="00C819B9" w14:paraId="69EC93EA" w14:textId="77777777" w:rsidTr="005775E9">
        <w:trPr>
          <w:trHeight w:val="240"/>
        </w:trPr>
        <w:tc>
          <w:tcPr>
            <w:tcW w:w="1162" w:type="dxa"/>
            <w:shd w:val="clear" w:color="auto" w:fill="auto"/>
          </w:tcPr>
          <w:p w14:paraId="73E58479" w14:textId="77777777" w:rsidR="00C71514" w:rsidRPr="00C819B9" w:rsidRDefault="00C71514" w:rsidP="00C819B9">
            <w:pPr>
              <w:spacing w:before="40" w:after="120"/>
              <w:rPr>
                <w:rFonts w:eastAsiaTheme="minorHAnsi"/>
              </w:rPr>
            </w:pPr>
            <w:r w:rsidRPr="00C819B9">
              <w:t>Territorio del Norte</w:t>
            </w:r>
          </w:p>
        </w:tc>
        <w:tc>
          <w:tcPr>
            <w:tcW w:w="6208" w:type="dxa"/>
            <w:shd w:val="clear" w:color="auto" w:fill="auto"/>
            <w:tcMar>
              <w:right w:w="0" w:type="dxa"/>
            </w:tcMar>
          </w:tcPr>
          <w:p w14:paraId="4718097F" w14:textId="77777777" w:rsidR="00C71514" w:rsidRPr="00C819B9" w:rsidRDefault="00C71514" w:rsidP="00C819B9">
            <w:pPr>
              <w:spacing w:before="40" w:after="120"/>
              <w:rPr>
                <w:rFonts w:eastAsiaTheme="minorHAnsi"/>
              </w:rPr>
            </w:pPr>
            <w:r w:rsidRPr="00C819B9">
              <w:t>El gobierno del Territorio del Norte ha introducido un puesto de profesional de enfermería para enfermedades crónicas y ha nombrado a dos profesionales de la salud aborigen para la población adulta.</w:t>
            </w:r>
          </w:p>
          <w:p w14:paraId="00312A94" w14:textId="3D437892" w:rsidR="00C71514" w:rsidRPr="00C819B9" w:rsidRDefault="00C71514" w:rsidP="00C819B9">
            <w:pPr>
              <w:spacing w:before="40" w:after="120"/>
              <w:rPr>
                <w:rFonts w:eastAsiaTheme="minorHAnsi"/>
              </w:rPr>
            </w:pPr>
            <w:r w:rsidRPr="00C819B9">
              <w:t>También se ha creado un equipo de salud mental de respuesta conjunta para aumentar el acceso directo a las funciones de evaluación de la salud mental en calabozos policiales y en la comunidad. Por respuesta conjunta se entiende la colaboración entre la policía, St. John Ambulance y el servicio de salud del Territorio del Norte, la cual permite proporciona</w:t>
            </w:r>
            <w:r w:rsidR="00CE14A5">
              <w:t>r</w:t>
            </w:r>
            <w:r w:rsidRPr="00C819B9">
              <w:t xml:space="preserve"> apoyo e intervenciones a personas de todas las edades y procedencias.</w:t>
            </w:r>
          </w:p>
          <w:p w14:paraId="793B1048" w14:textId="77777777" w:rsidR="00C71514" w:rsidRPr="00C819B9" w:rsidRDefault="00C71514" w:rsidP="00C819B9">
            <w:pPr>
              <w:spacing w:before="40" w:after="120"/>
              <w:rPr>
                <w:rFonts w:eastAsiaTheme="minorHAnsi"/>
              </w:rPr>
            </w:pPr>
            <w:r w:rsidRPr="00C819B9">
              <w:t>El Territorio del Norte está estudiando opciones para obtener financiación del Commonwealth para un programa piloto sobre la discapacidad destinado a aumentar el apoyo prestado por el Sistema Nacional de Seguro por Discapacidad en el ámbito penitenciario.</w:t>
            </w:r>
          </w:p>
        </w:tc>
      </w:tr>
      <w:tr w:rsidR="00C819B9" w:rsidRPr="00C819B9" w14:paraId="51AB02DB" w14:textId="77777777" w:rsidTr="005775E9">
        <w:trPr>
          <w:trHeight w:val="240"/>
        </w:trPr>
        <w:tc>
          <w:tcPr>
            <w:tcW w:w="1162" w:type="dxa"/>
            <w:shd w:val="clear" w:color="auto" w:fill="auto"/>
          </w:tcPr>
          <w:p w14:paraId="33F366AE"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1BB6DF8E" w14:textId="77777777" w:rsidR="00C71514" w:rsidRPr="00C819B9" w:rsidRDefault="00C71514" w:rsidP="00C819B9">
            <w:pPr>
              <w:spacing w:before="40" w:after="120"/>
              <w:rPr>
                <w:rFonts w:eastAsiaTheme="minorHAnsi"/>
              </w:rPr>
            </w:pPr>
            <w:r w:rsidRPr="00C819B9">
              <w:t>El gobierno de Queensland está elaborando una estrategia pangubernamental para las mujeres y niñas en contacto con el sistema de justicia penal como acusadas e infractoras, que incorporará un enfoque de salud pública.</w:t>
            </w:r>
          </w:p>
        </w:tc>
      </w:tr>
      <w:tr w:rsidR="00C819B9" w:rsidRPr="00C819B9" w14:paraId="0B5C0161" w14:textId="77777777" w:rsidTr="005775E9">
        <w:trPr>
          <w:trHeight w:val="240"/>
        </w:trPr>
        <w:tc>
          <w:tcPr>
            <w:tcW w:w="1162" w:type="dxa"/>
            <w:shd w:val="clear" w:color="auto" w:fill="auto"/>
          </w:tcPr>
          <w:p w14:paraId="28997536" w14:textId="77777777" w:rsidR="00C71514" w:rsidRPr="00C819B9" w:rsidRDefault="00C71514" w:rsidP="00C819B9">
            <w:pPr>
              <w:spacing w:before="40" w:after="120"/>
              <w:rPr>
                <w:rFonts w:eastAsiaTheme="minorHAnsi"/>
              </w:rPr>
            </w:pPr>
            <w:r w:rsidRPr="00C819B9">
              <w:t>Australia Meridional</w:t>
            </w:r>
          </w:p>
        </w:tc>
        <w:tc>
          <w:tcPr>
            <w:tcW w:w="6208" w:type="dxa"/>
            <w:shd w:val="clear" w:color="auto" w:fill="auto"/>
            <w:tcMar>
              <w:right w:w="0" w:type="dxa"/>
            </w:tcMar>
          </w:tcPr>
          <w:p w14:paraId="22325071" w14:textId="77777777" w:rsidR="00C71514" w:rsidRPr="00C819B9" w:rsidRDefault="00C71514" w:rsidP="00C819B9">
            <w:pPr>
              <w:spacing w:before="40" w:after="120"/>
              <w:rPr>
                <w:rFonts w:eastAsiaTheme="minorHAnsi"/>
              </w:rPr>
            </w:pPr>
            <w:r w:rsidRPr="00C819B9">
              <w:t>El gobierno de Australia Meridional abrirá una nueva unidad de apoyo mejorada, es decir, una unidad residencial de 12 camas en la que aplicará un modelo de servicio que tiene por objeto mejorar la atención prestada a los niños y jóvenes con necesidades más complejas, incluidas las relacionadas con la discapacidad.</w:t>
            </w:r>
          </w:p>
          <w:p w14:paraId="7F44BEE3" w14:textId="6D03546C" w:rsidR="00C71514" w:rsidRPr="00C819B9" w:rsidRDefault="00C71514" w:rsidP="00C819B9">
            <w:pPr>
              <w:spacing w:before="40" w:after="120"/>
              <w:rPr>
                <w:rFonts w:eastAsiaTheme="minorHAnsi"/>
              </w:rPr>
            </w:pPr>
            <w:r w:rsidRPr="00C819B9">
              <w:t>Los Servicios Terapéuticos de Justicia Juvenil del Departamento de Servicios Humanos ofrecen evaluación especializada, apoyo individualizado y servicios de derivación para niños y jóvenes con discapacidad y necesidades complejas relacionadas con su discapacidad. Los médicos colaboran estrechamente con los organismos asociados, como el Servicio de Salud y el Servicio de Salud Mental Infantil y Adolescente de Australia Meridional. En</w:t>
            </w:r>
            <w:r w:rsidR="005775E9">
              <w:t> </w:t>
            </w:r>
            <w:r w:rsidRPr="00C819B9">
              <w:t>2022</w:t>
            </w:r>
            <w:r w:rsidR="00F03E20">
              <w:t>/</w:t>
            </w:r>
            <w:r w:rsidRPr="00C819B9">
              <w:t>23, el Departamento de Servicios Humanos financió el Equipo de Apoyo Mejorado dependiente de los Servicios Terapéuticos de Justicia Juvenil, encargado de prestar servicios de manera continuada en el Centro de Justicia Juvenil Kurlana Tapa para atender mejor a los jóvenes con necesidades complejas relacionadas con su discapacidad o salud mental.</w:t>
            </w:r>
          </w:p>
        </w:tc>
      </w:tr>
      <w:tr w:rsidR="00C819B9" w:rsidRPr="00C819B9" w14:paraId="26303D39" w14:textId="77777777" w:rsidTr="005775E9">
        <w:trPr>
          <w:trHeight w:val="240"/>
        </w:trPr>
        <w:tc>
          <w:tcPr>
            <w:tcW w:w="1162" w:type="dxa"/>
            <w:shd w:val="clear" w:color="auto" w:fill="auto"/>
          </w:tcPr>
          <w:p w14:paraId="63ADA3E7" w14:textId="77777777" w:rsidR="00C71514" w:rsidRPr="00C819B9" w:rsidRDefault="00C71514" w:rsidP="00C819B9">
            <w:pPr>
              <w:spacing w:before="40" w:after="120"/>
              <w:rPr>
                <w:rFonts w:eastAsiaTheme="minorHAnsi"/>
              </w:rPr>
            </w:pPr>
            <w:r w:rsidRPr="00C819B9">
              <w:lastRenderedPageBreak/>
              <w:t>Victoria</w:t>
            </w:r>
          </w:p>
        </w:tc>
        <w:tc>
          <w:tcPr>
            <w:tcW w:w="6208" w:type="dxa"/>
            <w:shd w:val="clear" w:color="auto" w:fill="auto"/>
            <w:tcMar>
              <w:right w:w="0" w:type="dxa"/>
            </w:tcMar>
          </w:tcPr>
          <w:p w14:paraId="1775C191" w14:textId="77777777" w:rsidR="00C71514" w:rsidRPr="00C819B9" w:rsidRDefault="00C71514" w:rsidP="00C819B9">
            <w:pPr>
              <w:spacing w:before="40" w:after="120"/>
              <w:rPr>
                <w:rFonts w:eastAsiaTheme="minorHAnsi"/>
              </w:rPr>
            </w:pPr>
            <w:r w:rsidRPr="00C819B9">
              <w:t>Se está promoviendo la introducción de mejoras en la infraestructura de los servicios forenses para personas con discapacidad en entorno seguro de Victoria.</w:t>
            </w:r>
          </w:p>
          <w:p w14:paraId="1B8F99B1" w14:textId="77777777" w:rsidR="00C71514" w:rsidRPr="00C819B9" w:rsidRDefault="00C71514" w:rsidP="00C819B9">
            <w:pPr>
              <w:spacing w:before="40" w:after="120"/>
              <w:rPr>
                <w:rFonts w:eastAsiaTheme="minorHAnsi"/>
              </w:rPr>
            </w:pPr>
            <w:r w:rsidRPr="00C819B9">
              <w:t>El nuevo centro de Cherry Creek incorpora una Comunidad de Intervención Intensiva que ofrece medidas de intervención y apoyo adaptadas a los jóvenes privados de libertad que presentan comportamientos de alto riesgo, así como una unidad especializada en salud mental que constituye un espacio terapéutico con evaluaciones voluntarias, tratamientos y apoyo más intensivos a los jóvenes que presentan problemas de salud mental no agudos.</w:t>
            </w:r>
          </w:p>
          <w:p w14:paraId="6F07CFBF" w14:textId="77777777" w:rsidR="00C71514" w:rsidRPr="00C819B9" w:rsidRDefault="00C71514" w:rsidP="00C819B9">
            <w:pPr>
              <w:spacing w:before="40" w:after="120"/>
              <w:rPr>
                <w:rFonts w:eastAsiaTheme="minorHAnsi"/>
              </w:rPr>
            </w:pPr>
            <w:r w:rsidRPr="00C819B9">
              <w:t>Se han introducido, o se están introduciendo, nuevos proveedores de asistencia sanitaria en los centros de justicia juvenil de Victoria, incluido un proveedor especializado en salud pública que presta sus servicios en el centro de Cherry Creek, y un proveedor de atención de la salud comunitaria que empezará a prestar sus servicios sin ánimo de lucro en el centro de justicia juvenil de Parkville en 2024.</w:t>
            </w:r>
          </w:p>
          <w:p w14:paraId="19B9D849" w14:textId="77777777" w:rsidR="00C71514" w:rsidRPr="00C819B9" w:rsidRDefault="00C71514" w:rsidP="00C819B9">
            <w:pPr>
              <w:spacing w:before="40" w:after="120"/>
              <w:rPr>
                <w:rFonts w:eastAsiaTheme="minorHAnsi"/>
              </w:rPr>
            </w:pPr>
            <w:r w:rsidRPr="00C819B9">
              <w:t>Se han efectuado importantes mejoras en el Servicio de Salud Mental Juvenil Forense en Detención, entre ellas el aumento de la capacidad clínica en psiquiatría y salud mental, un nuevo equipo especializado en el tratamiento del alcoholismo y otras drogodependencias, que abarca la adicción y el diagnóstico doble, y la ampliación considerable del equipo de neurodesarrollo, que ahora cuenta con puestos de logopeda y más capacidad neuropsicológica.</w:t>
            </w:r>
          </w:p>
          <w:p w14:paraId="09AB32C7" w14:textId="7D0E9504" w:rsidR="00C71514" w:rsidRPr="00C819B9" w:rsidRDefault="00C71514" w:rsidP="00C819B9">
            <w:pPr>
              <w:spacing w:before="40" w:after="120"/>
              <w:rPr>
                <w:rFonts w:eastAsiaTheme="minorHAnsi"/>
              </w:rPr>
            </w:pPr>
            <w:r w:rsidRPr="00C819B9">
              <w:t xml:space="preserve">En las prisiones de adultos, Victoria ha introducido un nuevo modelo de prestación de servicios basado en el nuevo Marco de Calidad de los Servicios de Salud para las Prisiones de Victoria 2023. El nuevo modelo incluye mayores expectativas y una mayor calidad de los servicios prestados a las personas detenidas, en particular los grupos prioritarios como los aborígenes y los isleños del </w:t>
            </w:r>
            <w:r w:rsidR="00F03E20" w:rsidRPr="00C819B9">
              <w:t>estrecho</w:t>
            </w:r>
            <w:r w:rsidRPr="00C819B9">
              <w:t xml:space="preserve"> de Torres, las personas mayores, las personas con discapacidad y las mujeres privadas de libertad.</w:t>
            </w:r>
          </w:p>
          <w:p w14:paraId="07C7AFFF" w14:textId="77777777" w:rsidR="00C71514" w:rsidRPr="00C819B9" w:rsidRDefault="00C71514" w:rsidP="00C819B9">
            <w:pPr>
              <w:spacing w:before="40" w:after="120"/>
              <w:rPr>
                <w:rFonts w:eastAsiaTheme="minorHAnsi"/>
              </w:rPr>
            </w:pPr>
            <w:r w:rsidRPr="00C819B9">
              <w:t>Las mejoras efectuadas incluyen la presencia de personal sanitario aborigen que contribuye a la prestación de cuidados adaptados al contexto cultural, la ampliación del equipo multidisciplinar, los reconocimientos médicos centrados en la salud de los aborígenes y una mayor atención a la mejora de los resultados de salud y la continuidad de la atención, en particular en lo que respecta a los grupos que han vivido traumas o presentan alguna vulnerabilidad (en particular las personas aborígenes y LGBTIQA+).</w:t>
            </w:r>
          </w:p>
          <w:p w14:paraId="12B789DA" w14:textId="6F0F99F7" w:rsidR="00C71514" w:rsidRPr="00C819B9" w:rsidRDefault="00C71514" w:rsidP="00C819B9">
            <w:pPr>
              <w:spacing w:before="40" w:after="120"/>
              <w:rPr>
                <w:rFonts w:eastAsiaTheme="minorHAnsi"/>
              </w:rPr>
            </w:pPr>
            <w:r w:rsidRPr="00C819B9">
              <w:t xml:space="preserve">Además, se han incorporado a todo el sistema público de prisiones nuevos proveedores de servicios de salud. Estos nuevos proveedores empezaron a trabajar el 1 de julio de 2023 y están obligados a operar con arreglo al nuevo </w:t>
            </w:r>
            <w:r w:rsidR="006E282F" w:rsidRPr="00C819B9">
              <w:t xml:space="preserve">Marco </w:t>
            </w:r>
            <w:r w:rsidR="006E282F">
              <w:t>d</w:t>
            </w:r>
            <w:r w:rsidR="006E282F" w:rsidRPr="00C819B9">
              <w:t>e Calidad Mejorad</w:t>
            </w:r>
            <w:r w:rsidRPr="00C819B9">
              <w:t>o. En el sistema masculino, el proveedor de asistencia sanitaria primaria es una empresa privada. En el sistema femenino, los servicios de atención primaria corren a cargo de proveedores públicos en las cárceles de mujeres, donde sacan partido a las conexiones con proveedores comunitarios y especializados.</w:t>
            </w:r>
          </w:p>
        </w:tc>
      </w:tr>
      <w:tr w:rsidR="00C819B9" w:rsidRPr="00C819B9" w14:paraId="6BBA82F2" w14:textId="77777777" w:rsidTr="007B58E8">
        <w:trPr>
          <w:trHeight w:val="240"/>
        </w:trPr>
        <w:tc>
          <w:tcPr>
            <w:tcW w:w="1162" w:type="dxa"/>
            <w:shd w:val="clear" w:color="auto" w:fill="auto"/>
          </w:tcPr>
          <w:p w14:paraId="23A9830F" w14:textId="77777777" w:rsidR="00C71514" w:rsidRPr="00C819B9" w:rsidRDefault="00C71514" w:rsidP="00C819B9">
            <w:pPr>
              <w:spacing w:before="40" w:after="120"/>
              <w:rPr>
                <w:rFonts w:eastAsiaTheme="minorHAnsi"/>
              </w:rPr>
            </w:pPr>
            <w:r w:rsidRPr="00C819B9">
              <w:t>Australia Occidental</w:t>
            </w:r>
          </w:p>
        </w:tc>
        <w:tc>
          <w:tcPr>
            <w:tcW w:w="6208" w:type="dxa"/>
            <w:shd w:val="clear" w:color="auto" w:fill="auto"/>
            <w:tcMar>
              <w:right w:w="0" w:type="dxa"/>
            </w:tcMar>
          </w:tcPr>
          <w:p w14:paraId="0C67231B" w14:textId="5892AE0F" w:rsidR="00C71514" w:rsidRPr="00C819B9" w:rsidRDefault="00C71514" w:rsidP="007B58E8">
            <w:pPr>
              <w:spacing w:before="40" w:after="120"/>
              <w:rPr>
                <w:rFonts w:eastAsiaTheme="minorHAnsi"/>
              </w:rPr>
            </w:pPr>
            <w:r w:rsidRPr="00C819B9">
              <w:t xml:space="preserve">Como parte de una inversión de más de 100 millones de dólares para mejorar los servicios prestados a los jóvenes privados de libertad se creará una </w:t>
            </w:r>
            <w:r w:rsidR="00130699" w:rsidRPr="00C819B9">
              <w:t xml:space="preserve">unidad de atención de crisis </w:t>
            </w:r>
            <w:r w:rsidRPr="00C819B9">
              <w:t>que preste apoyo específico a los detenidos que sufran crisis de salud mental; se ha creado una nueva Unidad de Servicios Aborígenes; y un nuevo equipo sanitario mixto del Departamento de Salud de Australia Occidental proporciona apoyo pediátrico y neuropsicológico especializado.</w:t>
            </w:r>
          </w:p>
        </w:tc>
      </w:tr>
      <w:tr w:rsidR="007B58E8" w:rsidRPr="00C819B9" w14:paraId="551D64D2" w14:textId="77777777" w:rsidTr="005775E9">
        <w:trPr>
          <w:trHeight w:val="240"/>
        </w:trPr>
        <w:tc>
          <w:tcPr>
            <w:tcW w:w="1162" w:type="dxa"/>
            <w:tcBorders>
              <w:bottom w:val="single" w:sz="12" w:space="0" w:color="auto"/>
            </w:tcBorders>
            <w:shd w:val="clear" w:color="auto" w:fill="auto"/>
          </w:tcPr>
          <w:p w14:paraId="3C13D338" w14:textId="77777777" w:rsidR="007B58E8" w:rsidRPr="00C819B9" w:rsidRDefault="007B58E8" w:rsidP="00C819B9">
            <w:pPr>
              <w:spacing w:before="40" w:after="120"/>
            </w:pPr>
          </w:p>
        </w:tc>
        <w:tc>
          <w:tcPr>
            <w:tcW w:w="6208" w:type="dxa"/>
            <w:tcBorders>
              <w:bottom w:val="single" w:sz="12" w:space="0" w:color="auto"/>
            </w:tcBorders>
            <w:shd w:val="clear" w:color="auto" w:fill="auto"/>
            <w:tcMar>
              <w:right w:w="0" w:type="dxa"/>
            </w:tcMar>
          </w:tcPr>
          <w:p w14:paraId="5F9AEA5A" w14:textId="6EB95F87" w:rsidR="007B58E8" w:rsidRPr="00C819B9" w:rsidRDefault="007B58E8" w:rsidP="00C819B9">
            <w:pPr>
              <w:spacing w:before="40" w:after="120"/>
            </w:pPr>
            <w:r w:rsidRPr="00C819B9">
              <w:t>Está prevista la prestación de servicios médicos especializados a través de un nuevo proveedor de asistencia sanitaria para aborígenes y del Telethon Kids Institute, que aportará sus competencias en la evaluación y tratamiento de niños y jóvenes con deficiencias neurológicas.</w:t>
            </w:r>
          </w:p>
        </w:tc>
      </w:tr>
    </w:tbl>
    <w:p w14:paraId="6D3E6A55" w14:textId="5638AF8F" w:rsidR="00C71514" w:rsidRPr="00C819B9" w:rsidRDefault="00C819B9" w:rsidP="00C819B9">
      <w:pPr>
        <w:pStyle w:val="H23G"/>
        <w:rPr>
          <w:i/>
        </w:rPr>
      </w:pPr>
      <w:bookmarkStart w:id="15" w:name="_Toc157763288"/>
      <w:r w:rsidRPr="00C819B9">
        <w:tab/>
      </w:r>
      <w:r w:rsidR="00C71514" w:rsidRPr="00C819B9">
        <w:tab/>
        <w:t xml:space="preserve">Recomendación 32 d) </w:t>
      </w:r>
      <w:r w:rsidRPr="00C819B9">
        <w:t>–</w:t>
      </w:r>
      <w:r w:rsidR="00C71514" w:rsidRPr="00C819B9">
        <w:t xml:space="preserve"> Número de funcionarios penitenciarios formados </w:t>
      </w:r>
      <w:r w:rsidRPr="00C819B9">
        <w:br/>
      </w:r>
      <w:r w:rsidR="00C71514" w:rsidRPr="00C819B9">
        <w:t>y cualificados</w:t>
      </w:r>
      <w:bookmarkEnd w:id="15"/>
    </w:p>
    <w:p w14:paraId="0E8238CA" w14:textId="77777777" w:rsidR="00C71514" w:rsidRPr="00C819B9" w:rsidRDefault="00C71514" w:rsidP="00C71514">
      <w:pPr>
        <w:pStyle w:val="SingleTxtG"/>
      </w:pPr>
      <w:r w:rsidRPr="00C819B9">
        <w:t>53.</w:t>
      </w:r>
      <w:r w:rsidRPr="00C819B9">
        <w:tab/>
        <w:t>Aumentar el número de funcionarios penitenciarios formados y cualificados, especialmente en el caso del personal médico, y reforzar el seguimiento y control de la violencia entre reclusos.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162"/>
        <w:gridCol w:w="6208"/>
      </w:tblGrid>
      <w:tr w:rsidR="00C819B9" w:rsidRPr="00C819B9" w14:paraId="338BF7DF" w14:textId="77777777" w:rsidTr="007B58E8">
        <w:trPr>
          <w:trHeight w:val="240"/>
          <w:tblHeader/>
        </w:trPr>
        <w:tc>
          <w:tcPr>
            <w:tcW w:w="1162" w:type="dxa"/>
            <w:tcBorders>
              <w:top w:val="single" w:sz="4" w:space="0" w:color="auto"/>
              <w:bottom w:val="single" w:sz="12" w:space="0" w:color="auto"/>
            </w:tcBorders>
            <w:shd w:val="clear" w:color="auto" w:fill="auto"/>
            <w:vAlign w:val="bottom"/>
          </w:tcPr>
          <w:p w14:paraId="34C9653D"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2D3DB66B"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514C773A" w14:textId="77777777" w:rsidTr="007B58E8">
        <w:trPr>
          <w:trHeight w:hRule="exact" w:val="113"/>
          <w:tblHeader/>
        </w:trPr>
        <w:tc>
          <w:tcPr>
            <w:tcW w:w="1162" w:type="dxa"/>
            <w:tcBorders>
              <w:top w:val="single" w:sz="12" w:space="0" w:color="auto"/>
            </w:tcBorders>
            <w:shd w:val="clear" w:color="auto" w:fill="auto"/>
          </w:tcPr>
          <w:p w14:paraId="1BB0E70D"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6C9CAAAC" w14:textId="77777777" w:rsidR="00C71514" w:rsidRPr="00C819B9" w:rsidRDefault="00C71514" w:rsidP="00C819B9">
            <w:pPr>
              <w:spacing w:before="40" w:after="120"/>
              <w:rPr>
                <w:rFonts w:eastAsiaTheme="minorHAnsi"/>
              </w:rPr>
            </w:pPr>
          </w:p>
        </w:tc>
      </w:tr>
      <w:tr w:rsidR="00C819B9" w:rsidRPr="00C819B9" w14:paraId="7C9D3BB9" w14:textId="77777777" w:rsidTr="007B58E8">
        <w:trPr>
          <w:trHeight w:val="240"/>
        </w:trPr>
        <w:tc>
          <w:tcPr>
            <w:tcW w:w="1162" w:type="dxa"/>
            <w:shd w:val="clear" w:color="auto" w:fill="auto"/>
          </w:tcPr>
          <w:p w14:paraId="7D86D7E4" w14:textId="77777777" w:rsidR="00C71514" w:rsidRPr="00C819B9" w:rsidRDefault="00C71514" w:rsidP="00C819B9">
            <w:pPr>
              <w:spacing w:before="40" w:after="120"/>
              <w:rPr>
                <w:rFonts w:eastAsiaTheme="minorHAnsi"/>
              </w:rPr>
            </w:pPr>
            <w:r w:rsidRPr="00C819B9">
              <w:t>Territorio de la Capital de Australia</w:t>
            </w:r>
          </w:p>
        </w:tc>
        <w:tc>
          <w:tcPr>
            <w:tcW w:w="6208" w:type="dxa"/>
            <w:shd w:val="clear" w:color="auto" w:fill="auto"/>
            <w:tcMar>
              <w:right w:w="0" w:type="dxa"/>
            </w:tcMar>
          </w:tcPr>
          <w:p w14:paraId="39152E47" w14:textId="77777777" w:rsidR="00C71514" w:rsidRPr="00C819B9" w:rsidRDefault="00C71514" w:rsidP="00C819B9">
            <w:pPr>
              <w:spacing w:before="40" w:after="120"/>
              <w:rPr>
                <w:rFonts w:eastAsiaTheme="minorHAnsi"/>
              </w:rPr>
            </w:pPr>
            <w:r w:rsidRPr="00C819B9">
              <w:t xml:space="preserve">El Servicio Penitenciario del Territorio de la Capital de Australia ha logrado fondos por valor de 29,1 millones de dólares entre los ejercicios financieros de 2022 y 2024 para diversas iniciativas, entre ellas el aumento de la dotación de agentes penitenciarios, la impartición de adiestramiento adicional para estos agentes, la adquisición para ellos de más equipo de protección personal y de material de respuesta a incidentes, y la impartición de formación especializada para los agentes penitenciarios. </w:t>
            </w:r>
          </w:p>
        </w:tc>
      </w:tr>
      <w:tr w:rsidR="00C819B9" w:rsidRPr="00C819B9" w14:paraId="52DA4644" w14:textId="77777777" w:rsidTr="007B58E8">
        <w:trPr>
          <w:trHeight w:val="240"/>
        </w:trPr>
        <w:tc>
          <w:tcPr>
            <w:tcW w:w="1162" w:type="dxa"/>
            <w:shd w:val="clear" w:color="auto" w:fill="auto"/>
          </w:tcPr>
          <w:p w14:paraId="3709118F"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71F35D68" w14:textId="42ABC234" w:rsidR="00C71514" w:rsidRPr="00C819B9" w:rsidRDefault="00C71514" w:rsidP="00C819B9">
            <w:pPr>
              <w:spacing w:before="40" w:after="120"/>
              <w:rPr>
                <w:rFonts w:eastAsiaTheme="minorHAnsi"/>
              </w:rPr>
            </w:pPr>
            <w:r w:rsidRPr="00C819B9">
              <w:t xml:space="preserve">El Servicio de Justicia Juvenil de Nueva Gales del Sur ha finalizado la revisión de su actual Plan de Gestión de Riesgos para Reclusos, que será sustituido por una nueva </w:t>
            </w:r>
            <w:r w:rsidR="00130699" w:rsidRPr="00C819B9">
              <w:t>vía de asistencia comportamental</w:t>
            </w:r>
            <w:r w:rsidRPr="00C819B9">
              <w:t>.</w:t>
            </w:r>
          </w:p>
          <w:p w14:paraId="20536368" w14:textId="77777777" w:rsidR="00C71514" w:rsidRPr="00C819B9" w:rsidRDefault="00C71514" w:rsidP="00C819B9">
            <w:pPr>
              <w:spacing w:before="40" w:after="120"/>
              <w:rPr>
                <w:rFonts w:eastAsiaTheme="minorHAnsi"/>
              </w:rPr>
            </w:pPr>
            <w:r w:rsidRPr="00C819B9">
              <w:t>En los últimos años se han aplicado varias políticas para aumentar la dotación de personal relacionado con la justicia juvenil, incluida la creación de nuevos puestos de director clínico para supervisar la prestación de servicios psicológicos de primera línea, y de nuevos equipos de respuesta a incidentes y agentes de práctica aborígenes en los centros de justicia juvenil.</w:t>
            </w:r>
          </w:p>
          <w:p w14:paraId="3A1953BD" w14:textId="77777777" w:rsidR="00C71514" w:rsidRPr="00C819B9" w:rsidRDefault="00C71514" w:rsidP="00C819B9">
            <w:pPr>
              <w:spacing w:before="40" w:after="120"/>
              <w:rPr>
                <w:rFonts w:eastAsiaTheme="minorHAnsi"/>
              </w:rPr>
            </w:pPr>
            <w:r w:rsidRPr="00C819B9">
              <w:t>El Servicio Penitenciario de Nueva Gales del Sur emprendió una campaña de contratación llamada Proyecto 800 para contratar a la próxima generación de funcionarios de prisiones y mejorar la gestión de vacantes. El proyecto se inició en febrero de 2022 con el objetivo de contratar a 800 funcionarios de prisiones permanentes. Las ofertas de empleo y formación continuaron a lo largo de 2023 y se emprendieron campañas de contratación selectiva, con un mayor uso de las redes sociales para llegar a lugares concretos del estado, a mujeres y a candidatos aborígenes.</w:t>
            </w:r>
          </w:p>
          <w:p w14:paraId="78AE5405" w14:textId="77777777" w:rsidR="00C71514" w:rsidRPr="00C819B9" w:rsidRDefault="00C71514" w:rsidP="00C819B9">
            <w:pPr>
              <w:spacing w:before="40" w:after="120"/>
              <w:rPr>
                <w:rFonts w:eastAsiaTheme="minorHAnsi"/>
              </w:rPr>
            </w:pPr>
            <w:r w:rsidRPr="00C819B9">
              <w:t xml:space="preserve">Para determinar la idoneidad de los candidatos, se los sometió a un exhaustivo proceso de pruebas y de criba; pruebas psicométricas para determinar aspectos como la resiliencia y la capacidad de seguir un proceso, comprobaciones de antecedentes policiales, reconocimientos médicos, entrevistas, control del derecho trabajar y comprobación de referencias. </w:t>
            </w:r>
          </w:p>
        </w:tc>
      </w:tr>
      <w:tr w:rsidR="00C819B9" w:rsidRPr="00C819B9" w14:paraId="19635E6E" w14:textId="77777777" w:rsidTr="007B58E8">
        <w:trPr>
          <w:trHeight w:val="240"/>
        </w:trPr>
        <w:tc>
          <w:tcPr>
            <w:tcW w:w="1162" w:type="dxa"/>
            <w:shd w:val="clear" w:color="auto" w:fill="auto"/>
          </w:tcPr>
          <w:p w14:paraId="1AC681B0" w14:textId="77777777" w:rsidR="00C71514" w:rsidRPr="00C819B9" w:rsidRDefault="00C71514" w:rsidP="00C819B9">
            <w:pPr>
              <w:spacing w:before="40" w:after="120"/>
              <w:rPr>
                <w:rFonts w:eastAsiaTheme="minorHAnsi"/>
              </w:rPr>
            </w:pPr>
            <w:r w:rsidRPr="00C819B9">
              <w:t>Australia Meridional</w:t>
            </w:r>
          </w:p>
        </w:tc>
        <w:tc>
          <w:tcPr>
            <w:tcW w:w="6208" w:type="dxa"/>
            <w:shd w:val="clear" w:color="auto" w:fill="auto"/>
            <w:tcMar>
              <w:right w:w="0" w:type="dxa"/>
            </w:tcMar>
          </w:tcPr>
          <w:p w14:paraId="4C69EE64" w14:textId="77777777" w:rsidR="00C71514" w:rsidRPr="00C819B9" w:rsidRDefault="00C71514" w:rsidP="00C819B9">
            <w:pPr>
              <w:spacing w:before="40" w:after="120"/>
              <w:rPr>
                <w:rFonts w:eastAsiaTheme="minorHAnsi"/>
              </w:rPr>
            </w:pPr>
            <w:r w:rsidRPr="00C819B9">
              <w:t>El gobierno de Australia Meridional está invirtiendo en estrategias para la gestión de su fuerza laboral, con el fin de reforzar la plantilla y capacidad del personal penitenciario del Centro de Justicia Juvenil Kurlana Tapa. Recientemente, la contratación de personal para Kurlana Tapa ha sido más elevada y constante que nunca, y la introducción de mejoras en la formación y las prácticas de bienestar del personal sigue siendo una esfera prioritaria.</w:t>
            </w:r>
          </w:p>
          <w:p w14:paraId="16EB47AD" w14:textId="77777777" w:rsidR="00C71514" w:rsidRPr="00C819B9" w:rsidRDefault="00C71514" w:rsidP="00C819B9">
            <w:pPr>
              <w:spacing w:before="40" w:after="120"/>
              <w:rPr>
                <w:rFonts w:eastAsiaTheme="minorHAnsi"/>
              </w:rPr>
            </w:pPr>
            <w:r w:rsidRPr="00C819B9">
              <w:t xml:space="preserve">Actualmente se está revisando la formación acreditada impartida a todo el personal operativo de Kurlana Tapa. Esto ofrece la oportunidad de cerciorarse de que la formación esté actualizada y contribuye a que el personal pueda trabajar eficazmente con niños y jóvenes vulnerables con </w:t>
            </w:r>
            <w:r w:rsidRPr="00C819B9">
              <w:lastRenderedPageBreak/>
              <w:t>traumas complejos, necesidades de salud mental y requisitos en materia de seguridad cultural.</w:t>
            </w:r>
          </w:p>
          <w:p w14:paraId="5B29670D" w14:textId="77777777" w:rsidR="00C71514" w:rsidRPr="00C819B9" w:rsidRDefault="00C71514" w:rsidP="00C819B9">
            <w:pPr>
              <w:spacing w:before="40" w:after="120"/>
              <w:rPr>
                <w:rFonts w:eastAsiaTheme="minorHAnsi"/>
              </w:rPr>
            </w:pPr>
            <w:r w:rsidRPr="00C819B9">
              <w:t>En cuanto a las prisiones de adultos, el Departamento de Servicios Penitenciarios sigue centrándose en la planificación de la fuerza de trabajo.</w:t>
            </w:r>
          </w:p>
          <w:p w14:paraId="5E634832" w14:textId="77777777" w:rsidR="00C71514" w:rsidRPr="00C819B9" w:rsidRDefault="00C71514" w:rsidP="00C819B9">
            <w:pPr>
              <w:spacing w:before="40" w:after="120"/>
              <w:rPr>
                <w:rFonts w:eastAsiaTheme="minorHAnsi"/>
              </w:rPr>
            </w:pPr>
            <w:r w:rsidRPr="00C819B9">
              <w:t>El Departamento ha creado la Academia de Aprendizaje, un centro de excelencia encargado de impartir formación a todo el personal. La Academia de Aprendizaje tiene el objetivo principal de formar funcionarios y equipos de alto rendimiento, dotarlos de los medios necesarios y mantener la vigencia de su formación mediante oportunidades de formación y desarrollo de alta calidad en las que se tengan en cuenta las mejores prácticas nacionales e internacionales.</w:t>
            </w:r>
          </w:p>
          <w:p w14:paraId="21D58447" w14:textId="77777777" w:rsidR="00C71514" w:rsidRPr="00C819B9" w:rsidRDefault="00C71514" w:rsidP="00C819B9">
            <w:pPr>
              <w:spacing w:before="40" w:after="120"/>
              <w:rPr>
                <w:rFonts w:eastAsiaTheme="minorHAnsi"/>
              </w:rPr>
            </w:pPr>
            <w:r w:rsidRPr="00C819B9">
              <w:t>Aumentar la contratación también es un objetivo del Departamento de Servicios Penitenciarios. A finales de diciembre de 2023, habían empezado a trabajar en los centros penitenciarios de todo el estado más de 250 nuevos funcionarios de prisiones en prácticas.</w:t>
            </w:r>
          </w:p>
          <w:p w14:paraId="174050AB" w14:textId="23D4E044" w:rsidR="00C71514" w:rsidRPr="00C819B9" w:rsidRDefault="00C71514" w:rsidP="00C819B9">
            <w:pPr>
              <w:spacing w:before="40" w:after="120"/>
              <w:rPr>
                <w:rFonts w:eastAsiaTheme="minorHAnsi"/>
              </w:rPr>
            </w:pPr>
            <w:r w:rsidRPr="00C819B9">
              <w:t xml:space="preserve">La seguridad en las prisiones y la reducción de la violencia entre los reclusos son objetivos absolutamente primordiales, y un elemento clave del plan estratégico del Departamento es el programa Safe At Work. La cultura securitaria del personal se aplica en todo el </w:t>
            </w:r>
            <w:r w:rsidR="006E282F" w:rsidRPr="00C819B9">
              <w:t>Departamento</w:t>
            </w:r>
            <w:r w:rsidRPr="00C819B9">
              <w:t xml:space="preserve"> y se centra en la seguridad física, psicológica, emocional y cultural, así como en la salud mental y el bienestar positivos. En noviembre de 2023, el Departamento celebró su foro inaugural Safe at Work.</w:t>
            </w:r>
          </w:p>
        </w:tc>
      </w:tr>
      <w:tr w:rsidR="00C819B9" w:rsidRPr="00C819B9" w14:paraId="65594787" w14:textId="77777777" w:rsidTr="007B58E8">
        <w:trPr>
          <w:trHeight w:val="240"/>
        </w:trPr>
        <w:tc>
          <w:tcPr>
            <w:tcW w:w="1162" w:type="dxa"/>
            <w:shd w:val="clear" w:color="auto" w:fill="auto"/>
          </w:tcPr>
          <w:p w14:paraId="142A5F2E" w14:textId="77777777" w:rsidR="00C71514" w:rsidRPr="00C819B9" w:rsidRDefault="00C71514" w:rsidP="00C819B9">
            <w:pPr>
              <w:spacing w:before="40" w:after="120"/>
              <w:rPr>
                <w:rFonts w:eastAsiaTheme="minorHAnsi"/>
              </w:rPr>
            </w:pPr>
            <w:r w:rsidRPr="00C819B9">
              <w:lastRenderedPageBreak/>
              <w:t>Tasmania</w:t>
            </w:r>
          </w:p>
        </w:tc>
        <w:tc>
          <w:tcPr>
            <w:tcW w:w="6208" w:type="dxa"/>
            <w:shd w:val="clear" w:color="auto" w:fill="auto"/>
            <w:tcMar>
              <w:right w:w="0" w:type="dxa"/>
            </w:tcMar>
          </w:tcPr>
          <w:p w14:paraId="38922A8C" w14:textId="77777777" w:rsidR="00C71514" w:rsidRPr="00C819B9" w:rsidRDefault="00C71514" w:rsidP="00C819B9">
            <w:pPr>
              <w:spacing w:before="40" w:after="120"/>
              <w:rPr>
                <w:rFonts w:eastAsiaTheme="minorHAnsi"/>
              </w:rPr>
            </w:pPr>
            <w:r w:rsidRPr="00C819B9">
              <w:t>Tasmania se afana en contratar a personal para cubrir las vacantes médicas en las prisiones del estado y, entre tanto, recurre a servicios de sustitución.</w:t>
            </w:r>
          </w:p>
          <w:p w14:paraId="5A771799" w14:textId="77777777" w:rsidR="00C71514" w:rsidRPr="00C819B9" w:rsidRDefault="00C71514" w:rsidP="00C819B9">
            <w:pPr>
              <w:spacing w:before="40" w:after="120"/>
              <w:rPr>
                <w:rFonts w:eastAsiaTheme="minorHAnsi"/>
              </w:rPr>
            </w:pPr>
            <w:r w:rsidRPr="00C819B9">
              <w:t>Tasmania sigue atrayendo a más funcionarios de prisiones al Servicio Penitenciario de Tasmania, como parte de una campaña de contratación en curso para garantizar la seguridad del personal, los reclusos y la comunidad.</w:t>
            </w:r>
          </w:p>
          <w:p w14:paraId="25D12126" w14:textId="68C7CA13" w:rsidR="00C71514" w:rsidRPr="00C819B9" w:rsidRDefault="00C71514" w:rsidP="00C819B9">
            <w:pPr>
              <w:spacing w:before="40" w:after="120"/>
              <w:rPr>
                <w:rFonts w:eastAsiaTheme="minorHAnsi"/>
              </w:rPr>
            </w:pPr>
            <w:r w:rsidRPr="00C819B9">
              <w:t xml:space="preserve">El Servicio Penitenciario de Tasmania participó recientemente en la operación Morpheus, dirigida por la </w:t>
            </w:r>
            <w:r w:rsidR="00130699">
              <w:t>p</w:t>
            </w:r>
            <w:r w:rsidRPr="00C819B9">
              <w:t>olicía en toda Australia para combatir la actividad de las bandas dentro y fuera de las prisiones, especialmente la de las bandas ilegales de motociclistas.</w:t>
            </w:r>
          </w:p>
          <w:p w14:paraId="62F17D1A" w14:textId="77777777" w:rsidR="00C71514" w:rsidRPr="00C819B9" w:rsidRDefault="00C71514" w:rsidP="00C819B9">
            <w:pPr>
              <w:spacing w:before="40" w:after="120"/>
              <w:rPr>
                <w:rFonts w:eastAsiaTheme="minorHAnsi"/>
              </w:rPr>
            </w:pPr>
            <w:r w:rsidRPr="00C819B9">
              <w:t>Tasmania introdujo un nuevo paquete de medidas de control y contención centrado en la comunicación y la desescalada, que contribuye a un planteamiento más general que ve la fuerza como una medida de último recurso.</w:t>
            </w:r>
          </w:p>
        </w:tc>
      </w:tr>
      <w:tr w:rsidR="00C819B9" w:rsidRPr="00C819B9" w14:paraId="03ACD894" w14:textId="77777777" w:rsidTr="007B58E8">
        <w:trPr>
          <w:trHeight w:val="240"/>
        </w:trPr>
        <w:tc>
          <w:tcPr>
            <w:tcW w:w="1162" w:type="dxa"/>
            <w:shd w:val="clear" w:color="auto" w:fill="auto"/>
          </w:tcPr>
          <w:p w14:paraId="2D19F444"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57BC8F98" w14:textId="77777777" w:rsidR="00C71514" w:rsidRPr="007B58E8" w:rsidRDefault="00C71514" w:rsidP="00C819B9">
            <w:pPr>
              <w:spacing w:before="40" w:after="120"/>
              <w:rPr>
                <w:rFonts w:eastAsiaTheme="minorHAnsi"/>
                <w:spacing w:val="-3"/>
              </w:rPr>
            </w:pPr>
            <w:r w:rsidRPr="007B58E8">
              <w:rPr>
                <w:spacing w:val="-3"/>
              </w:rPr>
              <w:t>Continúa la contratación de nuevo personal para los centros de detención de menores y, a finales de 2023, se habrá contratado a casi 200 nuevos funcionarios de primera línea, y se calcula que se contratará a 250 más en 2024.</w:t>
            </w:r>
          </w:p>
          <w:p w14:paraId="77DDB194" w14:textId="3B9774E0" w:rsidR="00C71514" w:rsidRPr="00C819B9" w:rsidRDefault="00C71514" w:rsidP="00C819B9">
            <w:pPr>
              <w:spacing w:before="40" w:after="120"/>
              <w:rPr>
                <w:rFonts w:eastAsiaTheme="minorHAnsi"/>
              </w:rPr>
            </w:pPr>
            <w:r w:rsidRPr="00C819B9">
              <w:t xml:space="preserve">Se cuenta con un presupuesto adicional de 87,916 millones a lo largo de cuatro años para la prestación a los presos de servicios de atención primaria, salud mental y salud bucodental en el nuevo </w:t>
            </w:r>
            <w:r w:rsidR="006E282F" w:rsidRPr="00C819B9">
              <w:t>Centro Pe</w:t>
            </w:r>
            <w:r w:rsidRPr="00C819B9">
              <w:t>nitenciario de Gatton, así como para la prestación de atención personal a los reclusos.</w:t>
            </w:r>
          </w:p>
          <w:p w14:paraId="0EF2622C" w14:textId="77777777" w:rsidR="00C71514" w:rsidRPr="00C819B9" w:rsidRDefault="00C71514" w:rsidP="00C819B9">
            <w:pPr>
              <w:spacing w:before="40" w:after="120"/>
              <w:rPr>
                <w:rFonts w:eastAsiaTheme="minorHAnsi"/>
              </w:rPr>
            </w:pPr>
            <w:r w:rsidRPr="00C819B9">
              <w:t>El Servicio de Policía de Queensland ha introducido un módulo de formación en capacidades culturales de tres días de duración para los nuevos agentes de policía. Incluye formación sobre capacidad cultural en relación con la Australia multicultural y los pueblos de las Primeras Naciones.</w:t>
            </w:r>
          </w:p>
        </w:tc>
      </w:tr>
      <w:tr w:rsidR="00C819B9" w:rsidRPr="00C819B9" w14:paraId="544A8E9C" w14:textId="77777777" w:rsidTr="007B58E8">
        <w:trPr>
          <w:trHeight w:val="240"/>
        </w:trPr>
        <w:tc>
          <w:tcPr>
            <w:tcW w:w="1162" w:type="dxa"/>
            <w:tcBorders>
              <w:bottom w:val="nil"/>
            </w:tcBorders>
            <w:shd w:val="clear" w:color="auto" w:fill="auto"/>
          </w:tcPr>
          <w:p w14:paraId="18FD47C9" w14:textId="77777777" w:rsidR="00C71514" w:rsidRPr="00C819B9" w:rsidRDefault="00C71514" w:rsidP="00C819B9">
            <w:pPr>
              <w:spacing w:before="40" w:after="120"/>
              <w:rPr>
                <w:rFonts w:eastAsiaTheme="minorHAnsi"/>
              </w:rPr>
            </w:pPr>
            <w:r w:rsidRPr="00C819B9">
              <w:t>Victoria</w:t>
            </w:r>
          </w:p>
        </w:tc>
        <w:tc>
          <w:tcPr>
            <w:tcW w:w="6208" w:type="dxa"/>
            <w:tcBorders>
              <w:bottom w:val="nil"/>
            </w:tcBorders>
            <w:shd w:val="clear" w:color="auto" w:fill="auto"/>
            <w:tcMar>
              <w:right w:w="0" w:type="dxa"/>
            </w:tcMar>
          </w:tcPr>
          <w:p w14:paraId="47B7AF54" w14:textId="77777777" w:rsidR="00C71514" w:rsidRPr="00C819B9" w:rsidRDefault="00C71514" w:rsidP="00C819B9">
            <w:pPr>
              <w:spacing w:before="40" w:after="120"/>
              <w:rPr>
                <w:rFonts w:eastAsiaTheme="minorHAnsi"/>
              </w:rPr>
            </w:pPr>
            <w:r w:rsidRPr="00C819B9">
              <w:t>Victoria ha puesto en marcha varias medidas de carácter continuo para hacer frente al riesgo de violencia en las prisiones, entre ellas la formación del personal, el análisis permanente de los riesgos y la información recabada, y el ejercicio de la prudencia en la evaluación y la colocación de los reclusos.</w:t>
            </w:r>
          </w:p>
          <w:p w14:paraId="6CCE0407" w14:textId="77777777" w:rsidR="00C71514" w:rsidRPr="00C819B9" w:rsidRDefault="00C71514" w:rsidP="00C819B9">
            <w:pPr>
              <w:spacing w:before="40" w:after="120"/>
              <w:rPr>
                <w:rFonts w:eastAsiaTheme="minorHAnsi"/>
              </w:rPr>
            </w:pPr>
            <w:r w:rsidRPr="00C819B9">
              <w:lastRenderedPageBreak/>
              <w:t>Victoria efectúa en la actualidad una serie de reformas encaminadas a reducir la violencia y aumentar la seguridad en las prisiones; aumentar la colaboración y reforzar la adecuación a las normas sobre mejores prácticas; e introducir cambios en la gobernanza para que la mejora se convierta en un proceso continuo.</w:t>
            </w:r>
          </w:p>
          <w:p w14:paraId="367D6A91" w14:textId="77777777" w:rsidR="00C71514" w:rsidRPr="00C819B9" w:rsidRDefault="00C71514" w:rsidP="00C819B9">
            <w:pPr>
              <w:spacing w:before="40" w:after="120"/>
              <w:rPr>
                <w:rFonts w:eastAsiaTheme="minorHAnsi"/>
              </w:rPr>
            </w:pPr>
            <w:r w:rsidRPr="00C819B9">
              <w:t>El Departamento de Administración Penitenciaria de Victoria sigue contratando nuevos funcionarios de prisiones. Un modelo de contratación continua recientemente introducido ha reducido de manera considerable el tiempo necesario para completar el proceso de contratación, y ha permitido sortear el problema de la alta tasa de desistimientos provocada por el aumento de la competencia por el personal de primera línea. Este nuevo modelo ha permitido aumentar el número de contrataciones.</w:t>
            </w:r>
          </w:p>
          <w:p w14:paraId="046E176B" w14:textId="77777777" w:rsidR="00C71514" w:rsidRPr="00C819B9" w:rsidRDefault="00C71514" w:rsidP="00C819B9">
            <w:pPr>
              <w:spacing w:before="40" w:after="120"/>
              <w:rPr>
                <w:rFonts w:eastAsiaTheme="minorHAnsi"/>
              </w:rPr>
            </w:pPr>
            <w:r w:rsidRPr="00C819B9">
              <w:t>Se ha llevado a cabo una revisión de las listas de candidatos para que la dotación de personal sea más eficaz en determinados momentos en los Servicios Forenses de Discapacidad y se ha puesto en marcha una serie de iniciativas para contribuir a que la dotación de personal en las prisiones sea suficiente en un momento en que el mercado laboral se presenta difícil.</w:t>
            </w:r>
          </w:p>
          <w:p w14:paraId="0E851614" w14:textId="77777777" w:rsidR="00C71514" w:rsidRPr="00C819B9" w:rsidRDefault="00C71514" w:rsidP="00C819B9">
            <w:pPr>
              <w:spacing w:before="40" w:after="120"/>
              <w:rPr>
                <w:rFonts w:eastAsiaTheme="minorHAnsi"/>
              </w:rPr>
            </w:pPr>
            <w:r w:rsidRPr="00C819B9">
              <w:t>El cambio de proveedores de atención sanitaria primaria en los sistemas de privación de libertad para menores y adultos ha traído consigo un aumento de las competencias del personal y de los requisitos y recursos de aprendizaje y perfeccionamiento del personal de salud. En virtud de los acuerdos concertados en materia de atención primaria de la salud, los proveedores deben informar anualmente sobre el aprendizaje, el perfeccionamiento, la formación y la acreditación del personal de salud. Victoria somete a continuo examen los requisitos de formación y perfeccionamiento del personal de salud para asegurarse de que se ajustan a las mejores prácticas clínicas y están en correspondencia con los riesgos que deben controlarse en la prestación de asistencia sanitaria a los reclusos.</w:t>
            </w:r>
          </w:p>
          <w:p w14:paraId="22ACA534" w14:textId="715B68B6" w:rsidR="00C71514" w:rsidRPr="00C819B9" w:rsidRDefault="00C71514" w:rsidP="00C819B9">
            <w:pPr>
              <w:spacing w:before="40" w:after="120"/>
              <w:rPr>
                <w:rFonts w:eastAsiaTheme="minorHAnsi"/>
              </w:rPr>
            </w:pPr>
            <w:r w:rsidRPr="00C819B9">
              <w:t xml:space="preserve">Las necesidades sociales, emocionales, sanitarias y de bienestar de los aborígenes e isleños del </w:t>
            </w:r>
            <w:r w:rsidR="001E7EB0" w:rsidRPr="00C819B9">
              <w:t>estrecho</w:t>
            </w:r>
            <w:r w:rsidRPr="00C819B9">
              <w:t xml:space="preserve"> de Torres son atendidas ahora con el apoyo de una plantilla de profesionales de la salud aborigen y trabajadores de enlace sanitario. La plantilla de profesionales de la salud aborigen promueve una atención sanitaria culturalmente segura mediante la realización de reconocimientos centrados en la salud de los aborígenes, defendiendo los intereses de los pacientes y facilitándoles el acceso a los servicios de salud, desarrollando relaciones interpersonales e impartiendo educación sanitaria a los pacientes.</w:t>
            </w:r>
          </w:p>
        </w:tc>
      </w:tr>
      <w:tr w:rsidR="007B58E8" w:rsidRPr="00C819B9" w14:paraId="346B7CFE" w14:textId="77777777" w:rsidTr="007B58E8">
        <w:trPr>
          <w:trHeight w:val="3770"/>
        </w:trPr>
        <w:tc>
          <w:tcPr>
            <w:tcW w:w="1162" w:type="dxa"/>
            <w:tcBorders>
              <w:top w:val="nil"/>
              <w:bottom w:val="single" w:sz="12" w:space="0" w:color="auto"/>
            </w:tcBorders>
            <w:shd w:val="clear" w:color="auto" w:fill="auto"/>
          </w:tcPr>
          <w:p w14:paraId="4B4DE4E4" w14:textId="77777777" w:rsidR="007B58E8" w:rsidRPr="00C819B9" w:rsidRDefault="007B58E8" w:rsidP="00C819B9">
            <w:pPr>
              <w:spacing w:before="40" w:after="120"/>
              <w:rPr>
                <w:rFonts w:eastAsiaTheme="minorHAnsi"/>
              </w:rPr>
            </w:pPr>
            <w:r w:rsidRPr="00C819B9">
              <w:lastRenderedPageBreak/>
              <w:t>Australia Occidental</w:t>
            </w:r>
          </w:p>
        </w:tc>
        <w:tc>
          <w:tcPr>
            <w:tcW w:w="6208" w:type="dxa"/>
            <w:tcBorders>
              <w:top w:val="nil"/>
              <w:bottom w:val="single" w:sz="12" w:space="0" w:color="auto"/>
            </w:tcBorders>
            <w:shd w:val="clear" w:color="auto" w:fill="auto"/>
            <w:tcMar>
              <w:right w:w="0" w:type="dxa"/>
            </w:tcMar>
          </w:tcPr>
          <w:p w14:paraId="2E6DD4D8" w14:textId="77777777" w:rsidR="007B58E8" w:rsidRPr="00C819B9" w:rsidRDefault="007B58E8" w:rsidP="00C819B9">
            <w:pPr>
              <w:spacing w:before="40" w:after="120"/>
              <w:rPr>
                <w:rFonts w:eastAsiaTheme="minorHAnsi"/>
              </w:rPr>
            </w:pPr>
            <w:r w:rsidRPr="00C819B9">
              <w:t>En 2023 se incluyeron otros 13 programas de formación básica para la Academia de Servicios Penitenciarios del Departamento de Justicia. Este aumento permite hacer operativos a otros 250 funcionarios de prisiones, 96</w:t>
            </w:r>
            <w:r>
              <w:t> </w:t>
            </w:r>
            <w:r w:rsidRPr="00C819B9">
              <w:t xml:space="preserve">funcionarios de detención de menores, 64 funcionarios de prisiones para la supervisión de adultos en la comunidad, 28 funcionarios de justicia juvenil y 47 funcionarios de apoyo profesional procedentes de zonas metropolitanas y regionales de todo el estado. </w:t>
            </w:r>
          </w:p>
          <w:p w14:paraId="468B308B" w14:textId="77777777" w:rsidR="007B58E8" w:rsidRPr="00C819B9" w:rsidRDefault="007B58E8" w:rsidP="00C819B9">
            <w:pPr>
              <w:spacing w:before="40" w:after="120"/>
              <w:rPr>
                <w:rFonts w:eastAsiaTheme="minorHAnsi"/>
              </w:rPr>
            </w:pPr>
            <w:r w:rsidRPr="00C819B9">
              <w:t>Está previsto que el volumen de nuevos funcionarios en formación continúe hasta finales de 2024.</w:t>
            </w:r>
          </w:p>
          <w:p w14:paraId="0652E017" w14:textId="64D228AC" w:rsidR="007B58E8" w:rsidRPr="00C819B9" w:rsidRDefault="007B58E8" w:rsidP="00C819B9">
            <w:pPr>
              <w:spacing w:before="40" w:after="120"/>
              <w:rPr>
                <w:rFonts w:eastAsiaTheme="minorHAnsi"/>
              </w:rPr>
            </w:pPr>
            <w:r w:rsidRPr="00C819B9">
              <w:t>El gobierno de Australia Occidental está creando nuevos puestos, entre los que se incluyen más funcionarios de apoyo a los aborígenes y trabajadores médicos y de salud mental aborígenes, y ha realizado una importante inversión de 100 millones de dólares en infraestructura, servicios y personal para sustentar el nuevo modelo de atención.</w:t>
            </w:r>
          </w:p>
        </w:tc>
      </w:tr>
    </w:tbl>
    <w:p w14:paraId="43552DF4" w14:textId="7358887E" w:rsidR="00C71514" w:rsidRPr="00C819B9" w:rsidRDefault="00C819B9" w:rsidP="00C819B9">
      <w:pPr>
        <w:pStyle w:val="H23G"/>
        <w:rPr>
          <w:i/>
        </w:rPr>
      </w:pPr>
      <w:bookmarkStart w:id="16" w:name="_Toc157763289"/>
      <w:r w:rsidRPr="00C819B9">
        <w:lastRenderedPageBreak/>
        <w:tab/>
      </w:r>
      <w:r w:rsidR="00C71514" w:rsidRPr="00C819B9">
        <w:tab/>
        <w:t xml:space="preserve">Recomendación 32 e) </w:t>
      </w:r>
      <w:r w:rsidRPr="00C819B9">
        <w:t>–</w:t>
      </w:r>
      <w:r w:rsidR="00C71514" w:rsidRPr="00C819B9">
        <w:t xml:space="preserve"> </w:t>
      </w:r>
      <w:r w:rsidRPr="00C819B9">
        <w:t>M</w:t>
      </w:r>
      <w:r w:rsidR="00C71514" w:rsidRPr="00C819B9">
        <w:t>edios de inmovilización</w:t>
      </w:r>
      <w:bookmarkEnd w:id="16"/>
    </w:p>
    <w:p w14:paraId="35D0BB3D" w14:textId="77777777" w:rsidR="00C71514" w:rsidRPr="00C819B9" w:rsidRDefault="00C71514" w:rsidP="00C71514">
      <w:pPr>
        <w:pStyle w:val="SingleTxtG"/>
      </w:pPr>
      <w:r w:rsidRPr="00C819B9">
        <w:t>54.</w:t>
      </w:r>
      <w:r w:rsidRPr="00C819B9">
        <w:tab/>
        <w:t>Asegurarse de que la utilización de medios de inmovilización sea solo una solución de último recurso para impedir que la persona en cuestión corra el riesgo de causarse daños a sí misma o a los demás, y solo en ausencia de una alternativa razonable para evitar ese riesgo de manera satisfactoria.</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162"/>
        <w:gridCol w:w="6208"/>
      </w:tblGrid>
      <w:tr w:rsidR="00C819B9" w:rsidRPr="00C819B9" w14:paraId="738FAEB2" w14:textId="77777777" w:rsidTr="007B58E8">
        <w:trPr>
          <w:trHeight w:val="240"/>
          <w:tblHeader/>
        </w:trPr>
        <w:tc>
          <w:tcPr>
            <w:tcW w:w="1162" w:type="dxa"/>
            <w:tcBorders>
              <w:top w:val="single" w:sz="4" w:space="0" w:color="auto"/>
              <w:bottom w:val="single" w:sz="12" w:space="0" w:color="auto"/>
            </w:tcBorders>
            <w:shd w:val="clear" w:color="auto" w:fill="auto"/>
            <w:vAlign w:val="bottom"/>
          </w:tcPr>
          <w:p w14:paraId="23ABE595"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1493577A"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3C095E23" w14:textId="77777777" w:rsidTr="007B58E8">
        <w:trPr>
          <w:trHeight w:hRule="exact" w:val="113"/>
          <w:tblHeader/>
        </w:trPr>
        <w:tc>
          <w:tcPr>
            <w:tcW w:w="1162" w:type="dxa"/>
            <w:tcBorders>
              <w:top w:val="single" w:sz="12" w:space="0" w:color="auto"/>
            </w:tcBorders>
            <w:shd w:val="clear" w:color="auto" w:fill="auto"/>
          </w:tcPr>
          <w:p w14:paraId="6A2DD886"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7BD8823D" w14:textId="77777777" w:rsidR="00C71514" w:rsidRPr="00C819B9" w:rsidRDefault="00C71514" w:rsidP="00C819B9">
            <w:pPr>
              <w:spacing w:before="40" w:after="120"/>
              <w:rPr>
                <w:rFonts w:eastAsiaTheme="minorHAnsi"/>
              </w:rPr>
            </w:pPr>
          </w:p>
        </w:tc>
      </w:tr>
      <w:tr w:rsidR="00C819B9" w:rsidRPr="00C819B9" w14:paraId="6CD6CACE" w14:textId="77777777" w:rsidTr="007B58E8">
        <w:trPr>
          <w:trHeight w:val="240"/>
        </w:trPr>
        <w:tc>
          <w:tcPr>
            <w:tcW w:w="1162" w:type="dxa"/>
            <w:shd w:val="clear" w:color="auto" w:fill="auto"/>
          </w:tcPr>
          <w:p w14:paraId="4E6D47D8" w14:textId="77777777" w:rsidR="00C71514" w:rsidRPr="00C819B9" w:rsidRDefault="00C71514" w:rsidP="00C819B9">
            <w:pPr>
              <w:spacing w:before="40" w:after="120"/>
              <w:rPr>
                <w:rFonts w:eastAsiaTheme="minorHAnsi"/>
              </w:rPr>
            </w:pPr>
            <w:r w:rsidRPr="00C819B9">
              <w:t>Territorio de la Capital de Australia</w:t>
            </w:r>
          </w:p>
        </w:tc>
        <w:tc>
          <w:tcPr>
            <w:tcW w:w="6208" w:type="dxa"/>
            <w:shd w:val="clear" w:color="auto" w:fill="auto"/>
            <w:tcMar>
              <w:right w:w="0" w:type="dxa"/>
            </w:tcMar>
          </w:tcPr>
          <w:p w14:paraId="516A0F38" w14:textId="43B23BDF" w:rsidR="00C71514" w:rsidRPr="00C819B9" w:rsidRDefault="00C71514" w:rsidP="00C819B9">
            <w:pPr>
              <w:spacing w:before="40" w:after="120"/>
              <w:rPr>
                <w:rFonts w:eastAsiaTheme="minorHAnsi"/>
              </w:rPr>
            </w:pPr>
            <w:r w:rsidRPr="00C819B9">
              <w:t xml:space="preserve">El gobierno del Territorio de la Capital de Australia está trabajando para introducir una modificación en la legislación que proscriba el uso de capuchas antiescupitajos en el tratamiento y la administración de apoyo de salud mental. La modificación especificará que las capuchas antiescupitajos no se consideran un método de coerción mínimo o razonable para ninguno de los fines previstos en la Ley de Salud Mental de 2015 del Territorio. Esto promoverá la prestación de cuidados de la forma menos restrictiva e intrusiva para el paciente, y de conformidad con los objetivos y principios de la </w:t>
            </w:r>
            <w:r w:rsidR="00130699" w:rsidRPr="00C819B9">
              <w:t>ley</w:t>
            </w:r>
            <w:r w:rsidRPr="00C819B9">
              <w:t xml:space="preserve">. </w:t>
            </w:r>
          </w:p>
        </w:tc>
      </w:tr>
      <w:tr w:rsidR="00C819B9" w:rsidRPr="00C819B9" w14:paraId="567B8EDD" w14:textId="77777777" w:rsidTr="007B58E8">
        <w:trPr>
          <w:trHeight w:val="240"/>
        </w:trPr>
        <w:tc>
          <w:tcPr>
            <w:tcW w:w="1162" w:type="dxa"/>
            <w:shd w:val="clear" w:color="auto" w:fill="auto"/>
          </w:tcPr>
          <w:p w14:paraId="072F3D85"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3A57D462" w14:textId="77777777" w:rsidR="00C71514" w:rsidRPr="00C819B9" w:rsidRDefault="00C71514" w:rsidP="00C819B9">
            <w:pPr>
              <w:spacing w:before="40" w:after="120"/>
              <w:rPr>
                <w:rFonts w:eastAsiaTheme="minorHAnsi"/>
              </w:rPr>
            </w:pPr>
            <w:r w:rsidRPr="00C819B9">
              <w:t>En Nueva Gales del Sur no se utilizan capuchas antiescupitajos en ningún centro de detención. El gobierno de Nueva Gales del Sur ha aprobado recientemente una ley que prohíbe el uso de capuchas antiescupitajos en los lugares de privación de libertad (Ley de Modificación de la Legislación sobre Detención (Prohibición de Capuchas Antiescupitajos) de 2024).</w:t>
            </w:r>
          </w:p>
        </w:tc>
      </w:tr>
      <w:tr w:rsidR="00C819B9" w:rsidRPr="00C819B9" w14:paraId="5D01D9D7" w14:textId="77777777" w:rsidTr="007B58E8">
        <w:trPr>
          <w:trHeight w:val="240"/>
        </w:trPr>
        <w:tc>
          <w:tcPr>
            <w:tcW w:w="1162" w:type="dxa"/>
            <w:shd w:val="clear" w:color="auto" w:fill="auto"/>
          </w:tcPr>
          <w:p w14:paraId="5D249744" w14:textId="77777777" w:rsidR="00C71514" w:rsidRPr="00C819B9" w:rsidRDefault="00C71514" w:rsidP="00C819B9">
            <w:pPr>
              <w:spacing w:before="40" w:after="120"/>
              <w:rPr>
                <w:rFonts w:eastAsiaTheme="minorHAnsi"/>
              </w:rPr>
            </w:pPr>
            <w:r w:rsidRPr="00C819B9">
              <w:t>Territorio del Norte</w:t>
            </w:r>
          </w:p>
        </w:tc>
        <w:tc>
          <w:tcPr>
            <w:tcW w:w="6208" w:type="dxa"/>
            <w:shd w:val="clear" w:color="auto" w:fill="auto"/>
            <w:tcMar>
              <w:right w:w="0" w:type="dxa"/>
            </w:tcMar>
          </w:tcPr>
          <w:p w14:paraId="5FCBE384" w14:textId="77777777" w:rsidR="00C71514" w:rsidRPr="00C819B9" w:rsidRDefault="00C71514" w:rsidP="00C819B9">
            <w:pPr>
              <w:spacing w:before="40" w:after="120"/>
              <w:rPr>
                <w:rFonts w:eastAsiaTheme="minorHAnsi"/>
              </w:rPr>
            </w:pPr>
            <w:r w:rsidRPr="00C819B9">
              <w:t>El Cuerpo de Policía del Territorio del Norte ha dejado de poner capuchas antiescupitajos a los jóvenes detenidos y su uso en adultos también se circunscribe a las dependencias de detención del Cuerpo.</w:t>
            </w:r>
          </w:p>
          <w:p w14:paraId="2BE43AA9" w14:textId="77777777" w:rsidR="00C71514" w:rsidRPr="00C819B9" w:rsidRDefault="00C71514" w:rsidP="00C819B9">
            <w:pPr>
              <w:spacing w:before="40" w:after="120"/>
              <w:rPr>
                <w:rFonts w:eastAsiaTheme="minorHAnsi"/>
              </w:rPr>
            </w:pPr>
            <w:r w:rsidRPr="00C819B9">
              <w:t>Los Servicios Penitenciarios utilizan capuchas antiescupitajos en adultos si se justifica por la necesidad de contener al recluso y para impedir que este incurra en conductas indebidas o pueda lesionar a otras personas. El uso de capuchas antiescupitajos en centros penitenciarios para adultos se ajusta a las políticas, manuales y directrices pertinentes.</w:t>
            </w:r>
          </w:p>
          <w:p w14:paraId="6DAB3AF6" w14:textId="77777777" w:rsidR="00C71514" w:rsidRPr="00C819B9" w:rsidRDefault="00C71514" w:rsidP="00C819B9">
            <w:pPr>
              <w:spacing w:before="40" w:after="120"/>
              <w:rPr>
                <w:rFonts w:eastAsiaTheme="minorHAnsi"/>
              </w:rPr>
            </w:pPr>
            <w:r w:rsidRPr="00C819B9">
              <w:t>El Territorio del Norte revisará su estrategia de adquisiciones en relación con los vehículos destinados al transporte de personas detenidas, y lo mismo hará con las directrices sobre el uso de medios de inmovilización durante el traslado, y tendrá en cuenta las medidas de seguridad que puedan adoptarse durante el transporte.</w:t>
            </w:r>
          </w:p>
        </w:tc>
      </w:tr>
      <w:tr w:rsidR="00C819B9" w:rsidRPr="00C819B9" w14:paraId="4E1DE38A" w14:textId="77777777" w:rsidTr="007B58E8">
        <w:trPr>
          <w:trHeight w:val="240"/>
        </w:trPr>
        <w:tc>
          <w:tcPr>
            <w:tcW w:w="1162" w:type="dxa"/>
            <w:shd w:val="clear" w:color="auto" w:fill="auto"/>
          </w:tcPr>
          <w:p w14:paraId="2B0EEB4B"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76655C15" w14:textId="77777777" w:rsidR="00C71514" w:rsidRPr="00C819B9" w:rsidRDefault="00C71514" w:rsidP="00C819B9">
            <w:pPr>
              <w:spacing w:before="40" w:after="120"/>
              <w:rPr>
                <w:rFonts w:eastAsiaTheme="minorHAnsi"/>
              </w:rPr>
            </w:pPr>
            <w:bookmarkStart w:id="17" w:name="_Hlk153454117"/>
            <w:r w:rsidRPr="00C819B9">
              <w:t>En Queensland, las capuchas antiescupitajos no se utilizan en ningún centro de detención de menores, en calabozos del Servicio de Policía del estado ni en el servicio de salud mental autorizado.</w:t>
            </w:r>
            <w:bookmarkEnd w:id="17"/>
          </w:p>
          <w:p w14:paraId="298A888B" w14:textId="77777777" w:rsidR="00C71514" w:rsidRPr="00C819B9" w:rsidRDefault="00C71514" w:rsidP="00C819B9">
            <w:pPr>
              <w:spacing w:before="40" w:after="120"/>
              <w:rPr>
                <w:rFonts w:eastAsiaTheme="minorHAnsi"/>
              </w:rPr>
            </w:pPr>
            <w:r w:rsidRPr="00C819B9">
              <w:t>El 18 de abril de 2023, el Comisionado del Servicio de Policía de Queensland ordenó que la técnica de inmovilización consistente en aplicar presión a los vasos sanguíneos del cuello dejara de formar parte del modelo de uso situacional de la fuerza.</w:t>
            </w:r>
          </w:p>
          <w:p w14:paraId="42A4FA2A" w14:textId="77777777" w:rsidR="00C71514" w:rsidRPr="00C819B9" w:rsidRDefault="00C71514" w:rsidP="00C819B9">
            <w:pPr>
              <w:spacing w:before="40" w:after="120"/>
              <w:rPr>
                <w:rFonts w:eastAsiaTheme="minorHAnsi"/>
              </w:rPr>
            </w:pPr>
            <w:r w:rsidRPr="00C819B9">
              <w:t xml:space="preserve">El Servicio Penitenciario de Queensland han iniciado un estudio de sus operaciones para examinar los sistemas actuales para el uso de capuchas de seguridad para los reclusos adultos del estado. </w:t>
            </w:r>
          </w:p>
        </w:tc>
      </w:tr>
      <w:tr w:rsidR="00C819B9" w:rsidRPr="00C819B9" w14:paraId="3E9BD22B" w14:textId="77777777" w:rsidTr="007B58E8">
        <w:trPr>
          <w:trHeight w:val="240"/>
        </w:trPr>
        <w:tc>
          <w:tcPr>
            <w:tcW w:w="1162" w:type="dxa"/>
            <w:shd w:val="clear" w:color="auto" w:fill="auto"/>
          </w:tcPr>
          <w:p w14:paraId="6BAF0D81" w14:textId="77777777" w:rsidR="00C71514" w:rsidRPr="00C819B9" w:rsidRDefault="00C71514" w:rsidP="00C819B9">
            <w:pPr>
              <w:spacing w:before="40" w:after="120"/>
              <w:rPr>
                <w:rFonts w:eastAsiaTheme="minorHAnsi"/>
              </w:rPr>
            </w:pPr>
            <w:r w:rsidRPr="00C819B9">
              <w:t>Australia Meridional</w:t>
            </w:r>
          </w:p>
        </w:tc>
        <w:tc>
          <w:tcPr>
            <w:tcW w:w="6208" w:type="dxa"/>
            <w:shd w:val="clear" w:color="auto" w:fill="auto"/>
            <w:tcMar>
              <w:right w:w="0" w:type="dxa"/>
            </w:tcMar>
          </w:tcPr>
          <w:p w14:paraId="35A60F0A" w14:textId="77777777" w:rsidR="00C71514" w:rsidRPr="00C819B9" w:rsidRDefault="00C71514" w:rsidP="00C819B9">
            <w:pPr>
              <w:spacing w:before="40" w:after="120"/>
              <w:rPr>
                <w:rFonts w:eastAsiaTheme="minorHAnsi"/>
              </w:rPr>
            </w:pPr>
            <w:r w:rsidRPr="00C819B9">
              <w:t xml:space="preserve">El uso de capuchas antiescupitajos en los centros de detención de Australia Meridional, incluido el Centro de Justicia Juvenil Kurlana Tapa, quedó prohibido a partir del 25 de noviembre de 2021 en virtud de la Ley de Modificación de los Estatutos (Prohibición de Capuchas Antiescupitajos) de 2021 (Australia Meridional). </w:t>
            </w:r>
          </w:p>
        </w:tc>
      </w:tr>
      <w:tr w:rsidR="00C819B9" w:rsidRPr="00C819B9" w14:paraId="75599172" w14:textId="77777777" w:rsidTr="007B58E8">
        <w:trPr>
          <w:trHeight w:val="240"/>
        </w:trPr>
        <w:tc>
          <w:tcPr>
            <w:tcW w:w="1162" w:type="dxa"/>
            <w:shd w:val="clear" w:color="auto" w:fill="auto"/>
          </w:tcPr>
          <w:p w14:paraId="7ADA85CC" w14:textId="77777777" w:rsidR="00C71514" w:rsidRPr="00C819B9" w:rsidRDefault="00C71514" w:rsidP="00C819B9">
            <w:pPr>
              <w:spacing w:before="40" w:after="120"/>
              <w:rPr>
                <w:rFonts w:eastAsiaTheme="minorHAnsi"/>
              </w:rPr>
            </w:pPr>
            <w:r w:rsidRPr="00C819B9">
              <w:t xml:space="preserve">Tasmania </w:t>
            </w:r>
          </w:p>
        </w:tc>
        <w:tc>
          <w:tcPr>
            <w:tcW w:w="6208" w:type="dxa"/>
            <w:shd w:val="clear" w:color="auto" w:fill="auto"/>
            <w:tcMar>
              <w:right w:w="0" w:type="dxa"/>
            </w:tcMar>
          </w:tcPr>
          <w:p w14:paraId="2C4BDC92" w14:textId="55758C33" w:rsidR="00C71514" w:rsidRPr="00C819B9" w:rsidRDefault="00C71514" w:rsidP="00C819B9">
            <w:pPr>
              <w:spacing w:before="40" w:after="120"/>
              <w:rPr>
                <w:rFonts w:eastAsiaTheme="minorHAnsi"/>
              </w:rPr>
            </w:pPr>
            <w:r w:rsidRPr="00C819B9">
              <w:t xml:space="preserve">En Tasmania, no se ponen capuchas antiescupitajos a las personas jóvenes en ningún entorno de privación de libertad. Tasmania avanza hacia la prohibición total del uso de capuchas antiescupitajos en los centros penitenciarios de adultos en virtud de una orden permanente dictada de conformidad con el artículo 34H de la Ley de Servicios Penitenciarios </w:t>
            </w:r>
            <w:r w:rsidRPr="00C819B9">
              <w:lastRenderedPageBreak/>
              <w:t>de</w:t>
            </w:r>
            <w:r w:rsidR="007B58E8">
              <w:t> </w:t>
            </w:r>
            <w:r w:rsidRPr="00C819B9">
              <w:t>1997 (Tasmania). Se están introduciendo nuevos procedimientos y medidas alternativas de control de riesgos mediante el uso de equipo de protección personal, en fase de prueba actualmente.</w:t>
            </w:r>
          </w:p>
        </w:tc>
      </w:tr>
      <w:tr w:rsidR="00C819B9" w:rsidRPr="00C819B9" w14:paraId="42C71CDB" w14:textId="77777777" w:rsidTr="007B58E8">
        <w:trPr>
          <w:trHeight w:val="240"/>
        </w:trPr>
        <w:tc>
          <w:tcPr>
            <w:tcW w:w="1162" w:type="dxa"/>
            <w:tcBorders>
              <w:bottom w:val="single" w:sz="12" w:space="0" w:color="auto"/>
            </w:tcBorders>
            <w:shd w:val="clear" w:color="auto" w:fill="auto"/>
          </w:tcPr>
          <w:p w14:paraId="082DBC67" w14:textId="77777777" w:rsidR="00C71514" w:rsidRPr="00C819B9" w:rsidRDefault="00C71514" w:rsidP="00C819B9">
            <w:pPr>
              <w:spacing w:before="40" w:after="120"/>
              <w:rPr>
                <w:rFonts w:eastAsiaTheme="minorHAnsi"/>
              </w:rPr>
            </w:pPr>
            <w:r w:rsidRPr="00C819B9">
              <w:lastRenderedPageBreak/>
              <w:t>Victoria</w:t>
            </w:r>
          </w:p>
        </w:tc>
        <w:tc>
          <w:tcPr>
            <w:tcW w:w="6208" w:type="dxa"/>
            <w:tcBorders>
              <w:bottom w:val="single" w:sz="12" w:space="0" w:color="auto"/>
            </w:tcBorders>
            <w:shd w:val="clear" w:color="auto" w:fill="auto"/>
            <w:tcMar>
              <w:right w:w="0" w:type="dxa"/>
            </w:tcMar>
          </w:tcPr>
          <w:p w14:paraId="5DA163CE" w14:textId="77777777" w:rsidR="00C71514" w:rsidRPr="00C819B9" w:rsidRDefault="00C71514" w:rsidP="00C819B9">
            <w:pPr>
              <w:spacing w:before="40" w:after="120"/>
              <w:rPr>
                <w:rFonts w:eastAsiaTheme="minorHAnsi"/>
              </w:rPr>
            </w:pPr>
            <w:r w:rsidRPr="00C819B9">
              <w:t>El uso de capuchas antiescupitajos está prohibido en el sistema de justicia juvenil de Victoria.</w:t>
            </w:r>
          </w:p>
          <w:p w14:paraId="137EAC02" w14:textId="77777777" w:rsidR="00C71514" w:rsidRPr="00C819B9" w:rsidRDefault="00C71514" w:rsidP="00C819B9">
            <w:pPr>
              <w:spacing w:before="40" w:after="120"/>
              <w:rPr>
                <w:rFonts w:eastAsiaTheme="minorHAnsi"/>
              </w:rPr>
            </w:pPr>
            <w:r w:rsidRPr="00C819B9">
              <w:t>Victoria ha introducido modificaciones en su legislación para proteger a las personas en servicios forenses residenciales susceptibles de ser objeto de prácticas de restricción, mediante la incorporación de mejores salvaguardias para reducir el recurso a tales prácticas, tal como propugna el Especialista Superior de Victoria.</w:t>
            </w:r>
          </w:p>
          <w:p w14:paraId="7D9977DA" w14:textId="77777777" w:rsidR="00C71514" w:rsidRPr="00C819B9" w:rsidRDefault="00C71514" w:rsidP="00C819B9">
            <w:pPr>
              <w:spacing w:before="40" w:after="120"/>
              <w:rPr>
                <w:rFonts w:eastAsiaTheme="minorHAnsi"/>
              </w:rPr>
            </w:pPr>
            <w:r w:rsidRPr="00C819B9">
              <w:t>En los centros penitenciarios para adultos de Victoria, los instrumentos de inmovilización solo pueden utilizarse cuando, por motivos razonables, se consideran necesarios, y deben utilizarse oportuna y apropiadamente durante el tiempo mínimo necesario.</w:t>
            </w:r>
          </w:p>
          <w:p w14:paraId="0397F011" w14:textId="77777777" w:rsidR="00C71514" w:rsidRPr="00C819B9" w:rsidRDefault="00C71514" w:rsidP="00C819B9">
            <w:pPr>
              <w:spacing w:before="40" w:after="120"/>
              <w:rPr>
                <w:rFonts w:eastAsiaTheme="minorHAnsi"/>
              </w:rPr>
            </w:pPr>
            <w:r w:rsidRPr="00C819B9">
              <w:t>En febrero de 2023, el Departamento de Administración Penitenciaria de Victoria prohibió poner máscaras antiescupitajos a los menores de 18 años que estuvieran privados de libertad junto con adultos. Las máscaras antiescupitajos siguen siendo una forma autorizada de contención para adultos privados de libertad, como medida de último recurso para proteger al personal y a otras personas cuando el uso de equipo de protección personal no es factible. Se introdujeron otras modificaciones en la política con respecto a la utilización de esposas con determinados grupos de reclusos que requieren una evaluación de riesgos y la consideración de sus necesidades especiales.</w:t>
            </w:r>
          </w:p>
          <w:p w14:paraId="76E1780A" w14:textId="77777777" w:rsidR="00C71514" w:rsidRPr="00C819B9" w:rsidRDefault="00C71514" w:rsidP="00C819B9">
            <w:pPr>
              <w:spacing w:before="40" w:after="120"/>
              <w:rPr>
                <w:rFonts w:eastAsiaTheme="minorHAnsi"/>
              </w:rPr>
            </w:pPr>
            <w:r w:rsidRPr="00C819B9">
              <w:t>En el Servicio de Justicia Juvenil de Victoria, las políticas y el adiestramiento para la seguridad operacional ofrecen al personal la posibilidad de recurrir a medidas de respuesta seguras que no incluyen el uso de la fuerza ante comportamientos problemáticos, como la distensión, la reorientación y el diálogo. El modelo promueve la conciencia situacional y los procesos de evaluación de riesgos para prevenir o controlar los riesgos que puedan surgir, así como para fomentar una comunicación eficaz que permita comprender el comportamiento de los jóvenes y responder a este. En virtud de la Ley de la Infancia, la Juventud y la Familia de 2005, la fuerza razonable, incluidas las medidas de inmovilización, solo podrá utilizase, como último recurso, cuando se hayan considerado todos los demás métodos menos intrusivos y el joven corra peligro de hacerse daño a sí mismo o a otros o pueda atentar contra la seguridad del centro.</w:t>
            </w:r>
          </w:p>
        </w:tc>
      </w:tr>
    </w:tbl>
    <w:p w14:paraId="6BAAD5E6" w14:textId="13D0FB62" w:rsidR="00C71514" w:rsidRPr="00C819B9" w:rsidRDefault="00C819B9" w:rsidP="00C819B9">
      <w:pPr>
        <w:pStyle w:val="H23G"/>
        <w:rPr>
          <w:i/>
        </w:rPr>
      </w:pPr>
      <w:bookmarkStart w:id="18" w:name="_Toc157763290"/>
      <w:r w:rsidRPr="00C819B9">
        <w:tab/>
      </w:r>
      <w:r w:rsidRPr="00C819B9">
        <w:tab/>
      </w:r>
      <w:r w:rsidR="00C71514" w:rsidRPr="00C819B9">
        <w:t xml:space="preserve">Recomendación 32 f) </w:t>
      </w:r>
      <w:r w:rsidR="00F03E20">
        <w:t>–</w:t>
      </w:r>
      <w:r w:rsidR="00C71514" w:rsidRPr="00C819B9">
        <w:t xml:space="preserve"> Cacheos sin ropa</w:t>
      </w:r>
      <w:bookmarkEnd w:id="18"/>
    </w:p>
    <w:p w14:paraId="13DCB851" w14:textId="77777777" w:rsidR="00C71514" w:rsidRPr="00C819B9" w:rsidRDefault="00C71514" w:rsidP="00C71514">
      <w:pPr>
        <w:pStyle w:val="SingleTxtG"/>
      </w:pPr>
      <w:r w:rsidRPr="00C819B9">
        <w:t>55.</w:t>
      </w:r>
      <w:r w:rsidRPr="00C819B9">
        <w:tab/>
        <w:t>Velar por que los registros corporales de las personas privadas de libertad no se realicen de forma sistemática y sean llevados a cabo en privado, respetando la dignidad del recluso y por funcionarios debidamente formados y del mismo género que el interesado. Los procedimientos de registro y entrada de visitantes no deberían ser degradantes y deberían estar sujetos, como mínimo, a las mismas reglas que se aplican a los reclusos.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162"/>
        <w:gridCol w:w="6208"/>
      </w:tblGrid>
      <w:tr w:rsidR="00C819B9" w:rsidRPr="00C819B9" w14:paraId="4B34335F" w14:textId="77777777" w:rsidTr="007B58E8">
        <w:trPr>
          <w:trHeight w:val="240"/>
          <w:tblHeader/>
        </w:trPr>
        <w:tc>
          <w:tcPr>
            <w:tcW w:w="1162" w:type="dxa"/>
            <w:tcBorders>
              <w:top w:val="single" w:sz="4" w:space="0" w:color="auto"/>
              <w:bottom w:val="single" w:sz="12" w:space="0" w:color="auto"/>
            </w:tcBorders>
            <w:shd w:val="clear" w:color="auto" w:fill="auto"/>
            <w:vAlign w:val="bottom"/>
          </w:tcPr>
          <w:p w14:paraId="1597B44D"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77EC9C46"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1245C005" w14:textId="77777777" w:rsidTr="007B58E8">
        <w:trPr>
          <w:trHeight w:hRule="exact" w:val="113"/>
          <w:tblHeader/>
        </w:trPr>
        <w:tc>
          <w:tcPr>
            <w:tcW w:w="1162" w:type="dxa"/>
            <w:tcBorders>
              <w:top w:val="single" w:sz="12" w:space="0" w:color="auto"/>
            </w:tcBorders>
            <w:shd w:val="clear" w:color="auto" w:fill="auto"/>
          </w:tcPr>
          <w:p w14:paraId="2CA3ACCA"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1E287CBA" w14:textId="77777777" w:rsidR="00C71514" w:rsidRPr="00C819B9" w:rsidRDefault="00C71514" w:rsidP="00C819B9">
            <w:pPr>
              <w:spacing w:before="40" w:after="120"/>
              <w:rPr>
                <w:rFonts w:eastAsiaTheme="minorHAnsi"/>
              </w:rPr>
            </w:pPr>
          </w:p>
        </w:tc>
      </w:tr>
      <w:tr w:rsidR="00C819B9" w:rsidRPr="00C819B9" w14:paraId="67D8900D" w14:textId="77777777" w:rsidTr="007B58E8">
        <w:trPr>
          <w:trHeight w:val="240"/>
        </w:trPr>
        <w:tc>
          <w:tcPr>
            <w:tcW w:w="1162" w:type="dxa"/>
            <w:shd w:val="clear" w:color="auto" w:fill="auto"/>
          </w:tcPr>
          <w:p w14:paraId="18E42821"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03E44931" w14:textId="77777777" w:rsidR="00C71514" w:rsidRPr="00C819B9" w:rsidRDefault="00C71514" w:rsidP="00C819B9">
            <w:pPr>
              <w:spacing w:before="40" w:after="120"/>
              <w:rPr>
                <w:rFonts w:eastAsiaTheme="minorHAnsi"/>
              </w:rPr>
            </w:pPr>
            <w:r w:rsidRPr="00C819B9">
              <w:t xml:space="preserve">El gobierno de Nueva Gales del Sur destinó 15,2 millones de dólares en cuatro años, de 2020/21 a 2023/24, para instalar escáneres de rayos X de cuerpo entero en centros penitenciarios de todo el estado, como parte de la labor en curso para poner fin a la introducción de drogas y otros artículos prohibidos en los centros penitenciarios y reducir la necesidad de realizar cacheos sin ropa. </w:t>
            </w:r>
          </w:p>
        </w:tc>
      </w:tr>
      <w:tr w:rsidR="00C819B9" w:rsidRPr="00C819B9" w14:paraId="42BF9487" w14:textId="77777777" w:rsidTr="007B58E8">
        <w:trPr>
          <w:trHeight w:val="240"/>
        </w:trPr>
        <w:tc>
          <w:tcPr>
            <w:tcW w:w="1162" w:type="dxa"/>
            <w:shd w:val="clear" w:color="auto" w:fill="auto"/>
          </w:tcPr>
          <w:p w14:paraId="7A1B25D9" w14:textId="77777777" w:rsidR="00C71514" w:rsidRPr="00C819B9" w:rsidRDefault="00C71514" w:rsidP="00C819B9">
            <w:pPr>
              <w:spacing w:before="40" w:after="120"/>
              <w:rPr>
                <w:rFonts w:eastAsiaTheme="minorHAnsi"/>
              </w:rPr>
            </w:pPr>
            <w:r w:rsidRPr="00C819B9">
              <w:lastRenderedPageBreak/>
              <w:t>Territorio del Norte</w:t>
            </w:r>
          </w:p>
        </w:tc>
        <w:tc>
          <w:tcPr>
            <w:tcW w:w="6208" w:type="dxa"/>
            <w:shd w:val="clear" w:color="auto" w:fill="auto"/>
            <w:tcMar>
              <w:right w:w="0" w:type="dxa"/>
            </w:tcMar>
          </w:tcPr>
          <w:p w14:paraId="7E8801F2" w14:textId="77777777" w:rsidR="00C71514" w:rsidRPr="00C819B9" w:rsidRDefault="00C71514" w:rsidP="00C819B9">
            <w:pPr>
              <w:spacing w:before="40" w:after="120"/>
              <w:rPr>
                <w:rFonts w:eastAsiaTheme="minorHAnsi"/>
              </w:rPr>
            </w:pPr>
            <w:r w:rsidRPr="00C819B9">
              <w:t>El Servicio Penitenciario del Territorio del Norte está sometiendo a examen actualmente la metodología utilizada para los cacheos sin ropa y la viabilidad de utilizar dispositivos de rayos X para minimizar las posibles repercusiones en las prisiones de adultos. Se prevé que el examen se complete en 2024.</w:t>
            </w:r>
          </w:p>
        </w:tc>
      </w:tr>
      <w:tr w:rsidR="00C819B9" w:rsidRPr="00C819B9" w14:paraId="02D04D23" w14:textId="77777777" w:rsidTr="007B58E8">
        <w:trPr>
          <w:trHeight w:val="240"/>
        </w:trPr>
        <w:tc>
          <w:tcPr>
            <w:tcW w:w="1162" w:type="dxa"/>
            <w:shd w:val="clear" w:color="auto" w:fill="auto"/>
          </w:tcPr>
          <w:p w14:paraId="4AB1E35F"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256C95AB" w14:textId="77777777" w:rsidR="00C71514" w:rsidRPr="00C819B9" w:rsidRDefault="00C71514" w:rsidP="00C819B9">
            <w:pPr>
              <w:spacing w:before="40" w:after="120"/>
              <w:rPr>
                <w:rFonts w:eastAsiaTheme="minorHAnsi"/>
              </w:rPr>
            </w:pPr>
            <w:r w:rsidRPr="00C819B9">
              <w:t>Queensland ha introducido modificaciones legislativas para autorizar el uso de escáneres corporales de rayos X como alternativa a los cacheos sin ropa.</w:t>
            </w:r>
          </w:p>
          <w:p w14:paraId="51B69903" w14:textId="77777777" w:rsidR="00C71514" w:rsidRPr="00C819B9" w:rsidRDefault="00C71514" w:rsidP="00C819B9">
            <w:pPr>
              <w:spacing w:before="40" w:after="120"/>
              <w:rPr>
                <w:rFonts w:eastAsiaTheme="minorHAnsi"/>
              </w:rPr>
            </w:pPr>
            <w:r w:rsidRPr="00C819B9">
              <w:t>El Servicio de Justicia Juvenil de Queensland está estudiando el uso de tecnología de escaneado corporal con rayos X en los centros de detención de menores para reducir aún más el recurso a los cacheos.</w:t>
            </w:r>
          </w:p>
          <w:p w14:paraId="6518E466" w14:textId="77777777" w:rsidR="00C71514" w:rsidRPr="00C819B9" w:rsidRDefault="00C71514" w:rsidP="00C819B9">
            <w:pPr>
              <w:spacing w:before="40" w:after="120"/>
              <w:rPr>
                <w:rFonts w:eastAsiaTheme="minorHAnsi"/>
              </w:rPr>
            </w:pPr>
            <w:r w:rsidRPr="00C819B9">
              <w:t>Está previsto que el primer ensayo de escáneres corporales de rayos X en centros penitenciarios para adultos de Queensland comience en 2024 en el Centro Penitenciario de Mujeres de Brisbane.</w:t>
            </w:r>
          </w:p>
          <w:p w14:paraId="06FF14DE" w14:textId="77777777" w:rsidR="00C71514" w:rsidRPr="00C819B9" w:rsidRDefault="00C71514" w:rsidP="00C819B9">
            <w:pPr>
              <w:spacing w:before="40" w:after="120"/>
              <w:rPr>
                <w:rFonts w:eastAsiaTheme="minorHAnsi"/>
              </w:rPr>
            </w:pPr>
            <w:r w:rsidRPr="00C819B9">
              <w:t>El Servicio Penitenciario de Queensland está estudiando las recomendaciones del Comisionado de Derechos Humanos de Queensland sobre cómo mejorar sus prácticas tras un estudio de sus prácticas y procedimientos para desvestir a las reclusas.</w:t>
            </w:r>
          </w:p>
        </w:tc>
      </w:tr>
      <w:tr w:rsidR="00C819B9" w:rsidRPr="00C819B9" w14:paraId="4560A199" w14:textId="77777777" w:rsidTr="007B58E8">
        <w:trPr>
          <w:trHeight w:val="240"/>
        </w:trPr>
        <w:tc>
          <w:tcPr>
            <w:tcW w:w="1162" w:type="dxa"/>
            <w:shd w:val="clear" w:color="auto" w:fill="auto"/>
          </w:tcPr>
          <w:p w14:paraId="0C2BEBF1" w14:textId="77777777" w:rsidR="00C71514" w:rsidRPr="00C819B9" w:rsidRDefault="00C71514" w:rsidP="00C819B9">
            <w:pPr>
              <w:spacing w:before="40" w:after="120"/>
              <w:rPr>
                <w:rFonts w:eastAsiaTheme="minorHAnsi"/>
              </w:rPr>
            </w:pPr>
            <w:r w:rsidRPr="00C819B9">
              <w:t>Tasmania</w:t>
            </w:r>
          </w:p>
        </w:tc>
        <w:tc>
          <w:tcPr>
            <w:tcW w:w="6208" w:type="dxa"/>
            <w:shd w:val="clear" w:color="auto" w:fill="auto"/>
            <w:tcMar>
              <w:right w:w="0" w:type="dxa"/>
            </w:tcMar>
          </w:tcPr>
          <w:p w14:paraId="0C07472F" w14:textId="77777777" w:rsidR="00C71514" w:rsidRPr="00C819B9" w:rsidRDefault="00C71514" w:rsidP="00C819B9">
            <w:pPr>
              <w:spacing w:before="40" w:after="120"/>
              <w:rPr>
                <w:rFonts w:eastAsiaTheme="minorHAnsi"/>
              </w:rPr>
            </w:pPr>
            <w:r w:rsidRPr="00C819B9">
              <w:t>Se ha comenzado a legislar para consolidar las disposiciones legislativas relativas a los cacheos de jóvenes en centros de privación de libertad, atendiendo a las recomendaciones dirigidas al gobierno de Tasmania por el Comisionado de la Infancia y la Juventud, lo cual incluye la creación de un marco basado en principios que regula la realización de cacheos, el establecimiento de un registro de cacheos efectuados y la garantía de que los jóvenes, sus defensores y el público en general dispongan de la información pertinente sobre los cacheos.</w:t>
            </w:r>
          </w:p>
          <w:p w14:paraId="0E429D40" w14:textId="77777777" w:rsidR="00C71514" w:rsidRPr="00C819B9" w:rsidRDefault="00C71514" w:rsidP="00C819B9">
            <w:pPr>
              <w:spacing w:before="40" w:after="120"/>
              <w:rPr>
                <w:rFonts w:eastAsiaTheme="minorHAnsi"/>
              </w:rPr>
            </w:pPr>
            <w:r w:rsidRPr="00C819B9">
              <w:t>El Servicio Penitenciario de Tasmania está instalando escáneres corporales en todas las instalaciones, lo que reducirá la necesidad de recurrir a los cacheos.</w:t>
            </w:r>
          </w:p>
          <w:p w14:paraId="2C9759E6" w14:textId="77777777" w:rsidR="00C71514" w:rsidRPr="00C819B9" w:rsidRDefault="00C71514" w:rsidP="00C819B9">
            <w:pPr>
              <w:spacing w:before="40" w:after="120"/>
              <w:rPr>
                <w:rFonts w:eastAsiaTheme="minorHAnsi"/>
              </w:rPr>
            </w:pPr>
            <w:r w:rsidRPr="00C819B9">
              <w:t>El Departamento de Policía, Bomberos y Gestión de Emergencias está revisando actualmente sus políticas y procedimientos relativos a los cacheos.</w:t>
            </w:r>
          </w:p>
        </w:tc>
      </w:tr>
      <w:tr w:rsidR="00C819B9" w:rsidRPr="00C819B9" w14:paraId="361D727F" w14:textId="77777777" w:rsidTr="007B58E8">
        <w:trPr>
          <w:trHeight w:val="240"/>
        </w:trPr>
        <w:tc>
          <w:tcPr>
            <w:tcW w:w="1162" w:type="dxa"/>
            <w:shd w:val="clear" w:color="auto" w:fill="auto"/>
          </w:tcPr>
          <w:p w14:paraId="27244AA4" w14:textId="77777777" w:rsidR="00C71514" w:rsidRPr="00C819B9" w:rsidRDefault="00C71514" w:rsidP="00C819B9">
            <w:pPr>
              <w:spacing w:before="40" w:after="120"/>
              <w:rPr>
                <w:rFonts w:eastAsiaTheme="minorHAnsi"/>
              </w:rPr>
            </w:pPr>
            <w:r w:rsidRPr="00C819B9">
              <w:t>Victoria</w:t>
            </w:r>
          </w:p>
        </w:tc>
        <w:tc>
          <w:tcPr>
            <w:tcW w:w="6208" w:type="dxa"/>
            <w:shd w:val="clear" w:color="auto" w:fill="auto"/>
            <w:tcMar>
              <w:right w:w="0" w:type="dxa"/>
            </w:tcMar>
          </w:tcPr>
          <w:p w14:paraId="36504A2C" w14:textId="77777777" w:rsidR="00C71514" w:rsidRPr="00C819B9" w:rsidRDefault="00C71514" w:rsidP="00C819B9">
            <w:pPr>
              <w:spacing w:before="40" w:after="120"/>
              <w:rPr>
                <w:rFonts w:eastAsiaTheme="minorHAnsi"/>
              </w:rPr>
            </w:pPr>
            <w:r w:rsidRPr="00C819B9">
              <w:t>En el Servicio de Justicia Juvenil de Victoria se ha dejado de recurrir de forma habitual o sistemática a los cacheos sin ropa y todos los centros de justicia juvenil del estado cuentan con tecnología de escaneado corporal.</w:t>
            </w:r>
          </w:p>
          <w:p w14:paraId="413A5699" w14:textId="77777777" w:rsidR="00C71514" w:rsidRPr="00C819B9" w:rsidRDefault="00C71514" w:rsidP="00C819B9">
            <w:pPr>
              <w:spacing w:before="40" w:after="120"/>
              <w:rPr>
                <w:rFonts w:eastAsiaTheme="minorHAnsi"/>
              </w:rPr>
            </w:pPr>
            <w:r w:rsidRPr="00C819B9">
              <w:t>En cuanto a los centros para adultos de Victoria, durante los últimos años se han introducido varias reformas para reducir los cacheos sin ropa, como la instalación de dispositivos de escaneado corporal no invasivos en la entrada de las prisiones y en los centros de visitas, cambios de política para reducir los cacheos durante los traslados entre prisiones en el sistema penitenciario de mujeres, la introducción de pruebas de saliva (eliminando el requisito del cacheo sin ropa antes del análisis de orina, excepto cuando hay antecedentes de adulteración de muestras) y la introducción de un escáner de rayos X para la recepción en el sistema de mujeres. Estas reformas se han traducido en una reducción importante de los cacheos sin ropa, sobre todo en el sistema penitenciario de mujeres.</w:t>
            </w:r>
          </w:p>
          <w:p w14:paraId="7618F289" w14:textId="77777777" w:rsidR="00C71514" w:rsidRPr="00C819B9" w:rsidRDefault="00C71514" w:rsidP="00C819B9">
            <w:pPr>
              <w:spacing w:before="40" w:after="120"/>
              <w:rPr>
                <w:rFonts w:eastAsiaTheme="minorHAnsi"/>
              </w:rPr>
            </w:pPr>
            <w:r w:rsidRPr="00C819B9">
              <w:t>El Departamento de Administración Penitenciaria de Victoria está estudiando nuevas inversiones en tecnología para que, cuando sea necesario proceder a registros de rutina en este estado, se disponga de escáneres corporales y en la medida de lo posible se reduzcan al mínimo los cacheos.</w:t>
            </w:r>
          </w:p>
        </w:tc>
      </w:tr>
      <w:tr w:rsidR="00C819B9" w:rsidRPr="00C819B9" w14:paraId="75A902A9" w14:textId="77777777" w:rsidTr="007B58E8">
        <w:trPr>
          <w:trHeight w:val="240"/>
        </w:trPr>
        <w:tc>
          <w:tcPr>
            <w:tcW w:w="1162" w:type="dxa"/>
            <w:tcBorders>
              <w:bottom w:val="single" w:sz="12" w:space="0" w:color="auto"/>
            </w:tcBorders>
            <w:shd w:val="clear" w:color="auto" w:fill="auto"/>
          </w:tcPr>
          <w:p w14:paraId="22BE4E60" w14:textId="77777777" w:rsidR="00C71514" w:rsidRPr="00C819B9" w:rsidRDefault="00C71514" w:rsidP="007B58E8">
            <w:pPr>
              <w:pageBreakBefore/>
              <w:spacing w:before="40" w:after="120"/>
              <w:rPr>
                <w:rFonts w:eastAsiaTheme="minorHAnsi"/>
              </w:rPr>
            </w:pPr>
          </w:p>
        </w:tc>
        <w:tc>
          <w:tcPr>
            <w:tcW w:w="6208" w:type="dxa"/>
            <w:tcBorders>
              <w:bottom w:val="single" w:sz="12" w:space="0" w:color="auto"/>
            </w:tcBorders>
            <w:shd w:val="clear" w:color="auto" w:fill="auto"/>
            <w:tcMar>
              <w:right w:w="0" w:type="dxa"/>
            </w:tcMar>
          </w:tcPr>
          <w:p w14:paraId="79D1835A" w14:textId="77777777" w:rsidR="00C71514" w:rsidRPr="00C819B9" w:rsidRDefault="00C71514" w:rsidP="007B58E8">
            <w:pPr>
              <w:pageBreakBefore/>
              <w:spacing w:before="40" w:after="120"/>
              <w:rPr>
                <w:rFonts w:eastAsiaTheme="minorHAnsi"/>
              </w:rPr>
            </w:pPr>
            <w:r w:rsidRPr="00C819B9">
              <w:t>En las prisiones de mínima seguridad se está procediendo a pruebas para facilitar el abandono de los cacheos sistemáticos y adoptar en su lugar un enfoque basado en el riesgo, según el cual el permiso para llevar a cabo dichos cacheos se solicita a la persona interesada si lo justifica la información disponible o la existencia de un riesgo para la seguridad.</w:t>
            </w:r>
          </w:p>
        </w:tc>
      </w:tr>
    </w:tbl>
    <w:p w14:paraId="6FD80E0B" w14:textId="24719FE9" w:rsidR="00C71514" w:rsidRPr="00C819B9" w:rsidRDefault="00C819B9" w:rsidP="00C819B9">
      <w:pPr>
        <w:pStyle w:val="H1G"/>
      </w:pPr>
      <w:bookmarkStart w:id="19" w:name="_Toc157763291"/>
      <w:r w:rsidRPr="00C819B9">
        <w:tab/>
      </w:r>
      <w:r w:rsidR="00C71514" w:rsidRPr="00C819B9">
        <w:tab/>
        <w:t xml:space="preserve">Apéndice II </w:t>
      </w:r>
      <w:r w:rsidR="00F03E20">
        <w:t>–</w:t>
      </w:r>
      <w:r w:rsidR="00C71514" w:rsidRPr="00C819B9">
        <w:t xml:space="preserve"> Justicia juvenil</w:t>
      </w:r>
      <w:bookmarkEnd w:id="19"/>
    </w:p>
    <w:p w14:paraId="4E9FB78D" w14:textId="7923BFEE" w:rsidR="00C71514" w:rsidRPr="00C819B9" w:rsidRDefault="00C819B9" w:rsidP="00C819B9">
      <w:pPr>
        <w:pStyle w:val="H23G"/>
        <w:rPr>
          <w:i/>
        </w:rPr>
      </w:pPr>
      <w:bookmarkStart w:id="20" w:name="_Toc157763292"/>
      <w:r w:rsidRPr="00C819B9">
        <w:tab/>
      </w:r>
      <w:r w:rsidR="00C71514" w:rsidRPr="00C819B9">
        <w:tab/>
        <w:t xml:space="preserve">Recomendación 38 a) </w:t>
      </w:r>
      <w:r w:rsidRPr="00C819B9">
        <w:t>–</w:t>
      </w:r>
      <w:r w:rsidR="00C71514" w:rsidRPr="00C819B9">
        <w:t xml:space="preserve"> Edad de responsabilidad penal</w:t>
      </w:r>
      <w:bookmarkEnd w:id="20"/>
    </w:p>
    <w:p w14:paraId="60518A4A" w14:textId="77777777" w:rsidR="00C71514" w:rsidRPr="00C819B9" w:rsidRDefault="00C71514" w:rsidP="00C71514">
      <w:pPr>
        <w:pStyle w:val="SingleTxtG"/>
      </w:pPr>
      <w:r w:rsidRPr="00C819B9">
        <w:t>56.</w:t>
      </w:r>
      <w:r w:rsidRPr="00C819B9">
        <w:tab/>
        <w:t>Elevar la edad de responsabilidad penal de conformidad con las normas internacionales.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162"/>
        <w:gridCol w:w="6208"/>
      </w:tblGrid>
      <w:tr w:rsidR="00C819B9" w:rsidRPr="00C819B9" w14:paraId="65ADA0A8" w14:textId="77777777" w:rsidTr="007B58E8">
        <w:trPr>
          <w:trHeight w:val="240"/>
          <w:tblHeader/>
        </w:trPr>
        <w:tc>
          <w:tcPr>
            <w:tcW w:w="1162" w:type="dxa"/>
            <w:tcBorders>
              <w:top w:val="single" w:sz="4" w:space="0" w:color="auto"/>
              <w:bottom w:val="single" w:sz="12" w:space="0" w:color="auto"/>
            </w:tcBorders>
            <w:shd w:val="clear" w:color="auto" w:fill="auto"/>
            <w:vAlign w:val="bottom"/>
          </w:tcPr>
          <w:p w14:paraId="33333291" w14:textId="77777777" w:rsidR="00C71514" w:rsidRPr="00C819B9" w:rsidRDefault="00C71514" w:rsidP="00C819B9">
            <w:pPr>
              <w:spacing w:before="80" w:after="80" w:line="200" w:lineRule="exact"/>
              <w:rPr>
                <w:rFonts w:eastAsiaTheme="minorHAnsi"/>
                <w:i/>
                <w:sz w:val="16"/>
              </w:rPr>
            </w:pPr>
            <w:bookmarkStart w:id="21" w:name="_Hlk151117556"/>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4E27BDEA"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29E73983" w14:textId="77777777" w:rsidTr="007B58E8">
        <w:trPr>
          <w:trHeight w:hRule="exact" w:val="113"/>
          <w:tblHeader/>
        </w:trPr>
        <w:tc>
          <w:tcPr>
            <w:tcW w:w="1162" w:type="dxa"/>
            <w:tcBorders>
              <w:top w:val="single" w:sz="12" w:space="0" w:color="auto"/>
            </w:tcBorders>
            <w:shd w:val="clear" w:color="auto" w:fill="auto"/>
          </w:tcPr>
          <w:p w14:paraId="50F94763"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0634928F" w14:textId="77777777" w:rsidR="00C71514" w:rsidRPr="00C819B9" w:rsidRDefault="00C71514" w:rsidP="00C819B9">
            <w:pPr>
              <w:spacing w:before="40" w:after="120"/>
              <w:rPr>
                <w:rFonts w:eastAsiaTheme="minorHAnsi"/>
              </w:rPr>
            </w:pPr>
          </w:p>
        </w:tc>
      </w:tr>
      <w:bookmarkEnd w:id="21"/>
      <w:tr w:rsidR="00C819B9" w:rsidRPr="00C819B9" w14:paraId="148022DA" w14:textId="77777777" w:rsidTr="007B58E8">
        <w:trPr>
          <w:trHeight w:val="240"/>
        </w:trPr>
        <w:tc>
          <w:tcPr>
            <w:tcW w:w="1162" w:type="dxa"/>
            <w:shd w:val="clear" w:color="auto" w:fill="auto"/>
          </w:tcPr>
          <w:p w14:paraId="26962DF5" w14:textId="77777777" w:rsidR="00C71514" w:rsidRPr="00C819B9" w:rsidRDefault="00C71514" w:rsidP="00C819B9">
            <w:pPr>
              <w:spacing w:before="40" w:after="120"/>
              <w:rPr>
                <w:rFonts w:eastAsiaTheme="minorHAnsi"/>
              </w:rPr>
            </w:pPr>
            <w:r w:rsidRPr="00C819B9">
              <w:t>Territorio de la Capital de Australia</w:t>
            </w:r>
          </w:p>
        </w:tc>
        <w:tc>
          <w:tcPr>
            <w:tcW w:w="6208" w:type="dxa"/>
            <w:shd w:val="clear" w:color="auto" w:fill="auto"/>
            <w:tcMar>
              <w:right w:w="0" w:type="dxa"/>
            </w:tcMar>
          </w:tcPr>
          <w:p w14:paraId="6A6DE1E6" w14:textId="53EB6722" w:rsidR="00C71514" w:rsidRPr="00C819B9" w:rsidRDefault="00C71514" w:rsidP="00C819B9">
            <w:pPr>
              <w:spacing w:before="40" w:after="120"/>
              <w:rPr>
                <w:rFonts w:eastAsiaTheme="minorHAnsi"/>
              </w:rPr>
            </w:pPr>
            <w:r w:rsidRPr="00C819B9">
              <w:t xml:space="preserve">El 22 de noviembre de 2023 entró en vigor la Ley por la que se </w:t>
            </w:r>
            <w:r w:rsidR="00130699">
              <w:t>m</w:t>
            </w:r>
            <w:r w:rsidRPr="00C819B9">
              <w:t xml:space="preserve">odifica la Legislación sobre Justicia (Edad de Responsabilidad Penal) de 2023 (Territorio de la Capital de Australia). La </w:t>
            </w:r>
            <w:r w:rsidR="00130699" w:rsidRPr="00C819B9">
              <w:t>ley</w:t>
            </w:r>
            <w:r w:rsidRPr="00C819B9">
              <w:t xml:space="preserve"> aumenta la edad de responsabilidad penal de forma escalonada, inicialmente hasta los 12 años desde su entrada en vigor (que se produjo el 22 de noviembre de 2023), y posteriormente hasta los 14 años el 1 de julio de 2025, con excepciones para los niños que hayan cumplido los 12 años en casos de asesinato, lesiones graves infligidas intencionadamente, agresión sexual en primer grado y los actos de indecencia en primer grado. </w:t>
            </w:r>
          </w:p>
        </w:tc>
      </w:tr>
      <w:tr w:rsidR="00C819B9" w:rsidRPr="00C819B9" w14:paraId="658CF2ED" w14:textId="77777777" w:rsidTr="007B58E8">
        <w:trPr>
          <w:trHeight w:val="240"/>
        </w:trPr>
        <w:tc>
          <w:tcPr>
            <w:tcW w:w="1162" w:type="dxa"/>
            <w:shd w:val="clear" w:color="auto" w:fill="auto"/>
          </w:tcPr>
          <w:p w14:paraId="12C5C70F" w14:textId="77777777" w:rsidR="00C71514" w:rsidRPr="00C819B9" w:rsidRDefault="00C71514" w:rsidP="00C819B9">
            <w:pPr>
              <w:spacing w:before="40" w:after="120"/>
              <w:rPr>
                <w:rFonts w:eastAsiaTheme="minorHAnsi"/>
              </w:rPr>
            </w:pPr>
            <w:r w:rsidRPr="00C819B9">
              <w:t>Territorio del Norte</w:t>
            </w:r>
          </w:p>
        </w:tc>
        <w:tc>
          <w:tcPr>
            <w:tcW w:w="6208" w:type="dxa"/>
            <w:shd w:val="clear" w:color="auto" w:fill="auto"/>
            <w:tcMar>
              <w:right w:w="0" w:type="dxa"/>
            </w:tcMar>
          </w:tcPr>
          <w:p w14:paraId="48725753" w14:textId="77777777" w:rsidR="00C71514" w:rsidRPr="00C819B9" w:rsidRDefault="00C71514" w:rsidP="00C819B9">
            <w:pPr>
              <w:spacing w:before="40" w:after="120"/>
              <w:rPr>
                <w:rFonts w:eastAsiaTheme="minorHAnsi"/>
              </w:rPr>
            </w:pPr>
            <w:r w:rsidRPr="00C819B9">
              <w:t>El 1 de agosto de 2023 entró en vigor la Ley por la que se Modifica el Código Penal (Edad de Responsabilidad Penal) de 2022 (Territorio del Norte), que eleva la edad de responsabilidad penal de los 10 a los 12 años en el Territorio del Norte. El gobierno del Territorio del Norte se ha comprometido a someter a examen la legislación dentro de dos años.</w:t>
            </w:r>
          </w:p>
        </w:tc>
      </w:tr>
      <w:tr w:rsidR="00C819B9" w:rsidRPr="00C819B9" w14:paraId="6FA06A59" w14:textId="77777777" w:rsidTr="007B58E8">
        <w:trPr>
          <w:trHeight w:val="240"/>
        </w:trPr>
        <w:tc>
          <w:tcPr>
            <w:tcW w:w="1162" w:type="dxa"/>
            <w:shd w:val="clear" w:color="auto" w:fill="auto"/>
          </w:tcPr>
          <w:p w14:paraId="6B505DE3" w14:textId="77777777" w:rsidR="00C71514" w:rsidRPr="00C819B9" w:rsidRDefault="00C71514" w:rsidP="00C819B9">
            <w:pPr>
              <w:spacing w:before="40" w:after="120"/>
              <w:rPr>
                <w:rFonts w:eastAsiaTheme="minorHAnsi"/>
              </w:rPr>
            </w:pPr>
            <w:r w:rsidRPr="00C819B9">
              <w:t>Tasmania</w:t>
            </w:r>
          </w:p>
        </w:tc>
        <w:tc>
          <w:tcPr>
            <w:tcW w:w="6208" w:type="dxa"/>
            <w:shd w:val="clear" w:color="auto" w:fill="auto"/>
            <w:tcMar>
              <w:right w:w="0" w:type="dxa"/>
            </w:tcMar>
          </w:tcPr>
          <w:p w14:paraId="052ECDF9" w14:textId="77777777" w:rsidR="00C71514" w:rsidRPr="00C819B9" w:rsidRDefault="00C71514" w:rsidP="00C819B9">
            <w:pPr>
              <w:spacing w:before="40" w:after="120"/>
              <w:rPr>
                <w:rFonts w:eastAsiaTheme="minorHAnsi"/>
              </w:rPr>
            </w:pPr>
            <w:r w:rsidRPr="00C819B9">
              <w:t>El 6 de diciembre de 2023, el gobierno de Tasmania se comprometió a elevar la edad de responsabilidad penal de los 10 a 14 años para julio de 2029, y a elevar la edad de privación de libertad a los 16 años.</w:t>
            </w:r>
          </w:p>
        </w:tc>
      </w:tr>
      <w:tr w:rsidR="00C819B9" w:rsidRPr="00C819B9" w14:paraId="60FF71CC" w14:textId="77777777" w:rsidTr="007B58E8">
        <w:trPr>
          <w:trHeight w:val="240"/>
        </w:trPr>
        <w:tc>
          <w:tcPr>
            <w:tcW w:w="1162" w:type="dxa"/>
            <w:tcBorders>
              <w:bottom w:val="single" w:sz="12" w:space="0" w:color="auto"/>
            </w:tcBorders>
            <w:shd w:val="clear" w:color="auto" w:fill="auto"/>
          </w:tcPr>
          <w:p w14:paraId="781CCE91" w14:textId="77777777" w:rsidR="00C71514" w:rsidRPr="00C819B9" w:rsidRDefault="00C71514" w:rsidP="00C819B9">
            <w:pPr>
              <w:spacing w:before="40" w:after="120"/>
              <w:rPr>
                <w:rFonts w:eastAsiaTheme="minorHAnsi"/>
              </w:rPr>
            </w:pPr>
            <w:r w:rsidRPr="00C819B9">
              <w:t>Victoria</w:t>
            </w:r>
          </w:p>
        </w:tc>
        <w:tc>
          <w:tcPr>
            <w:tcW w:w="6208" w:type="dxa"/>
            <w:tcBorders>
              <w:bottom w:val="single" w:sz="12" w:space="0" w:color="auto"/>
            </w:tcBorders>
            <w:shd w:val="clear" w:color="auto" w:fill="auto"/>
            <w:tcMar>
              <w:right w:w="0" w:type="dxa"/>
            </w:tcMar>
          </w:tcPr>
          <w:p w14:paraId="042D82CC" w14:textId="77777777" w:rsidR="00C71514" w:rsidRPr="00C819B9" w:rsidRDefault="00C71514" w:rsidP="00C819B9">
            <w:pPr>
              <w:spacing w:before="40" w:after="120"/>
              <w:rPr>
                <w:rFonts w:eastAsiaTheme="minorHAnsi"/>
              </w:rPr>
            </w:pPr>
            <w:r w:rsidRPr="00C819B9">
              <w:t>El 25 de abril de 2023 el gobierno de Victoria anunció que elevaría la edad de responsabilidad penal a los 12 años sin excepciones y, posteriormente, a los 14 años a partir de 2027, salvo en el caso de determinados delitos graves cometidos por niños de 12 y 13 años, con sujeción al diseño y la puesta en práctica de un modelo alternativo de cumplimiento de condenas.</w:t>
            </w:r>
          </w:p>
        </w:tc>
      </w:tr>
    </w:tbl>
    <w:p w14:paraId="42BD86F6" w14:textId="2627BE92" w:rsidR="00C71514" w:rsidRPr="00C819B9" w:rsidRDefault="00C819B9" w:rsidP="00C819B9">
      <w:pPr>
        <w:pStyle w:val="H23G"/>
      </w:pPr>
      <w:bookmarkStart w:id="22" w:name="_Toc157763293"/>
      <w:r w:rsidRPr="00C819B9">
        <w:tab/>
      </w:r>
      <w:r w:rsidR="00C71514" w:rsidRPr="00C819B9">
        <w:tab/>
        <w:t xml:space="preserve">Recomendación 38 b) </w:t>
      </w:r>
      <w:r w:rsidRPr="00C819B9">
        <w:t>–</w:t>
      </w:r>
      <w:r w:rsidR="00C71514" w:rsidRPr="00C819B9">
        <w:t xml:space="preserve"> Privación de libertad de niños indígenas y niños </w:t>
      </w:r>
      <w:r w:rsidRPr="00C819B9">
        <w:br/>
      </w:r>
      <w:r w:rsidR="00C71514" w:rsidRPr="00C819B9">
        <w:t>con discapacidad</w:t>
      </w:r>
      <w:bookmarkEnd w:id="22"/>
    </w:p>
    <w:p w14:paraId="7BEF5BC3" w14:textId="77777777" w:rsidR="00C71514" w:rsidRPr="00C819B9" w:rsidRDefault="00C71514" w:rsidP="00C71514">
      <w:pPr>
        <w:pStyle w:val="SingleTxtG"/>
      </w:pPr>
      <w:r w:rsidRPr="00C819B9">
        <w:t>57.</w:t>
      </w:r>
      <w:r w:rsidRPr="00C819B9">
        <w:tab/>
        <w:t>Adoptar todas las medidas necesarias para reducir la tasa de encarcelamiento de los niños indígenas y velar por que no se encierre indefinidamente a los niños con discapacidad antes de que hayan sido declarados culpables y por que su reclusión sea objeto de una revisión judicial periódica.</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162"/>
        <w:gridCol w:w="6208"/>
      </w:tblGrid>
      <w:tr w:rsidR="00C819B9" w:rsidRPr="00C819B9" w14:paraId="100B2417" w14:textId="77777777" w:rsidTr="007B58E8">
        <w:trPr>
          <w:trHeight w:val="240"/>
          <w:tblHeader/>
        </w:trPr>
        <w:tc>
          <w:tcPr>
            <w:tcW w:w="1162" w:type="dxa"/>
            <w:tcBorders>
              <w:top w:val="single" w:sz="4" w:space="0" w:color="auto"/>
              <w:bottom w:val="single" w:sz="12" w:space="0" w:color="auto"/>
            </w:tcBorders>
            <w:shd w:val="clear" w:color="auto" w:fill="auto"/>
            <w:vAlign w:val="bottom"/>
          </w:tcPr>
          <w:p w14:paraId="28A04439"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27660644"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04C166F7" w14:textId="77777777" w:rsidTr="007B58E8">
        <w:trPr>
          <w:trHeight w:hRule="exact" w:val="113"/>
          <w:tblHeader/>
        </w:trPr>
        <w:tc>
          <w:tcPr>
            <w:tcW w:w="1162" w:type="dxa"/>
            <w:tcBorders>
              <w:top w:val="single" w:sz="12" w:space="0" w:color="auto"/>
            </w:tcBorders>
            <w:shd w:val="clear" w:color="auto" w:fill="auto"/>
          </w:tcPr>
          <w:p w14:paraId="1674417A"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0500A4DD" w14:textId="77777777" w:rsidR="00C71514" w:rsidRPr="00C819B9" w:rsidRDefault="00C71514" w:rsidP="00C819B9">
            <w:pPr>
              <w:spacing w:before="40" w:after="120"/>
              <w:rPr>
                <w:rFonts w:eastAsiaTheme="minorHAnsi"/>
              </w:rPr>
            </w:pPr>
          </w:p>
        </w:tc>
      </w:tr>
      <w:tr w:rsidR="00C819B9" w:rsidRPr="00C819B9" w14:paraId="2AD8011F" w14:textId="77777777" w:rsidTr="007B58E8">
        <w:trPr>
          <w:trHeight w:val="240"/>
        </w:trPr>
        <w:tc>
          <w:tcPr>
            <w:tcW w:w="1162" w:type="dxa"/>
            <w:shd w:val="clear" w:color="auto" w:fill="auto"/>
          </w:tcPr>
          <w:p w14:paraId="0A97B972"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79B2083A" w14:textId="77777777" w:rsidR="00C71514" w:rsidRPr="00C819B9" w:rsidRDefault="00C71514" w:rsidP="00C819B9">
            <w:pPr>
              <w:spacing w:before="40" w:after="120"/>
              <w:rPr>
                <w:rFonts w:eastAsiaTheme="minorHAnsi"/>
              </w:rPr>
            </w:pPr>
            <w:r w:rsidRPr="00C819B9">
              <w:t xml:space="preserve">El Servicio de Justicia Juvenil de Nueva Gales del Sur ha introducido una herramienta denominada Itinerario de Asistencia Comportamental, una medida de apoyo individualizado que se utilizará en casos de conductas de alto riesgo. El Itinerario se centra en el joven e incorpora la opinión de este, de modo que se tienen en cuenta las circunstancias individuales, como sería </w:t>
            </w:r>
            <w:r w:rsidRPr="00C819B9">
              <w:lastRenderedPageBreak/>
              <w:t>la existencia de una discapacidad. El psicólogo del joven debe ser consultado durante el desarrollo del Itinerario.</w:t>
            </w:r>
          </w:p>
          <w:p w14:paraId="3DF293A7" w14:textId="0729D76F" w:rsidR="00C71514" w:rsidRPr="00C819B9" w:rsidRDefault="00C71514" w:rsidP="00C819B9">
            <w:pPr>
              <w:spacing w:before="40" w:after="120"/>
              <w:rPr>
                <w:rFonts w:eastAsiaTheme="minorHAnsi"/>
              </w:rPr>
            </w:pPr>
            <w:r w:rsidRPr="00C819B9">
              <w:t xml:space="preserve">Si el joven es aborigen o isleño del </w:t>
            </w:r>
            <w:r w:rsidR="001E7EB0" w:rsidRPr="00C819B9">
              <w:t>estrecho</w:t>
            </w:r>
            <w:r w:rsidRPr="00C819B9">
              <w:t xml:space="preserve"> de Torres, el Itinerario exige además que se consulte con un oficial de práctica aborigen. Los oficiales de práctica aborigen deben tener acceso al Itinerario de modo que puedan examinarlo y aportar cualquier consideración o mejora cultural.</w:t>
            </w:r>
          </w:p>
          <w:p w14:paraId="1E174DCE" w14:textId="77777777" w:rsidR="00C71514" w:rsidRPr="00C819B9" w:rsidRDefault="00C71514" w:rsidP="00C819B9">
            <w:pPr>
              <w:spacing w:before="40" w:after="120"/>
              <w:rPr>
                <w:rFonts w:eastAsiaTheme="minorHAnsi"/>
              </w:rPr>
            </w:pPr>
            <w:r w:rsidRPr="00C819B9">
              <w:t>El Comité Asesor Aborigen para Estrategias de Justicia Juvenil ha dirigido la elaboración y aplicación del Mandato de Práctica Aborigen, que aporta mayor claridad en relación con los programas y medidas de respuesta culturales para los jóvenes aborígenes.</w:t>
            </w:r>
          </w:p>
          <w:p w14:paraId="7F108D08" w14:textId="35E2E677" w:rsidR="00C71514" w:rsidRPr="00C819B9" w:rsidRDefault="00C71514" w:rsidP="00C819B9">
            <w:pPr>
              <w:spacing w:before="40" w:after="120"/>
              <w:rPr>
                <w:rFonts w:eastAsiaTheme="minorHAnsi"/>
              </w:rPr>
            </w:pPr>
            <w:r w:rsidRPr="00C819B9">
              <w:t xml:space="preserve">El Servicio de Justicia Juvenil colabora estrechamente con el Departamento de Comunidades y Justicia y el Servicio Jurídico Aborigen para coordinar un programa de trabajo interinstitucional en el marco </w:t>
            </w:r>
            <w:r w:rsidR="00130699">
              <w:t xml:space="preserve">de </w:t>
            </w:r>
            <w:r w:rsidRPr="00C819B9">
              <w:t>la meta 11 de la estrategia Cerrar la Brecha con la intención de resolver de forma permanente la cuestión de la sobrerrepresentación. Se ha elaborado un plan de trabajo y en 2023 se pondrá en marcha una serie de proyectos destinados a beneficiarios y lugares concretos que estarán en consonancia con las reformas prioritarias de Cerrar la Brecha.</w:t>
            </w:r>
          </w:p>
          <w:p w14:paraId="38FF6AC3" w14:textId="16C317EF" w:rsidR="00C71514" w:rsidRPr="00C819B9" w:rsidRDefault="00C71514" w:rsidP="00C819B9">
            <w:pPr>
              <w:spacing w:before="40" w:after="120"/>
              <w:rPr>
                <w:rFonts w:eastAsiaTheme="minorHAnsi"/>
              </w:rPr>
            </w:pPr>
            <w:r w:rsidRPr="00C819B9">
              <w:t>El Servicio de Justicia Juvenil lidera el Programa de Prisión Preventiva de Corta Duración que se está aplicando en el Tribunal de Menores de Surry</w:t>
            </w:r>
            <w:r w:rsidR="007B58E8">
              <w:t> </w:t>
            </w:r>
            <w:r w:rsidRPr="00C819B9">
              <w:t>Hills, y un tribunal local que funciona como Tribunal de Menores en Wagga Wagga, para poner a prueba ambos modelos con vistas a su ampliación a todo el estado.</w:t>
            </w:r>
          </w:p>
          <w:p w14:paraId="39AF823F" w14:textId="77777777" w:rsidR="00C71514" w:rsidRPr="00C819B9" w:rsidRDefault="00C71514" w:rsidP="00C819B9">
            <w:pPr>
              <w:spacing w:before="40" w:after="120"/>
              <w:rPr>
                <w:rFonts w:eastAsiaTheme="minorHAnsi"/>
              </w:rPr>
            </w:pPr>
            <w:r w:rsidRPr="00C819B9">
              <w:t>El Programa de Promoción de la Libertad bajo Fianza, dirigido por el Servicio Jurídico Aborigen, trabaja con jóvenes en tres localidades piloto con vistas a desarrollar maneras de promover la libertad bajo fianza en todo el estado para los jóvenes aborígenes.</w:t>
            </w:r>
          </w:p>
          <w:p w14:paraId="1D2488B3" w14:textId="184137C6" w:rsidR="00C71514" w:rsidRPr="00C819B9" w:rsidRDefault="00C71514" w:rsidP="00C819B9">
            <w:pPr>
              <w:spacing w:before="40" w:after="120"/>
              <w:rPr>
                <w:rFonts w:eastAsiaTheme="minorHAnsi"/>
              </w:rPr>
            </w:pPr>
            <w:r w:rsidRPr="00C819B9">
              <w:t>El 24 de marzo de 2023 se creó en Dubbo un tercer Tribunal Koori de Menores tras el éxito de los tribunales piloto de Parramatta y Surry Hills. El</w:t>
            </w:r>
            <w:r w:rsidR="002730E1">
              <w:t> </w:t>
            </w:r>
            <w:r w:rsidRPr="00C819B9">
              <w:t xml:space="preserve">Tribunal Koori de Menores aplica un proceso modificado dentro del procedimiento ordinario del Tribunal de Menores. Tiene las mismas competencias que el Tribunal de Menores, pero sigue un procedimiento diferente para implicar mejor en el proceso judicial a los jóvenes aborígenes e isleños del </w:t>
            </w:r>
            <w:r w:rsidR="001E7EB0" w:rsidRPr="00C819B9">
              <w:t>estrecho</w:t>
            </w:r>
            <w:r w:rsidRPr="00C819B9">
              <w:t xml:space="preserve"> de Torres, a sus familias y a la comunidad aborigen e isleña del </w:t>
            </w:r>
            <w:r w:rsidR="001E7EB0" w:rsidRPr="00C819B9">
              <w:t>estrecho</w:t>
            </w:r>
            <w:r w:rsidRPr="00C819B9">
              <w:t xml:space="preserve"> de Torres en sentido amplio. Con la ayuda de ancianos y otros notables de las comunidades aborígenes o isleñas del </w:t>
            </w:r>
            <w:r w:rsidR="001E7EB0" w:rsidRPr="00C819B9">
              <w:t>estrecho</w:t>
            </w:r>
            <w:r w:rsidRPr="00C819B9">
              <w:t xml:space="preserve"> de Torres, el </w:t>
            </w:r>
            <w:r w:rsidR="00130699" w:rsidRPr="00C819B9">
              <w:t>Tribunal Koori</w:t>
            </w:r>
            <w:r w:rsidRPr="00C819B9">
              <w:t xml:space="preserve"> trata de identificar los factores de riesgo, como la falta de hogar, el abandono de los estudios, los problemas de drogas y alcohol u otros problemas de salud, que pueden haber influido en que el joven haya entrado en contacto con el sistema de justicia penal. A continuación, se elabora un plan de acción y apoyo con el joven para ayudarlo a combatir estos factores de riesgo y estrechar sus lazos con su cultura y su comunidad.</w:t>
            </w:r>
          </w:p>
          <w:p w14:paraId="1D9CFE64" w14:textId="42659584" w:rsidR="00C71514" w:rsidRPr="00C819B9" w:rsidRDefault="00C71514" w:rsidP="00C819B9">
            <w:pPr>
              <w:spacing w:before="40" w:after="120"/>
              <w:rPr>
                <w:rFonts w:eastAsiaTheme="minorHAnsi"/>
              </w:rPr>
            </w:pPr>
            <w:r w:rsidRPr="00C819B9">
              <w:t xml:space="preserve">Se está poniendo en práctica el Plan de Acción sobre Discapacidad en la Justicia Juvenil 2021-2024. Este </w:t>
            </w:r>
            <w:r w:rsidR="00130699" w:rsidRPr="00C819B9">
              <w:t>Plan</w:t>
            </w:r>
            <w:r w:rsidRPr="00C819B9">
              <w:t xml:space="preserve"> prevé 38 medidas a lo largo de tres años, diseñadas para mejorar la identificación y el diagnóstico de los jóvenes con discapacidad en el sistema judicial, a fin de reducir la reincidencia mediante el establecimiento de medidas de apoyo a la discapacidad o la mejora de las existentes. </w:t>
            </w:r>
          </w:p>
        </w:tc>
      </w:tr>
      <w:tr w:rsidR="00C819B9" w:rsidRPr="00C819B9" w14:paraId="5CABB673" w14:textId="77777777" w:rsidTr="007B58E8">
        <w:trPr>
          <w:trHeight w:val="240"/>
        </w:trPr>
        <w:tc>
          <w:tcPr>
            <w:tcW w:w="1162" w:type="dxa"/>
            <w:shd w:val="clear" w:color="auto" w:fill="auto"/>
          </w:tcPr>
          <w:p w14:paraId="3BAFBDFB" w14:textId="77777777" w:rsidR="00C71514" w:rsidRPr="00C819B9" w:rsidRDefault="00C71514" w:rsidP="00C819B9">
            <w:pPr>
              <w:spacing w:before="40" w:after="120"/>
              <w:rPr>
                <w:rFonts w:eastAsiaTheme="minorHAnsi"/>
              </w:rPr>
            </w:pPr>
            <w:r w:rsidRPr="00C819B9">
              <w:lastRenderedPageBreak/>
              <w:t>Queensland</w:t>
            </w:r>
          </w:p>
        </w:tc>
        <w:tc>
          <w:tcPr>
            <w:tcW w:w="6208" w:type="dxa"/>
            <w:shd w:val="clear" w:color="auto" w:fill="auto"/>
            <w:tcMar>
              <w:right w:w="0" w:type="dxa"/>
            </w:tcMar>
          </w:tcPr>
          <w:p w14:paraId="6018171B" w14:textId="0D421FD4" w:rsidR="00C71514" w:rsidRPr="00C819B9" w:rsidRDefault="00C71514" w:rsidP="00C819B9">
            <w:pPr>
              <w:spacing w:before="40" w:after="120"/>
              <w:rPr>
                <w:rFonts w:eastAsiaTheme="minorHAnsi"/>
              </w:rPr>
            </w:pPr>
            <w:r w:rsidRPr="00C819B9">
              <w:t xml:space="preserve">El Servicio de Policía de Queensland ha establecido en Townsville e Inala juicios en los que notables de la comunidad imparten amonestaciones a los jóvenes, en línea con el compromiso del gobierno de Queensland, dimanante del Acuerdo Nacional para Cerrar la Brecha, de reducir la </w:t>
            </w:r>
            <w:r w:rsidRPr="00C819B9">
              <w:lastRenderedPageBreak/>
              <w:t xml:space="preserve">sobrerrepresentación de jóvenes aborígenes e isleños del </w:t>
            </w:r>
            <w:r w:rsidR="001E7EB0" w:rsidRPr="00C819B9">
              <w:t>estrecho</w:t>
            </w:r>
            <w:r w:rsidRPr="00C819B9">
              <w:t xml:space="preserve"> de Torres en centros de privación de libertad.</w:t>
            </w:r>
          </w:p>
          <w:p w14:paraId="173B473E" w14:textId="64DE41AB" w:rsidR="00C71514" w:rsidRPr="00C819B9" w:rsidRDefault="00C71514" w:rsidP="00C819B9">
            <w:pPr>
              <w:spacing w:before="40" w:after="120"/>
              <w:rPr>
                <w:rFonts w:eastAsiaTheme="minorHAnsi"/>
              </w:rPr>
            </w:pPr>
            <w:r w:rsidRPr="00C819B9">
              <w:t xml:space="preserve">El gobierno de Queensland está elaborando una estrategia pangubernamental y comunitaria para combatir la sobrerrepresentación de los aborígenes e isleños del </w:t>
            </w:r>
            <w:r w:rsidR="001E7EB0" w:rsidRPr="00C819B9">
              <w:t>estrecho</w:t>
            </w:r>
            <w:r w:rsidRPr="00C819B9">
              <w:t xml:space="preserve"> de Torres, incluidos los niños, en el sistema de justicia penal. Esta estrategia contribuirá significativamente a hacer realidad el compromiso del gobierno de Queensland dimanante del Acuerdo para Cerrar la Brecha de reducir las tasas de encarcelamiento de jóvenes aborígenes e isleños del </w:t>
            </w:r>
            <w:r w:rsidR="001E7EB0" w:rsidRPr="00C819B9">
              <w:t>estrecho</w:t>
            </w:r>
            <w:r w:rsidRPr="00C819B9">
              <w:t xml:space="preserve"> de Torres en un 30 % para 2031.</w:t>
            </w:r>
          </w:p>
          <w:p w14:paraId="5828E698" w14:textId="77777777" w:rsidR="00C71514" w:rsidRPr="00C819B9" w:rsidRDefault="00C71514" w:rsidP="00C819B9">
            <w:pPr>
              <w:spacing w:before="40" w:after="120"/>
              <w:rPr>
                <w:rFonts w:eastAsiaTheme="minorHAnsi"/>
              </w:rPr>
            </w:pPr>
            <w:r w:rsidRPr="00C819B9">
              <w:t>El gobierno de Queensland presta apoyo a varios programas de reinversión social de diseño conjunto que permiten aplicar enfoques culturalmente seguros para reducir la delincuencia juvenil y, en última instancia, la tasa de encarcelamiento de los niños de las Primeras Naciones, lo cual constituye una prioridad clave de la estrategia Cerrar la Brecha.</w:t>
            </w:r>
          </w:p>
          <w:p w14:paraId="34234397" w14:textId="77777777" w:rsidR="00C71514" w:rsidRPr="00C819B9" w:rsidRDefault="00C71514" w:rsidP="00C819B9">
            <w:pPr>
              <w:spacing w:before="40" w:after="120"/>
              <w:rPr>
                <w:rFonts w:eastAsiaTheme="minorHAnsi"/>
              </w:rPr>
            </w:pPr>
            <w:r w:rsidRPr="00C819B9">
              <w:t>El proyecto Youth Hub del Consejo Regional de la Zona Peninsular Norte es una iniciativa que facilita programas para la juventud, que incluyen la prestación de asesoramiento y apoyo familiar, con el fin de reducir la delincuencia juvenil en Bamaga.</w:t>
            </w:r>
          </w:p>
          <w:p w14:paraId="47E4C0B0" w14:textId="77777777" w:rsidR="00C71514" w:rsidRPr="00C819B9" w:rsidRDefault="00C71514" w:rsidP="00C819B9">
            <w:pPr>
              <w:spacing w:before="40" w:after="120"/>
              <w:rPr>
                <w:rFonts w:eastAsiaTheme="minorHAnsi"/>
              </w:rPr>
            </w:pPr>
            <w:r w:rsidRPr="00C819B9">
              <w:t>El Proyecto del Tagai State College es una iniciativa para mejorar indicadores como la asistencia escolar, la alfabetización o los conocimientos aritméticos, reducir la delincuencia juvenil y aumentar el número de alumnos en puestos de aprendizaje y prácticas.</w:t>
            </w:r>
          </w:p>
          <w:p w14:paraId="2DC0E8B2" w14:textId="77777777" w:rsidR="00C71514" w:rsidRPr="00C819B9" w:rsidRDefault="00C71514" w:rsidP="00C819B9">
            <w:pPr>
              <w:spacing w:before="40" w:after="120"/>
              <w:rPr>
                <w:rFonts w:eastAsiaTheme="minorHAnsi"/>
              </w:rPr>
            </w:pPr>
            <w:r w:rsidRPr="00C819B9">
              <w:t>El Programa de Patrulla Nocturna de la Comunidad de Kowanyama es una iniciativa en la que los agentes de la patrulla nocturna interactúan proactivamente con los jóvenes, entablando diálogos u ofreciéndoles refrigerios, para prevenir la delincuencia y minimizar los daños.</w:t>
            </w:r>
          </w:p>
        </w:tc>
      </w:tr>
      <w:tr w:rsidR="00C819B9" w:rsidRPr="00C819B9" w14:paraId="2884F99D" w14:textId="77777777" w:rsidTr="007B58E8">
        <w:trPr>
          <w:trHeight w:val="240"/>
        </w:trPr>
        <w:tc>
          <w:tcPr>
            <w:tcW w:w="1162" w:type="dxa"/>
            <w:shd w:val="clear" w:color="auto" w:fill="auto"/>
          </w:tcPr>
          <w:p w14:paraId="4283460D" w14:textId="77777777" w:rsidR="00C71514" w:rsidRPr="00C819B9" w:rsidRDefault="00C71514" w:rsidP="00C819B9">
            <w:pPr>
              <w:spacing w:before="40" w:after="120"/>
              <w:rPr>
                <w:rFonts w:eastAsiaTheme="minorHAnsi"/>
              </w:rPr>
            </w:pPr>
            <w:r w:rsidRPr="00C819B9">
              <w:lastRenderedPageBreak/>
              <w:t>Australia Meridional</w:t>
            </w:r>
          </w:p>
        </w:tc>
        <w:tc>
          <w:tcPr>
            <w:tcW w:w="6208" w:type="dxa"/>
            <w:shd w:val="clear" w:color="auto" w:fill="auto"/>
            <w:tcMar>
              <w:right w:w="0" w:type="dxa"/>
            </w:tcMar>
          </w:tcPr>
          <w:p w14:paraId="41232642" w14:textId="38506A83" w:rsidR="00C71514" w:rsidRPr="00C819B9" w:rsidRDefault="00C71514" w:rsidP="00C819B9">
            <w:pPr>
              <w:spacing w:before="40" w:after="120"/>
              <w:rPr>
                <w:rFonts w:eastAsiaTheme="minorHAnsi"/>
              </w:rPr>
            </w:pPr>
            <w:r w:rsidRPr="00C819B9">
              <w:t xml:space="preserve">El gobierno de Australia Meridional invertirá 737.000 dólares en dos años para desarrollar </w:t>
            </w:r>
            <w:r w:rsidR="00CE14A5" w:rsidRPr="00C819B9">
              <w:t>un acuerdo de justicia aborigen</w:t>
            </w:r>
            <w:r w:rsidRPr="00C819B9">
              <w:t>, un compromiso formal entre el gobierno y las comunidades aborígenes para desarrollar y aplicar un enfoque colaborativo que mejore los resultados obtenidos por la justicia.</w:t>
            </w:r>
          </w:p>
          <w:p w14:paraId="7C7F7B07" w14:textId="475256F3" w:rsidR="00C71514" w:rsidRPr="00C819B9" w:rsidRDefault="00C71514" w:rsidP="00C819B9">
            <w:pPr>
              <w:spacing w:before="40" w:after="120"/>
              <w:rPr>
                <w:rFonts w:eastAsiaTheme="minorHAnsi"/>
              </w:rPr>
            </w:pPr>
            <w:r w:rsidRPr="00C819B9">
              <w:t xml:space="preserve">El Departamento de Servicios Humanos de Australia Meridional también trabaja para integrar de manera efectiva el principio de justicia juvenil para aborígenes e isleños del </w:t>
            </w:r>
            <w:r w:rsidR="001E7EB0" w:rsidRPr="00C819B9">
              <w:t>estrecho</w:t>
            </w:r>
            <w:r w:rsidRPr="00C819B9">
              <w:t xml:space="preserve"> de Torres contenido la Ley de Administración de Justicia Juvenil de 2016 (Australia Meridional) en todas las esferas de prestación de servicios. Esto incluye fortalecer las prácticas culturalmente seguras mediante la elaboración de un </w:t>
            </w:r>
            <w:r w:rsidR="006E282F" w:rsidRPr="00C819B9">
              <w:t>marco de práctica aborige</w:t>
            </w:r>
            <w:r w:rsidRPr="00C819B9">
              <w:t>n.</w:t>
            </w:r>
          </w:p>
          <w:p w14:paraId="419FBF91" w14:textId="77777777" w:rsidR="00C71514" w:rsidRPr="00C819B9" w:rsidRDefault="00C71514" w:rsidP="00C819B9">
            <w:pPr>
              <w:spacing w:before="40" w:after="120"/>
              <w:rPr>
                <w:rFonts w:eastAsiaTheme="minorHAnsi"/>
              </w:rPr>
            </w:pPr>
            <w:r w:rsidRPr="00C819B9">
              <w:t>En agosto de 2023 se puso en marcha en Australia Meridional un programa de tribunales terapéuticos especializados para niños y jóvenes aborígenes. El Tribunal de Menores de las Comunidades Aborígenes de Adelaida es un programa que tiene en cuenta los aspectos culturales con el objeto de minimizar las interacciones de los jóvenes con el sistema judicial mediante la intervención y el apoyo. El programa, en virtud del cual los ancianos y los notables de la comunidad aborigen participan en el proceso judicial, se ha puesto a prueba durante dos años en el Tribunal de Menores de Adelaida. La condena de los jóvenes participantes se aplaza mientras se los ayuda a resolver los problemas que contribuyen a su conducta infractora y se aplican medidas de protección.</w:t>
            </w:r>
          </w:p>
        </w:tc>
      </w:tr>
      <w:tr w:rsidR="00C819B9" w:rsidRPr="00C819B9" w14:paraId="31215B97" w14:textId="77777777" w:rsidTr="007B58E8">
        <w:trPr>
          <w:trHeight w:val="240"/>
        </w:trPr>
        <w:tc>
          <w:tcPr>
            <w:tcW w:w="1162" w:type="dxa"/>
            <w:shd w:val="clear" w:color="auto" w:fill="auto"/>
          </w:tcPr>
          <w:p w14:paraId="1068D102" w14:textId="77777777" w:rsidR="00C71514" w:rsidRPr="00C819B9" w:rsidRDefault="00C71514" w:rsidP="00C819B9">
            <w:pPr>
              <w:spacing w:before="40" w:after="120"/>
              <w:rPr>
                <w:rFonts w:eastAsiaTheme="minorHAnsi"/>
              </w:rPr>
            </w:pPr>
            <w:r w:rsidRPr="00C819B9">
              <w:t>Tasmania</w:t>
            </w:r>
          </w:p>
        </w:tc>
        <w:tc>
          <w:tcPr>
            <w:tcW w:w="6208" w:type="dxa"/>
            <w:shd w:val="clear" w:color="auto" w:fill="auto"/>
            <w:tcMar>
              <w:right w:w="0" w:type="dxa"/>
            </w:tcMar>
          </w:tcPr>
          <w:p w14:paraId="2026EC75" w14:textId="77777777" w:rsidR="00C71514" w:rsidRPr="00C819B9" w:rsidRDefault="00C71514" w:rsidP="00C819B9">
            <w:pPr>
              <w:spacing w:before="40" w:after="120"/>
              <w:rPr>
                <w:rFonts w:eastAsiaTheme="minorHAnsi"/>
              </w:rPr>
            </w:pPr>
            <w:r w:rsidRPr="00C819B9">
              <w:t>El gobierno de Tasmania trabaja para crear una alianza con una organización sectorial en el marco de la Coalición de Organizaciones Sectoriales y sigue reforzando las relaciones con las organizaciones controladas por comunidades aborígenes.</w:t>
            </w:r>
          </w:p>
          <w:p w14:paraId="1049F6DC" w14:textId="77777777" w:rsidR="00C71514" w:rsidRPr="00C819B9" w:rsidRDefault="00C71514" w:rsidP="00C819B9">
            <w:pPr>
              <w:spacing w:before="40" w:after="120"/>
              <w:rPr>
                <w:rFonts w:eastAsiaTheme="minorHAnsi"/>
              </w:rPr>
            </w:pPr>
            <w:r w:rsidRPr="00C819B9">
              <w:lastRenderedPageBreak/>
              <w:t>Tasmania introducirá en breve legislación que obligará a los jueces de primera instancia a autorizar el traslado de jóvenes de un centro de detención de menores a un centro penitenciario para adultos. En la actualidad, existe un memorando de entendimiento entre los centros penitenciarios de adultos y los centros de detención de menores que permite el traslado de jóvenes, en circunstancias muy determinadas. El Departamento de Justicia también espera que la Comisión de Investigación sobre las Respuestas del Gobierno de Tasmania al Abuso Sexual de Niños en Entornos Institucionales formule recomendaciones pertinentes en este ámbito.</w:t>
            </w:r>
          </w:p>
          <w:p w14:paraId="00900BCD" w14:textId="77777777" w:rsidR="00C71514" w:rsidRPr="00C819B9" w:rsidRDefault="00C71514" w:rsidP="00C819B9">
            <w:pPr>
              <w:spacing w:before="40" w:after="120"/>
              <w:rPr>
                <w:rFonts w:eastAsiaTheme="minorHAnsi"/>
              </w:rPr>
            </w:pPr>
            <w:r w:rsidRPr="00C819B9">
              <w:t>La dirección del Centro de Detención de Menores de Ashley ha entablado recientemente una colaboración con la Circular Head Aboriginal Corporation con miras a organizar jornadas culturales mensuales en el Centro, a modo de iniciativa para dar más apoyo a los residentes indígenas.</w:t>
            </w:r>
          </w:p>
        </w:tc>
      </w:tr>
      <w:tr w:rsidR="00C819B9" w:rsidRPr="00C819B9" w14:paraId="513BBA54" w14:textId="77777777" w:rsidTr="007B58E8">
        <w:trPr>
          <w:trHeight w:val="240"/>
        </w:trPr>
        <w:tc>
          <w:tcPr>
            <w:tcW w:w="1162" w:type="dxa"/>
            <w:shd w:val="clear" w:color="auto" w:fill="auto"/>
          </w:tcPr>
          <w:p w14:paraId="67C37876" w14:textId="77777777" w:rsidR="00C71514" w:rsidRPr="00C819B9" w:rsidRDefault="00C71514" w:rsidP="00C819B9">
            <w:pPr>
              <w:spacing w:before="40" w:after="120"/>
              <w:rPr>
                <w:rFonts w:eastAsiaTheme="minorHAnsi"/>
              </w:rPr>
            </w:pPr>
            <w:r w:rsidRPr="00C819B9">
              <w:lastRenderedPageBreak/>
              <w:t>Victoria</w:t>
            </w:r>
          </w:p>
        </w:tc>
        <w:tc>
          <w:tcPr>
            <w:tcW w:w="6208" w:type="dxa"/>
            <w:shd w:val="clear" w:color="auto" w:fill="auto"/>
            <w:tcMar>
              <w:right w:w="0" w:type="dxa"/>
            </w:tcMar>
          </w:tcPr>
          <w:p w14:paraId="50F12C95" w14:textId="77777777" w:rsidR="00C71514" w:rsidRPr="00C819B9" w:rsidRDefault="00C71514" w:rsidP="00C819B9">
            <w:pPr>
              <w:spacing w:before="40" w:after="120"/>
              <w:rPr>
                <w:rFonts w:eastAsiaTheme="minorHAnsi"/>
              </w:rPr>
            </w:pPr>
            <w:r w:rsidRPr="00C819B9">
              <w:t>Victoria tiene una de las tasas más bajas de Australia de niños y jóvenes aborígenes de 10 a 17 años sometidos a supervisión por el sistema justicia juvenil. Esto forma parte de un compromiso general asumido por Victoria en Wirkara Kulpa (la primera Estrategia de Justicia Juvenil Aborigen de Victoria) de que ningún niño o joven aborigen entre en el sistema de justicia juvenil.</w:t>
            </w:r>
          </w:p>
          <w:p w14:paraId="4F482CE4" w14:textId="77777777" w:rsidR="00C71514" w:rsidRPr="00C819B9" w:rsidRDefault="00C71514" w:rsidP="00C819B9">
            <w:pPr>
              <w:spacing w:before="40" w:after="120"/>
              <w:rPr>
                <w:rFonts w:eastAsiaTheme="minorHAnsi"/>
              </w:rPr>
            </w:pPr>
            <w:r w:rsidRPr="00C819B9">
              <w:t>En colaboración con las comunidades aborígenes, Victoria está desarrollando la Estrategia de Bienestar Social y Emocional de los Jóvenes. La Estrategia se aplicará en todos los servicios de justicia juvenil, tanto comunitarios como penitenciarios. El objetivo de la Estrategia es mejorar la salud, la salud mental y el bienestar social y emocional de los niños y jóvenes aborígenes en contacto con el sistema de justicia y mitigar la probabilidad de contactos ulteriores. Está previsto que la Estrategia esté ultimada en 2024.</w:t>
            </w:r>
          </w:p>
          <w:p w14:paraId="1EEEFBB9" w14:textId="4E25CC9B" w:rsidR="00C71514" w:rsidRPr="00C819B9" w:rsidRDefault="00C71514" w:rsidP="00C819B9">
            <w:pPr>
              <w:spacing w:before="40" w:after="120"/>
              <w:rPr>
                <w:rFonts w:eastAsiaTheme="minorHAnsi"/>
              </w:rPr>
            </w:pPr>
            <w:r w:rsidRPr="00C819B9">
              <w:t>Hay asesores especializados en discapacidades que trabajan para reducir el encarcelamiento de niños y jóvenes con discapacidad, velando por que se realicen ajustes razonables mientras permanecen privados de libertad y por la existencia de medidas de planificación y apoyo tras la puesta en libertad. Los servicios de salud para personas privadas de libertad, que incluyen neuropsicólogos, logopedas y psiquiatras, contribuyen a esta labor fundamentando con pruebas tanto los diagnósticos como el nivel de las necesidades de apoyo.</w:t>
            </w:r>
          </w:p>
        </w:tc>
      </w:tr>
      <w:tr w:rsidR="00C819B9" w:rsidRPr="00C819B9" w14:paraId="48212119" w14:textId="77777777" w:rsidTr="007B58E8">
        <w:trPr>
          <w:trHeight w:val="240"/>
        </w:trPr>
        <w:tc>
          <w:tcPr>
            <w:tcW w:w="1162" w:type="dxa"/>
            <w:shd w:val="clear" w:color="auto" w:fill="auto"/>
          </w:tcPr>
          <w:p w14:paraId="7B680559" w14:textId="77777777" w:rsidR="00C71514" w:rsidRPr="00C819B9" w:rsidRDefault="00C71514" w:rsidP="00C819B9">
            <w:pPr>
              <w:spacing w:before="40" w:after="120"/>
              <w:rPr>
                <w:rFonts w:eastAsiaTheme="minorHAnsi"/>
              </w:rPr>
            </w:pPr>
            <w:r w:rsidRPr="00C819B9">
              <w:t>Australia Occidental</w:t>
            </w:r>
          </w:p>
        </w:tc>
        <w:tc>
          <w:tcPr>
            <w:tcW w:w="6208" w:type="dxa"/>
            <w:shd w:val="clear" w:color="auto" w:fill="auto"/>
            <w:tcMar>
              <w:right w:w="0" w:type="dxa"/>
            </w:tcMar>
          </w:tcPr>
          <w:p w14:paraId="60A2298E" w14:textId="77777777" w:rsidR="00C71514" w:rsidRPr="00C819B9" w:rsidRDefault="00C71514" w:rsidP="00C819B9">
            <w:pPr>
              <w:spacing w:before="40" w:after="120"/>
              <w:rPr>
                <w:rFonts w:eastAsiaTheme="minorHAnsi"/>
              </w:rPr>
            </w:pPr>
            <w:r w:rsidRPr="00C819B9">
              <w:t>El gobierno de Australia Occidental va a someter la legislación a un completo examen que tendrá en cuenta la sobrerrepresentación de jóvenes aborígenes en centros de detención y los efectos de la discapacidad cognitiva, como la fetopatía alcohólica, en los jóvenes infractores.</w:t>
            </w:r>
          </w:p>
        </w:tc>
      </w:tr>
      <w:tr w:rsidR="00C819B9" w:rsidRPr="00C819B9" w14:paraId="09CE0BEB" w14:textId="77777777" w:rsidTr="007B58E8">
        <w:trPr>
          <w:trHeight w:val="240"/>
        </w:trPr>
        <w:tc>
          <w:tcPr>
            <w:tcW w:w="1162" w:type="dxa"/>
            <w:tcBorders>
              <w:bottom w:val="single" w:sz="12" w:space="0" w:color="auto"/>
            </w:tcBorders>
            <w:shd w:val="clear" w:color="auto" w:fill="auto"/>
          </w:tcPr>
          <w:p w14:paraId="39FFA73B" w14:textId="77777777" w:rsidR="00C71514" w:rsidRPr="00C819B9" w:rsidRDefault="00C71514" w:rsidP="00C819B9">
            <w:pPr>
              <w:spacing w:before="40" w:after="120"/>
              <w:rPr>
                <w:rFonts w:eastAsiaTheme="minorHAnsi"/>
              </w:rPr>
            </w:pPr>
          </w:p>
        </w:tc>
        <w:tc>
          <w:tcPr>
            <w:tcW w:w="6208" w:type="dxa"/>
            <w:tcBorders>
              <w:bottom w:val="single" w:sz="12" w:space="0" w:color="auto"/>
            </w:tcBorders>
            <w:shd w:val="clear" w:color="auto" w:fill="auto"/>
            <w:tcMar>
              <w:right w:w="0" w:type="dxa"/>
            </w:tcMar>
          </w:tcPr>
          <w:p w14:paraId="1FBF5289" w14:textId="77777777" w:rsidR="00C71514" w:rsidRPr="00C819B9" w:rsidRDefault="00C71514" w:rsidP="00C819B9">
            <w:pPr>
              <w:spacing w:before="40" w:after="120"/>
              <w:rPr>
                <w:rFonts w:eastAsiaTheme="minorHAnsi"/>
              </w:rPr>
            </w:pPr>
            <w:r w:rsidRPr="00C819B9">
              <w:t>La Ley de Derecho Penal (Deficiencia Mental) de 2023 (Australia Occidental) derogará y sustituirá a la Ley de Derecho Penal (Acusados con Deficiencia Mental) de 1996 (Australia Occidental) e introducirá un marco contemporáneo para el tratamiento de las personas con una deficiencia mental en el sistema de justicia, incluidas las que han sido declaradas no aptas para ser juzgadas y las que han sido absueltas de un delito por presentar una deficiencia mental. La nueva ley establece que las órdenes de internamiento deben tener una duración fija y un plazo límite, y corresponderse con la mejor estimación de la pena que el tribunal habría impuesto si hubiera condenado a la persona por el delito.</w:t>
            </w:r>
          </w:p>
        </w:tc>
      </w:tr>
    </w:tbl>
    <w:p w14:paraId="40ABE80D" w14:textId="32B2E47D" w:rsidR="00C71514" w:rsidRPr="00C819B9" w:rsidRDefault="00C819B9" w:rsidP="00C819B9">
      <w:pPr>
        <w:pStyle w:val="H23G"/>
        <w:rPr>
          <w:i/>
        </w:rPr>
      </w:pPr>
      <w:bookmarkStart w:id="23" w:name="_Toc157763294"/>
      <w:r w:rsidRPr="00C819B9">
        <w:tab/>
      </w:r>
      <w:r w:rsidR="00C71514" w:rsidRPr="00C819B9">
        <w:tab/>
        <w:t xml:space="preserve">Recomendación 38 c) </w:t>
      </w:r>
      <w:r w:rsidRPr="00C819B9">
        <w:t>–</w:t>
      </w:r>
      <w:r w:rsidR="00C71514" w:rsidRPr="00C819B9">
        <w:t xml:space="preserve"> Uso de la fuerza</w:t>
      </w:r>
      <w:bookmarkEnd w:id="23"/>
    </w:p>
    <w:p w14:paraId="1DF1FE9C" w14:textId="77777777" w:rsidR="00C71514" w:rsidRPr="00C819B9" w:rsidRDefault="00C71514" w:rsidP="00C71514">
      <w:pPr>
        <w:pStyle w:val="SingleTxtG"/>
      </w:pPr>
      <w:r w:rsidRPr="00C819B9">
        <w:t>58.</w:t>
      </w:r>
      <w:r w:rsidRPr="00C819B9">
        <w:tab/>
        <w:t xml:space="preserve">Prohibir explícitamente el uso de la fuerza, incluidas las medidas de inmovilización física, como medio de coerción o para disciplinar a los niños que se encuentran bajo </w:t>
      </w:r>
      <w:r w:rsidRPr="00C819B9">
        <w:lastRenderedPageBreak/>
        <w:t>supervisión, investigar con prontitud todos los casos de abuso y maltrato de niños privados de libertad y sancionar de forma adecuada a los autores.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162"/>
        <w:gridCol w:w="6208"/>
      </w:tblGrid>
      <w:tr w:rsidR="00C819B9" w:rsidRPr="00C819B9" w14:paraId="78505700" w14:textId="77777777" w:rsidTr="00D32090">
        <w:trPr>
          <w:trHeight w:val="240"/>
          <w:tblHeader/>
        </w:trPr>
        <w:tc>
          <w:tcPr>
            <w:tcW w:w="1162" w:type="dxa"/>
            <w:tcBorders>
              <w:top w:val="single" w:sz="4" w:space="0" w:color="auto"/>
              <w:bottom w:val="single" w:sz="12" w:space="0" w:color="auto"/>
            </w:tcBorders>
            <w:shd w:val="clear" w:color="auto" w:fill="auto"/>
            <w:vAlign w:val="bottom"/>
          </w:tcPr>
          <w:p w14:paraId="67C16FE0"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02EDCFFA"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5CB17538" w14:textId="77777777" w:rsidTr="00D32090">
        <w:trPr>
          <w:trHeight w:hRule="exact" w:val="113"/>
          <w:tblHeader/>
        </w:trPr>
        <w:tc>
          <w:tcPr>
            <w:tcW w:w="1162" w:type="dxa"/>
            <w:tcBorders>
              <w:top w:val="single" w:sz="12" w:space="0" w:color="auto"/>
            </w:tcBorders>
            <w:shd w:val="clear" w:color="auto" w:fill="auto"/>
          </w:tcPr>
          <w:p w14:paraId="3D268926"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0A6841D0" w14:textId="77777777" w:rsidR="00C71514" w:rsidRPr="00C819B9" w:rsidRDefault="00C71514" w:rsidP="00C819B9">
            <w:pPr>
              <w:spacing w:before="40" w:after="120"/>
              <w:rPr>
                <w:rFonts w:eastAsiaTheme="minorHAnsi"/>
              </w:rPr>
            </w:pPr>
          </w:p>
        </w:tc>
      </w:tr>
      <w:tr w:rsidR="00C819B9" w:rsidRPr="00C819B9" w14:paraId="51360A48" w14:textId="77777777" w:rsidTr="00D32090">
        <w:trPr>
          <w:trHeight w:val="240"/>
        </w:trPr>
        <w:tc>
          <w:tcPr>
            <w:tcW w:w="1162" w:type="dxa"/>
            <w:shd w:val="clear" w:color="auto" w:fill="auto"/>
          </w:tcPr>
          <w:p w14:paraId="1EEAC913"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3030AEAD" w14:textId="6EAC9BAE" w:rsidR="00C71514" w:rsidRPr="00C819B9" w:rsidRDefault="00C71514" w:rsidP="00C819B9">
            <w:pPr>
              <w:spacing w:before="40" w:after="120"/>
              <w:rPr>
                <w:rFonts w:eastAsiaTheme="minorHAnsi"/>
              </w:rPr>
            </w:pPr>
            <w:r w:rsidRPr="00C819B9">
              <w:t xml:space="preserve">El Comité de Examen del Uso de la Fuerza se creó para que fuera un nivel adicional de gobernanza en el examen de los incidentes de uso de la fuerza en todo el sistema de justicia juvenil, mediante la comprobación de la observancia de las políticas y los procedimientos, y </w:t>
            </w:r>
            <w:r w:rsidR="00130699">
              <w:t>para</w:t>
            </w:r>
            <w:r w:rsidRPr="00C819B9">
              <w:t xml:space="preserve"> mejorar la coherencia, la transparencia y el perfeccionamiento constante de las prácticas operacionales.</w:t>
            </w:r>
          </w:p>
          <w:p w14:paraId="56A9F558" w14:textId="77777777" w:rsidR="00C71514" w:rsidRPr="00C819B9" w:rsidRDefault="00C71514" w:rsidP="00C819B9">
            <w:pPr>
              <w:spacing w:before="40" w:after="120"/>
              <w:rPr>
                <w:rFonts w:eastAsiaTheme="minorHAnsi"/>
              </w:rPr>
            </w:pPr>
            <w:r w:rsidRPr="00C819B9">
              <w:t>El Servicio de Justicia Juvenil de Nueva Gales del Sur introdujo el programa EPIC, destinado a fomentar cambios positivos, en un tercer centro de detención en noviembre de 2023, tras haber sometido a examen el Programa de Incentivos. El programa EPIC fomenta y recompensa el comportamiento positivo y la consecución de objetivos individualizados para los jóvenes internados en un centro de justicia juvenil. Está diseñado para reforzar positivamente y fomentar mejoras en el comportamiento de los jóvenes y no debe utilizarse a modo de castigo.</w:t>
            </w:r>
          </w:p>
        </w:tc>
      </w:tr>
      <w:tr w:rsidR="00C819B9" w:rsidRPr="00C819B9" w14:paraId="2A33F83A" w14:textId="77777777" w:rsidTr="00D32090">
        <w:trPr>
          <w:trHeight w:val="240"/>
        </w:trPr>
        <w:tc>
          <w:tcPr>
            <w:tcW w:w="1162" w:type="dxa"/>
            <w:shd w:val="clear" w:color="auto" w:fill="auto"/>
          </w:tcPr>
          <w:p w14:paraId="213559C7"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16C1F72B" w14:textId="77777777" w:rsidR="00C71514" w:rsidRPr="00C819B9" w:rsidRDefault="00C71514" w:rsidP="00C819B9">
            <w:pPr>
              <w:spacing w:before="40" w:after="120"/>
              <w:rPr>
                <w:rFonts w:eastAsiaTheme="minorHAnsi"/>
              </w:rPr>
            </w:pPr>
            <w:r w:rsidRPr="00C819B9">
              <w:t>El Servicio de Justicia Juvenil de Queensland continúa explorando y adoptando prácticas más seguras y menos restrictivas para controlar los riesgos para la seguridad y la protección en los centros de detención de menores.</w:t>
            </w:r>
          </w:p>
        </w:tc>
      </w:tr>
      <w:tr w:rsidR="00C819B9" w:rsidRPr="00C819B9" w14:paraId="4990C7B2" w14:textId="77777777" w:rsidTr="00D32090">
        <w:trPr>
          <w:trHeight w:val="240"/>
        </w:trPr>
        <w:tc>
          <w:tcPr>
            <w:tcW w:w="1162" w:type="dxa"/>
            <w:tcBorders>
              <w:bottom w:val="nil"/>
            </w:tcBorders>
            <w:shd w:val="clear" w:color="auto" w:fill="auto"/>
          </w:tcPr>
          <w:p w14:paraId="26C6871D" w14:textId="77777777" w:rsidR="00C71514" w:rsidRPr="00C819B9" w:rsidRDefault="00C71514" w:rsidP="00C819B9">
            <w:pPr>
              <w:spacing w:before="40" w:after="120"/>
              <w:rPr>
                <w:rFonts w:eastAsiaTheme="minorHAnsi"/>
              </w:rPr>
            </w:pPr>
            <w:r w:rsidRPr="00C819B9">
              <w:t>Tasmania</w:t>
            </w:r>
          </w:p>
        </w:tc>
        <w:tc>
          <w:tcPr>
            <w:tcW w:w="6208" w:type="dxa"/>
            <w:tcBorders>
              <w:bottom w:val="nil"/>
            </w:tcBorders>
            <w:shd w:val="clear" w:color="auto" w:fill="auto"/>
            <w:tcMar>
              <w:right w:w="0" w:type="dxa"/>
            </w:tcMar>
          </w:tcPr>
          <w:p w14:paraId="293A264C" w14:textId="77777777" w:rsidR="00C71514" w:rsidRPr="00C819B9" w:rsidRDefault="00C71514" w:rsidP="00C819B9">
            <w:pPr>
              <w:spacing w:before="40" w:after="120"/>
              <w:rPr>
                <w:rFonts w:eastAsiaTheme="minorHAnsi"/>
              </w:rPr>
            </w:pPr>
            <w:r w:rsidRPr="00C819B9">
              <w:t>Como parte de una completa evaluación de las políticas del plan Keeping Kids Safe, se están examinando las políticas operacionales referidas a las prácticas restrictivas y el aislamiento en los centros de detención de menores. El Departamento de Educación, Infancia y Juventud se ha propuesto además disminuir la frecuencia con que se producen situaciones que requieren el recurso a tales prácticas a través de medidas selectivas de contratación, apoyo y formación del personal.</w:t>
            </w:r>
          </w:p>
          <w:p w14:paraId="36DC0561" w14:textId="77777777" w:rsidR="00C71514" w:rsidRPr="00C819B9" w:rsidRDefault="00C71514" w:rsidP="00C819B9">
            <w:pPr>
              <w:spacing w:before="40" w:after="120"/>
              <w:rPr>
                <w:rFonts w:eastAsiaTheme="minorHAnsi"/>
              </w:rPr>
            </w:pPr>
            <w:r w:rsidRPr="00C819B9">
              <w:t>En el marco de la Hoja de Ruta para la Justicia Juvenil, el Departamento liderará el desarrollo de un modelo de justicia juvenil terapéutica para la atención prestada a los jóvenes. Un objetivo general de dicho modelo será lograr la máxima colaboración entre organismos y proveedores de servicios para alejar a los jóvenes del sistema de justicia juvenil.</w:t>
            </w:r>
          </w:p>
          <w:p w14:paraId="31C736ED" w14:textId="77777777" w:rsidR="00C71514" w:rsidRPr="00C819B9" w:rsidRDefault="00C71514" w:rsidP="00C819B9">
            <w:pPr>
              <w:spacing w:before="40" w:after="120"/>
              <w:rPr>
                <w:rFonts w:eastAsiaTheme="minorHAnsi"/>
              </w:rPr>
            </w:pPr>
            <w:r w:rsidRPr="00C819B9">
              <w:t>Pronto se empezará a trabajar en el desarrollo de un marco de derivación para la justicia juvenil que servirá de base al diseño y la provisión de programas de derivación en el sistema de justicia juvenil. El Servicio de Justicia Juvenil Comunitaria sigue apoyando a los jóvenes que son derivados por la policía o los tribunales hacia las conferencias comunitarias.</w:t>
            </w:r>
          </w:p>
          <w:p w14:paraId="4292F006" w14:textId="77777777" w:rsidR="00C71514" w:rsidRPr="00C819B9" w:rsidRDefault="00C71514" w:rsidP="00C819B9">
            <w:pPr>
              <w:spacing w:before="40" w:after="120"/>
              <w:rPr>
                <w:rFonts w:eastAsiaTheme="minorHAnsi"/>
              </w:rPr>
            </w:pPr>
            <w:r w:rsidRPr="00C819B9">
              <w:t>En Tasmania, los jóvenes detenidos están separados de los delincuentes adultos en la mayor medida posible. Sin embargo, ocasionalmente, se puede internar a una persona joven en un centro para adultos durante el menor tiempo posible, como último recurso.</w:t>
            </w:r>
          </w:p>
          <w:p w14:paraId="1A0EEC6D" w14:textId="77777777" w:rsidR="00C71514" w:rsidRPr="00C819B9" w:rsidRDefault="00C71514" w:rsidP="00C819B9">
            <w:pPr>
              <w:spacing w:before="40" w:after="120"/>
              <w:rPr>
                <w:rFonts w:eastAsiaTheme="minorHAnsi"/>
              </w:rPr>
            </w:pPr>
            <w:r w:rsidRPr="00C819B9">
              <w:t>El Departamento de Educación, Infancia y Juventud está trabajando de manera prioritaria en el desarrollo de un enfoque de coordinación intensiva para el tratamiento de casos de jóvenes que se encuentran en el sistema de justicia juvenil, centrándose en los que están en prisión preventiva.</w:t>
            </w:r>
          </w:p>
        </w:tc>
      </w:tr>
      <w:tr w:rsidR="00D32090" w:rsidRPr="00C819B9" w14:paraId="3646361C" w14:textId="77777777" w:rsidTr="00D32090">
        <w:trPr>
          <w:trHeight w:val="240"/>
        </w:trPr>
        <w:tc>
          <w:tcPr>
            <w:tcW w:w="1162" w:type="dxa"/>
            <w:tcBorders>
              <w:top w:val="nil"/>
              <w:bottom w:val="nil"/>
            </w:tcBorders>
            <w:shd w:val="clear" w:color="auto" w:fill="auto"/>
          </w:tcPr>
          <w:p w14:paraId="7C550BA7" w14:textId="37CD5858" w:rsidR="00D32090" w:rsidRPr="00C819B9" w:rsidRDefault="00D32090" w:rsidP="00C819B9">
            <w:pPr>
              <w:spacing w:before="40" w:after="120"/>
            </w:pPr>
            <w:r w:rsidRPr="00C819B9">
              <w:t>Victoria</w:t>
            </w:r>
          </w:p>
        </w:tc>
        <w:tc>
          <w:tcPr>
            <w:tcW w:w="6208" w:type="dxa"/>
            <w:tcBorders>
              <w:top w:val="nil"/>
              <w:bottom w:val="nil"/>
            </w:tcBorders>
            <w:shd w:val="clear" w:color="auto" w:fill="auto"/>
            <w:tcMar>
              <w:right w:w="0" w:type="dxa"/>
            </w:tcMar>
          </w:tcPr>
          <w:p w14:paraId="65ACEE7E" w14:textId="7664CA12" w:rsidR="00D32090" w:rsidRPr="00C819B9" w:rsidRDefault="00D32090" w:rsidP="00C819B9">
            <w:pPr>
              <w:spacing w:before="40" w:after="120"/>
            </w:pPr>
            <w:r w:rsidRPr="00C819B9">
              <w:t xml:space="preserve">El personal del Servicio de Justicia Juvenil de Victoria cuenta con el respaldo de un Equipo de Seguridad y de Respuesta de Emergencia dividido en dos niveles: uno se centra en el contacto con los jóvenes mediante una presencia formal “sobre el terreno” junto al personal de la unidad para responder a los incidentes y contribuir a reducir tensiones; y el otro es un equipo de respuesta especializado para atender los incidentes graves y darles respuesta, y sus miembros están adiestrados y autorizados para llevar un </w:t>
            </w:r>
            <w:r w:rsidRPr="00C819B9">
              <w:lastRenderedPageBreak/>
              <w:t>aerosol de oleorresina de Capsicum. El aerosol de oleorresina de Capsicum solo debe utilizarse en casos de incidentes físicos violentos o potencialmente violentos, cuando el personal considere que las alternativas serían ineficaces o expondrían al personal o a los jóvenes a un riesgo de lesiones graves o de muerte.</w:t>
            </w:r>
          </w:p>
        </w:tc>
      </w:tr>
      <w:tr w:rsidR="00C819B9" w:rsidRPr="00C819B9" w14:paraId="44116666" w14:textId="77777777" w:rsidTr="00D32090">
        <w:trPr>
          <w:trHeight w:val="240"/>
        </w:trPr>
        <w:tc>
          <w:tcPr>
            <w:tcW w:w="1162" w:type="dxa"/>
            <w:tcBorders>
              <w:top w:val="nil"/>
              <w:bottom w:val="single" w:sz="12" w:space="0" w:color="auto"/>
            </w:tcBorders>
            <w:shd w:val="clear" w:color="auto" w:fill="auto"/>
          </w:tcPr>
          <w:p w14:paraId="5249D70C" w14:textId="028B5F22" w:rsidR="00C71514" w:rsidRPr="00C819B9" w:rsidRDefault="00C71514" w:rsidP="00C819B9">
            <w:pPr>
              <w:spacing w:before="40" w:after="120"/>
              <w:rPr>
                <w:rFonts w:eastAsiaTheme="minorHAnsi"/>
              </w:rPr>
            </w:pPr>
          </w:p>
        </w:tc>
        <w:tc>
          <w:tcPr>
            <w:tcW w:w="6208" w:type="dxa"/>
            <w:tcBorders>
              <w:top w:val="nil"/>
              <w:bottom w:val="single" w:sz="12" w:space="0" w:color="auto"/>
            </w:tcBorders>
            <w:shd w:val="clear" w:color="auto" w:fill="auto"/>
            <w:tcMar>
              <w:right w:w="0" w:type="dxa"/>
            </w:tcMar>
          </w:tcPr>
          <w:p w14:paraId="260FE412" w14:textId="77777777" w:rsidR="00C71514" w:rsidRPr="00C819B9" w:rsidRDefault="00C71514" w:rsidP="00D32090">
            <w:pPr>
              <w:spacing w:after="120"/>
              <w:rPr>
                <w:rFonts w:eastAsiaTheme="minorHAnsi"/>
              </w:rPr>
            </w:pPr>
            <w:r w:rsidRPr="00C819B9">
              <w:t>De todo uso de la fuerza se deja constancia en un registro específico, al cual se pasa revista cada día, y se comunica diariamente a la Comisión para la Infancia y la Juventud.</w:t>
            </w:r>
          </w:p>
          <w:p w14:paraId="4AAD4A33" w14:textId="77777777" w:rsidR="00C71514" w:rsidRPr="00C819B9" w:rsidRDefault="00C71514" w:rsidP="00C819B9">
            <w:pPr>
              <w:spacing w:before="40" w:after="120"/>
              <w:rPr>
                <w:rFonts w:eastAsiaTheme="minorHAnsi"/>
              </w:rPr>
            </w:pPr>
            <w:r w:rsidRPr="00C819B9">
              <w:t>El Servicio de Justicia Juvenil dispone que el uso de medios de contención mecánica (esposas) en niños y jóvenes debe basarse en una evaluación de riesgos previa a su uso. Se prohíbe el uso habitual de medios de contención mecánica. Solo debe emplearse cuando no existan otras vías para resolver una situación o mitigar la amenaza o los riesgos para el personal, y su uso debe limitarse al período más breve posible. Nunca debe dejarse sola a una persona joven a quien se ha colocado un medio de contención mecánica y se la debe mantener bajo supervisión constante. Todo recurso a medios de contención mecánica queda registrado y es objeto de notificación diaria, en particular a la Comisión para la Infancia y la Juventud.</w:t>
            </w:r>
          </w:p>
          <w:p w14:paraId="75046130" w14:textId="77777777" w:rsidR="00C71514" w:rsidRPr="00C819B9" w:rsidRDefault="00C71514" w:rsidP="00C819B9">
            <w:pPr>
              <w:spacing w:before="40" w:after="120"/>
              <w:rPr>
                <w:rFonts w:eastAsiaTheme="minorHAnsi"/>
              </w:rPr>
            </w:pPr>
            <w:r w:rsidRPr="00C819B9">
              <w:t>Los jóvenes privados de libertad en el Servicio de Justicia Juvenil de Victoria tienen una serie de derechos y responsabilidades mínimos detallados en la Ley de la Infancia, la Juventud y la Familia de 2005 que exigen medidas de atención y rehabilitación acordes con las necesidades individuales de desarrollo de los niños y jóvenes. Además, la Carta de Derechos Humanos y Responsabilidades de Victoria de 2006 y la carta modelo sobre los derechos de los niños y jóvenes detenidos en centros de justicia juvenil (2014), creada por los Comisionados y Defensores de la Infancia de Australia, establecen derechos básicos que no pueden denegarse por ningún motivo, ni siquiera como castigo.</w:t>
            </w:r>
          </w:p>
        </w:tc>
      </w:tr>
    </w:tbl>
    <w:p w14:paraId="6A92298C" w14:textId="759E58E4" w:rsidR="00C71514" w:rsidRPr="00C819B9" w:rsidRDefault="00C819B9" w:rsidP="00C819B9">
      <w:pPr>
        <w:pStyle w:val="H23G"/>
        <w:rPr>
          <w:i/>
        </w:rPr>
      </w:pPr>
      <w:bookmarkStart w:id="24" w:name="_Toc157763295"/>
      <w:r w:rsidRPr="00C819B9">
        <w:tab/>
      </w:r>
      <w:r w:rsidR="00C71514" w:rsidRPr="00C819B9">
        <w:tab/>
        <w:t xml:space="preserve">Recomendación 38 d) </w:t>
      </w:r>
      <w:r w:rsidRPr="00C819B9">
        <w:t>–</w:t>
      </w:r>
      <w:r w:rsidR="00C71514" w:rsidRPr="00C819B9">
        <w:t xml:space="preserve"> Reclusión en régimen de aislamiento</w:t>
      </w:r>
      <w:bookmarkEnd w:id="24"/>
    </w:p>
    <w:p w14:paraId="0450DF8B" w14:textId="77777777" w:rsidR="00C71514" w:rsidRPr="00C819B9" w:rsidRDefault="00C71514" w:rsidP="00C71514">
      <w:pPr>
        <w:pStyle w:val="SingleTxtG"/>
      </w:pPr>
      <w:r w:rsidRPr="00C819B9">
        <w:t>59.</w:t>
      </w:r>
      <w:r w:rsidRPr="00C819B9">
        <w:tab/>
        <w:t>Poner fin de inmediato y en todas las jurisdicciones a la práctica de recluir a los niños en régimen de aislamiento.</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162"/>
        <w:gridCol w:w="6208"/>
      </w:tblGrid>
      <w:tr w:rsidR="00C819B9" w:rsidRPr="00C819B9" w14:paraId="70E7EA7E" w14:textId="77777777" w:rsidTr="00D32090">
        <w:trPr>
          <w:trHeight w:val="240"/>
          <w:tblHeader/>
        </w:trPr>
        <w:tc>
          <w:tcPr>
            <w:tcW w:w="1162" w:type="dxa"/>
            <w:tcBorders>
              <w:top w:val="single" w:sz="4" w:space="0" w:color="auto"/>
              <w:bottom w:val="single" w:sz="12" w:space="0" w:color="auto"/>
            </w:tcBorders>
            <w:shd w:val="clear" w:color="auto" w:fill="auto"/>
            <w:vAlign w:val="bottom"/>
          </w:tcPr>
          <w:p w14:paraId="2D9C7864"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66C36433"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1884A8BB" w14:textId="77777777" w:rsidTr="00D32090">
        <w:trPr>
          <w:trHeight w:hRule="exact" w:val="113"/>
          <w:tblHeader/>
        </w:trPr>
        <w:tc>
          <w:tcPr>
            <w:tcW w:w="1162" w:type="dxa"/>
            <w:tcBorders>
              <w:top w:val="single" w:sz="12" w:space="0" w:color="auto"/>
            </w:tcBorders>
            <w:shd w:val="clear" w:color="auto" w:fill="auto"/>
          </w:tcPr>
          <w:p w14:paraId="0C1BC82E"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20DB4F79" w14:textId="77777777" w:rsidR="00C71514" w:rsidRPr="00C819B9" w:rsidRDefault="00C71514" w:rsidP="00C819B9">
            <w:pPr>
              <w:spacing w:before="40" w:after="120"/>
              <w:rPr>
                <w:rFonts w:eastAsiaTheme="minorHAnsi"/>
              </w:rPr>
            </w:pPr>
          </w:p>
        </w:tc>
      </w:tr>
      <w:tr w:rsidR="00C819B9" w:rsidRPr="00C819B9" w14:paraId="32DC6C72" w14:textId="77777777" w:rsidTr="00D32090">
        <w:trPr>
          <w:trHeight w:val="240"/>
        </w:trPr>
        <w:tc>
          <w:tcPr>
            <w:tcW w:w="1162" w:type="dxa"/>
            <w:shd w:val="clear" w:color="auto" w:fill="auto"/>
          </w:tcPr>
          <w:p w14:paraId="3449C442" w14:textId="77777777" w:rsidR="00C71514" w:rsidRPr="00C819B9" w:rsidRDefault="00C71514" w:rsidP="00C819B9">
            <w:pPr>
              <w:spacing w:before="40" w:after="120"/>
              <w:rPr>
                <w:rFonts w:eastAsiaTheme="minorHAnsi"/>
              </w:rPr>
            </w:pPr>
            <w:r w:rsidRPr="00C819B9">
              <w:t>Victoria</w:t>
            </w:r>
          </w:p>
        </w:tc>
        <w:tc>
          <w:tcPr>
            <w:tcW w:w="6208" w:type="dxa"/>
            <w:shd w:val="clear" w:color="auto" w:fill="auto"/>
            <w:tcMar>
              <w:right w:w="0" w:type="dxa"/>
            </w:tcMar>
          </w:tcPr>
          <w:p w14:paraId="0CFAE5E8" w14:textId="77777777" w:rsidR="00C71514" w:rsidRPr="00C819B9" w:rsidRDefault="00C71514" w:rsidP="00C819B9">
            <w:pPr>
              <w:spacing w:before="40" w:after="120"/>
              <w:rPr>
                <w:rFonts w:eastAsiaTheme="minorHAnsi"/>
              </w:rPr>
            </w:pPr>
            <w:r w:rsidRPr="00C819B9">
              <w:t>La reclusión en régimen de aislamiento está prohibida en el Servicio de Justicia Juvenil de Victoria, de conformidad con la regla 44 de las Reglas Mínimas de las Naciones Unidas para el Tratamiento de los Reclusos (Reglas Nelson Mandela).</w:t>
            </w:r>
          </w:p>
          <w:p w14:paraId="1052A52A" w14:textId="77777777" w:rsidR="00C71514" w:rsidRPr="00C819B9" w:rsidRDefault="00C71514" w:rsidP="00C819B9">
            <w:pPr>
              <w:spacing w:before="40" w:after="120"/>
              <w:rPr>
                <w:rFonts w:eastAsiaTheme="minorHAnsi"/>
              </w:rPr>
            </w:pPr>
            <w:r w:rsidRPr="00C819B9">
              <w:t>Toda imposición del régimen de aislamiento en el Servicio de Justicia Juvenil de Victoria es sometida a examen diariamente por altos funcionarios del sistema, con el fin de buscar solución a los problemas y riesgos subyacentes que hicieron necesario recurrir al aislamiento de una persona joven.</w:t>
            </w:r>
          </w:p>
          <w:p w14:paraId="4D96F25B" w14:textId="539FBC96" w:rsidR="00C71514" w:rsidRPr="00C819B9" w:rsidRDefault="00C71514" w:rsidP="00C819B9">
            <w:pPr>
              <w:spacing w:before="40" w:after="120"/>
              <w:rPr>
                <w:rFonts w:eastAsiaTheme="minorHAnsi"/>
              </w:rPr>
            </w:pPr>
            <w:r w:rsidRPr="00C819B9">
              <w:t>En el Servici</w:t>
            </w:r>
            <w:r w:rsidR="00130699">
              <w:t>o</w:t>
            </w:r>
            <w:r w:rsidRPr="00C819B9">
              <w:t xml:space="preserve"> de Justicia Juvenil de Victoria, de conformidad con el artículo</w:t>
            </w:r>
            <w:r w:rsidR="00D32090">
              <w:t> </w:t>
            </w:r>
            <w:r w:rsidRPr="00C819B9">
              <w:t xml:space="preserve">488 de la Ley de la Infancia, la Juventud y la Familia de 2005, el régimen de aislamiento solo se autoriza cuando se han tomado todas las demás medidas razonables para evitar que el joven se haga daño a sí mismo o a otra persona o provoque la destrucción de bienes, cuando el comportamiento del joven representa una amenaza inmediata para su seguridad, la de cualquier otra persona o la de algún bien, o para salvaguardar la seguridad del centro. Todo período de aislamiento debe tener como pilar principal la protección y promoción continuadas de los derechos humanos básicos y las libertades y el bienestar físico y mental del joven, y </w:t>
            </w:r>
            <w:r w:rsidRPr="00C819B9">
              <w:lastRenderedPageBreak/>
              <w:t>debe cesar lo antes posible. Aplicar el régimen de aislamiento, o encerrar a una persona joven en una habitación durante cualquier período de tiempo, apartada de los demás y privada de su rutina habitual, son prácticas que restringen la libertad de esa persona y, por lo tanto, el personal del centro lo considera, en cualesquiera circunstancia, una opción de último recurso.</w:t>
            </w:r>
          </w:p>
        </w:tc>
      </w:tr>
      <w:tr w:rsidR="00C819B9" w:rsidRPr="00C819B9" w14:paraId="10801D1A" w14:textId="77777777" w:rsidTr="00D32090">
        <w:trPr>
          <w:trHeight w:val="240"/>
        </w:trPr>
        <w:tc>
          <w:tcPr>
            <w:tcW w:w="1162" w:type="dxa"/>
            <w:tcBorders>
              <w:bottom w:val="single" w:sz="12" w:space="0" w:color="auto"/>
            </w:tcBorders>
            <w:shd w:val="clear" w:color="auto" w:fill="auto"/>
          </w:tcPr>
          <w:p w14:paraId="4D390DA8" w14:textId="77777777" w:rsidR="00C71514" w:rsidRPr="00C819B9" w:rsidRDefault="00C71514" w:rsidP="00C819B9">
            <w:pPr>
              <w:spacing w:before="40" w:after="120"/>
              <w:rPr>
                <w:rFonts w:eastAsiaTheme="minorHAnsi"/>
              </w:rPr>
            </w:pPr>
            <w:r w:rsidRPr="00C819B9">
              <w:lastRenderedPageBreak/>
              <w:t>Australia Occidental</w:t>
            </w:r>
          </w:p>
        </w:tc>
        <w:tc>
          <w:tcPr>
            <w:tcW w:w="6208" w:type="dxa"/>
            <w:tcBorders>
              <w:bottom w:val="single" w:sz="12" w:space="0" w:color="auto"/>
            </w:tcBorders>
            <w:shd w:val="clear" w:color="auto" w:fill="auto"/>
            <w:tcMar>
              <w:right w:w="0" w:type="dxa"/>
            </w:tcMar>
          </w:tcPr>
          <w:p w14:paraId="20CDC15F" w14:textId="77777777" w:rsidR="00C71514" w:rsidRPr="00C819B9" w:rsidRDefault="00C71514" w:rsidP="00C819B9">
            <w:pPr>
              <w:spacing w:before="40" w:after="120"/>
              <w:rPr>
                <w:rFonts w:eastAsiaTheme="minorHAnsi"/>
              </w:rPr>
            </w:pPr>
            <w:r w:rsidRPr="00C819B9">
              <w:t>El Servicio Penitenciario del Departamento de Justicia no aplica el régimen de aislamiento a los jóvenes privados de libertad. El Servicio ha llevado a cabo una amplia labor para hacer frente a las consecuencias de confinar a alguien fuera del horario de permanencia obligada en la celda. Siempre que se puede, el tiempo de permanencia obligada en la celda se reduce al máximo.</w:t>
            </w:r>
          </w:p>
        </w:tc>
      </w:tr>
    </w:tbl>
    <w:p w14:paraId="1DE91BC8" w14:textId="0EA61D6C" w:rsidR="00C71514" w:rsidRPr="00C819B9" w:rsidRDefault="00C819B9" w:rsidP="00C819B9">
      <w:pPr>
        <w:pStyle w:val="H23G"/>
        <w:rPr>
          <w:i/>
        </w:rPr>
      </w:pPr>
      <w:bookmarkStart w:id="25" w:name="_Toc157763296"/>
      <w:r w:rsidRPr="00C819B9">
        <w:tab/>
      </w:r>
      <w:r w:rsidR="00C71514" w:rsidRPr="00C819B9">
        <w:tab/>
        <w:t xml:space="preserve">Recomendación 38 e) </w:t>
      </w:r>
      <w:r w:rsidRPr="00C819B9">
        <w:t>–</w:t>
      </w:r>
      <w:r w:rsidR="00C71514" w:rsidRPr="00C819B9">
        <w:t xml:space="preserve"> Medidas no judiciales</w:t>
      </w:r>
      <w:bookmarkEnd w:id="25"/>
    </w:p>
    <w:p w14:paraId="12DB7704" w14:textId="77777777" w:rsidR="00C71514" w:rsidRPr="00C819B9" w:rsidRDefault="00C71514" w:rsidP="00C71514">
      <w:pPr>
        <w:pStyle w:val="SingleTxtG"/>
      </w:pPr>
      <w:r w:rsidRPr="00C819B9">
        <w:t>60.</w:t>
      </w:r>
      <w:r w:rsidRPr="00C819B9">
        <w:tab/>
        <w:t>Promover activamente las medidas no judiciales, como la derivación, la mediación o el asesoramiento, cuando se trate de niños acusados de infracciones penales, así como, siempre que sea posible, la imposición de penas no privativas de libertad, como la libertad vigilada o el trabajo comunitario.</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162"/>
        <w:gridCol w:w="6208"/>
      </w:tblGrid>
      <w:tr w:rsidR="00C819B9" w:rsidRPr="00C819B9" w14:paraId="0C49F81E" w14:textId="77777777" w:rsidTr="00D32090">
        <w:trPr>
          <w:trHeight w:val="240"/>
          <w:tblHeader/>
        </w:trPr>
        <w:tc>
          <w:tcPr>
            <w:tcW w:w="1162" w:type="dxa"/>
            <w:tcBorders>
              <w:top w:val="single" w:sz="4" w:space="0" w:color="auto"/>
              <w:bottom w:val="single" w:sz="12" w:space="0" w:color="auto"/>
            </w:tcBorders>
            <w:shd w:val="clear" w:color="auto" w:fill="auto"/>
            <w:vAlign w:val="bottom"/>
          </w:tcPr>
          <w:p w14:paraId="08718024"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054D9496"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76826611" w14:textId="77777777" w:rsidTr="00D32090">
        <w:trPr>
          <w:trHeight w:hRule="exact" w:val="113"/>
          <w:tblHeader/>
        </w:trPr>
        <w:tc>
          <w:tcPr>
            <w:tcW w:w="1162" w:type="dxa"/>
            <w:tcBorders>
              <w:top w:val="single" w:sz="12" w:space="0" w:color="auto"/>
            </w:tcBorders>
            <w:shd w:val="clear" w:color="auto" w:fill="auto"/>
          </w:tcPr>
          <w:p w14:paraId="0CC03E2A"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461D8BA0" w14:textId="77777777" w:rsidR="00C71514" w:rsidRPr="00C819B9" w:rsidRDefault="00C71514" w:rsidP="00C819B9">
            <w:pPr>
              <w:spacing w:before="40" w:after="120"/>
              <w:rPr>
                <w:rFonts w:eastAsiaTheme="minorHAnsi"/>
              </w:rPr>
            </w:pPr>
          </w:p>
        </w:tc>
      </w:tr>
      <w:tr w:rsidR="00C819B9" w:rsidRPr="00C819B9" w14:paraId="5AF85C55" w14:textId="77777777" w:rsidTr="00D32090">
        <w:trPr>
          <w:trHeight w:val="240"/>
        </w:trPr>
        <w:tc>
          <w:tcPr>
            <w:tcW w:w="1162" w:type="dxa"/>
            <w:shd w:val="clear" w:color="auto" w:fill="auto"/>
          </w:tcPr>
          <w:p w14:paraId="03929E6E" w14:textId="77777777" w:rsidR="00C71514" w:rsidRPr="00C819B9" w:rsidRDefault="00C71514" w:rsidP="00C819B9">
            <w:pPr>
              <w:spacing w:before="40" w:after="120"/>
              <w:rPr>
                <w:rFonts w:eastAsiaTheme="minorHAnsi"/>
              </w:rPr>
            </w:pPr>
            <w:r w:rsidRPr="00C819B9">
              <w:t>Nueva Gales del Sur</w:t>
            </w:r>
          </w:p>
        </w:tc>
        <w:tc>
          <w:tcPr>
            <w:tcW w:w="6208" w:type="dxa"/>
            <w:shd w:val="clear" w:color="auto" w:fill="auto"/>
            <w:tcMar>
              <w:right w:w="0" w:type="dxa"/>
            </w:tcMar>
          </w:tcPr>
          <w:p w14:paraId="2AD48601" w14:textId="77777777" w:rsidR="00C71514" w:rsidRPr="00C819B9" w:rsidRDefault="00C71514" w:rsidP="00C819B9">
            <w:pPr>
              <w:spacing w:before="40" w:after="120"/>
              <w:rPr>
                <w:rFonts w:eastAsiaTheme="minorHAnsi"/>
              </w:rPr>
            </w:pPr>
            <w:r w:rsidRPr="00C819B9">
              <w:t>En enero de 2023, el Servicio de Justicia Juvenil de Nueva Gales del Sur puso en marcha una nueva práctica que permite a los asistentes sociales prestar apoyo directo a los jóvenes cuya libertad bajo fianza no es objeto de supervisión. El objetivo es reducir la reincidencia y mejorar los resultados de las condenas impuestas a los jóvenes. Cuando los recursos de la Oficina Comunitaria de Justicia Juvenil del lugar lo permitan y un joven presente una necesidad de apoyo, los asistentes sociales pueden proporcionar a los jóvenes cuya libertad bajo fianza no está supervisada por mandato judicial, y a las personas que los apoyan, información sobre los servicios pertinentes que podrían ayudarles a atender las necesidades detectadas. Este apoyo puede incluir ayuda para comprender las condiciones de la libertad bajo fianza y coordinar los vínculos con otros servicios de apoyo. El apoyo directo a los jóvenes en libertad bajo fianza no es obligatorio y no debe depender del cumplimiento de las condiciones de la libertad bajo fianza.</w:t>
            </w:r>
          </w:p>
          <w:p w14:paraId="36259600" w14:textId="45AC7BF2" w:rsidR="00C71514" w:rsidRPr="00C819B9" w:rsidRDefault="00C71514" w:rsidP="00C819B9">
            <w:pPr>
              <w:spacing w:before="40" w:after="120"/>
              <w:rPr>
                <w:rFonts w:eastAsiaTheme="minorHAnsi"/>
              </w:rPr>
            </w:pPr>
            <w:r w:rsidRPr="00C819B9">
              <w:t xml:space="preserve">Los Servicios de Salud de Nueva Gales del Sur pusieron en marcha el programa Safeguards en 2023 en la zona de Sídney y su área metropolitana para ayudar a los jóvenes puestos en libertad. Los equipos denominados Safeguard Team son un servicio especializado de salud mental infantil y adolescente diseñado para atender a niños y jóvenes de 0 a 17 años con padecimientos mentales agudos. Estos equipos están basados en la comunidad y proporcionarán apoyo rápido, móvil, intensivo y flexible a corto plazo para ayudar a sus beneficiarios durante una crisis de salud mental. </w:t>
            </w:r>
          </w:p>
        </w:tc>
      </w:tr>
      <w:tr w:rsidR="00C819B9" w:rsidRPr="00C819B9" w14:paraId="250255A9" w14:textId="77777777" w:rsidTr="00D32090">
        <w:trPr>
          <w:trHeight w:val="240"/>
        </w:trPr>
        <w:tc>
          <w:tcPr>
            <w:tcW w:w="1162" w:type="dxa"/>
            <w:shd w:val="clear" w:color="auto" w:fill="auto"/>
          </w:tcPr>
          <w:p w14:paraId="04FB1D06"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30951120" w14:textId="77777777" w:rsidR="00C71514" w:rsidRPr="00C819B9" w:rsidRDefault="00C71514" w:rsidP="00C819B9">
            <w:pPr>
              <w:spacing w:before="40" w:after="120"/>
              <w:rPr>
                <w:rFonts w:eastAsiaTheme="minorHAnsi"/>
              </w:rPr>
            </w:pPr>
            <w:r w:rsidRPr="00C819B9">
              <w:t>Véase la respuesta a la recomendación 32 b).</w:t>
            </w:r>
          </w:p>
          <w:p w14:paraId="61BEB6F7" w14:textId="068EBFC6" w:rsidR="00C71514" w:rsidRPr="00C819B9" w:rsidRDefault="00C71514" w:rsidP="00C819B9">
            <w:pPr>
              <w:spacing w:before="40" w:after="120"/>
              <w:rPr>
                <w:rFonts w:eastAsiaTheme="minorHAnsi"/>
              </w:rPr>
            </w:pPr>
            <w:r w:rsidRPr="00C819B9">
              <w:t xml:space="preserve">El gobierno de Queensland apoya varias iniciativas, diseñadas en colaboración con los líderes locales, para mejorar la salud mental y el bienestar social y emocional, responder al abuso de sustancias y reducir las tasas de suicidio en las comunidades aborígenes e isleñas del </w:t>
            </w:r>
            <w:r w:rsidR="001E7EB0" w:rsidRPr="00C819B9">
              <w:t>estrecho</w:t>
            </w:r>
            <w:r w:rsidRPr="00C819B9">
              <w:t xml:space="preserve"> de Torres.</w:t>
            </w:r>
          </w:p>
          <w:p w14:paraId="6C7E005D" w14:textId="77777777" w:rsidR="00C71514" w:rsidRPr="00C819B9" w:rsidRDefault="00C71514" w:rsidP="00C819B9">
            <w:pPr>
              <w:spacing w:before="40" w:after="120"/>
              <w:rPr>
                <w:rFonts w:eastAsiaTheme="minorHAnsi"/>
              </w:rPr>
            </w:pPr>
            <w:r w:rsidRPr="00C819B9">
              <w:t>Queensland ha introducido en la legislación requisitos de notificación al Servicio Jurídico de los Aborígenes e Isleños del Estrecho de Torres.</w:t>
            </w:r>
          </w:p>
          <w:p w14:paraId="38E0D96F" w14:textId="180C0875" w:rsidR="00C71514" w:rsidRPr="00C819B9" w:rsidRDefault="00C71514" w:rsidP="00C819B9">
            <w:pPr>
              <w:spacing w:before="40" w:after="120"/>
              <w:rPr>
                <w:rFonts w:eastAsiaTheme="minorHAnsi"/>
              </w:rPr>
            </w:pPr>
            <w:r w:rsidRPr="00C819B9">
              <w:t>En 2023</w:t>
            </w:r>
            <w:r w:rsidR="00F03E20">
              <w:t>/</w:t>
            </w:r>
            <w:r w:rsidRPr="00C819B9">
              <w:t xml:space="preserve">24, el gobierno de Queensland pondrá en marcha en Townsville una iniciativa de justicia juvenil centrada en el arte y dirigida </w:t>
            </w:r>
            <w:r w:rsidR="00130699">
              <w:t xml:space="preserve">a </w:t>
            </w:r>
            <w:r w:rsidRPr="00C819B9">
              <w:t xml:space="preserve">aquellos jóvenes </w:t>
            </w:r>
            <w:r w:rsidRPr="00C819B9">
              <w:lastRenderedPageBreak/>
              <w:t>en riesgo de delinquir que participen en el programa Transition to Success, y a sus familias. El proyecto piloto, de 12 meses de duración, tiene el propósito de mejorar la situación social y económica de este colectivo y crear artistas competentes y bien informados que lleven a la práctica programas eficaces para jóvenes en situación de riesgo. Los jóvenes recibirán apoyo para establecer conexiones, crear y aprender a través de las artes, y para mejorar sus perspectivas de futuro.</w:t>
            </w:r>
          </w:p>
        </w:tc>
      </w:tr>
      <w:tr w:rsidR="00C819B9" w:rsidRPr="00C819B9" w14:paraId="209F9F47" w14:textId="77777777" w:rsidTr="00D32090">
        <w:trPr>
          <w:trHeight w:val="240"/>
        </w:trPr>
        <w:tc>
          <w:tcPr>
            <w:tcW w:w="1162" w:type="dxa"/>
            <w:shd w:val="clear" w:color="auto" w:fill="auto"/>
          </w:tcPr>
          <w:p w14:paraId="659D022B" w14:textId="77777777" w:rsidR="00C71514" w:rsidRPr="00C819B9" w:rsidRDefault="00C71514" w:rsidP="00C819B9">
            <w:pPr>
              <w:spacing w:before="40" w:after="120"/>
              <w:rPr>
                <w:rFonts w:eastAsiaTheme="minorHAnsi"/>
              </w:rPr>
            </w:pPr>
            <w:r w:rsidRPr="00C819B9">
              <w:lastRenderedPageBreak/>
              <w:t>Australia Meridional</w:t>
            </w:r>
          </w:p>
        </w:tc>
        <w:tc>
          <w:tcPr>
            <w:tcW w:w="6208" w:type="dxa"/>
            <w:shd w:val="clear" w:color="auto" w:fill="auto"/>
            <w:tcMar>
              <w:right w:w="0" w:type="dxa"/>
            </w:tcMar>
          </w:tcPr>
          <w:p w14:paraId="53691A4A" w14:textId="77777777" w:rsidR="00C71514" w:rsidRPr="00C819B9" w:rsidRDefault="00C71514" w:rsidP="00C819B9">
            <w:pPr>
              <w:spacing w:before="40" w:after="120"/>
              <w:rPr>
                <w:rFonts w:eastAsiaTheme="minorHAnsi"/>
              </w:rPr>
            </w:pPr>
            <w:r w:rsidRPr="00C819B9">
              <w:t>Véase la respuesta a la recomendación 32 b).</w:t>
            </w:r>
          </w:p>
          <w:p w14:paraId="02226D97" w14:textId="77777777" w:rsidR="00C71514" w:rsidRPr="00C819B9" w:rsidRDefault="00C71514" w:rsidP="00C819B9">
            <w:pPr>
              <w:spacing w:before="40" w:after="120"/>
              <w:rPr>
                <w:rFonts w:eastAsiaTheme="minorHAnsi"/>
              </w:rPr>
            </w:pPr>
            <w:r w:rsidRPr="00C819B9">
              <w:t>En 2023, el gobierno de Australia Meridional elaboró un recurso de lectura fácil para ayudar a niños y jóvenes a comprender el proceso de solicitud de la libertad bajo fianza y a hacer valer su derecho a la revisión por vía telefónica en caso de que se les deniegue la fianza tras ser detenidos por la policía y no haya un juzgado disponible.</w:t>
            </w:r>
          </w:p>
          <w:p w14:paraId="7DD2F220" w14:textId="2983D6FF" w:rsidR="00C71514" w:rsidRPr="00C819B9" w:rsidRDefault="00C71514" w:rsidP="00C819B9">
            <w:pPr>
              <w:spacing w:before="40" w:after="120"/>
              <w:rPr>
                <w:rFonts w:eastAsiaTheme="minorHAnsi"/>
              </w:rPr>
            </w:pPr>
            <w:r w:rsidRPr="00C819B9">
              <w:t xml:space="preserve">En 2023, el Gobierno de Australia Meridional decidió que invertiría </w:t>
            </w:r>
            <w:r w:rsidR="00130699">
              <w:t>1 </w:t>
            </w:r>
            <w:r w:rsidRPr="00C819B9">
              <w:t xml:space="preserve">millón de dólares más a lo largo de dos años para continuar con el Programa de Derivación de Niños. Este </w:t>
            </w:r>
            <w:r w:rsidR="00CE14A5" w:rsidRPr="00C819B9">
              <w:t>Programa</w:t>
            </w:r>
            <w:r w:rsidRPr="00C819B9">
              <w:t xml:space="preserve"> evita la privación de libertad de niños de entre 10 y 13 años acusados de un delito leve. El </w:t>
            </w:r>
            <w:r w:rsidR="00CE14A5" w:rsidRPr="00C819B9">
              <w:t>Programa</w:t>
            </w:r>
            <w:r w:rsidRPr="00C819B9">
              <w:t xml:space="preserve"> proporciona alojamiento a corto plazo, culturalmente seguro y con apoyo como alternativa a la privación de libertad. El personal del </w:t>
            </w:r>
            <w:r w:rsidR="00CE14A5" w:rsidRPr="00C819B9">
              <w:t>Programa</w:t>
            </w:r>
            <w:r w:rsidRPr="00C819B9">
              <w:t xml:space="preserve"> también presta apoyo a los niños y sus familias en la comunidad.</w:t>
            </w:r>
          </w:p>
        </w:tc>
      </w:tr>
      <w:tr w:rsidR="00C819B9" w:rsidRPr="00C819B9" w14:paraId="1E1D6D16" w14:textId="77777777" w:rsidTr="00D32090">
        <w:trPr>
          <w:trHeight w:val="240"/>
        </w:trPr>
        <w:tc>
          <w:tcPr>
            <w:tcW w:w="1162" w:type="dxa"/>
            <w:shd w:val="clear" w:color="auto" w:fill="auto"/>
          </w:tcPr>
          <w:p w14:paraId="26AE35B2" w14:textId="77777777" w:rsidR="00C71514" w:rsidRPr="00C819B9" w:rsidRDefault="00C71514" w:rsidP="00C819B9">
            <w:pPr>
              <w:spacing w:before="40" w:after="120"/>
              <w:rPr>
                <w:rFonts w:eastAsiaTheme="minorHAnsi"/>
              </w:rPr>
            </w:pPr>
            <w:r w:rsidRPr="00C819B9">
              <w:t>Victoria</w:t>
            </w:r>
          </w:p>
        </w:tc>
        <w:tc>
          <w:tcPr>
            <w:tcW w:w="6208" w:type="dxa"/>
            <w:shd w:val="clear" w:color="auto" w:fill="auto"/>
            <w:tcMar>
              <w:right w:w="0" w:type="dxa"/>
            </w:tcMar>
          </w:tcPr>
          <w:p w14:paraId="044EAB69" w14:textId="77777777" w:rsidR="00C71514" w:rsidRPr="00C819B9" w:rsidRDefault="00C71514" w:rsidP="00C819B9">
            <w:pPr>
              <w:spacing w:before="40" w:after="120"/>
              <w:rPr>
                <w:rFonts w:eastAsiaTheme="minorHAnsi"/>
              </w:rPr>
            </w:pPr>
            <w:r w:rsidRPr="00C819B9">
              <w:t>Véase la respuesta a la recomendación 32 b).</w:t>
            </w:r>
          </w:p>
          <w:p w14:paraId="59128208" w14:textId="521757A4" w:rsidR="00C71514" w:rsidRPr="00C819B9" w:rsidRDefault="00C71514" w:rsidP="00C819B9">
            <w:pPr>
              <w:spacing w:before="40" w:after="120"/>
              <w:rPr>
                <w:rFonts w:eastAsiaTheme="minorHAnsi"/>
              </w:rPr>
            </w:pPr>
            <w:r w:rsidRPr="00C819B9">
              <w:t>La Ley de Libertad bajo Fianza de 2023 se promulgó el 24 de octubre de</w:t>
            </w:r>
            <w:r w:rsidR="00D32090">
              <w:t> </w:t>
            </w:r>
            <w:r w:rsidRPr="00C819B9">
              <w:t>2023 con el fin de hacer más justa para las personas vulnerables y desfavorecidas la legislación que rige la libertad bajo fianza en ese estado, sin por ello abandonar el estricto trato reservado a quienes suponen un riesgo grave para los habitantes de Victoria.</w:t>
            </w:r>
          </w:p>
          <w:p w14:paraId="36135129" w14:textId="77777777" w:rsidR="00C71514" w:rsidRPr="00C819B9" w:rsidRDefault="00C71514" w:rsidP="00C819B9">
            <w:pPr>
              <w:spacing w:before="40" w:after="120"/>
              <w:rPr>
                <w:rFonts w:eastAsiaTheme="minorHAnsi"/>
              </w:rPr>
            </w:pPr>
            <w:r w:rsidRPr="00C819B9">
              <w:t>El gobierno de Victoria también puso en marcha el 30 de abril de 2023 la Permanencia de Justicia Juvenil para la Determinación de Fianzas, un servicio de asesoramiento y determinación de fianzas que abarca todo el estado y atiende fuera del horario habitual. Constituye un único punto de contacto para la determinación de la fianza y el asesoramiento en asuntos en los que la policía solicita la prisión preventiva de un joven fuera del horario habitual.</w:t>
            </w:r>
          </w:p>
        </w:tc>
      </w:tr>
      <w:tr w:rsidR="00C819B9" w:rsidRPr="00C819B9" w14:paraId="79810BD3" w14:textId="77777777" w:rsidTr="00D32090">
        <w:trPr>
          <w:trHeight w:val="240"/>
        </w:trPr>
        <w:tc>
          <w:tcPr>
            <w:tcW w:w="1162" w:type="dxa"/>
            <w:tcBorders>
              <w:bottom w:val="single" w:sz="12" w:space="0" w:color="auto"/>
            </w:tcBorders>
            <w:shd w:val="clear" w:color="auto" w:fill="auto"/>
          </w:tcPr>
          <w:p w14:paraId="69EE9AA3" w14:textId="77777777" w:rsidR="00C71514" w:rsidRPr="00C819B9" w:rsidRDefault="00C71514" w:rsidP="00C819B9">
            <w:pPr>
              <w:spacing w:before="40" w:after="120"/>
              <w:rPr>
                <w:rFonts w:eastAsiaTheme="minorHAnsi"/>
              </w:rPr>
            </w:pPr>
            <w:r w:rsidRPr="00C819B9">
              <w:t>Australia Occidental</w:t>
            </w:r>
          </w:p>
        </w:tc>
        <w:tc>
          <w:tcPr>
            <w:tcW w:w="6208" w:type="dxa"/>
            <w:tcBorders>
              <w:bottom w:val="single" w:sz="12" w:space="0" w:color="auto"/>
            </w:tcBorders>
            <w:shd w:val="clear" w:color="auto" w:fill="auto"/>
            <w:tcMar>
              <w:right w:w="0" w:type="dxa"/>
            </w:tcMar>
          </w:tcPr>
          <w:p w14:paraId="01AF6185" w14:textId="77777777" w:rsidR="00C71514" w:rsidRPr="00C819B9" w:rsidRDefault="00C71514" w:rsidP="00C819B9">
            <w:pPr>
              <w:spacing w:before="40" w:after="120"/>
              <w:rPr>
                <w:rFonts w:eastAsiaTheme="minorHAnsi"/>
              </w:rPr>
            </w:pPr>
            <w:r w:rsidRPr="00C819B9">
              <w:t xml:space="preserve">Véase la respuesta a la recomendación 32 b). </w:t>
            </w:r>
          </w:p>
          <w:p w14:paraId="403CD9EC" w14:textId="142B4525" w:rsidR="00C71514" w:rsidRPr="00C819B9" w:rsidRDefault="00C71514" w:rsidP="00C819B9">
            <w:pPr>
              <w:spacing w:before="40" w:after="120"/>
              <w:rPr>
                <w:rFonts w:eastAsiaTheme="minorHAnsi"/>
              </w:rPr>
            </w:pPr>
            <w:r w:rsidRPr="00C819B9">
              <w:t xml:space="preserve">En virtud de la Ley de Derecho Penal (Deficiencia Mental) de 2023, los niños declarados no aptos para ser juzgados no serán sometidos a detención indefinida y el tribunal tendrá la opción de ponerlos bajo la supervisión de su comunidad. El Servicio de Libertad bajo Fianza para Jóvenes también ofrece una opción de derivación, como es el caso de los Equipos de Justicia Juvenil. Se están llevando a cabo numerosas iniciativas para mejorar la seguridad de los jóvenes detenidos, como un conjunto de medidas de apoyo cultural a los aborígenes para cuya puesta en práctica se cuenta con personas aborígenes, un nuevo modelo de atención que incluye una ampliación de los servicios de salud mental, atención en situaciones de crisis, y </w:t>
            </w:r>
            <w:r w:rsidR="00130699" w:rsidRPr="00C819B9">
              <w:t>una unidad de servicios aborígen</w:t>
            </w:r>
            <w:r w:rsidRPr="00C819B9">
              <w:t xml:space="preserve">es que está a cargo de aborígenes. La Estrategia de Justicia Juvenil de Kimberley emprendida por el </w:t>
            </w:r>
            <w:r w:rsidR="006E282F" w:rsidRPr="00C819B9">
              <w:t>departamento</w:t>
            </w:r>
            <w:r w:rsidRPr="00C819B9">
              <w:t xml:space="preserve"> es una iniciativa de intervención temprana y de derivación para los jóvenes de la región de Kimberley, que incluye una serie de actividades diseñadas y puestas en práctica por organizaciones controladas por la comunidad aborigen en Broome, Derby, Fitzroy Crossing, Halls Creek, Kununurra y Wyndham.</w:t>
            </w:r>
          </w:p>
        </w:tc>
      </w:tr>
    </w:tbl>
    <w:p w14:paraId="66AF8D5E" w14:textId="2C20E488" w:rsidR="00C71514" w:rsidRPr="00C819B9" w:rsidRDefault="00C819B9" w:rsidP="00C819B9">
      <w:pPr>
        <w:pStyle w:val="H23G"/>
        <w:rPr>
          <w:i/>
        </w:rPr>
      </w:pPr>
      <w:bookmarkStart w:id="26" w:name="_Toc157763297"/>
      <w:r w:rsidRPr="00C819B9">
        <w:lastRenderedPageBreak/>
        <w:tab/>
      </w:r>
      <w:r w:rsidR="00C71514" w:rsidRPr="00C819B9">
        <w:tab/>
        <w:t xml:space="preserve">Recomendación 38 f) </w:t>
      </w:r>
      <w:r w:rsidRPr="00C819B9">
        <w:t>–</w:t>
      </w:r>
      <w:r w:rsidR="00C71514" w:rsidRPr="00C819B9">
        <w:t xml:space="preserve"> Privación de libertad en dependencias separadas</w:t>
      </w:r>
      <w:bookmarkEnd w:id="26"/>
    </w:p>
    <w:p w14:paraId="77CF48C1" w14:textId="77777777" w:rsidR="00C71514" w:rsidRPr="00C819B9" w:rsidRDefault="00C71514" w:rsidP="00C71514">
      <w:pPr>
        <w:pStyle w:val="SingleTxtG"/>
      </w:pPr>
      <w:r w:rsidRPr="00C819B9">
        <w:t>61.</w:t>
      </w:r>
      <w:r w:rsidRPr="00C819B9">
        <w:tab/>
        <w:t>Cuando la privación de libertad sea inevitable, velar por que los niños sean recluidos en dependencias separadas y, en el caso de la prisión preventiva, velar por que esta sea objeto de una revisión judicial y periódica.</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162"/>
        <w:gridCol w:w="6208"/>
      </w:tblGrid>
      <w:tr w:rsidR="00C819B9" w:rsidRPr="00C819B9" w14:paraId="20304642" w14:textId="77777777" w:rsidTr="00D32090">
        <w:trPr>
          <w:trHeight w:val="240"/>
          <w:tblHeader/>
        </w:trPr>
        <w:tc>
          <w:tcPr>
            <w:tcW w:w="1162" w:type="dxa"/>
            <w:tcBorders>
              <w:top w:val="single" w:sz="4" w:space="0" w:color="auto"/>
              <w:bottom w:val="single" w:sz="12" w:space="0" w:color="auto"/>
            </w:tcBorders>
            <w:shd w:val="clear" w:color="auto" w:fill="auto"/>
            <w:vAlign w:val="bottom"/>
          </w:tcPr>
          <w:p w14:paraId="66270CBF" w14:textId="77777777" w:rsidR="00C71514" w:rsidRPr="00C819B9" w:rsidRDefault="00C71514" w:rsidP="00C819B9">
            <w:pPr>
              <w:spacing w:before="80" w:after="80" w:line="200" w:lineRule="exact"/>
              <w:rPr>
                <w:rFonts w:eastAsiaTheme="minorHAnsi"/>
                <w:i/>
                <w:sz w:val="16"/>
              </w:rPr>
            </w:pPr>
            <w:r w:rsidRPr="00C819B9">
              <w:rPr>
                <w:i/>
                <w:sz w:val="16"/>
              </w:rPr>
              <w:t>Jurisdicción</w:t>
            </w:r>
          </w:p>
        </w:tc>
        <w:tc>
          <w:tcPr>
            <w:tcW w:w="6208" w:type="dxa"/>
            <w:tcBorders>
              <w:top w:val="single" w:sz="4" w:space="0" w:color="auto"/>
              <w:bottom w:val="single" w:sz="12" w:space="0" w:color="auto"/>
            </w:tcBorders>
            <w:shd w:val="clear" w:color="auto" w:fill="auto"/>
            <w:tcMar>
              <w:right w:w="0" w:type="dxa"/>
            </w:tcMar>
            <w:vAlign w:val="bottom"/>
          </w:tcPr>
          <w:p w14:paraId="0320E650" w14:textId="77777777" w:rsidR="00C71514" w:rsidRPr="00C819B9" w:rsidRDefault="00C71514" w:rsidP="00C819B9">
            <w:pPr>
              <w:spacing w:before="80" w:after="80" w:line="200" w:lineRule="exact"/>
              <w:rPr>
                <w:rFonts w:eastAsiaTheme="minorHAnsi"/>
                <w:i/>
                <w:sz w:val="16"/>
              </w:rPr>
            </w:pPr>
            <w:r w:rsidRPr="00C819B9">
              <w:rPr>
                <w:i/>
                <w:sz w:val="16"/>
              </w:rPr>
              <w:t>Medidas adoptadas en el último año</w:t>
            </w:r>
          </w:p>
        </w:tc>
      </w:tr>
      <w:tr w:rsidR="00C819B9" w:rsidRPr="00C819B9" w14:paraId="02DF018E" w14:textId="77777777" w:rsidTr="00D32090">
        <w:trPr>
          <w:trHeight w:hRule="exact" w:val="113"/>
          <w:tblHeader/>
        </w:trPr>
        <w:tc>
          <w:tcPr>
            <w:tcW w:w="1162" w:type="dxa"/>
            <w:tcBorders>
              <w:top w:val="single" w:sz="12" w:space="0" w:color="auto"/>
            </w:tcBorders>
            <w:shd w:val="clear" w:color="auto" w:fill="auto"/>
          </w:tcPr>
          <w:p w14:paraId="7704187C" w14:textId="77777777" w:rsidR="00C71514" w:rsidRPr="00C819B9" w:rsidRDefault="00C71514" w:rsidP="00C819B9">
            <w:pPr>
              <w:spacing w:before="40" w:after="120"/>
              <w:rPr>
                <w:rFonts w:eastAsiaTheme="minorHAnsi"/>
              </w:rPr>
            </w:pPr>
          </w:p>
        </w:tc>
        <w:tc>
          <w:tcPr>
            <w:tcW w:w="6208" w:type="dxa"/>
            <w:tcBorders>
              <w:top w:val="single" w:sz="12" w:space="0" w:color="auto"/>
            </w:tcBorders>
            <w:shd w:val="clear" w:color="auto" w:fill="auto"/>
            <w:tcMar>
              <w:right w:w="0" w:type="dxa"/>
            </w:tcMar>
          </w:tcPr>
          <w:p w14:paraId="732C3AF7" w14:textId="77777777" w:rsidR="00C71514" w:rsidRPr="00C819B9" w:rsidRDefault="00C71514" w:rsidP="00C819B9">
            <w:pPr>
              <w:spacing w:before="40" w:after="120"/>
              <w:rPr>
                <w:rFonts w:eastAsiaTheme="minorHAnsi"/>
              </w:rPr>
            </w:pPr>
          </w:p>
        </w:tc>
      </w:tr>
      <w:tr w:rsidR="00C819B9" w:rsidRPr="00C819B9" w14:paraId="49DB8484" w14:textId="77777777" w:rsidTr="00D32090">
        <w:trPr>
          <w:trHeight w:val="240"/>
        </w:trPr>
        <w:tc>
          <w:tcPr>
            <w:tcW w:w="1162" w:type="dxa"/>
            <w:shd w:val="clear" w:color="auto" w:fill="auto"/>
          </w:tcPr>
          <w:p w14:paraId="404B66BF" w14:textId="77777777" w:rsidR="00C71514" w:rsidRPr="00C819B9" w:rsidRDefault="00C71514" w:rsidP="00C819B9">
            <w:pPr>
              <w:spacing w:before="40" w:after="120"/>
              <w:rPr>
                <w:rFonts w:eastAsiaTheme="minorHAnsi"/>
              </w:rPr>
            </w:pPr>
            <w:r w:rsidRPr="00C819B9">
              <w:t>Queensland</w:t>
            </w:r>
          </w:p>
        </w:tc>
        <w:tc>
          <w:tcPr>
            <w:tcW w:w="6208" w:type="dxa"/>
            <w:shd w:val="clear" w:color="auto" w:fill="auto"/>
            <w:tcMar>
              <w:right w:w="0" w:type="dxa"/>
            </w:tcMar>
          </w:tcPr>
          <w:p w14:paraId="27B19624" w14:textId="6BA3404A" w:rsidR="00C71514" w:rsidRPr="00C819B9" w:rsidRDefault="00C71514" w:rsidP="00C819B9">
            <w:pPr>
              <w:spacing w:before="40" w:after="120"/>
              <w:rPr>
                <w:rFonts w:eastAsiaTheme="minorHAnsi"/>
              </w:rPr>
            </w:pPr>
            <w:r w:rsidRPr="00C819B9">
              <w:t>En agosto de 2023, se modificó la Ley de Justicia Juvenil de 1992 para hacer legal el internamiento de jóvenes en calabozos de la policía hasta que se libere espacio en los centros de detención de menores. Esta modificación proporciona un marco para la toma de decisiones sobre el momento de efectuar el traslado que permite tener en cuenta cualquier factor pertinente. El objetivo del marco es establecer un equilibrio entre los intereses de los jóvenes internados en los calabozos, los de los jóvenes internados en centros de detención de menores y los del personal que trabaja en los centros de detención de menores y en los calabozos. Esta disposición es temporal y se aplicará únicamente hasta el 31 de diciembre de 2026, para cuando se prevé que los dos nuevos centros terapéuticos de detención de menores de Queensland estén en funcionamiento (véase la respuesta a la recomendación</w:t>
            </w:r>
            <w:r w:rsidR="00D32090">
              <w:t> </w:t>
            </w:r>
            <w:r w:rsidRPr="00C819B9">
              <w:t>32 a)).</w:t>
            </w:r>
          </w:p>
          <w:p w14:paraId="62D9AB02" w14:textId="54B25231" w:rsidR="00C71514" w:rsidRPr="00C819B9" w:rsidRDefault="00C71514" w:rsidP="00C819B9">
            <w:pPr>
              <w:spacing w:before="40" w:after="120"/>
              <w:rPr>
                <w:rFonts w:eastAsiaTheme="minorHAnsi"/>
              </w:rPr>
            </w:pPr>
            <w:r w:rsidRPr="00C819B9">
              <w:t xml:space="preserve">Cuando se interna a un niño en los calabozos, el niño debe estar separado de los detenidos adultos, a menos que existan razones imperiosas que obedezcan al interés del niño. Esto incluiría, por ejemplo, internar a un menor aborigen o isleño del </w:t>
            </w:r>
            <w:r w:rsidR="001E7EB0" w:rsidRPr="00C819B9">
              <w:t>estrecho</w:t>
            </w:r>
            <w:r w:rsidRPr="00C819B9">
              <w:t xml:space="preserve"> de Torres con presos adultos aborígenes o isleños del </w:t>
            </w:r>
            <w:r w:rsidR="001E7EB0" w:rsidRPr="00C819B9">
              <w:t>estrecho</w:t>
            </w:r>
            <w:r w:rsidRPr="00C819B9">
              <w:t xml:space="preserve"> de Torres cuando esto sea más seguro que el aislamiento, siempre que el niño esté de acuerdo y la persona adulta sea de su mismo género.</w:t>
            </w:r>
          </w:p>
          <w:p w14:paraId="538253F3" w14:textId="77777777" w:rsidR="00C71514" w:rsidRPr="00C819B9" w:rsidRDefault="00C71514" w:rsidP="00C819B9">
            <w:pPr>
              <w:spacing w:before="40" w:after="120"/>
              <w:rPr>
                <w:rFonts w:eastAsiaTheme="minorHAnsi"/>
              </w:rPr>
            </w:pPr>
            <w:r w:rsidRPr="00C819B9">
              <w:t>En marzo de 2023 entró en vigor la Ley de Refuerzo de la Seguridad Comunitaria de 2023, que introdujo cambios en varias otras leyes, incluida la Ley de Justicia Juvenil de 1992 en lo que respecta al traslado de los presos preventivos y condenados que han cumplido los 18 años a dependencias para adultos, con el fin de reducir el contacto entre los niños privados de libertad y los adultos.</w:t>
            </w:r>
          </w:p>
        </w:tc>
      </w:tr>
      <w:tr w:rsidR="00C819B9" w:rsidRPr="00C819B9" w14:paraId="3E4D0648" w14:textId="77777777" w:rsidTr="00D32090">
        <w:trPr>
          <w:trHeight w:val="240"/>
        </w:trPr>
        <w:tc>
          <w:tcPr>
            <w:tcW w:w="1162" w:type="dxa"/>
            <w:tcBorders>
              <w:bottom w:val="single" w:sz="12" w:space="0" w:color="auto"/>
            </w:tcBorders>
            <w:shd w:val="clear" w:color="auto" w:fill="auto"/>
          </w:tcPr>
          <w:p w14:paraId="0577A3BC" w14:textId="77777777" w:rsidR="00C71514" w:rsidRPr="00C819B9" w:rsidRDefault="00C71514" w:rsidP="00C819B9">
            <w:pPr>
              <w:spacing w:before="40" w:after="120"/>
              <w:rPr>
                <w:rFonts w:eastAsiaTheme="minorHAnsi"/>
              </w:rPr>
            </w:pPr>
            <w:r w:rsidRPr="00C819B9">
              <w:t>Victoria</w:t>
            </w:r>
          </w:p>
        </w:tc>
        <w:tc>
          <w:tcPr>
            <w:tcW w:w="6208" w:type="dxa"/>
            <w:tcBorders>
              <w:bottom w:val="single" w:sz="12" w:space="0" w:color="auto"/>
            </w:tcBorders>
            <w:shd w:val="clear" w:color="auto" w:fill="auto"/>
            <w:tcMar>
              <w:right w:w="0" w:type="dxa"/>
            </w:tcMar>
          </w:tcPr>
          <w:p w14:paraId="59D1065D" w14:textId="77777777" w:rsidR="00C71514" w:rsidRPr="00C819B9" w:rsidRDefault="00C71514" w:rsidP="00C819B9">
            <w:pPr>
              <w:spacing w:before="40" w:after="120"/>
              <w:rPr>
                <w:rFonts w:eastAsiaTheme="minorHAnsi"/>
              </w:rPr>
            </w:pPr>
            <w:r w:rsidRPr="00C819B9">
              <w:t>En Victoria, los jóvenes pueden ser condenados a ser internados en un centro residencial juvenil, en un centro de justicia juvenil o a una pena de prisión. La Junta de Libertad Condicional para Adultos tiene amplia discrecionalidad para ordenar que un joven que cumple una pena de prisión sea trasladado a un centro de justicia juvenil hasta que cumpla 21 años. En circunstancias muy concretas y previa solicitud, la Junta de Libertad Condicional para Jóvenes también puede trasladar a un joven a un centro de detención para adultos. Además, la Ley de la Infancia, la Juventud y la Familia de 2005 incluye requisitos de separación en función de la edad y la exigencia de separar a los jóvenes en prisión preventiva de los que están cumpliendo condena.</w:t>
            </w:r>
          </w:p>
          <w:p w14:paraId="42EDF7ED" w14:textId="77777777" w:rsidR="00C71514" w:rsidRPr="00C819B9" w:rsidRDefault="00C71514" w:rsidP="00C819B9">
            <w:pPr>
              <w:spacing w:before="40" w:after="120"/>
              <w:rPr>
                <w:rFonts w:eastAsiaTheme="minorHAnsi"/>
              </w:rPr>
            </w:pPr>
            <w:r w:rsidRPr="00C819B9">
              <w:t>Asimismo, la Carta de Derechos Humanos y Responsabilidades de Victoria de 2006 y la Ley de Bienestar y Seguridad de la Infancia de 2005 establecen derechos, libertades y responsabilidades básicos para los niños, así como normas mínimas obligatorias para la protección de la infancia.</w:t>
            </w:r>
          </w:p>
        </w:tc>
      </w:tr>
    </w:tbl>
    <w:p w14:paraId="73DFA8D4" w14:textId="4D71D960" w:rsidR="00AC611E" w:rsidRPr="00C819B9" w:rsidRDefault="00C71514" w:rsidP="00C71514">
      <w:pPr>
        <w:pStyle w:val="SingleTxtG"/>
        <w:suppressAutoHyphens/>
        <w:spacing w:before="240" w:after="0"/>
        <w:jc w:val="center"/>
        <w:rPr>
          <w:u w:val="single"/>
        </w:rPr>
      </w:pPr>
      <w:r w:rsidRPr="00C819B9">
        <w:rPr>
          <w:u w:val="single"/>
        </w:rPr>
        <w:tab/>
      </w:r>
      <w:r w:rsidRPr="00C819B9">
        <w:rPr>
          <w:u w:val="single"/>
        </w:rPr>
        <w:tab/>
      </w:r>
      <w:r w:rsidRPr="00C819B9">
        <w:rPr>
          <w:u w:val="single"/>
        </w:rPr>
        <w:tab/>
      </w:r>
    </w:p>
    <w:sectPr w:rsidR="00AC611E" w:rsidRPr="00C819B9" w:rsidSect="00C7151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EEF19" w14:textId="77777777" w:rsidR="00112B50" w:rsidRPr="00A312BC" w:rsidRDefault="00112B50" w:rsidP="00A312BC">
      <w:pPr>
        <w:pStyle w:val="Piedepgina"/>
      </w:pPr>
    </w:p>
  </w:endnote>
  <w:endnote w:type="continuationSeparator" w:id="0">
    <w:p w14:paraId="71995C2B" w14:textId="77777777" w:rsidR="00112B50" w:rsidRPr="00A312BC" w:rsidRDefault="00112B5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2B349" w14:textId="0A020A67" w:rsidR="00C71514" w:rsidRPr="00C71514" w:rsidRDefault="00C71514" w:rsidP="00C71514">
    <w:pPr>
      <w:pStyle w:val="Piedepgina"/>
      <w:tabs>
        <w:tab w:val="right" w:pos="9638"/>
      </w:tabs>
    </w:pPr>
    <w:r w:rsidRPr="00C71514">
      <w:rPr>
        <w:b/>
        <w:sz w:val="18"/>
      </w:rPr>
      <w:fldChar w:fldCharType="begin"/>
    </w:r>
    <w:r w:rsidRPr="00C71514">
      <w:rPr>
        <w:b/>
        <w:sz w:val="18"/>
      </w:rPr>
      <w:instrText xml:space="preserve"> PAGE  \* MERGEFORMAT </w:instrText>
    </w:r>
    <w:r w:rsidRPr="00C71514">
      <w:rPr>
        <w:b/>
        <w:sz w:val="18"/>
      </w:rPr>
      <w:fldChar w:fldCharType="separate"/>
    </w:r>
    <w:r w:rsidRPr="00C71514">
      <w:rPr>
        <w:b/>
        <w:noProof/>
        <w:sz w:val="18"/>
      </w:rPr>
      <w:t>2</w:t>
    </w:r>
    <w:r w:rsidRPr="00C71514">
      <w:rPr>
        <w:b/>
        <w:sz w:val="18"/>
      </w:rPr>
      <w:fldChar w:fldCharType="end"/>
    </w:r>
    <w:r>
      <w:rPr>
        <w:b/>
        <w:sz w:val="18"/>
      </w:rPr>
      <w:tab/>
    </w:r>
    <w:r>
      <w:t>GE.24-09860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1D08" w14:textId="747FCE2E" w:rsidR="00C71514" w:rsidRPr="00C71514" w:rsidRDefault="00C71514" w:rsidP="00C71514">
    <w:pPr>
      <w:pStyle w:val="Piedepgina"/>
      <w:tabs>
        <w:tab w:val="right" w:pos="9638"/>
      </w:tabs>
      <w:rPr>
        <w:b/>
        <w:sz w:val="18"/>
      </w:rPr>
    </w:pPr>
    <w:r>
      <w:t>GE.24-09860</w:t>
    </w:r>
    <w:r>
      <w:tab/>
    </w:r>
    <w:r w:rsidRPr="00C71514">
      <w:rPr>
        <w:b/>
        <w:sz w:val="18"/>
      </w:rPr>
      <w:fldChar w:fldCharType="begin"/>
    </w:r>
    <w:r w:rsidRPr="00C71514">
      <w:rPr>
        <w:b/>
        <w:sz w:val="18"/>
      </w:rPr>
      <w:instrText xml:space="preserve"> PAGE  \* MERGEFORMAT </w:instrText>
    </w:r>
    <w:r w:rsidRPr="00C71514">
      <w:rPr>
        <w:b/>
        <w:sz w:val="18"/>
      </w:rPr>
      <w:fldChar w:fldCharType="separate"/>
    </w:r>
    <w:r w:rsidRPr="00C71514">
      <w:rPr>
        <w:b/>
        <w:noProof/>
        <w:sz w:val="18"/>
      </w:rPr>
      <w:t>3</w:t>
    </w:r>
    <w:r w:rsidRPr="00C715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EE3F3" w14:textId="560F2255" w:rsidR="00042B72" w:rsidRPr="00C71514" w:rsidRDefault="00C71514" w:rsidP="00C7151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A1EC88D" wp14:editId="0882C6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24-09860  (S)</w:t>
    </w:r>
    <w:r>
      <w:rPr>
        <w:noProof/>
        <w:sz w:val="20"/>
      </w:rPr>
      <w:drawing>
        <wp:anchor distT="0" distB="0" distL="114300" distR="114300" simplePos="0" relativeHeight="251658752" behindDoc="0" locked="0" layoutInCell="1" allowOverlap="1" wp14:anchorId="31483EAB" wp14:editId="0DE7229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020724    0</w:t>
    </w:r>
    <w:r w:rsidR="00F03E20">
      <w:rPr>
        <w:sz w:val="20"/>
      </w:rPr>
      <w:t>4</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1F556" w14:textId="77777777" w:rsidR="00112B50" w:rsidRPr="001075E9" w:rsidRDefault="00112B50" w:rsidP="001075E9">
      <w:pPr>
        <w:tabs>
          <w:tab w:val="right" w:pos="2155"/>
        </w:tabs>
        <w:spacing w:after="80" w:line="240" w:lineRule="auto"/>
        <w:ind w:left="680"/>
        <w:rPr>
          <w:u w:val="single"/>
        </w:rPr>
      </w:pPr>
      <w:r>
        <w:rPr>
          <w:u w:val="single"/>
        </w:rPr>
        <w:tab/>
      </w:r>
    </w:p>
  </w:footnote>
  <w:footnote w:type="continuationSeparator" w:id="0">
    <w:p w14:paraId="79F098B7" w14:textId="77777777" w:rsidR="00112B50" w:rsidRDefault="00112B50" w:rsidP="00407B78">
      <w:pPr>
        <w:tabs>
          <w:tab w:val="right" w:pos="2155"/>
        </w:tabs>
        <w:spacing w:after="80"/>
        <w:ind w:left="680"/>
        <w:rPr>
          <w:u w:val="single"/>
        </w:rPr>
      </w:pPr>
      <w:r>
        <w:rPr>
          <w:u w:val="single"/>
        </w:rPr>
        <w:tab/>
      </w:r>
    </w:p>
  </w:footnote>
  <w:footnote w:id="1">
    <w:p w14:paraId="7FB3ED37" w14:textId="46415917" w:rsidR="00C71514" w:rsidRPr="00C71514" w:rsidRDefault="00C71514">
      <w:pPr>
        <w:pStyle w:val="Textonotapie"/>
        <w:rPr>
          <w:sz w:val="20"/>
        </w:rPr>
      </w:pPr>
      <w:r>
        <w:tab/>
      </w:r>
      <w:r w:rsidRPr="00C71514">
        <w:rPr>
          <w:rStyle w:val="Refdenotaalpie"/>
          <w:sz w:val="20"/>
          <w:vertAlign w:val="baseline"/>
        </w:rPr>
        <w:t>*</w:t>
      </w:r>
      <w:r w:rsidRPr="00C71514">
        <w:rPr>
          <w:rStyle w:val="Refdenotaalpie"/>
          <w:vertAlign w:val="baseline"/>
        </w:rPr>
        <w:tab/>
      </w:r>
      <w:r w:rsidRPr="00F1692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110E" w14:textId="1C2D04E6" w:rsidR="00C71514" w:rsidRPr="00C71514" w:rsidRDefault="00BA6575">
    <w:pPr>
      <w:pStyle w:val="Encabezado"/>
    </w:pPr>
    <w:r>
      <w:fldChar w:fldCharType="begin"/>
    </w:r>
    <w:r>
      <w:instrText xml:space="preserve"> TITLE  \* MERGEFORMAT </w:instrText>
    </w:r>
    <w:r>
      <w:fldChar w:fldCharType="separate"/>
    </w:r>
    <w:r>
      <w:t>CAT/C/AUS/FCO/6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CD044" w14:textId="561AA255" w:rsidR="00C71514" w:rsidRPr="00C71514" w:rsidRDefault="00BA6575" w:rsidP="00C71514">
    <w:pPr>
      <w:pStyle w:val="Encabezado"/>
      <w:jc w:val="right"/>
    </w:pPr>
    <w:r>
      <w:fldChar w:fldCharType="begin"/>
    </w:r>
    <w:r>
      <w:instrText xml:space="preserve"> TITLE  \* MERGEFORMAT </w:instrText>
    </w:r>
    <w:r>
      <w:fldChar w:fldCharType="separate"/>
    </w:r>
    <w:r>
      <w:t>CAT/C/AUS/FCO/6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3B53FAE"/>
    <w:multiLevelType w:val="hybridMultilevel"/>
    <w:tmpl w:val="8224275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5429701">
    <w:abstractNumId w:val="25"/>
  </w:num>
  <w:num w:numId="2" w16cid:durableId="980384788">
    <w:abstractNumId w:val="17"/>
  </w:num>
  <w:num w:numId="3" w16cid:durableId="1789005546">
    <w:abstractNumId w:val="28"/>
  </w:num>
  <w:num w:numId="4" w16cid:durableId="756826834">
    <w:abstractNumId w:val="26"/>
  </w:num>
  <w:num w:numId="5" w16cid:durableId="903220018">
    <w:abstractNumId w:val="22"/>
  </w:num>
  <w:num w:numId="6" w16cid:durableId="1036007821">
    <w:abstractNumId w:val="8"/>
  </w:num>
  <w:num w:numId="7" w16cid:durableId="1113355982">
    <w:abstractNumId w:val="3"/>
  </w:num>
  <w:num w:numId="8" w16cid:durableId="932008127">
    <w:abstractNumId w:val="2"/>
  </w:num>
  <w:num w:numId="9" w16cid:durableId="1900247617">
    <w:abstractNumId w:val="1"/>
  </w:num>
  <w:num w:numId="10" w16cid:durableId="1545487021">
    <w:abstractNumId w:val="0"/>
  </w:num>
  <w:num w:numId="11" w16cid:durableId="619726581">
    <w:abstractNumId w:val="9"/>
  </w:num>
  <w:num w:numId="12" w16cid:durableId="52510354">
    <w:abstractNumId w:val="7"/>
  </w:num>
  <w:num w:numId="13" w16cid:durableId="1940064368">
    <w:abstractNumId w:val="6"/>
  </w:num>
  <w:num w:numId="14" w16cid:durableId="1474367756">
    <w:abstractNumId w:val="5"/>
  </w:num>
  <w:num w:numId="15" w16cid:durableId="1708217341">
    <w:abstractNumId w:val="4"/>
  </w:num>
  <w:num w:numId="16" w16cid:durableId="1390300894">
    <w:abstractNumId w:val="12"/>
  </w:num>
  <w:num w:numId="17" w16cid:durableId="930696309">
    <w:abstractNumId w:val="25"/>
  </w:num>
  <w:num w:numId="18" w16cid:durableId="1180041796">
    <w:abstractNumId w:val="17"/>
  </w:num>
  <w:num w:numId="19" w16cid:durableId="745996890">
    <w:abstractNumId w:val="12"/>
  </w:num>
  <w:num w:numId="20" w16cid:durableId="1082602150">
    <w:abstractNumId w:val="28"/>
  </w:num>
  <w:num w:numId="21" w16cid:durableId="1663703664">
    <w:abstractNumId w:val="26"/>
  </w:num>
  <w:num w:numId="22" w16cid:durableId="1912152036">
    <w:abstractNumId w:val="18"/>
  </w:num>
  <w:num w:numId="23" w16cid:durableId="209003207">
    <w:abstractNumId w:val="18"/>
  </w:num>
  <w:num w:numId="24" w16cid:durableId="857279707">
    <w:abstractNumId w:val="22"/>
  </w:num>
  <w:num w:numId="25" w16cid:durableId="64452733">
    <w:abstractNumId w:val="9"/>
  </w:num>
  <w:num w:numId="26" w16cid:durableId="341781691">
    <w:abstractNumId w:val="7"/>
  </w:num>
  <w:num w:numId="27" w16cid:durableId="827209190">
    <w:abstractNumId w:val="6"/>
  </w:num>
  <w:num w:numId="28" w16cid:durableId="2116169040">
    <w:abstractNumId w:val="5"/>
  </w:num>
  <w:num w:numId="29" w16cid:durableId="779225248">
    <w:abstractNumId w:val="4"/>
  </w:num>
  <w:num w:numId="30" w16cid:durableId="927349043">
    <w:abstractNumId w:val="8"/>
  </w:num>
  <w:num w:numId="31" w16cid:durableId="957761092">
    <w:abstractNumId w:val="3"/>
  </w:num>
  <w:num w:numId="32" w16cid:durableId="1500079032">
    <w:abstractNumId w:val="2"/>
  </w:num>
  <w:num w:numId="33" w16cid:durableId="1105463783">
    <w:abstractNumId w:val="1"/>
  </w:num>
  <w:num w:numId="34" w16cid:durableId="436370701">
    <w:abstractNumId w:val="0"/>
  </w:num>
  <w:num w:numId="35" w16cid:durableId="993022933">
    <w:abstractNumId w:val="16"/>
  </w:num>
  <w:num w:numId="36" w16cid:durableId="1334139674">
    <w:abstractNumId w:val="15"/>
  </w:num>
  <w:num w:numId="37" w16cid:durableId="722605926">
    <w:abstractNumId w:val="10"/>
  </w:num>
  <w:num w:numId="38" w16cid:durableId="1628780603">
    <w:abstractNumId w:val="21"/>
  </w:num>
  <w:num w:numId="39" w16cid:durableId="1906837054">
    <w:abstractNumId w:val="14"/>
  </w:num>
  <w:num w:numId="40" w16cid:durableId="727385122">
    <w:abstractNumId w:val="27"/>
  </w:num>
  <w:num w:numId="41" w16cid:durableId="1303073725">
    <w:abstractNumId w:val="20"/>
  </w:num>
  <w:num w:numId="42" w16cid:durableId="1050499909">
    <w:abstractNumId w:val="19"/>
  </w:num>
  <w:num w:numId="43" w16cid:durableId="699747748">
    <w:abstractNumId w:val="23"/>
  </w:num>
  <w:num w:numId="44" w16cid:durableId="1297639658">
    <w:abstractNumId w:val="13"/>
  </w:num>
  <w:num w:numId="45" w16cid:durableId="744451478">
    <w:abstractNumId w:val="24"/>
  </w:num>
  <w:num w:numId="46" w16cid:durableId="15810615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B50"/>
    <w:rsid w:val="00004304"/>
    <w:rsid w:val="00033EE1"/>
    <w:rsid w:val="00042B72"/>
    <w:rsid w:val="000558BD"/>
    <w:rsid w:val="000B57E7"/>
    <w:rsid w:val="000B6373"/>
    <w:rsid w:val="000E713F"/>
    <w:rsid w:val="000F09DF"/>
    <w:rsid w:val="000F61B2"/>
    <w:rsid w:val="001075E9"/>
    <w:rsid w:val="00112B50"/>
    <w:rsid w:val="00130699"/>
    <w:rsid w:val="00147975"/>
    <w:rsid w:val="00180183"/>
    <w:rsid w:val="0018024D"/>
    <w:rsid w:val="0018649F"/>
    <w:rsid w:val="00196389"/>
    <w:rsid w:val="001B3EF6"/>
    <w:rsid w:val="001C7A89"/>
    <w:rsid w:val="001E7EB0"/>
    <w:rsid w:val="00217D36"/>
    <w:rsid w:val="002730E1"/>
    <w:rsid w:val="002A2EFC"/>
    <w:rsid w:val="002C0E18"/>
    <w:rsid w:val="002D5AAC"/>
    <w:rsid w:val="002F405F"/>
    <w:rsid w:val="00301299"/>
    <w:rsid w:val="00303902"/>
    <w:rsid w:val="003067C5"/>
    <w:rsid w:val="00307FB6"/>
    <w:rsid w:val="00317339"/>
    <w:rsid w:val="00322004"/>
    <w:rsid w:val="00330530"/>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775E9"/>
    <w:rsid w:val="005961C8"/>
    <w:rsid w:val="005D7914"/>
    <w:rsid w:val="005F0B42"/>
    <w:rsid w:val="00681A10"/>
    <w:rsid w:val="006C2031"/>
    <w:rsid w:val="006D461A"/>
    <w:rsid w:val="006E282F"/>
    <w:rsid w:val="006E7495"/>
    <w:rsid w:val="006F35EE"/>
    <w:rsid w:val="007021FF"/>
    <w:rsid w:val="00712895"/>
    <w:rsid w:val="00740428"/>
    <w:rsid w:val="00757357"/>
    <w:rsid w:val="007B58E8"/>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63FD5"/>
    <w:rsid w:val="00A84021"/>
    <w:rsid w:val="00A917B3"/>
    <w:rsid w:val="00AB4B51"/>
    <w:rsid w:val="00AC611E"/>
    <w:rsid w:val="00B10CC7"/>
    <w:rsid w:val="00B4174A"/>
    <w:rsid w:val="00B539E7"/>
    <w:rsid w:val="00B62458"/>
    <w:rsid w:val="00BA6575"/>
    <w:rsid w:val="00BC6C8F"/>
    <w:rsid w:val="00BD33EE"/>
    <w:rsid w:val="00C106D6"/>
    <w:rsid w:val="00C60F0C"/>
    <w:rsid w:val="00C71514"/>
    <w:rsid w:val="00C805C9"/>
    <w:rsid w:val="00C819B9"/>
    <w:rsid w:val="00C92939"/>
    <w:rsid w:val="00CA1679"/>
    <w:rsid w:val="00CB151C"/>
    <w:rsid w:val="00CE14A5"/>
    <w:rsid w:val="00CE5A1A"/>
    <w:rsid w:val="00CF55F6"/>
    <w:rsid w:val="00D32090"/>
    <w:rsid w:val="00D33D63"/>
    <w:rsid w:val="00D8412A"/>
    <w:rsid w:val="00D90138"/>
    <w:rsid w:val="00DE4223"/>
    <w:rsid w:val="00E3703E"/>
    <w:rsid w:val="00E73F76"/>
    <w:rsid w:val="00E876C3"/>
    <w:rsid w:val="00EA2C9F"/>
    <w:rsid w:val="00ED0BDA"/>
    <w:rsid w:val="00EE7EDE"/>
    <w:rsid w:val="00EF1360"/>
    <w:rsid w:val="00EF3220"/>
    <w:rsid w:val="00F03E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B9674"/>
  <w15:docId w15:val="{64668D76-F855-4C8A-9FEC-190EEDE50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C71514"/>
    <w:rPr>
      <w:rFonts w:cs="Arial"/>
      <w:bCs/>
      <w:iCs/>
      <w:szCs w:val="28"/>
      <w:lang w:val="es-ES" w:eastAsia="es-ES"/>
    </w:rPr>
  </w:style>
  <w:style w:type="character" w:customStyle="1" w:styleId="Ttulo3Car">
    <w:name w:val="Título 3 Car"/>
    <w:basedOn w:val="Fuentedeprrafopredeter"/>
    <w:link w:val="Ttulo3"/>
    <w:semiHidden/>
    <w:rsid w:val="00C71514"/>
    <w:rPr>
      <w:rFonts w:ascii="Arial" w:hAnsi="Arial" w:cs="Arial"/>
      <w:b/>
      <w:bCs/>
      <w:sz w:val="26"/>
      <w:szCs w:val="26"/>
      <w:lang w:val="es-ES" w:eastAsia="es-ES"/>
    </w:rPr>
  </w:style>
  <w:style w:type="character" w:customStyle="1" w:styleId="Ttulo4Car">
    <w:name w:val="Título 4 Car"/>
    <w:basedOn w:val="Fuentedeprrafopredeter"/>
    <w:link w:val="Ttulo4"/>
    <w:semiHidden/>
    <w:rsid w:val="00C71514"/>
    <w:rPr>
      <w:b/>
      <w:bCs/>
      <w:sz w:val="28"/>
      <w:szCs w:val="28"/>
      <w:lang w:val="es-ES" w:eastAsia="es-ES"/>
    </w:rPr>
  </w:style>
  <w:style w:type="character" w:customStyle="1" w:styleId="Ttulo5Car">
    <w:name w:val="Título 5 Car"/>
    <w:basedOn w:val="Fuentedeprrafopredeter"/>
    <w:link w:val="Ttulo5"/>
    <w:semiHidden/>
    <w:rsid w:val="00C71514"/>
    <w:rPr>
      <w:b/>
      <w:bCs/>
      <w:i/>
      <w:iCs/>
      <w:sz w:val="26"/>
      <w:szCs w:val="26"/>
      <w:lang w:val="es-ES" w:eastAsia="es-ES"/>
    </w:rPr>
  </w:style>
  <w:style w:type="character" w:customStyle="1" w:styleId="Ttulo6Car">
    <w:name w:val="Título 6 Car"/>
    <w:basedOn w:val="Fuentedeprrafopredeter"/>
    <w:link w:val="Ttulo6"/>
    <w:semiHidden/>
    <w:rsid w:val="00C71514"/>
    <w:rPr>
      <w:b/>
      <w:bCs/>
      <w:sz w:val="22"/>
      <w:szCs w:val="22"/>
      <w:lang w:val="es-ES" w:eastAsia="es-ES"/>
    </w:rPr>
  </w:style>
  <w:style w:type="character" w:customStyle="1" w:styleId="Ttulo7Car">
    <w:name w:val="Título 7 Car"/>
    <w:basedOn w:val="Fuentedeprrafopredeter"/>
    <w:link w:val="Ttulo7"/>
    <w:semiHidden/>
    <w:rsid w:val="00C71514"/>
    <w:rPr>
      <w:sz w:val="24"/>
      <w:szCs w:val="24"/>
      <w:lang w:val="es-ES" w:eastAsia="es-ES"/>
    </w:rPr>
  </w:style>
  <w:style w:type="character" w:customStyle="1" w:styleId="Ttulo8Car">
    <w:name w:val="Título 8 Car"/>
    <w:basedOn w:val="Fuentedeprrafopredeter"/>
    <w:link w:val="Ttulo8"/>
    <w:semiHidden/>
    <w:rsid w:val="00C71514"/>
    <w:rPr>
      <w:i/>
      <w:iCs/>
      <w:sz w:val="24"/>
      <w:szCs w:val="24"/>
      <w:lang w:val="es-ES" w:eastAsia="es-ES"/>
    </w:rPr>
  </w:style>
  <w:style w:type="character" w:customStyle="1" w:styleId="Ttulo9Car">
    <w:name w:val="Título 9 Car"/>
    <w:basedOn w:val="Fuentedeprrafopredeter"/>
    <w:link w:val="Ttulo9"/>
    <w:semiHidden/>
    <w:rsid w:val="00C71514"/>
    <w:rPr>
      <w:rFonts w:ascii="Arial" w:hAnsi="Arial" w:cs="Arial"/>
      <w:sz w:val="22"/>
      <w:szCs w:val="22"/>
      <w:lang w:val="es-ES" w:eastAsia="es-ES"/>
    </w:rPr>
  </w:style>
  <w:style w:type="character" w:styleId="Ttulodellibro">
    <w:name w:val="Book Title"/>
    <w:basedOn w:val="Fuentedeprrafopredeter"/>
    <w:uiPriority w:val="33"/>
    <w:semiHidden/>
    <w:rsid w:val="00C71514"/>
    <w:rPr>
      <w:b/>
      <w:bCs/>
      <w:smallCaps/>
      <w:spacing w:val="5"/>
    </w:rPr>
  </w:style>
  <w:style w:type="paragraph" w:styleId="Prrafodelista">
    <w:name w:val="List Paragraph"/>
    <w:basedOn w:val="Normal"/>
    <w:uiPriority w:val="34"/>
    <w:rsid w:val="00C71514"/>
    <w:pPr>
      <w:suppressAutoHyphens/>
      <w:ind w:left="720"/>
      <w:contextualSpacing/>
    </w:pPr>
    <w:rPr>
      <w:lang w:val="en-GB" w:eastAsia="en-US"/>
    </w:rPr>
  </w:style>
  <w:style w:type="character" w:styleId="Refdecomentario">
    <w:name w:val="annotation reference"/>
    <w:basedOn w:val="Fuentedeprrafopredeter"/>
    <w:uiPriority w:val="99"/>
    <w:semiHidden/>
    <w:unhideWhenUsed/>
    <w:rsid w:val="00C71514"/>
    <w:rPr>
      <w:sz w:val="16"/>
      <w:szCs w:val="16"/>
    </w:rPr>
  </w:style>
  <w:style w:type="paragraph" w:styleId="Textocomentario">
    <w:name w:val="annotation text"/>
    <w:basedOn w:val="Normal"/>
    <w:link w:val="TextocomentarioCar"/>
    <w:uiPriority w:val="99"/>
    <w:semiHidden/>
    <w:unhideWhenUsed/>
    <w:rsid w:val="00C7151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71514"/>
    <w:rPr>
      <w:lang w:val="en-GB" w:eastAsia="en-US"/>
    </w:rPr>
  </w:style>
  <w:style w:type="paragraph" w:styleId="Asuntodelcomentario">
    <w:name w:val="annotation subject"/>
    <w:basedOn w:val="Textocomentario"/>
    <w:next w:val="Textocomentario"/>
    <w:link w:val="AsuntodelcomentarioCar"/>
    <w:uiPriority w:val="99"/>
    <w:semiHidden/>
    <w:unhideWhenUsed/>
    <w:rsid w:val="00C71514"/>
    <w:rPr>
      <w:b/>
      <w:bCs/>
    </w:rPr>
  </w:style>
  <w:style w:type="character" w:customStyle="1" w:styleId="AsuntodelcomentarioCar">
    <w:name w:val="Asunto del comentario Car"/>
    <w:basedOn w:val="TextocomentarioCar"/>
    <w:link w:val="Asuntodelcomentario"/>
    <w:uiPriority w:val="99"/>
    <w:semiHidden/>
    <w:rsid w:val="00C7151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92DB7-B5F6-423C-90DF-2B3A304B8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31</Pages>
  <Words>17158</Words>
  <Characters>92098</Characters>
  <Application>Microsoft Office Word</Application>
  <DocSecurity>0</DocSecurity>
  <Lines>1676</Lines>
  <Paragraphs>381</Paragraphs>
  <ScaleCrop>false</ScaleCrop>
  <HeadingPairs>
    <vt:vector size="2" baseType="variant">
      <vt:variant>
        <vt:lpstr>Título</vt:lpstr>
      </vt:variant>
      <vt:variant>
        <vt:i4>1</vt:i4>
      </vt:variant>
    </vt:vector>
  </HeadingPairs>
  <TitlesOfParts>
    <vt:vector size="1" baseType="lpstr">
      <vt:lpstr>CAT/C/AUS/FCO/6</vt:lpstr>
    </vt:vector>
  </TitlesOfParts>
  <Company/>
  <LinksUpToDate>false</LinksUpToDate>
  <CharactersWithSpaces>108961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CAT/C/AUS/FCO/6</dc:title>
  <dc:subject/>
  <dc:creator>Juan-Carlos KOROL</dc:creator>
  <cp:keywords/>
  <cp:lastModifiedBy>Juan Korol</cp:lastModifiedBy>
  <cp:revision>3</cp:revision>
  <cp:lastPrinted>2024-07-04T12:12:00Z</cp:lastPrinted>
  <dcterms:created xsi:type="dcterms:W3CDTF">2024-07-04T12:12:00Z</dcterms:created>
  <dcterms:modified xsi:type="dcterms:W3CDTF">2024-07-04T12:13:00Z</dcterms:modified>
</cp:coreProperties>
</file>