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4A5CCC86" w14:textId="77777777" w:rsidTr="00DC68EC">
        <w:trPr>
          <w:trHeight w:hRule="exact" w:val="851"/>
        </w:trPr>
        <w:tc>
          <w:tcPr>
            <w:tcW w:w="1280" w:type="dxa"/>
            <w:tcBorders>
              <w:bottom w:val="single" w:sz="4" w:space="0" w:color="auto"/>
            </w:tcBorders>
          </w:tcPr>
          <w:p w14:paraId="23448BDC" w14:textId="77777777" w:rsidR="00164236" w:rsidRPr="00F124C6" w:rsidRDefault="00164236" w:rsidP="00DC68EC">
            <w:pPr>
              <w:pStyle w:val="H23GC"/>
            </w:pPr>
          </w:p>
        </w:tc>
        <w:tc>
          <w:tcPr>
            <w:tcW w:w="2273" w:type="dxa"/>
            <w:tcBorders>
              <w:bottom w:val="single" w:sz="4" w:space="0" w:color="auto"/>
            </w:tcBorders>
            <w:vAlign w:val="bottom"/>
          </w:tcPr>
          <w:p w14:paraId="17B62AB3"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290DC36" w14:textId="77777777" w:rsidR="00164236" w:rsidRPr="00AD0014" w:rsidRDefault="00AD0014" w:rsidP="00DC68EC">
            <w:pPr>
              <w:spacing w:line="240" w:lineRule="atLeast"/>
              <w:jc w:val="right"/>
              <w:rPr>
                <w:sz w:val="20"/>
                <w:szCs w:val="21"/>
              </w:rPr>
            </w:pPr>
            <w:r w:rsidRPr="00AD0014">
              <w:rPr>
                <w:sz w:val="40"/>
                <w:szCs w:val="21"/>
              </w:rPr>
              <w:t>HRI</w:t>
            </w:r>
            <w:r>
              <w:rPr>
                <w:sz w:val="20"/>
                <w:szCs w:val="21"/>
              </w:rPr>
              <w:t>/CORE/SWE/2024</w:t>
            </w:r>
          </w:p>
        </w:tc>
      </w:tr>
      <w:tr w:rsidR="00164236" w:rsidRPr="00F124C6" w14:paraId="4484E3A3" w14:textId="77777777" w:rsidTr="00DC68EC">
        <w:trPr>
          <w:trHeight w:hRule="exact" w:val="2835"/>
        </w:trPr>
        <w:tc>
          <w:tcPr>
            <w:tcW w:w="1280" w:type="dxa"/>
            <w:tcBorders>
              <w:top w:val="single" w:sz="4" w:space="0" w:color="auto"/>
              <w:bottom w:val="single" w:sz="12" w:space="0" w:color="auto"/>
            </w:tcBorders>
          </w:tcPr>
          <w:p w14:paraId="651F0067" w14:textId="77777777" w:rsidR="00164236" w:rsidRPr="00F124C6" w:rsidRDefault="00164236" w:rsidP="00DC68EC">
            <w:pPr>
              <w:spacing w:line="120" w:lineRule="atLeast"/>
              <w:rPr>
                <w:sz w:val="10"/>
                <w:szCs w:val="10"/>
              </w:rPr>
            </w:pPr>
          </w:p>
          <w:p w14:paraId="715F5372"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4B82BE43" wp14:editId="71C9E1C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11290F"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3A610CFA"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383B9548" w14:textId="6B60F710" w:rsidR="00164236" w:rsidRPr="00F124C6" w:rsidRDefault="00A45C48" w:rsidP="00DC68EC">
            <w:pPr>
              <w:spacing w:line="240" w:lineRule="atLeast"/>
              <w:rPr>
                <w:sz w:val="20"/>
              </w:rPr>
            </w:pPr>
            <w:r>
              <w:rPr>
                <w:sz w:val="20"/>
              </w:rPr>
              <w:t xml:space="preserve">13 </w:t>
            </w:r>
            <w:r w:rsidRPr="00A45C48">
              <w:rPr>
                <w:sz w:val="20"/>
              </w:rPr>
              <w:t>August</w:t>
            </w:r>
            <w:r w:rsidR="0013023B">
              <w:rPr>
                <w:sz w:val="20"/>
              </w:rPr>
              <w:t xml:space="preserve"> 20</w:t>
            </w:r>
            <w:r w:rsidR="00821D87">
              <w:rPr>
                <w:sz w:val="20"/>
              </w:rPr>
              <w:t>2</w:t>
            </w:r>
            <w:r w:rsidR="00853DE4">
              <w:rPr>
                <w:sz w:val="20"/>
              </w:rPr>
              <w:t>4</w:t>
            </w:r>
          </w:p>
          <w:p w14:paraId="60DAC96A" w14:textId="77777777" w:rsidR="00164236" w:rsidRPr="00F124C6" w:rsidRDefault="00164236" w:rsidP="00DC68EC">
            <w:pPr>
              <w:spacing w:line="240" w:lineRule="atLeast"/>
              <w:rPr>
                <w:sz w:val="20"/>
              </w:rPr>
            </w:pPr>
            <w:r w:rsidRPr="00F124C6">
              <w:rPr>
                <w:sz w:val="20"/>
              </w:rPr>
              <w:t xml:space="preserve">Chinese </w:t>
            </w:r>
          </w:p>
          <w:p w14:paraId="446DD4AE" w14:textId="77777777" w:rsidR="00164236" w:rsidRPr="00F124C6" w:rsidRDefault="00164236" w:rsidP="00DC68EC">
            <w:pPr>
              <w:spacing w:line="240" w:lineRule="atLeast"/>
            </w:pPr>
            <w:r w:rsidRPr="00F124C6">
              <w:rPr>
                <w:sz w:val="20"/>
              </w:rPr>
              <w:t>Original: English</w:t>
            </w:r>
          </w:p>
        </w:tc>
      </w:tr>
    </w:tbl>
    <w:p w14:paraId="391DC88B" w14:textId="54F337D9" w:rsidR="00164236" w:rsidRDefault="00164236" w:rsidP="00164236">
      <w:pPr>
        <w:pStyle w:val="HMGC"/>
      </w:pPr>
      <w:r>
        <w:tab/>
      </w:r>
      <w:r>
        <w:tab/>
      </w:r>
      <w:r w:rsidR="00A45C48" w:rsidRPr="00A45C48">
        <w:rPr>
          <w:rFonts w:hint="eastAsia"/>
        </w:rPr>
        <w:t>作为缔约国报告组成部分的共同核心文件</w:t>
      </w:r>
    </w:p>
    <w:p w14:paraId="46A35EA7" w14:textId="7FC67576" w:rsidR="00164236" w:rsidRPr="00164236" w:rsidRDefault="00164236" w:rsidP="00164236">
      <w:pPr>
        <w:pStyle w:val="HMGC"/>
      </w:pPr>
      <w:r>
        <w:tab/>
      </w:r>
      <w:r>
        <w:tab/>
      </w:r>
      <w:r w:rsidR="00A45C48" w:rsidRPr="00A45C48">
        <w:rPr>
          <w:rFonts w:hint="eastAsia"/>
        </w:rPr>
        <w:t>瑞典</w:t>
      </w:r>
      <w:r w:rsidRPr="00A45C48">
        <w:footnoteReference w:customMarkFollows="1" w:id="2"/>
        <w:t>*</w:t>
      </w:r>
      <w:r w:rsidR="00A45C48">
        <w:t xml:space="preserve"> </w:t>
      </w:r>
      <w:r w:rsidR="00A45C48" w:rsidRPr="00A45C48">
        <w:footnoteReference w:customMarkFollows="1" w:id="3"/>
        <w:t>**</w:t>
      </w:r>
    </w:p>
    <w:p w14:paraId="04730490" w14:textId="6996D2AF" w:rsidR="00B02D5E" w:rsidRDefault="00164236" w:rsidP="00164236">
      <w:pPr>
        <w:wordWrap w:val="0"/>
        <w:jc w:val="right"/>
      </w:pPr>
      <w:r>
        <w:rPr>
          <w:rFonts w:hint="eastAsia"/>
        </w:rPr>
        <w:t>［</w:t>
      </w:r>
      <w:r w:rsidR="00A45C48" w:rsidRPr="00A45C48">
        <w:rPr>
          <w:rFonts w:hint="eastAsia"/>
        </w:rPr>
        <w:t>收到日期：</w:t>
      </w:r>
      <w:r w:rsidR="00A45C48" w:rsidRPr="00A45C48">
        <w:rPr>
          <w:rFonts w:hint="eastAsia"/>
        </w:rPr>
        <w:t>2024</w:t>
      </w:r>
      <w:r w:rsidR="00A45C48" w:rsidRPr="00A45C48">
        <w:rPr>
          <w:rFonts w:hint="eastAsia"/>
        </w:rPr>
        <w:t>年</w:t>
      </w:r>
      <w:r w:rsidR="00A45C48" w:rsidRPr="00A45C48">
        <w:rPr>
          <w:rFonts w:hint="eastAsia"/>
        </w:rPr>
        <w:t>7</w:t>
      </w:r>
      <w:r w:rsidR="00A45C48" w:rsidRPr="00A45C48">
        <w:rPr>
          <w:rFonts w:hint="eastAsia"/>
        </w:rPr>
        <w:t>月</w:t>
      </w:r>
      <w:r w:rsidR="00A45C48" w:rsidRPr="00A45C48">
        <w:rPr>
          <w:rFonts w:hint="eastAsia"/>
        </w:rPr>
        <w:t>4</w:t>
      </w:r>
      <w:r w:rsidR="00A45C48" w:rsidRPr="00A45C48">
        <w:rPr>
          <w:rFonts w:hint="eastAsia"/>
        </w:rPr>
        <w:t>日</w:t>
      </w:r>
      <w:r>
        <w:rPr>
          <w:rFonts w:hint="eastAsia"/>
        </w:rPr>
        <w:t>］</w:t>
      </w:r>
    </w:p>
    <w:p w14:paraId="5A1D7EC1" w14:textId="77777777" w:rsidR="00B02D5E" w:rsidRDefault="00B02D5E">
      <w:pPr>
        <w:tabs>
          <w:tab w:val="clear" w:pos="431"/>
        </w:tabs>
        <w:overflowPunct/>
        <w:adjustRightInd/>
        <w:snapToGrid/>
        <w:spacing w:line="240" w:lineRule="auto"/>
        <w:jc w:val="left"/>
      </w:pPr>
      <w:r>
        <w:br w:type="page"/>
      </w:r>
    </w:p>
    <w:p w14:paraId="7C0BF191" w14:textId="77777777" w:rsidR="00B02D5E" w:rsidRDefault="00B02D5E" w:rsidP="00B02D5E">
      <w:pPr>
        <w:pStyle w:val="SingleTxtGC"/>
      </w:pPr>
      <w:r>
        <w:rPr>
          <w:rFonts w:hint="eastAsia"/>
        </w:rPr>
        <w:lastRenderedPageBreak/>
        <w:t>1.</w:t>
      </w:r>
      <w:r>
        <w:rPr>
          <w:rFonts w:hint="eastAsia"/>
        </w:rPr>
        <w:tab/>
      </w:r>
      <w:proofErr w:type="gramStart"/>
      <w:r>
        <w:rPr>
          <w:rFonts w:hint="eastAsia"/>
        </w:rPr>
        <w:t>本共同</w:t>
      </w:r>
      <w:proofErr w:type="gramEnd"/>
      <w:r>
        <w:rPr>
          <w:rFonts w:hint="eastAsia"/>
        </w:rPr>
        <w:t>核心文件旨在协助各条约机构了解瑞典的情况。本文件载有瑞典作为缔约国履行各项条约的一般资料和具体资料，可能与全部或部分条约机构相关。</w:t>
      </w:r>
    </w:p>
    <w:p w14:paraId="713F303C" w14:textId="77777777" w:rsidR="00B02D5E" w:rsidRDefault="00B02D5E" w:rsidP="00E71E87">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一般资料</w:t>
      </w:r>
    </w:p>
    <w:p w14:paraId="202A6D41" w14:textId="77777777" w:rsidR="00B02D5E" w:rsidRDefault="00B02D5E" w:rsidP="00E71E87">
      <w:pPr>
        <w:pStyle w:val="H1GC"/>
      </w:pPr>
      <w:r>
        <w:rPr>
          <w:rFonts w:hint="eastAsia"/>
        </w:rPr>
        <w:tab/>
        <w:t>A.</w:t>
      </w:r>
      <w:r>
        <w:rPr>
          <w:rFonts w:hint="eastAsia"/>
        </w:rPr>
        <w:tab/>
      </w:r>
      <w:r>
        <w:rPr>
          <w:rFonts w:hint="eastAsia"/>
        </w:rPr>
        <w:t>人口、经济、社会和文化特征</w:t>
      </w:r>
    </w:p>
    <w:p w14:paraId="16AE090B" w14:textId="77777777" w:rsidR="00B02D5E" w:rsidRDefault="00B02D5E" w:rsidP="00B02D5E">
      <w:pPr>
        <w:pStyle w:val="SingleTxtGC"/>
      </w:pPr>
      <w:r>
        <w:rPr>
          <w:rFonts w:hint="eastAsia"/>
        </w:rPr>
        <w:t>2.</w:t>
      </w:r>
      <w:r>
        <w:rPr>
          <w:rFonts w:hint="eastAsia"/>
        </w:rPr>
        <w:tab/>
      </w:r>
      <w:r>
        <w:rPr>
          <w:rFonts w:hint="eastAsia"/>
        </w:rPr>
        <w:t>第一部在瑞典全国范围内有效的国家宪法是在</w:t>
      </w:r>
      <w:r>
        <w:rPr>
          <w:rFonts w:hint="eastAsia"/>
        </w:rPr>
        <w:t>1350</w:t>
      </w:r>
      <w:r>
        <w:rPr>
          <w:rFonts w:hint="eastAsia"/>
        </w:rPr>
        <w:t>年左右制定的。瑞典的议会制在</w:t>
      </w:r>
      <w:r>
        <w:rPr>
          <w:rFonts w:hint="eastAsia"/>
        </w:rPr>
        <w:t>19</w:t>
      </w:r>
      <w:r>
        <w:rPr>
          <w:rFonts w:hint="eastAsia"/>
        </w:rPr>
        <w:t>世纪开始演变，政治权力开始从君主向议会转移。</w:t>
      </w:r>
      <w:r>
        <w:rPr>
          <w:rFonts w:hint="eastAsia"/>
        </w:rPr>
        <w:t>1909</w:t>
      </w:r>
      <w:r>
        <w:rPr>
          <w:rFonts w:hint="eastAsia"/>
        </w:rPr>
        <w:t>年开始实行男性普选，</w:t>
      </w:r>
      <w:r>
        <w:rPr>
          <w:rFonts w:hint="eastAsia"/>
        </w:rPr>
        <w:t>1921</w:t>
      </w:r>
      <w:r>
        <w:rPr>
          <w:rFonts w:hint="eastAsia"/>
        </w:rPr>
        <w:t>年开始实行女性普选。</w:t>
      </w:r>
    </w:p>
    <w:p w14:paraId="2D9DA7D7" w14:textId="77777777" w:rsidR="00B02D5E" w:rsidRDefault="00B02D5E" w:rsidP="00B02D5E">
      <w:pPr>
        <w:pStyle w:val="SingleTxtGC"/>
      </w:pPr>
      <w:r>
        <w:rPr>
          <w:rFonts w:hint="eastAsia"/>
        </w:rPr>
        <w:t>3.</w:t>
      </w:r>
      <w:r>
        <w:rPr>
          <w:rFonts w:hint="eastAsia"/>
        </w:rPr>
        <w:tab/>
        <w:t>1809</w:t>
      </w:r>
      <w:r>
        <w:rPr>
          <w:rFonts w:hint="eastAsia"/>
        </w:rPr>
        <w:t>年《政府法典》规定了国家行政机关和立法机关之间政治权力分离的原则。如今，基本权利和自由受</w:t>
      </w:r>
      <w:r>
        <w:rPr>
          <w:rFonts w:hint="eastAsia"/>
        </w:rPr>
        <w:t>1974</w:t>
      </w:r>
      <w:r>
        <w:rPr>
          <w:rFonts w:hint="eastAsia"/>
        </w:rPr>
        <w:t>年《政府法典》保护，该法典是瑞典的四部基本法之一，这四部法律通常统称为《宪法》。瑞典没有单独的权利法案，而是由《政府法典》保护公民、政治、社会、经济和文化权利。新闻自由和其他媒体上的表达自由受《新闻自由法》和《表达自由基本法》这两部单行基本法的保护。第四部基本法是《继承法》。《议会法》的地位介于基本法与一般法之间。《议会法》规定了议会的工作程序。</w:t>
      </w:r>
      <w:r>
        <w:rPr>
          <w:rFonts w:hint="eastAsia"/>
        </w:rPr>
        <w:t>1974</w:t>
      </w:r>
      <w:r>
        <w:rPr>
          <w:rFonts w:hint="eastAsia"/>
        </w:rPr>
        <w:t>年之前，《议会法》一直都属于基本法，但如上所述，现在它介于基本法与一般法之间。</w:t>
      </w:r>
    </w:p>
    <w:p w14:paraId="143CA977" w14:textId="77777777" w:rsidR="00B02D5E" w:rsidRDefault="00B02D5E" w:rsidP="00E71E87">
      <w:pPr>
        <w:pStyle w:val="H1GC"/>
      </w:pPr>
      <w:r>
        <w:rPr>
          <w:rFonts w:hint="eastAsia"/>
        </w:rPr>
        <w:tab/>
      </w:r>
      <w:r>
        <w:rPr>
          <w:rFonts w:hint="eastAsia"/>
        </w:rPr>
        <w:tab/>
      </w:r>
      <w:r>
        <w:rPr>
          <w:rFonts w:hint="eastAsia"/>
        </w:rPr>
        <w:t>人口</w:t>
      </w:r>
    </w:p>
    <w:p w14:paraId="763E0335" w14:textId="77777777" w:rsidR="00B02D5E" w:rsidRDefault="00B02D5E" w:rsidP="00B02D5E">
      <w:pPr>
        <w:pStyle w:val="SingleTxtGC"/>
      </w:pPr>
      <w:r>
        <w:rPr>
          <w:rFonts w:hint="eastAsia"/>
        </w:rPr>
        <w:t>4.</w:t>
      </w:r>
      <w:r>
        <w:rPr>
          <w:rFonts w:hint="eastAsia"/>
        </w:rPr>
        <w:tab/>
        <w:t>2023</w:t>
      </w:r>
      <w:r>
        <w:rPr>
          <w:rFonts w:hint="eastAsia"/>
        </w:rPr>
        <w:t>年，瑞典人口新增</w:t>
      </w:r>
      <w:r>
        <w:rPr>
          <w:rFonts w:hint="eastAsia"/>
        </w:rPr>
        <w:t>30,151</w:t>
      </w:r>
      <w:r>
        <w:rPr>
          <w:rFonts w:hint="eastAsia"/>
        </w:rPr>
        <w:t>人，总人口达</w:t>
      </w:r>
      <w:r>
        <w:rPr>
          <w:rFonts w:hint="eastAsia"/>
        </w:rPr>
        <w:t>10,551,707</w:t>
      </w:r>
      <w:r>
        <w:rPr>
          <w:rFonts w:hint="eastAsia"/>
        </w:rPr>
        <w:t>人，这是自</w:t>
      </w:r>
      <w:r>
        <w:rPr>
          <w:rFonts w:hint="eastAsia"/>
        </w:rPr>
        <w:t>2001</w:t>
      </w:r>
      <w:r>
        <w:rPr>
          <w:rFonts w:hint="eastAsia"/>
        </w:rPr>
        <w:t>年以来人口增长最少的一年。移民人数相较</w:t>
      </w:r>
      <w:r>
        <w:rPr>
          <w:rFonts w:hint="eastAsia"/>
        </w:rPr>
        <w:t>2022</w:t>
      </w:r>
      <w:r>
        <w:rPr>
          <w:rFonts w:hint="eastAsia"/>
        </w:rPr>
        <w:t>年有所减少，共有</w:t>
      </w:r>
      <w:r>
        <w:rPr>
          <w:rFonts w:hint="eastAsia"/>
        </w:rPr>
        <w:t>94,514</w:t>
      </w:r>
      <w:r>
        <w:rPr>
          <w:rFonts w:hint="eastAsia"/>
        </w:rPr>
        <w:t>名新移民来到瑞典。与</w:t>
      </w:r>
      <w:r>
        <w:rPr>
          <w:rFonts w:hint="eastAsia"/>
        </w:rPr>
        <w:t>2022</w:t>
      </w:r>
      <w:r>
        <w:rPr>
          <w:rFonts w:hint="eastAsia"/>
        </w:rPr>
        <w:t>年相比，</w:t>
      </w:r>
      <w:r>
        <w:rPr>
          <w:rFonts w:hint="eastAsia"/>
        </w:rPr>
        <w:t>2023</w:t>
      </w:r>
      <w:r>
        <w:rPr>
          <w:rFonts w:hint="eastAsia"/>
        </w:rPr>
        <w:t>年移居国外的人数增加至</w:t>
      </w:r>
      <w:r>
        <w:rPr>
          <w:rFonts w:hint="eastAsia"/>
        </w:rPr>
        <w:t>73,434</w:t>
      </w:r>
      <w:r>
        <w:rPr>
          <w:rFonts w:hint="eastAsia"/>
        </w:rPr>
        <w:t>人。</w:t>
      </w:r>
    </w:p>
    <w:p w14:paraId="440E054F" w14:textId="77777777" w:rsidR="00B02D5E" w:rsidRDefault="00B02D5E" w:rsidP="00B02D5E">
      <w:pPr>
        <w:pStyle w:val="SingleTxtGC"/>
      </w:pPr>
      <w:r>
        <w:rPr>
          <w:rFonts w:hint="eastAsia"/>
        </w:rPr>
        <w:t>5.</w:t>
      </w:r>
      <w:r>
        <w:rPr>
          <w:rFonts w:hint="eastAsia"/>
        </w:rPr>
        <w:tab/>
        <w:t>2023</w:t>
      </w:r>
      <w:r>
        <w:rPr>
          <w:rFonts w:hint="eastAsia"/>
        </w:rPr>
        <w:t>年共有</w:t>
      </w:r>
      <w:r>
        <w:rPr>
          <w:rFonts w:hint="eastAsia"/>
        </w:rPr>
        <w:t>94,385</w:t>
      </w:r>
      <w:r>
        <w:rPr>
          <w:rFonts w:hint="eastAsia"/>
        </w:rPr>
        <w:t>人死亡。</w:t>
      </w:r>
      <w:r>
        <w:rPr>
          <w:rFonts w:hint="eastAsia"/>
        </w:rPr>
        <w:t>89%</w:t>
      </w:r>
      <w:r>
        <w:rPr>
          <w:rFonts w:hint="eastAsia"/>
        </w:rPr>
        <w:t>的死者年龄在</w:t>
      </w:r>
      <w:r>
        <w:rPr>
          <w:rFonts w:hint="eastAsia"/>
        </w:rPr>
        <w:t>65</w:t>
      </w:r>
      <w:r>
        <w:rPr>
          <w:rFonts w:hint="eastAsia"/>
        </w:rPr>
        <w:t>岁以上。死亡人数较</w:t>
      </w:r>
      <w:r>
        <w:rPr>
          <w:rFonts w:hint="eastAsia"/>
        </w:rPr>
        <w:t>2022</w:t>
      </w:r>
      <w:r>
        <w:rPr>
          <w:rFonts w:hint="eastAsia"/>
        </w:rPr>
        <w:t>年减少了</w:t>
      </w:r>
      <w:r>
        <w:rPr>
          <w:rFonts w:hint="eastAsia"/>
        </w:rPr>
        <w:t>352</w:t>
      </w:r>
      <w:r>
        <w:rPr>
          <w:rFonts w:hint="eastAsia"/>
        </w:rPr>
        <w:t>人。</w:t>
      </w:r>
    </w:p>
    <w:p w14:paraId="68EE87AE" w14:textId="77777777" w:rsidR="00B02D5E" w:rsidRDefault="00B02D5E" w:rsidP="00B02D5E">
      <w:pPr>
        <w:pStyle w:val="SingleTxtGC"/>
      </w:pPr>
      <w:r>
        <w:rPr>
          <w:rFonts w:hint="eastAsia"/>
        </w:rPr>
        <w:t>6.</w:t>
      </w:r>
      <w:r>
        <w:rPr>
          <w:rFonts w:hint="eastAsia"/>
        </w:rPr>
        <w:tab/>
        <w:t>2023</w:t>
      </w:r>
      <w:r>
        <w:rPr>
          <w:rFonts w:hint="eastAsia"/>
        </w:rPr>
        <w:t>年共有</w:t>
      </w:r>
      <w:r>
        <w:rPr>
          <w:rFonts w:hint="eastAsia"/>
        </w:rPr>
        <w:t>100,051</w:t>
      </w:r>
      <w:r>
        <w:rPr>
          <w:rFonts w:hint="eastAsia"/>
        </w:rPr>
        <w:t>名婴儿出生。新生儿中</w:t>
      </w:r>
      <w:r>
        <w:rPr>
          <w:rFonts w:hint="eastAsia"/>
        </w:rPr>
        <w:t>51.2%</w:t>
      </w:r>
      <w:r>
        <w:rPr>
          <w:rFonts w:hint="eastAsia"/>
        </w:rPr>
        <w:t>为男婴，</w:t>
      </w:r>
      <w:r>
        <w:rPr>
          <w:rFonts w:hint="eastAsia"/>
        </w:rPr>
        <w:t>48.8%</w:t>
      </w:r>
      <w:r>
        <w:rPr>
          <w:rFonts w:hint="eastAsia"/>
        </w:rPr>
        <w:t>为女婴。</w:t>
      </w:r>
    </w:p>
    <w:p w14:paraId="21D81234" w14:textId="77777777" w:rsidR="00B02D5E" w:rsidRDefault="00B02D5E" w:rsidP="00B02D5E">
      <w:pPr>
        <w:pStyle w:val="SingleTxtGC"/>
      </w:pPr>
      <w:r>
        <w:rPr>
          <w:rFonts w:hint="eastAsia"/>
        </w:rPr>
        <w:t>7.</w:t>
      </w:r>
      <w:r>
        <w:rPr>
          <w:rFonts w:hint="eastAsia"/>
        </w:rPr>
        <w:tab/>
      </w:r>
      <w:r>
        <w:rPr>
          <w:rFonts w:hint="eastAsia"/>
        </w:rPr>
        <w:t>过去五年的趋势：</w:t>
      </w:r>
    </w:p>
    <w:p w14:paraId="793F0F42" w14:textId="77777777" w:rsidR="00B02D5E" w:rsidRDefault="00B02D5E" w:rsidP="00B02D5E">
      <w:pPr>
        <w:pStyle w:val="SingleTxtGC"/>
      </w:pPr>
      <w:r>
        <w:rPr>
          <w:rFonts w:hint="eastAsia"/>
        </w:rPr>
        <w:tab/>
        <w:t>(a)</w:t>
      </w:r>
      <w:r>
        <w:rPr>
          <w:rFonts w:hint="eastAsia"/>
        </w:rPr>
        <w:tab/>
      </w:r>
      <w:r>
        <w:rPr>
          <w:rFonts w:hint="eastAsia"/>
        </w:rPr>
        <w:t>人口在增加，男性人数多于女性。新增男性人口更多，但到</w:t>
      </w:r>
      <w:r>
        <w:rPr>
          <w:rFonts w:hint="eastAsia"/>
        </w:rPr>
        <w:t>2023</w:t>
      </w:r>
      <w:r>
        <w:rPr>
          <w:rFonts w:hint="eastAsia"/>
        </w:rPr>
        <w:t>年，这一趋势发生逆转，女性人口增长略高于男性；</w:t>
      </w:r>
    </w:p>
    <w:p w14:paraId="033943ED" w14:textId="77777777" w:rsidR="00B02D5E" w:rsidRDefault="00B02D5E" w:rsidP="00B02D5E">
      <w:pPr>
        <w:pStyle w:val="SingleTxtGC"/>
      </w:pPr>
      <w:r>
        <w:rPr>
          <w:rFonts w:hint="eastAsia"/>
        </w:rPr>
        <w:tab/>
        <w:t>(b)</w:t>
      </w:r>
      <w:r>
        <w:rPr>
          <w:rFonts w:hint="eastAsia"/>
        </w:rPr>
        <w:tab/>
      </w:r>
      <w:r>
        <w:rPr>
          <w:rFonts w:hint="eastAsia"/>
        </w:rPr>
        <w:t>每平方公里的居民人数在增加；</w:t>
      </w:r>
    </w:p>
    <w:p w14:paraId="46EF92C5" w14:textId="77777777" w:rsidR="00B02D5E" w:rsidRDefault="00B02D5E" w:rsidP="00B02D5E">
      <w:pPr>
        <w:pStyle w:val="SingleTxtGC"/>
      </w:pPr>
      <w:r>
        <w:rPr>
          <w:rFonts w:hint="eastAsia"/>
        </w:rPr>
        <w:tab/>
        <w:t>(c)</w:t>
      </w:r>
      <w:r>
        <w:rPr>
          <w:rFonts w:hint="eastAsia"/>
        </w:rPr>
        <w:tab/>
      </w:r>
      <w:r>
        <w:rPr>
          <w:rFonts w:hint="eastAsia"/>
        </w:rPr>
        <w:t>出生人数在减少，新生男婴多于女婴。尽管人口数量在增加，但出生人数却在减少。总和生育率自</w:t>
      </w:r>
      <w:r>
        <w:rPr>
          <w:rFonts w:hint="eastAsia"/>
        </w:rPr>
        <w:t>2010</w:t>
      </w:r>
      <w:r>
        <w:rPr>
          <w:rFonts w:hint="eastAsia"/>
        </w:rPr>
        <w:t>年以来一直在下降，</w:t>
      </w:r>
      <w:r>
        <w:rPr>
          <w:rFonts w:hint="eastAsia"/>
        </w:rPr>
        <w:t>2023</w:t>
      </w:r>
      <w:r>
        <w:rPr>
          <w:rFonts w:hint="eastAsia"/>
        </w:rPr>
        <w:t>年降至</w:t>
      </w:r>
      <w:r>
        <w:rPr>
          <w:rFonts w:hint="eastAsia"/>
        </w:rPr>
        <w:t>1.45</w:t>
      </w:r>
      <w:r>
        <w:rPr>
          <w:rFonts w:hint="eastAsia"/>
        </w:rPr>
        <w:t>，是有史以来的最低水平。每出生</w:t>
      </w:r>
      <w:r>
        <w:rPr>
          <w:rFonts w:hint="eastAsia"/>
        </w:rPr>
        <w:t>100</w:t>
      </w:r>
      <w:r>
        <w:rPr>
          <w:rFonts w:hint="eastAsia"/>
        </w:rPr>
        <w:t>名女婴，有大约</w:t>
      </w:r>
      <w:r>
        <w:rPr>
          <w:rFonts w:hint="eastAsia"/>
        </w:rPr>
        <w:t>106</w:t>
      </w:r>
      <w:r>
        <w:rPr>
          <w:rFonts w:hint="eastAsia"/>
        </w:rPr>
        <w:t>名男婴出生；</w:t>
      </w:r>
    </w:p>
    <w:p w14:paraId="6FDE67D5" w14:textId="77777777" w:rsidR="00B02D5E" w:rsidRDefault="00B02D5E" w:rsidP="00B02D5E">
      <w:pPr>
        <w:pStyle w:val="SingleTxtGC"/>
      </w:pPr>
      <w:r>
        <w:rPr>
          <w:rFonts w:hint="eastAsia"/>
        </w:rPr>
        <w:tab/>
        <w:t>(d)</w:t>
      </w:r>
      <w:r>
        <w:rPr>
          <w:rFonts w:hint="eastAsia"/>
        </w:rPr>
        <w:tab/>
        <w:t>2020</w:t>
      </w:r>
      <w:r>
        <w:rPr>
          <w:rFonts w:hint="eastAsia"/>
        </w:rPr>
        <w:t>年疫情期间死亡人数有所增加，但此后已恢复正常水平。性别之间的差异取决于人口的年龄和性别分布。女性预期寿命比男性长三年多；</w:t>
      </w:r>
    </w:p>
    <w:p w14:paraId="4242462C" w14:textId="77777777" w:rsidR="00B02D5E" w:rsidRDefault="00B02D5E" w:rsidP="00B02D5E">
      <w:pPr>
        <w:pStyle w:val="SingleTxtGC"/>
      </w:pPr>
      <w:r>
        <w:rPr>
          <w:rFonts w:hint="eastAsia"/>
        </w:rPr>
        <w:tab/>
        <w:t>(e)</w:t>
      </w:r>
      <w:r>
        <w:rPr>
          <w:rFonts w:hint="eastAsia"/>
        </w:rPr>
        <w:tab/>
      </w:r>
      <w:r>
        <w:rPr>
          <w:rFonts w:hint="eastAsia"/>
        </w:rPr>
        <w:t>在过去五年中，瑞典的外籍人口数量有所增加。</w:t>
      </w:r>
    </w:p>
    <w:p w14:paraId="1C7903E3" w14:textId="038AE021" w:rsidR="00164236" w:rsidRDefault="00B02D5E" w:rsidP="00190546">
      <w:pPr>
        <w:pStyle w:val="H23GC"/>
      </w:pPr>
      <w:r>
        <w:rPr>
          <w:rFonts w:hint="eastAsia"/>
        </w:rPr>
        <w:lastRenderedPageBreak/>
        <w:tab/>
      </w:r>
      <w:r>
        <w:rPr>
          <w:rFonts w:hint="eastAsia"/>
        </w:rPr>
        <w:tab/>
      </w:r>
      <w:r>
        <w:rPr>
          <w:rFonts w:hint="eastAsia"/>
        </w:rPr>
        <w:t>人口概况</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963"/>
        <w:gridCol w:w="1106"/>
        <w:gridCol w:w="1105"/>
        <w:gridCol w:w="1106"/>
        <w:gridCol w:w="1106"/>
      </w:tblGrid>
      <w:tr w:rsidR="00893477" w:rsidRPr="007A05C0" w14:paraId="7E58FB28" w14:textId="77777777" w:rsidTr="002162D7">
        <w:trPr>
          <w:tblHeader/>
        </w:trPr>
        <w:tc>
          <w:tcPr>
            <w:tcW w:w="3119" w:type="dxa"/>
            <w:tcBorders>
              <w:top w:val="single" w:sz="4" w:space="0" w:color="auto"/>
              <w:bottom w:val="single" w:sz="12" w:space="0" w:color="auto"/>
            </w:tcBorders>
            <w:shd w:val="clear" w:color="auto" w:fill="auto"/>
            <w:vAlign w:val="bottom"/>
            <w:hideMark/>
          </w:tcPr>
          <w:p w14:paraId="524FFD46"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left"/>
              <w:rPr>
                <w:rFonts w:ascii="Time New Roman" w:hAnsi="Time New Roman" w:hint="eastAsia"/>
                <w:snapToGrid w:val="0"/>
                <w:sz w:val="18"/>
                <w:szCs w:val="18"/>
              </w:rPr>
            </w:pPr>
          </w:p>
        </w:tc>
        <w:tc>
          <w:tcPr>
            <w:tcW w:w="963" w:type="dxa"/>
            <w:tcBorders>
              <w:top w:val="single" w:sz="4" w:space="0" w:color="auto"/>
              <w:bottom w:val="single" w:sz="12" w:space="0" w:color="auto"/>
            </w:tcBorders>
            <w:shd w:val="clear" w:color="auto" w:fill="auto"/>
            <w:vAlign w:val="bottom"/>
            <w:hideMark/>
          </w:tcPr>
          <w:p w14:paraId="61B43DA5"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right"/>
              <w:rPr>
                <w:rFonts w:ascii="Time New Roman" w:hAnsi="Time New Roman" w:hint="eastAsia"/>
                <w:snapToGrid w:val="0"/>
                <w:sz w:val="18"/>
                <w:szCs w:val="18"/>
              </w:rPr>
            </w:pPr>
            <w:r w:rsidRPr="007A05C0">
              <w:rPr>
                <w:rFonts w:ascii="Time New Roman" w:hAnsi="Time New Roman" w:hint="eastAsia"/>
                <w:snapToGrid w:val="0"/>
                <w:sz w:val="18"/>
                <w:szCs w:val="18"/>
              </w:rPr>
              <w:t>2019</w:t>
            </w:r>
          </w:p>
        </w:tc>
        <w:tc>
          <w:tcPr>
            <w:tcW w:w="1106" w:type="dxa"/>
            <w:tcBorders>
              <w:top w:val="single" w:sz="4" w:space="0" w:color="auto"/>
              <w:bottom w:val="single" w:sz="12" w:space="0" w:color="auto"/>
            </w:tcBorders>
            <w:shd w:val="clear" w:color="auto" w:fill="auto"/>
            <w:vAlign w:val="bottom"/>
            <w:hideMark/>
          </w:tcPr>
          <w:p w14:paraId="5AADCD43"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right"/>
              <w:rPr>
                <w:rFonts w:ascii="Time New Roman" w:hAnsi="Time New Roman" w:hint="eastAsia"/>
                <w:snapToGrid w:val="0"/>
                <w:sz w:val="18"/>
                <w:szCs w:val="18"/>
              </w:rPr>
            </w:pPr>
            <w:r w:rsidRPr="007A05C0">
              <w:rPr>
                <w:rFonts w:ascii="Time New Roman" w:hAnsi="Time New Roman" w:hint="eastAsia"/>
                <w:snapToGrid w:val="0"/>
                <w:sz w:val="18"/>
                <w:szCs w:val="18"/>
              </w:rPr>
              <w:t>2020</w:t>
            </w:r>
          </w:p>
        </w:tc>
        <w:tc>
          <w:tcPr>
            <w:tcW w:w="1105" w:type="dxa"/>
            <w:tcBorders>
              <w:top w:val="single" w:sz="4" w:space="0" w:color="auto"/>
              <w:bottom w:val="single" w:sz="12" w:space="0" w:color="auto"/>
            </w:tcBorders>
            <w:shd w:val="clear" w:color="auto" w:fill="auto"/>
            <w:vAlign w:val="bottom"/>
            <w:hideMark/>
          </w:tcPr>
          <w:p w14:paraId="58A879E0"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right"/>
              <w:rPr>
                <w:rFonts w:ascii="Time New Roman" w:hAnsi="Time New Roman" w:hint="eastAsia"/>
                <w:snapToGrid w:val="0"/>
                <w:sz w:val="18"/>
                <w:szCs w:val="18"/>
              </w:rPr>
            </w:pPr>
            <w:r w:rsidRPr="007A05C0">
              <w:rPr>
                <w:rFonts w:ascii="Time New Roman" w:hAnsi="Time New Roman" w:hint="eastAsia"/>
                <w:snapToGrid w:val="0"/>
                <w:sz w:val="18"/>
                <w:szCs w:val="18"/>
              </w:rPr>
              <w:t>2021</w:t>
            </w:r>
          </w:p>
        </w:tc>
        <w:tc>
          <w:tcPr>
            <w:tcW w:w="1106" w:type="dxa"/>
            <w:tcBorders>
              <w:top w:val="single" w:sz="4" w:space="0" w:color="auto"/>
              <w:bottom w:val="single" w:sz="12" w:space="0" w:color="auto"/>
            </w:tcBorders>
            <w:shd w:val="clear" w:color="auto" w:fill="auto"/>
            <w:vAlign w:val="bottom"/>
            <w:hideMark/>
          </w:tcPr>
          <w:p w14:paraId="52586DDA"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right"/>
              <w:rPr>
                <w:rFonts w:ascii="Time New Roman" w:hAnsi="Time New Roman" w:hint="eastAsia"/>
                <w:snapToGrid w:val="0"/>
                <w:sz w:val="18"/>
                <w:szCs w:val="18"/>
              </w:rPr>
            </w:pPr>
            <w:r w:rsidRPr="007A05C0">
              <w:rPr>
                <w:rFonts w:ascii="Time New Roman" w:hAnsi="Time New Roman" w:hint="eastAsia"/>
                <w:snapToGrid w:val="0"/>
                <w:sz w:val="18"/>
                <w:szCs w:val="18"/>
              </w:rPr>
              <w:t>2022</w:t>
            </w:r>
          </w:p>
        </w:tc>
        <w:tc>
          <w:tcPr>
            <w:tcW w:w="1106" w:type="dxa"/>
            <w:tcBorders>
              <w:top w:val="single" w:sz="4" w:space="0" w:color="auto"/>
              <w:bottom w:val="single" w:sz="12" w:space="0" w:color="auto"/>
            </w:tcBorders>
            <w:shd w:val="clear" w:color="auto" w:fill="auto"/>
            <w:vAlign w:val="bottom"/>
            <w:hideMark/>
          </w:tcPr>
          <w:p w14:paraId="257B181E" w14:textId="77777777" w:rsidR="00893477" w:rsidRPr="007A05C0" w:rsidRDefault="00893477" w:rsidP="00F36437">
            <w:pPr>
              <w:pStyle w:val="SingleTxtG"/>
              <w:tabs>
                <w:tab w:val="clear" w:pos="1701"/>
                <w:tab w:val="clear" w:pos="2268"/>
              </w:tabs>
              <w:suppressAutoHyphens w:val="0"/>
              <w:spacing w:before="80" w:after="80" w:line="200" w:lineRule="exact"/>
              <w:ind w:left="0" w:right="113"/>
              <w:jc w:val="right"/>
              <w:rPr>
                <w:rFonts w:ascii="Time New Roman" w:hAnsi="Time New Roman" w:hint="eastAsia"/>
                <w:snapToGrid w:val="0"/>
                <w:sz w:val="18"/>
                <w:szCs w:val="18"/>
              </w:rPr>
            </w:pPr>
            <w:r w:rsidRPr="007A05C0">
              <w:rPr>
                <w:rFonts w:ascii="Time New Roman" w:hAnsi="Time New Roman" w:hint="eastAsia"/>
                <w:snapToGrid w:val="0"/>
                <w:sz w:val="18"/>
                <w:szCs w:val="18"/>
              </w:rPr>
              <w:t>2023</w:t>
            </w:r>
          </w:p>
        </w:tc>
      </w:tr>
      <w:tr w:rsidR="00893477" w:rsidRPr="007A05C0" w14:paraId="7612DBDE" w14:textId="77777777" w:rsidTr="002162D7">
        <w:tc>
          <w:tcPr>
            <w:tcW w:w="3119" w:type="dxa"/>
            <w:tcBorders>
              <w:top w:val="single" w:sz="12" w:space="0" w:color="auto"/>
            </w:tcBorders>
            <w:shd w:val="clear" w:color="auto" w:fill="auto"/>
            <w:hideMark/>
          </w:tcPr>
          <w:p w14:paraId="36A8199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截止</w:t>
            </w:r>
            <w:r w:rsidRPr="007A05C0">
              <w:rPr>
                <w:rFonts w:ascii="Time New Roman" w:hAnsi="Time New Roman" w:hint="eastAsia"/>
                <w:sz w:val="18"/>
                <w:szCs w:val="18"/>
                <w:lang w:val="zh-CN"/>
              </w:rPr>
              <w:t>12</w:t>
            </w:r>
            <w:r w:rsidRPr="007A05C0">
              <w:rPr>
                <w:rFonts w:ascii="Time New Roman" w:hAnsi="Time New Roman" w:hint="eastAsia"/>
                <w:sz w:val="18"/>
                <w:szCs w:val="18"/>
                <w:lang w:val="zh-CN"/>
              </w:rPr>
              <w:t>月</w:t>
            </w:r>
            <w:r w:rsidRPr="007A05C0">
              <w:rPr>
                <w:rFonts w:ascii="Time New Roman" w:hAnsi="Time New Roman" w:hint="eastAsia"/>
                <w:sz w:val="18"/>
                <w:szCs w:val="18"/>
                <w:lang w:val="zh-CN"/>
              </w:rPr>
              <w:t>31</w:t>
            </w:r>
            <w:r w:rsidRPr="007A05C0">
              <w:rPr>
                <w:rFonts w:ascii="Time New Roman" w:hAnsi="Time New Roman" w:hint="eastAsia"/>
                <w:sz w:val="18"/>
                <w:szCs w:val="18"/>
                <w:lang w:val="zh-CN"/>
              </w:rPr>
              <w:t>日总人口</w:t>
            </w:r>
          </w:p>
        </w:tc>
        <w:tc>
          <w:tcPr>
            <w:tcW w:w="963" w:type="dxa"/>
            <w:tcBorders>
              <w:top w:val="single" w:sz="12" w:space="0" w:color="auto"/>
            </w:tcBorders>
            <w:shd w:val="clear" w:color="auto" w:fill="auto"/>
            <w:vAlign w:val="bottom"/>
            <w:hideMark/>
          </w:tcPr>
          <w:p w14:paraId="69EA19E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10 327 589</w:t>
            </w:r>
          </w:p>
        </w:tc>
        <w:tc>
          <w:tcPr>
            <w:tcW w:w="1106" w:type="dxa"/>
            <w:tcBorders>
              <w:top w:val="single" w:sz="12" w:space="0" w:color="auto"/>
            </w:tcBorders>
            <w:shd w:val="clear" w:color="auto" w:fill="auto"/>
            <w:vAlign w:val="bottom"/>
            <w:hideMark/>
          </w:tcPr>
          <w:p w14:paraId="54F0BCA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10 379 295</w:t>
            </w:r>
          </w:p>
        </w:tc>
        <w:tc>
          <w:tcPr>
            <w:tcW w:w="1105" w:type="dxa"/>
            <w:tcBorders>
              <w:top w:val="single" w:sz="12" w:space="0" w:color="auto"/>
            </w:tcBorders>
            <w:shd w:val="clear" w:color="auto" w:fill="auto"/>
            <w:vAlign w:val="bottom"/>
            <w:hideMark/>
          </w:tcPr>
          <w:p w14:paraId="32818D8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10 452 326</w:t>
            </w:r>
          </w:p>
        </w:tc>
        <w:tc>
          <w:tcPr>
            <w:tcW w:w="1106" w:type="dxa"/>
            <w:tcBorders>
              <w:top w:val="single" w:sz="12" w:space="0" w:color="auto"/>
            </w:tcBorders>
            <w:shd w:val="clear" w:color="auto" w:fill="auto"/>
            <w:vAlign w:val="bottom"/>
            <w:hideMark/>
          </w:tcPr>
          <w:p w14:paraId="2F1E9B5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10 521 556</w:t>
            </w:r>
          </w:p>
        </w:tc>
        <w:tc>
          <w:tcPr>
            <w:tcW w:w="1106" w:type="dxa"/>
            <w:tcBorders>
              <w:top w:val="single" w:sz="12" w:space="0" w:color="auto"/>
            </w:tcBorders>
            <w:shd w:val="clear" w:color="auto" w:fill="auto"/>
            <w:vAlign w:val="bottom"/>
            <w:hideMark/>
          </w:tcPr>
          <w:p w14:paraId="4439BCF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10 551 707</w:t>
            </w:r>
          </w:p>
        </w:tc>
      </w:tr>
      <w:tr w:rsidR="00893477" w:rsidRPr="007A05C0" w14:paraId="58432DC5" w14:textId="77777777" w:rsidTr="002162D7">
        <w:tc>
          <w:tcPr>
            <w:tcW w:w="3119" w:type="dxa"/>
            <w:shd w:val="clear" w:color="auto" w:fill="auto"/>
            <w:hideMark/>
          </w:tcPr>
          <w:p w14:paraId="4C89BDD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男性</w:t>
            </w:r>
          </w:p>
        </w:tc>
        <w:tc>
          <w:tcPr>
            <w:tcW w:w="963" w:type="dxa"/>
            <w:shd w:val="clear" w:color="auto" w:fill="auto"/>
            <w:vAlign w:val="bottom"/>
            <w:hideMark/>
          </w:tcPr>
          <w:p w14:paraId="5B4409F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5 195 814</w:t>
            </w:r>
          </w:p>
        </w:tc>
        <w:tc>
          <w:tcPr>
            <w:tcW w:w="1106" w:type="dxa"/>
            <w:shd w:val="clear" w:color="auto" w:fill="auto"/>
            <w:vAlign w:val="bottom"/>
            <w:hideMark/>
          </w:tcPr>
          <w:p w14:paraId="5C3F190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5 222 847</w:t>
            </w:r>
          </w:p>
        </w:tc>
        <w:tc>
          <w:tcPr>
            <w:tcW w:w="1105" w:type="dxa"/>
            <w:shd w:val="clear" w:color="auto" w:fill="auto"/>
            <w:vAlign w:val="bottom"/>
            <w:hideMark/>
          </w:tcPr>
          <w:p w14:paraId="7BB0FD2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5 260 707</w:t>
            </w:r>
          </w:p>
        </w:tc>
        <w:tc>
          <w:tcPr>
            <w:tcW w:w="1106" w:type="dxa"/>
            <w:shd w:val="clear" w:color="auto" w:fill="auto"/>
            <w:vAlign w:val="bottom"/>
            <w:hideMark/>
          </w:tcPr>
          <w:p w14:paraId="4FEBF36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5 298 324</w:t>
            </w:r>
          </w:p>
        </w:tc>
        <w:tc>
          <w:tcPr>
            <w:tcW w:w="1106" w:type="dxa"/>
            <w:shd w:val="clear" w:color="auto" w:fill="auto"/>
            <w:vAlign w:val="bottom"/>
            <w:hideMark/>
          </w:tcPr>
          <w:p w14:paraId="29E52ED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5 312 519</w:t>
            </w:r>
          </w:p>
        </w:tc>
      </w:tr>
      <w:tr w:rsidR="00893477" w:rsidRPr="007A05C0" w14:paraId="66553CC1" w14:textId="77777777" w:rsidTr="002162D7">
        <w:tc>
          <w:tcPr>
            <w:tcW w:w="3119" w:type="dxa"/>
            <w:shd w:val="clear" w:color="auto" w:fill="auto"/>
            <w:hideMark/>
          </w:tcPr>
          <w:p w14:paraId="243FD0D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女性</w:t>
            </w:r>
          </w:p>
        </w:tc>
        <w:tc>
          <w:tcPr>
            <w:tcW w:w="963" w:type="dxa"/>
            <w:shd w:val="clear" w:color="auto" w:fill="auto"/>
            <w:vAlign w:val="bottom"/>
            <w:hideMark/>
          </w:tcPr>
          <w:p w14:paraId="3F3B554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5 131 775</w:t>
            </w:r>
          </w:p>
        </w:tc>
        <w:tc>
          <w:tcPr>
            <w:tcW w:w="1106" w:type="dxa"/>
            <w:shd w:val="clear" w:color="auto" w:fill="auto"/>
            <w:vAlign w:val="bottom"/>
            <w:hideMark/>
          </w:tcPr>
          <w:p w14:paraId="6243F6E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5 156 448</w:t>
            </w:r>
          </w:p>
        </w:tc>
        <w:tc>
          <w:tcPr>
            <w:tcW w:w="1105" w:type="dxa"/>
            <w:shd w:val="clear" w:color="auto" w:fill="auto"/>
            <w:vAlign w:val="bottom"/>
            <w:hideMark/>
          </w:tcPr>
          <w:p w14:paraId="646337B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5 191 619</w:t>
            </w:r>
          </w:p>
        </w:tc>
        <w:tc>
          <w:tcPr>
            <w:tcW w:w="1106" w:type="dxa"/>
            <w:shd w:val="clear" w:color="auto" w:fill="auto"/>
            <w:vAlign w:val="bottom"/>
            <w:hideMark/>
          </w:tcPr>
          <w:p w14:paraId="4D5DF5E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5 223 232</w:t>
            </w:r>
          </w:p>
        </w:tc>
        <w:tc>
          <w:tcPr>
            <w:tcW w:w="1106" w:type="dxa"/>
            <w:shd w:val="clear" w:color="auto" w:fill="auto"/>
            <w:vAlign w:val="bottom"/>
            <w:hideMark/>
          </w:tcPr>
          <w:p w14:paraId="28AF40C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5 239 188</w:t>
            </w:r>
          </w:p>
        </w:tc>
      </w:tr>
      <w:tr w:rsidR="00893477" w:rsidRPr="007A05C0" w14:paraId="7B4C92B1" w14:textId="77777777" w:rsidTr="002162D7">
        <w:tc>
          <w:tcPr>
            <w:tcW w:w="3119" w:type="dxa"/>
            <w:shd w:val="clear" w:color="auto" w:fill="auto"/>
            <w:hideMark/>
          </w:tcPr>
          <w:p w14:paraId="6F089AD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0-17</w:t>
            </w:r>
            <w:r w:rsidRPr="007A05C0">
              <w:rPr>
                <w:rFonts w:ascii="Time New Roman" w:hAnsi="Time New Roman" w:hint="eastAsia"/>
                <w:sz w:val="18"/>
                <w:szCs w:val="18"/>
                <w:lang w:val="zh-CN"/>
              </w:rPr>
              <w:t>岁人口</w:t>
            </w:r>
          </w:p>
        </w:tc>
        <w:tc>
          <w:tcPr>
            <w:tcW w:w="963" w:type="dxa"/>
            <w:shd w:val="clear" w:color="auto" w:fill="auto"/>
            <w:vAlign w:val="bottom"/>
            <w:hideMark/>
          </w:tcPr>
          <w:p w14:paraId="382A1FE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2 180 508</w:t>
            </w:r>
          </w:p>
        </w:tc>
        <w:tc>
          <w:tcPr>
            <w:tcW w:w="1106" w:type="dxa"/>
            <w:shd w:val="clear" w:color="auto" w:fill="auto"/>
            <w:vAlign w:val="bottom"/>
            <w:hideMark/>
          </w:tcPr>
          <w:p w14:paraId="4317828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2 189 403</w:t>
            </w:r>
          </w:p>
        </w:tc>
        <w:tc>
          <w:tcPr>
            <w:tcW w:w="1105" w:type="dxa"/>
            <w:shd w:val="clear" w:color="auto" w:fill="auto"/>
            <w:vAlign w:val="bottom"/>
            <w:hideMark/>
          </w:tcPr>
          <w:p w14:paraId="77F6DD5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2 198 240</w:t>
            </w:r>
          </w:p>
        </w:tc>
        <w:tc>
          <w:tcPr>
            <w:tcW w:w="1106" w:type="dxa"/>
            <w:shd w:val="clear" w:color="auto" w:fill="auto"/>
            <w:vAlign w:val="bottom"/>
            <w:hideMark/>
          </w:tcPr>
          <w:p w14:paraId="549729B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2 194 785</w:t>
            </w:r>
          </w:p>
        </w:tc>
        <w:tc>
          <w:tcPr>
            <w:tcW w:w="1106" w:type="dxa"/>
            <w:shd w:val="clear" w:color="auto" w:fill="auto"/>
            <w:vAlign w:val="bottom"/>
            <w:hideMark/>
          </w:tcPr>
          <w:p w14:paraId="4627AE0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2 176 224</w:t>
            </w:r>
          </w:p>
        </w:tc>
      </w:tr>
      <w:tr w:rsidR="00893477" w:rsidRPr="007A05C0" w14:paraId="190697EF" w14:textId="77777777" w:rsidTr="002162D7">
        <w:tc>
          <w:tcPr>
            <w:tcW w:w="3119" w:type="dxa"/>
            <w:shd w:val="clear" w:color="auto" w:fill="auto"/>
            <w:hideMark/>
          </w:tcPr>
          <w:p w14:paraId="43A4811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0-17</w:t>
            </w:r>
            <w:r w:rsidRPr="007A05C0">
              <w:rPr>
                <w:rFonts w:ascii="Time New Roman" w:hAnsi="Time New Roman" w:hint="eastAsia"/>
                <w:sz w:val="18"/>
                <w:szCs w:val="18"/>
                <w:lang w:val="zh-CN"/>
              </w:rPr>
              <w:t>岁人口占总人口的</w:t>
            </w:r>
            <w:r w:rsidRPr="007A05C0">
              <w:rPr>
                <w:rFonts w:ascii="Time New Roman" w:hAnsi="Time New Roman" w:hint="eastAsia"/>
                <w:sz w:val="18"/>
                <w:szCs w:val="18"/>
                <w:lang w:val="zh-CN"/>
              </w:rPr>
              <w:t>%</w:t>
            </w:r>
          </w:p>
        </w:tc>
        <w:tc>
          <w:tcPr>
            <w:tcW w:w="963" w:type="dxa"/>
            <w:shd w:val="clear" w:color="auto" w:fill="auto"/>
            <w:vAlign w:val="bottom"/>
            <w:hideMark/>
          </w:tcPr>
          <w:p w14:paraId="18F8514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21.1</w:t>
            </w:r>
          </w:p>
        </w:tc>
        <w:tc>
          <w:tcPr>
            <w:tcW w:w="1106" w:type="dxa"/>
            <w:shd w:val="clear" w:color="auto" w:fill="auto"/>
            <w:vAlign w:val="bottom"/>
            <w:hideMark/>
          </w:tcPr>
          <w:p w14:paraId="0951E98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21.1</w:t>
            </w:r>
          </w:p>
        </w:tc>
        <w:tc>
          <w:tcPr>
            <w:tcW w:w="1105" w:type="dxa"/>
            <w:shd w:val="clear" w:color="auto" w:fill="auto"/>
            <w:vAlign w:val="bottom"/>
            <w:hideMark/>
          </w:tcPr>
          <w:p w14:paraId="2679B63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w:t>
            </w:r>
          </w:p>
        </w:tc>
        <w:tc>
          <w:tcPr>
            <w:tcW w:w="1106" w:type="dxa"/>
            <w:shd w:val="clear" w:color="auto" w:fill="auto"/>
            <w:vAlign w:val="bottom"/>
            <w:hideMark/>
          </w:tcPr>
          <w:p w14:paraId="2651313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20.9</w:t>
            </w:r>
          </w:p>
        </w:tc>
        <w:tc>
          <w:tcPr>
            <w:tcW w:w="1106" w:type="dxa"/>
            <w:shd w:val="clear" w:color="auto" w:fill="auto"/>
            <w:vAlign w:val="bottom"/>
            <w:hideMark/>
          </w:tcPr>
          <w:p w14:paraId="13D9791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20.6</w:t>
            </w:r>
          </w:p>
        </w:tc>
      </w:tr>
      <w:tr w:rsidR="00893477" w:rsidRPr="007A05C0" w14:paraId="6456EB16" w14:textId="77777777" w:rsidTr="002162D7">
        <w:tc>
          <w:tcPr>
            <w:tcW w:w="3119" w:type="dxa"/>
            <w:shd w:val="clear" w:color="auto" w:fill="auto"/>
            <w:hideMark/>
          </w:tcPr>
          <w:p w14:paraId="2CFF70F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65</w:t>
            </w:r>
            <w:r w:rsidRPr="007A05C0">
              <w:rPr>
                <w:rFonts w:ascii="Time New Roman" w:hAnsi="Time New Roman" w:hint="eastAsia"/>
                <w:sz w:val="18"/>
                <w:szCs w:val="18"/>
                <w:lang w:val="zh-CN"/>
              </w:rPr>
              <w:t>岁以上人口</w:t>
            </w:r>
          </w:p>
        </w:tc>
        <w:tc>
          <w:tcPr>
            <w:tcW w:w="963" w:type="dxa"/>
            <w:shd w:val="clear" w:color="auto" w:fill="auto"/>
            <w:vAlign w:val="bottom"/>
            <w:hideMark/>
          </w:tcPr>
          <w:p w14:paraId="5E9E401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2 065 367</w:t>
            </w:r>
          </w:p>
        </w:tc>
        <w:tc>
          <w:tcPr>
            <w:tcW w:w="1106" w:type="dxa"/>
            <w:shd w:val="clear" w:color="auto" w:fill="auto"/>
            <w:vAlign w:val="bottom"/>
            <w:hideMark/>
          </w:tcPr>
          <w:p w14:paraId="780ED78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2 088 086</w:t>
            </w:r>
          </w:p>
        </w:tc>
        <w:tc>
          <w:tcPr>
            <w:tcW w:w="1105" w:type="dxa"/>
            <w:shd w:val="clear" w:color="auto" w:fill="auto"/>
            <w:vAlign w:val="bottom"/>
            <w:hideMark/>
          </w:tcPr>
          <w:p w14:paraId="6C6F2FF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2 118 766</w:t>
            </w:r>
          </w:p>
        </w:tc>
        <w:tc>
          <w:tcPr>
            <w:tcW w:w="1106" w:type="dxa"/>
            <w:shd w:val="clear" w:color="auto" w:fill="auto"/>
            <w:vAlign w:val="bottom"/>
            <w:hideMark/>
          </w:tcPr>
          <w:p w14:paraId="008FA2A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2 147 137</w:t>
            </w:r>
          </w:p>
        </w:tc>
        <w:tc>
          <w:tcPr>
            <w:tcW w:w="1106" w:type="dxa"/>
            <w:shd w:val="clear" w:color="auto" w:fill="auto"/>
            <w:vAlign w:val="bottom"/>
            <w:hideMark/>
          </w:tcPr>
          <w:p w14:paraId="215F694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2 174 752</w:t>
            </w:r>
          </w:p>
        </w:tc>
      </w:tr>
      <w:tr w:rsidR="00893477" w:rsidRPr="007A05C0" w14:paraId="0D960C80" w14:textId="77777777" w:rsidTr="002162D7">
        <w:tc>
          <w:tcPr>
            <w:tcW w:w="3119" w:type="dxa"/>
            <w:shd w:val="clear" w:color="auto" w:fill="auto"/>
            <w:hideMark/>
          </w:tcPr>
          <w:p w14:paraId="7585A0F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65</w:t>
            </w:r>
            <w:r w:rsidRPr="007A05C0">
              <w:rPr>
                <w:rFonts w:ascii="Time New Roman" w:hAnsi="Time New Roman" w:hint="eastAsia"/>
                <w:sz w:val="18"/>
                <w:szCs w:val="18"/>
                <w:lang w:val="zh-CN"/>
              </w:rPr>
              <w:t>岁以上人口占总人口的</w:t>
            </w:r>
            <w:r w:rsidRPr="007A05C0">
              <w:rPr>
                <w:rFonts w:ascii="Time New Roman" w:hAnsi="Time New Roman" w:hint="eastAsia"/>
                <w:sz w:val="18"/>
                <w:szCs w:val="18"/>
                <w:lang w:val="zh-CN"/>
              </w:rPr>
              <w:t>%</w:t>
            </w:r>
          </w:p>
        </w:tc>
        <w:tc>
          <w:tcPr>
            <w:tcW w:w="963" w:type="dxa"/>
            <w:shd w:val="clear" w:color="auto" w:fill="auto"/>
            <w:vAlign w:val="bottom"/>
            <w:hideMark/>
          </w:tcPr>
          <w:p w14:paraId="227D108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w:t>
            </w:r>
          </w:p>
        </w:tc>
        <w:tc>
          <w:tcPr>
            <w:tcW w:w="1106" w:type="dxa"/>
            <w:shd w:val="clear" w:color="auto" w:fill="auto"/>
            <w:vAlign w:val="bottom"/>
            <w:hideMark/>
          </w:tcPr>
          <w:p w14:paraId="32EFDAF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20.1</w:t>
            </w:r>
          </w:p>
        </w:tc>
        <w:tc>
          <w:tcPr>
            <w:tcW w:w="1105" w:type="dxa"/>
            <w:shd w:val="clear" w:color="auto" w:fill="auto"/>
            <w:vAlign w:val="bottom"/>
            <w:hideMark/>
          </w:tcPr>
          <w:p w14:paraId="36B114D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20.3</w:t>
            </w:r>
          </w:p>
        </w:tc>
        <w:tc>
          <w:tcPr>
            <w:tcW w:w="1106" w:type="dxa"/>
            <w:shd w:val="clear" w:color="auto" w:fill="auto"/>
            <w:vAlign w:val="bottom"/>
            <w:hideMark/>
          </w:tcPr>
          <w:p w14:paraId="427982C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20.4</w:t>
            </w:r>
          </w:p>
        </w:tc>
        <w:tc>
          <w:tcPr>
            <w:tcW w:w="1106" w:type="dxa"/>
            <w:shd w:val="clear" w:color="auto" w:fill="auto"/>
            <w:vAlign w:val="bottom"/>
            <w:hideMark/>
          </w:tcPr>
          <w:p w14:paraId="4A99E94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20.6</w:t>
            </w:r>
          </w:p>
        </w:tc>
      </w:tr>
      <w:tr w:rsidR="00893477" w:rsidRPr="007A05C0" w14:paraId="69010A06" w14:textId="77777777" w:rsidTr="002162D7">
        <w:tc>
          <w:tcPr>
            <w:tcW w:w="3119" w:type="dxa"/>
            <w:shd w:val="clear" w:color="auto" w:fill="auto"/>
            <w:hideMark/>
          </w:tcPr>
          <w:p w14:paraId="506A529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家庭户数</w:t>
            </w:r>
          </w:p>
        </w:tc>
        <w:tc>
          <w:tcPr>
            <w:tcW w:w="963" w:type="dxa"/>
            <w:shd w:val="clear" w:color="auto" w:fill="auto"/>
            <w:vAlign w:val="bottom"/>
            <w:hideMark/>
          </w:tcPr>
          <w:p w14:paraId="19EEEDE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4 718 271</w:t>
            </w:r>
          </w:p>
        </w:tc>
        <w:tc>
          <w:tcPr>
            <w:tcW w:w="1106" w:type="dxa"/>
            <w:shd w:val="clear" w:color="auto" w:fill="auto"/>
            <w:vAlign w:val="bottom"/>
            <w:hideMark/>
          </w:tcPr>
          <w:p w14:paraId="7E2A881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4 776 239</w:t>
            </w:r>
          </w:p>
        </w:tc>
        <w:tc>
          <w:tcPr>
            <w:tcW w:w="1105" w:type="dxa"/>
            <w:shd w:val="clear" w:color="auto" w:fill="auto"/>
            <w:vAlign w:val="bottom"/>
            <w:hideMark/>
          </w:tcPr>
          <w:p w14:paraId="40B3E93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4 831 811</w:t>
            </w:r>
          </w:p>
        </w:tc>
        <w:tc>
          <w:tcPr>
            <w:tcW w:w="1106" w:type="dxa"/>
            <w:shd w:val="clear" w:color="auto" w:fill="auto"/>
            <w:vAlign w:val="bottom"/>
            <w:hideMark/>
          </w:tcPr>
          <w:p w14:paraId="5107D85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4 883 816</w:t>
            </w:r>
          </w:p>
        </w:tc>
        <w:tc>
          <w:tcPr>
            <w:tcW w:w="1106" w:type="dxa"/>
            <w:shd w:val="clear" w:color="auto" w:fill="auto"/>
            <w:vAlign w:val="bottom"/>
            <w:hideMark/>
          </w:tcPr>
          <w:p w14:paraId="3503AC9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43F19E2B" w14:textId="77777777" w:rsidTr="002162D7">
        <w:tc>
          <w:tcPr>
            <w:tcW w:w="3119" w:type="dxa"/>
            <w:shd w:val="clear" w:color="auto" w:fill="auto"/>
            <w:hideMark/>
          </w:tcPr>
          <w:p w14:paraId="67EA7AF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每户平均人数</w:t>
            </w:r>
          </w:p>
        </w:tc>
        <w:tc>
          <w:tcPr>
            <w:tcW w:w="963" w:type="dxa"/>
            <w:shd w:val="clear" w:color="auto" w:fill="auto"/>
            <w:vAlign w:val="bottom"/>
            <w:hideMark/>
          </w:tcPr>
          <w:p w14:paraId="297C606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2.19</w:t>
            </w:r>
          </w:p>
        </w:tc>
        <w:tc>
          <w:tcPr>
            <w:tcW w:w="1106" w:type="dxa"/>
            <w:shd w:val="clear" w:color="auto" w:fill="auto"/>
            <w:vAlign w:val="bottom"/>
            <w:hideMark/>
          </w:tcPr>
          <w:p w14:paraId="238BF16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2.17</w:t>
            </w:r>
          </w:p>
        </w:tc>
        <w:tc>
          <w:tcPr>
            <w:tcW w:w="1105" w:type="dxa"/>
            <w:shd w:val="clear" w:color="auto" w:fill="auto"/>
            <w:vAlign w:val="bottom"/>
            <w:hideMark/>
          </w:tcPr>
          <w:p w14:paraId="4AB8613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2.16</w:t>
            </w:r>
          </w:p>
        </w:tc>
        <w:tc>
          <w:tcPr>
            <w:tcW w:w="1106" w:type="dxa"/>
            <w:shd w:val="clear" w:color="auto" w:fill="auto"/>
            <w:vAlign w:val="bottom"/>
            <w:hideMark/>
          </w:tcPr>
          <w:p w14:paraId="1E767DA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2.15</w:t>
            </w:r>
          </w:p>
        </w:tc>
        <w:tc>
          <w:tcPr>
            <w:tcW w:w="1106" w:type="dxa"/>
            <w:shd w:val="clear" w:color="auto" w:fill="auto"/>
            <w:vAlign w:val="bottom"/>
            <w:hideMark/>
          </w:tcPr>
          <w:p w14:paraId="42BF677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08C86005" w14:textId="77777777" w:rsidTr="002162D7">
        <w:tc>
          <w:tcPr>
            <w:tcW w:w="3119" w:type="dxa"/>
            <w:shd w:val="clear" w:color="auto" w:fill="auto"/>
            <w:hideMark/>
          </w:tcPr>
          <w:p w14:paraId="1CAFE75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外国国民</w:t>
            </w:r>
            <w:r w:rsidRPr="007A05C0">
              <w:rPr>
                <w:rFonts w:ascii="Time New Roman" w:hAnsi="Time New Roman" w:hint="eastAsia"/>
                <w:sz w:val="18"/>
                <w:szCs w:val="18"/>
                <w:vertAlign w:val="superscript"/>
                <w:lang w:val="zh-CN"/>
              </w:rPr>
              <w:t>1</w:t>
            </w:r>
          </w:p>
        </w:tc>
        <w:tc>
          <w:tcPr>
            <w:tcW w:w="963" w:type="dxa"/>
            <w:shd w:val="clear" w:color="auto" w:fill="auto"/>
            <w:vAlign w:val="bottom"/>
            <w:hideMark/>
          </w:tcPr>
          <w:p w14:paraId="2349E99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940 580</w:t>
            </w:r>
          </w:p>
        </w:tc>
        <w:tc>
          <w:tcPr>
            <w:tcW w:w="1106" w:type="dxa"/>
            <w:shd w:val="clear" w:color="auto" w:fill="auto"/>
            <w:vAlign w:val="bottom"/>
            <w:hideMark/>
          </w:tcPr>
          <w:p w14:paraId="6594080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905 323</w:t>
            </w:r>
          </w:p>
        </w:tc>
        <w:tc>
          <w:tcPr>
            <w:tcW w:w="1105" w:type="dxa"/>
            <w:shd w:val="clear" w:color="auto" w:fill="auto"/>
            <w:vAlign w:val="bottom"/>
            <w:hideMark/>
          </w:tcPr>
          <w:p w14:paraId="7B05904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880 826</w:t>
            </w:r>
          </w:p>
        </w:tc>
        <w:tc>
          <w:tcPr>
            <w:tcW w:w="1106" w:type="dxa"/>
            <w:shd w:val="clear" w:color="auto" w:fill="auto"/>
            <w:vAlign w:val="bottom"/>
            <w:hideMark/>
          </w:tcPr>
          <w:p w14:paraId="1F7D889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865 256</w:t>
            </w:r>
          </w:p>
        </w:tc>
        <w:tc>
          <w:tcPr>
            <w:tcW w:w="1106" w:type="dxa"/>
            <w:shd w:val="clear" w:color="auto" w:fill="auto"/>
            <w:vAlign w:val="bottom"/>
            <w:hideMark/>
          </w:tcPr>
          <w:p w14:paraId="2DED6F0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75848E85" w14:textId="77777777" w:rsidTr="002162D7">
        <w:tc>
          <w:tcPr>
            <w:tcW w:w="3119" w:type="dxa"/>
            <w:shd w:val="clear" w:color="auto" w:fill="auto"/>
            <w:hideMark/>
          </w:tcPr>
          <w:p w14:paraId="0A184D7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外国国民占总人口的</w:t>
            </w:r>
            <w:r w:rsidRPr="007A05C0">
              <w:rPr>
                <w:rFonts w:ascii="Time New Roman" w:hAnsi="Time New Roman" w:hint="eastAsia"/>
                <w:sz w:val="18"/>
                <w:szCs w:val="18"/>
                <w:lang w:val="zh-CN"/>
              </w:rPr>
              <w:t>%</w:t>
            </w:r>
          </w:p>
        </w:tc>
        <w:tc>
          <w:tcPr>
            <w:tcW w:w="963" w:type="dxa"/>
            <w:shd w:val="clear" w:color="auto" w:fill="auto"/>
            <w:vAlign w:val="bottom"/>
            <w:hideMark/>
          </w:tcPr>
          <w:p w14:paraId="6160000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9.1</w:t>
            </w:r>
          </w:p>
        </w:tc>
        <w:tc>
          <w:tcPr>
            <w:tcW w:w="1106" w:type="dxa"/>
            <w:shd w:val="clear" w:color="auto" w:fill="auto"/>
            <w:vAlign w:val="bottom"/>
            <w:hideMark/>
          </w:tcPr>
          <w:p w14:paraId="3AED0E4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8.7</w:t>
            </w:r>
          </w:p>
        </w:tc>
        <w:tc>
          <w:tcPr>
            <w:tcW w:w="1105" w:type="dxa"/>
            <w:shd w:val="clear" w:color="auto" w:fill="auto"/>
            <w:vAlign w:val="bottom"/>
            <w:hideMark/>
          </w:tcPr>
          <w:p w14:paraId="334A044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8.4</w:t>
            </w:r>
          </w:p>
        </w:tc>
        <w:tc>
          <w:tcPr>
            <w:tcW w:w="1106" w:type="dxa"/>
            <w:shd w:val="clear" w:color="auto" w:fill="auto"/>
            <w:vAlign w:val="bottom"/>
            <w:hideMark/>
          </w:tcPr>
          <w:p w14:paraId="3991DD2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8.2</w:t>
            </w:r>
          </w:p>
        </w:tc>
        <w:tc>
          <w:tcPr>
            <w:tcW w:w="1106" w:type="dxa"/>
            <w:shd w:val="clear" w:color="auto" w:fill="auto"/>
            <w:vAlign w:val="bottom"/>
            <w:hideMark/>
          </w:tcPr>
          <w:p w14:paraId="2BDDC2B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7454DBE5" w14:textId="77777777" w:rsidTr="002162D7">
        <w:tc>
          <w:tcPr>
            <w:tcW w:w="3119" w:type="dxa"/>
            <w:shd w:val="clear" w:color="auto" w:fill="auto"/>
            <w:hideMark/>
          </w:tcPr>
          <w:p w14:paraId="795C778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外国出生人口</w:t>
            </w:r>
          </w:p>
        </w:tc>
        <w:tc>
          <w:tcPr>
            <w:tcW w:w="963" w:type="dxa"/>
            <w:shd w:val="clear" w:color="auto" w:fill="auto"/>
            <w:vAlign w:val="bottom"/>
            <w:hideMark/>
          </w:tcPr>
          <w:p w14:paraId="6B636A8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2 019 733</w:t>
            </w:r>
          </w:p>
        </w:tc>
        <w:tc>
          <w:tcPr>
            <w:tcW w:w="1106" w:type="dxa"/>
            <w:shd w:val="clear" w:color="auto" w:fill="auto"/>
            <w:vAlign w:val="bottom"/>
            <w:hideMark/>
          </w:tcPr>
          <w:p w14:paraId="5FF9FB0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2 046 731</w:t>
            </w:r>
          </w:p>
        </w:tc>
        <w:tc>
          <w:tcPr>
            <w:tcW w:w="1105" w:type="dxa"/>
            <w:shd w:val="clear" w:color="auto" w:fill="auto"/>
            <w:vAlign w:val="bottom"/>
            <w:hideMark/>
          </w:tcPr>
          <w:p w14:paraId="14203AD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2 090 503</w:t>
            </w:r>
          </w:p>
        </w:tc>
        <w:tc>
          <w:tcPr>
            <w:tcW w:w="1106" w:type="dxa"/>
            <w:shd w:val="clear" w:color="auto" w:fill="auto"/>
            <w:vAlign w:val="bottom"/>
            <w:hideMark/>
          </w:tcPr>
          <w:p w14:paraId="337E619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2 145 674</w:t>
            </w:r>
          </w:p>
        </w:tc>
        <w:tc>
          <w:tcPr>
            <w:tcW w:w="1106" w:type="dxa"/>
            <w:shd w:val="clear" w:color="auto" w:fill="auto"/>
            <w:vAlign w:val="bottom"/>
            <w:hideMark/>
          </w:tcPr>
          <w:p w14:paraId="1273822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2 170 627</w:t>
            </w:r>
          </w:p>
        </w:tc>
      </w:tr>
      <w:tr w:rsidR="00893477" w:rsidRPr="007A05C0" w14:paraId="31990761" w14:textId="77777777" w:rsidTr="002162D7">
        <w:tc>
          <w:tcPr>
            <w:tcW w:w="3119" w:type="dxa"/>
            <w:shd w:val="clear" w:color="auto" w:fill="auto"/>
            <w:hideMark/>
          </w:tcPr>
          <w:p w14:paraId="7684D63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外国出生人口占总人口的</w:t>
            </w:r>
            <w:r w:rsidRPr="007A05C0">
              <w:rPr>
                <w:rFonts w:ascii="Time New Roman" w:hAnsi="Time New Roman" w:hint="eastAsia"/>
                <w:sz w:val="18"/>
                <w:szCs w:val="18"/>
                <w:lang w:val="zh-CN"/>
              </w:rPr>
              <w:t>%</w:t>
            </w:r>
          </w:p>
        </w:tc>
        <w:tc>
          <w:tcPr>
            <w:tcW w:w="963" w:type="dxa"/>
            <w:shd w:val="clear" w:color="auto" w:fill="auto"/>
            <w:vAlign w:val="bottom"/>
            <w:hideMark/>
          </w:tcPr>
          <w:p w14:paraId="611A660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19.6</w:t>
            </w:r>
          </w:p>
        </w:tc>
        <w:tc>
          <w:tcPr>
            <w:tcW w:w="1106" w:type="dxa"/>
            <w:shd w:val="clear" w:color="auto" w:fill="auto"/>
            <w:vAlign w:val="bottom"/>
            <w:hideMark/>
          </w:tcPr>
          <w:p w14:paraId="4CC8EBF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19.7</w:t>
            </w:r>
          </w:p>
        </w:tc>
        <w:tc>
          <w:tcPr>
            <w:tcW w:w="1105" w:type="dxa"/>
            <w:shd w:val="clear" w:color="auto" w:fill="auto"/>
            <w:vAlign w:val="bottom"/>
            <w:hideMark/>
          </w:tcPr>
          <w:p w14:paraId="531233C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w:t>
            </w:r>
          </w:p>
        </w:tc>
        <w:tc>
          <w:tcPr>
            <w:tcW w:w="1106" w:type="dxa"/>
            <w:shd w:val="clear" w:color="auto" w:fill="auto"/>
            <w:vAlign w:val="bottom"/>
            <w:hideMark/>
          </w:tcPr>
          <w:p w14:paraId="7C58741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20.4</w:t>
            </w:r>
          </w:p>
        </w:tc>
        <w:tc>
          <w:tcPr>
            <w:tcW w:w="1106" w:type="dxa"/>
            <w:shd w:val="clear" w:color="auto" w:fill="auto"/>
            <w:vAlign w:val="bottom"/>
            <w:hideMark/>
          </w:tcPr>
          <w:p w14:paraId="68697AC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20.6</w:t>
            </w:r>
          </w:p>
        </w:tc>
      </w:tr>
      <w:tr w:rsidR="00893477" w:rsidRPr="007A05C0" w14:paraId="4A9D77B9" w14:textId="77777777" w:rsidTr="002162D7">
        <w:tc>
          <w:tcPr>
            <w:tcW w:w="3119" w:type="dxa"/>
            <w:shd w:val="clear" w:color="auto" w:fill="auto"/>
            <w:hideMark/>
          </w:tcPr>
          <w:p w14:paraId="56BCE63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外国出生的瑞典公民人数</w:t>
            </w:r>
          </w:p>
        </w:tc>
        <w:tc>
          <w:tcPr>
            <w:tcW w:w="963" w:type="dxa"/>
            <w:shd w:val="clear" w:color="auto" w:fill="auto"/>
            <w:vAlign w:val="bottom"/>
            <w:hideMark/>
          </w:tcPr>
          <w:p w14:paraId="27D8748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1 168 202</w:t>
            </w:r>
          </w:p>
        </w:tc>
        <w:tc>
          <w:tcPr>
            <w:tcW w:w="1106" w:type="dxa"/>
            <w:shd w:val="clear" w:color="auto" w:fill="auto"/>
            <w:vAlign w:val="bottom"/>
            <w:hideMark/>
          </w:tcPr>
          <w:p w14:paraId="35FAD00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1 227 977</w:t>
            </w:r>
          </w:p>
        </w:tc>
        <w:tc>
          <w:tcPr>
            <w:tcW w:w="1105" w:type="dxa"/>
            <w:shd w:val="clear" w:color="auto" w:fill="auto"/>
            <w:vAlign w:val="bottom"/>
            <w:hideMark/>
          </w:tcPr>
          <w:p w14:paraId="720C9CB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1 292 203</w:t>
            </w:r>
          </w:p>
        </w:tc>
        <w:tc>
          <w:tcPr>
            <w:tcW w:w="1106" w:type="dxa"/>
            <w:shd w:val="clear" w:color="auto" w:fill="auto"/>
            <w:vAlign w:val="bottom"/>
            <w:hideMark/>
          </w:tcPr>
          <w:p w14:paraId="68E4634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1 358 014</w:t>
            </w:r>
          </w:p>
        </w:tc>
        <w:tc>
          <w:tcPr>
            <w:tcW w:w="1106" w:type="dxa"/>
            <w:shd w:val="clear" w:color="auto" w:fill="auto"/>
            <w:vAlign w:val="bottom"/>
            <w:hideMark/>
          </w:tcPr>
          <w:p w14:paraId="1CC19C7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097D5AC1" w14:textId="77777777" w:rsidTr="002162D7">
        <w:tc>
          <w:tcPr>
            <w:tcW w:w="3119" w:type="dxa"/>
            <w:shd w:val="clear" w:color="auto" w:fill="auto"/>
            <w:hideMark/>
          </w:tcPr>
          <w:p w14:paraId="1606C7E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瑞典出生但父母均在外国出生的人口</w:t>
            </w:r>
          </w:p>
        </w:tc>
        <w:tc>
          <w:tcPr>
            <w:tcW w:w="963" w:type="dxa"/>
            <w:shd w:val="clear" w:color="auto" w:fill="auto"/>
            <w:vAlign w:val="bottom"/>
            <w:hideMark/>
          </w:tcPr>
          <w:p w14:paraId="1D2FBEA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615 234</w:t>
            </w:r>
          </w:p>
        </w:tc>
        <w:tc>
          <w:tcPr>
            <w:tcW w:w="1106" w:type="dxa"/>
            <w:shd w:val="clear" w:color="auto" w:fill="auto"/>
            <w:vAlign w:val="bottom"/>
            <w:hideMark/>
          </w:tcPr>
          <w:p w14:paraId="4BB1454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639 309</w:t>
            </w:r>
          </w:p>
        </w:tc>
        <w:tc>
          <w:tcPr>
            <w:tcW w:w="1105" w:type="dxa"/>
            <w:shd w:val="clear" w:color="auto" w:fill="auto"/>
            <w:vAlign w:val="bottom"/>
            <w:hideMark/>
          </w:tcPr>
          <w:p w14:paraId="6ABAF13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662 069</w:t>
            </w:r>
          </w:p>
        </w:tc>
        <w:tc>
          <w:tcPr>
            <w:tcW w:w="1106" w:type="dxa"/>
            <w:shd w:val="clear" w:color="auto" w:fill="auto"/>
            <w:vAlign w:val="bottom"/>
            <w:hideMark/>
          </w:tcPr>
          <w:p w14:paraId="20C45E3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681 448</w:t>
            </w:r>
          </w:p>
        </w:tc>
        <w:tc>
          <w:tcPr>
            <w:tcW w:w="1106" w:type="dxa"/>
            <w:shd w:val="clear" w:color="auto" w:fill="auto"/>
            <w:vAlign w:val="bottom"/>
            <w:hideMark/>
          </w:tcPr>
          <w:p w14:paraId="286017C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71BB1760" w14:textId="77777777" w:rsidTr="002162D7">
        <w:tc>
          <w:tcPr>
            <w:tcW w:w="3119" w:type="dxa"/>
            <w:shd w:val="clear" w:color="auto" w:fill="auto"/>
            <w:hideMark/>
          </w:tcPr>
          <w:p w14:paraId="290F64B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具有外国背景的人口占总人口的</w:t>
            </w:r>
            <w:r w:rsidRPr="007A05C0">
              <w:rPr>
                <w:rFonts w:ascii="Time New Roman" w:hAnsi="Time New Roman" w:hint="eastAsia"/>
                <w:sz w:val="18"/>
                <w:szCs w:val="18"/>
                <w:lang w:val="zh-CN"/>
              </w:rPr>
              <w:t xml:space="preserve">% </w:t>
            </w:r>
            <w:r w:rsidRPr="007A05C0">
              <w:rPr>
                <w:rFonts w:ascii="Time New Roman" w:hAnsi="Time New Roman" w:hint="eastAsia"/>
                <w:sz w:val="18"/>
                <w:szCs w:val="18"/>
                <w:vertAlign w:val="superscript"/>
                <w:lang w:val="zh-CN"/>
              </w:rPr>
              <w:t>2</w:t>
            </w:r>
          </w:p>
        </w:tc>
        <w:tc>
          <w:tcPr>
            <w:tcW w:w="963" w:type="dxa"/>
            <w:shd w:val="clear" w:color="auto" w:fill="auto"/>
            <w:vAlign w:val="bottom"/>
            <w:hideMark/>
          </w:tcPr>
          <w:p w14:paraId="4E96DE8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25.5</w:t>
            </w:r>
          </w:p>
        </w:tc>
        <w:tc>
          <w:tcPr>
            <w:tcW w:w="1106" w:type="dxa"/>
            <w:shd w:val="clear" w:color="auto" w:fill="auto"/>
            <w:vAlign w:val="bottom"/>
            <w:hideMark/>
          </w:tcPr>
          <w:p w14:paraId="0CE4918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25.9</w:t>
            </w:r>
          </w:p>
        </w:tc>
        <w:tc>
          <w:tcPr>
            <w:tcW w:w="1105" w:type="dxa"/>
            <w:shd w:val="clear" w:color="auto" w:fill="auto"/>
            <w:vAlign w:val="bottom"/>
            <w:hideMark/>
          </w:tcPr>
          <w:p w14:paraId="37B0AF4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26.3</w:t>
            </w:r>
          </w:p>
        </w:tc>
        <w:tc>
          <w:tcPr>
            <w:tcW w:w="1106" w:type="dxa"/>
            <w:shd w:val="clear" w:color="auto" w:fill="auto"/>
            <w:vAlign w:val="bottom"/>
            <w:hideMark/>
          </w:tcPr>
          <w:p w14:paraId="1040331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26.9</w:t>
            </w:r>
          </w:p>
        </w:tc>
        <w:tc>
          <w:tcPr>
            <w:tcW w:w="1106" w:type="dxa"/>
            <w:shd w:val="clear" w:color="auto" w:fill="auto"/>
            <w:vAlign w:val="bottom"/>
            <w:hideMark/>
          </w:tcPr>
          <w:p w14:paraId="09F406F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18C70CE6" w14:textId="77777777" w:rsidTr="002162D7">
        <w:tc>
          <w:tcPr>
            <w:tcW w:w="3119" w:type="dxa"/>
            <w:shd w:val="clear" w:color="auto" w:fill="auto"/>
            <w:hideMark/>
          </w:tcPr>
          <w:p w14:paraId="317CB72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活产婴儿数量</w:t>
            </w:r>
          </w:p>
        </w:tc>
        <w:tc>
          <w:tcPr>
            <w:tcW w:w="963" w:type="dxa"/>
            <w:shd w:val="clear" w:color="auto" w:fill="auto"/>
            <w:vAlign w:val="bottom"/>
            <w:hideMark/>
          </w:tcPr>
          <w:p w14:paraId="188C62E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114 523</w:t>
            </w:r>
          </w:p>
        </w:tc>
        <w:tc>
          <w:tcPr>
            <w:tcW w:w="1106" w:type="dxa"/>
            <w:shd w:val="clear" w:color="auto" w:fill="auto"/>
            <w:vAlign w:val="bottom"/>
            <w:hideMark/>
          </w:tcPr>
          <w:p w14:paraId="5CBB608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113 077</w:t>
            </w:r>
          </w:p>
        </w:tc>
        <w:tc>
          <w:tcPr>
            <w:tcW w:w="1105" w:type="dxa"/>
            <w:shd w:val="clear" w:color="auto" w:fill="auto"/>
            <w:vAlign w:val="bottom"/>
            <w:hideMark/>
          </w:tcPr>
          <w:p w14:paraId="1B72293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114 263</w:t>
            </w:r>
          </w:p>
        </w:tc>
        <w:tc>
          <w:tcPr>
            <w:tcW w:w="1106" w:type="dxa"/>
            <w:shd w:val="clear" w:color="auto" w:fill="auto"/>
            <w:vAlign w:val="bottom"/>
            <w:hideMark/>
          </w:tcPr>
          <w:p w14:paraId="05A4734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104 734</w:t>
            </w:r>
          </w:p>
        </w:tc>
        <w:tc>
          <w:tcPr>
            <w:tcW w:w="1106" w:type="dxa"/>
            <w:shd w:val="clear" w:color="auto" w:fill="auto"/>
            <w:vAlign w:val="bottom"/>
            <w:hideMark/>
          </w:tcPr>
          <w:p w14:paraId="10E7698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100 051</w:t>
            </w:r>
          </w:p>
        </w:tc>
      </w:tr>
      <w:tr w:rsidR="00893477" w:rsidRPr="007A05C0" w14:paraId="7E4142D6" w14:textId="77777777" w:rsidTr="002162D7">
        <w:tc>
          <w:tcPr>
            <w:tcW w:w="3119" w:type="dxa"/>
            <w:shd w:val="clear" w:color="auto" w:fill="auto"/>
            <w:hideMark/>
          </w:tcPr>
          <w:p w14:paraId="27468C4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出生率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每千人</w:t>
            </w:r>
            <w:r w:rsidRPr="007A05C0">
              <w:rPr>
                <w:rFonts w:ascii="Time New Roman" w:hAnsi="Time New Roman" w:hint="eastAsia"/>
                <w:sz w:val="18"/>
                <w:szCs w:val="18"/>
                <w:lang w:val="zh-CN"/>
              </w:rPr>
              <w:t>)</w:t>
            </w:r>
          </w:p>
        </w:tc>
        <w:tc>
          <w:tcPr>
            <w:tcW w:w="963" w:type="dxa"/>
            <w:shd w:val="clear" w:color="auto" w:fill="auto"/>
            <w:vAlign w:val="bottom"/>
            <w:hideMark/>
          </w:tcPr>
          <w:p w14:paraId="5880468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11.1</w:t>
            </w:r>
          </w:p>
        </w:tc>
        <w:tc>
          <w:tcPr>
            <w:tcW w:w="1106" w:type="dxa"/>
            <w:shd w:val="clear" w:color="auto" w:fill="auto"/>
            <w:vAlign w:val="bottom"/>
            <w:hideMark/>
          </w:tcPr>
          <w:p w14:paraId="4C1E6E8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10.9</w:t>
            </w:r>
          </w:p>
        </w:tc>
        <w:tc>
          <w:tcPr>
            <w:tcW w:w="1105" w:type="dxa"/>
            <w:shd w:val="clear" w:color="auto" w:fill="auto"/>
            <w:vAlign w:val="bottom"/>
            <w:hideMark/>
          </w:tcPr>
          <w:p w14:paraId="46820CF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w:t>
            </w:r>
          </w:p>
        </w:tc>
        <w:tc>
          <w:tcPr>
            <w:tcW w:w="1106" w:type="dxa"/>
            <w:shd w:val="clear" w:color="auto" w:fill="auto"/>
            <w:vAlign w:val="bottom"/>
            <w:hideMark/>
          </w:tcPr>
          <w:p w14:paraId="0637A81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w:t>
            </w:r>
          </w:p>
        </w:tc>
        <w:tc>
          <w:tcPr>
            <w:tcW w:w="1106" w:type="dxa"/>
            <w:shd w:val="clear" w:color="auto" w:fill="auto"/>
            <w:vAlign w:val="bottom"/>
            <w:hideMark/>
          </w:tcPr>
          <w:p w14:paraId="203722D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9.5</w:t>
            </w:r>
          </w:p>
        </w:tc>
      </w:tr>
      <w:tr w:rsidR="00893477" w:rsidRPr="007A05C0" w14:paraId="4DF2839B" w14:textId="77777777" w:rsidTr="002162D7">
        <w:tc>
          <w:tcPr>
            <w:tcW w:w="3119" w:type="dxa"/>
            <w:shd w:val="clear" w:color="auto" w:fill="auto"/>
            <w:hideMark/>
          </w:tcPr>
          <w:p w14:paraId="28AE01A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总和生育率</w:t>
            </w:r>
          </w:p>
        </w:tc>
        <w:tc>
          <w:tcPr>
            <w:tcW w:w="963" w:type="dxa"/>
            <w:shd w:val="clear" w:color="auto" w:fill="auto"/>
            <w:vAlign w:val="bottom"/>
            <w:hideMark/>
          </w:tcPr>
          <w:p w14:paraId="3683467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1.7</w:t>
            </w:r>
          </w:p>
        </w:tc>
        <w:tc>
          <w:tcPr>
            <w:tcW w:w="1106" w:type="dxa"/>
            <w:shd w:val="clear" w:color="auto" w:fill="auto"/>
            <w:vAlign w:val="bottom"/>
            <w:hideMark/>
          </w:tcPr>
          <w:p w14:paraId="6532AC9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1.66</w:t>
            </w:r>
          </w:p>
        </w:tc>
        <w:tc>
          <w:tcPr>
            <w:tcW w:w="1105" w:type="dxa"/>
            <w:shd w:val="clear" w:color="auto" w:fill="auto"/>
            <w:vAlign w:val="bottom"/>
            <w:hideMark/>
          </w:tcPr>
          <w:p w14:paraId="64146F5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1.67</w:t>
            </w:r>
          </w:p>
        </w:tc>
        <w:tc>
          <w:tcPr>
            <w:tcW w:w="1106" w:type="dxa"/>
            <w:shd w:val="clear" w:color="auto" w:fill="auto"/>
            <w:vAlign w:val="bottom"/>
            <w:hideMark/>
          </w:tcPr>
          <w:p w14:paraId="7EFFCC1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1.52</w:t>
            </w:r>
          </w:p>
        </w:tc>
        <w:tc>
          <w:tcPr>
            <w:tcW w:w="1106" w:type="dxa"/>
            <w:shd w:val="clear" w:color="auto" w:fill="auto"/>
            <w:vAlign w:val="bottom"/>
            <w:hideMark/>
          </w:tcPr>
          <w:p w14:paraId="36469C9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1.45</w:t>
            </w:r>
          </w:p>
        </w:tc>
      </w:tr>
      <w:tr w:rsidR="00893477" w:rsidRPr="007A05C0" w14:paraId="6E4CB82C" w14:textId="77777777" w:rsidTr="002162D7">
        <w:tc>
          <w:tcPr>
            <w:tcW w:w="3119" w:type="dxa"/>
            <w:shd w:val="clear" w:color="auto" w:fill="auto"/>
            <w:hideMark/>
          </w:tcPr>
          <w:p w14:paraId="6BAFABF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死亡人数</w:t>
            </w:r>
          </w:p>
        </w:tc>
        <w:tc>
          <w:tcPr>
            <w:tcW w:w="963" w:type="dxa"/>
            <w:shd w:val="clear" w:color="auto" w:fill="auto"/>
            <w:vAlign w:val="bottom"/>
            <w:hideMark/>
          </w:tcPr>
          <w:p w14:paraId="4D65410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88 766</w:t>
            </w:r>
          </w:p>
        </w:tc>
        <w:tc>
          <w:tcPr>
            <w:tcW w:w="1106" w:type="dxa"/>
            <w:shd w:val="clear" w:color="auto" w:fill="auto"/>
            <w:vAlign w:val="bottom"/>
            <w:hideMark/>
          </w:tcPr>
          <w:p w14:paraId="407D889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98 124</w:t>
            </w:r>
          </w:p>
        </w:tc>
        <w:tc>
          <w:tcPr>
            <w:tcW w:w="1105" w:type="dxa"/>
            <w:shd w:val="clear" w:color="auto" w:fill="auto"/>
            <w:vAlign w:val="bottom"/>
            <w:hideMark/>
          </w:tcPr>
          <w:p w14:paraId="2AED957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91 958</w:t>
            </w:r>
          </w:p>
        </w:tc>
        <w:tc>
          <w:tcPr>
            <w:tcW w:w="1106" w:type="dxa"/>
            <w:shd w:val="clear" w:color="auto" w:fill="auto"/>
            <w:vAlign w:val="bottom"/>
            <w:hideMark/>
          </w:tcPr>
          <w:p w14:paraId="778AFDA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94 737</w:t>
            </w:r>
          </w:p>
        </w:tc>
        <w:tc>
          <w:tcPr>
            <w:tcW w:w="1106" w:type="dxa"/>
            <w:shd w:val="clear" w:color="auto" w:fill="auto"/>
            <w:vAlign w:val="bottom"/>
            <w:hideMark/>
          </w:tcPr>
          <w:p w14:paraId="2A327F5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94 385</w:t>
            </w:r>
          </w:p>
        </w:tc>
      </w:tr>
      <w:tr w:rsidR="00893477" w:rsidRPr="007A05C0" w14:paraId="6534A63F" w14:textId="77777777" w:rsidTr="002162D7">
        <w:tc>
          <w:tcPr>
            <w:tcW w:w="3119" w:type="dxa"/>
            <w:shd w:val="clear" w:color="auto" w:fill="auto"/>
            <w:hideMark/>
          </w:tcPr>
          <w:p w14:paraId="1042625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死亡率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每千人</w:t>
            </w:r>
            <w:r w:rsidRPr="007A05C0">
              <w:rPr>
                <w:rFonts w:ascii="Time New Roman" w:hAnsi="Time New Roman" w:hint="eastAsia"/>
                <w:sz w:val="18"/>
                <w:szCs w:val="18"/>
                <w:lang w:val="zh-CN"/>
              </w:rPr>
              <w:t>)</w:t>
            </w:r>
            <w:bookmarkStart w:id="0" w:name="_Hlk159241876"/>
            <w:bookmarkEnd w:id="0"/>
          </w:p>
        </w:tc>
        <w:tc>
          <w:tcPr>
            <w:tcW w:w="963" w:type="dxa"/>
            <w:shd w:val="clear" w:color="auto" w:fill="auto"/>
            <w:vAlign w:val="bottom"/>
            <w:hideMark/>
          </w:tcPr>
          <w:p w14:paraId="5DC2EB2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8.6</w:t>
            </w:r>
          </w:p>
        </w:tc>
        <w:tc>
          <w:tcPr>
            <w:tcW w:w="1106" w:type="dxa"/>
            <w:shd w:val="clear" w:color="auto" w:fill="auto"/>
            <w:vAlign w:val="bottom"/>
            <w:hideMark/>
          </w:tcPr>
          <w:p w14:paraId="19C54C8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9.5</w:t>
            </w:r>
          </w:p>
        </w:tc>
        <w:tc>
          <w:tcPr>
            <w:tcW w:w="1105" w:type="dxa"/>
            <w:shd w:val="clear" w:color="auto" w:fill="auto"/>
            <w:vAlign w:val="bottom"/>
            <w:hideMark/>
          </w:tcPr>
          <w:p w14:paraId="4115CAC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8.8</w:t>
            </w:r>
          </w:p>
        </w:tc>
        <w:tc>
          <w:tcPr>
            <w:tcW w:w="1106" w:type="dxa"/>
            <w:shd w:val="clear" w:color="auto" w:fill="auto"/>
            <w:vAlign w:val="bottom"/>
            <w:hideMark/>
          </w:tcPr>
          <w:p w14:paraId="7C12330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w:t>
            </w:r>
          </w:p>
        </w:tc>
        <w:tc>
          <w:tcPr>
            <w:tcW w:w="1106" w:type="dxa"/>
            <w:shd w:val="clear" w:color="auto" w:fill="auto"/>
            <w:vAlign w:val="bottom"/>
            <w:hideMark/>
          </w:tcPr>
          <w:p w14:paraId="613C667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w:t>
            </w:r>
          </w:p>
        </w:tc>
      </w:tr>
      <w:tr w:rsidR="00893477" w:rsidRPr="007A05C0" w14:paraId="01D002AB" w14:textId="77777777" w:rsidTr="002162D7">
        <w:tc>
          <w:tcPr>
            <w:tcW w:w="3119" w:type="dxa"/>
            <w:shd w:val="clear" w:color="auto" w:fill="auto"/>
            <w:hideMark/>
          </w:tcPr>
          <w:p w14:paraId="2FDA9AC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男性预期寿命</w:t>
            </w:r>
          </w:p>
        </w:tc>
        <w:tc>
          <w:tcPr>
            <w:tcW w:w="963" w:type="dxa"/>
            <w:shd w:val="clear" w:color="auto" w:fill="auto"/>
            <w:vAlign w:val="bottom"/>
            <w:hideMark/>
          </w:tcPr>
          <w:p w14:paraId="706F85B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81.34</w:t>
            </w:r>
          </w:p>
        </w:tc>
        <w:tc>
          <w:tcPr>
            <w:tcW w:w="1106" w:type="dxa"/>
            <w:shd w:val="clear" w:color="auto" w:fill="auto"/>
            <w:vAlign w:val="bottom"/>
            <w:hideMark/>
          </w:tcPr>
          <w:p w14:paraId="016AF3F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80.6</w:t>
            </w:r>
          </w:p>
        </w:tc>
        <w:tc>
          <w:tcPr>
            <w:tcW w:w="1105" w:type="dxa"/>
            <w:shd w:val="clear" w:color="auto" w:fill="auto"/>
            <w:vAlign w:val="bottom"/>
            <w:hideMark/>
          </w:tcPr>
          <w:p w14:paraId="7F1DFCB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81.21</w:t>
            </w:r>
          </w:p>
        </w:tc>
        <w:tc>
          <w:tcPr>
            <w:tcW w:w="1106" w:type="dxa"/>
            <w:shd w:val="clear" w:color="auto" w:fill="auto"/>
            <w:vAlign w:val="bottom"/>
            <w:hideMark/>
          </w:tcPr>
          <w:p w14:paraId="3C748B8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81.34</w:t>
            </w:r>
          </w:p>
        </w:tc>
        <w:tc>
          <w:tcPr>
            <w:tcW w:w="1106" w:type="dxa"/>
            <w:shd w:val="clear" w:color="auto" w:fill="auto"/>
            <w:vAlign w:val="bottom"/>
            <w:hideMark/>
          </w:tcPr>
          <w:p w14:paraId="5E190B3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55766C99" w14:textId="77777777" w:rsidTr="002162D7">
        <w:tc>
          <w:tcPr>
            <w:tcW w:w="3119" w:type="dxa"/>
            <w:shd w:val="clear" w:color="auto" w:fill="auto"/>
            <w:hideMark/>
          </w:tcPr>
          <w:p w14:paraId="24030AC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女性预期寿命</w:t>
            </w:r>
          </w:p>
        </w:tc>
        <w:tc>
          <w:tcPr>
            <w:tcW w:w="963" w:type="dxa"/>
            <w:shd w:val="clear" w:color="auto" w:fill="auto"/>
            <w:vAlign w:val="bottom"/>
            <w:hideMark/>
          </w:tcPr>
          <w:p w14:paraId="23C03D2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84.73</w:t>
            </w:r>
          </w:p>
        </w:tc>
        <w:tc>
          <w:tcPr>
            <w:tcW w:w="1106" w:type="dxa"/>
            <w:shd w:val="clear" w:color="auto" w:fill="auto"/>
            <w:vAlign w:val="bottom"/>
            <w:hideMark/>
          </w:tcPr>
          <w:p w14:paraId="20F78E2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84.29</w:t>
            </w:r>
          </w:p>
        </w:tc>
        <w:tc>
          <w:tcPr>
            <w:tcW w:w="1105" w:type="dxa"/>
            <w:shd w:val="clear" w:color="auto" w:fill="auto"/>
            <w:vAlign w:val="bottom"/>
            <w:hideMark/>
          </w:tcPr>
          <w:p w14:paraId="5415982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84.82</w:t>
            </w:r>
          </w:p>
        </w:tc>
        <w:tc>
          <w:tcPr>
            <w:tcW w:w="1106" w:type="dxa"/>
            <w:shd w:val="clear" w:color="auto" w:fill="auto"/>
            <w:vAlign w:val="bottom"/>
            <w:hideMark/>
          </w:tcPr>
          <w:p w14:paraId="5B7BFC05"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84.73</w:t>
            </w:r>
          </w:p>
        </w:tc>
        <w:tc>
          <w:tcPr>
            <w:tcW w:w="1106" w:type="dxa"/>
            <w:shd w:val="clear" w:color="auto" w:fill="auto"/>
            <w:vAlign w:val="bottom"/>
            <w:hideMark/>
          </w:tcPr>
          <w:p w14:paraId="3E80277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1485BE3B" w14:textId="77777777" w:rsidTr="002162D7">
        <w:tc>
          <w:tcPr>
            <w:tcW w:w="3119" w:type="dxa"/>
            <w:shd w:val="clear" w:color="auto" w:fill="auto"/>
            <w:hideMark/>
          </w:tcPr>
          <w:p w14:paraId="3B31132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婴儿死亡率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每千名活产婴儿</w:t>
            </w:r>
            <w:r w:rsidRPr="007A05C0">
              <w:rPr>
                <w:rFonts w:ascii="Time New Roman" w:hAnsi="Time New Roman" w:hint="eastAsia"/>
                <w:sz w:val="18"/>
                <w:szCs w:val="18"/>
                <w:lang w:val="zh-CN"/>
              </w:rPr>
              <w:t>)</w:t>
            </w:r>
          </w:p>
        </w:tc>
        <w:tc>
          <w:tcPr>
            <w:tcW w:w="963" w:type="dxa"/>
            <w:shd w:val="clear" w:color="auto" w:fill="auto"/>
            <w:vAlign w:val="bottom"/>
            <w:hideMark/>
          </w:tcPr>
          <w:p w14:paraId="64B8BCB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2.07</w:t>
            </w:r>
          </w:p>
        </w:tc>
        <w:tc>
          <w:tcPr>
            <w:tcW w:w="1106" w:type="dxa"/>
            <w:shd w:val="clear" w:color="auto" w:fill="auto"/>
            <w:vAlign w:val="bottom"/>
            <w:hideMark/>
          </w:tcPr>
          <w:p w14:paraId="1E2DD5B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2.37</w:t>
            </w:r>
          </w:p>
        </w:tc>
        <w:tc>
          <w:tcPr>
            <w:tcW w:w="1105" w:type="dxa"/>
            <w:shd w:val="clear" w:color="auto" w:fill="auto"/>
            <w:vAlign w:val="bottom"/>
            <w:hideMark/>
          </w:tcPr>
          <w:p w14:paraId="5F6C774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1.85</w:t>
            </w:r>
          </w:p>
        </w:tc>
        <w:tc>
          <w:tcPr>
            <w:tcW w:w="1106" w:type="dxa"/>
            <w:shd w:val="clear" w:color="auto" w:fill="auto"/>
            <w:vAlign w:val="bottom"/>
            <w:hideMark/>
          </w:tcPr>
          <w:p w14:paraId="5F29395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2.19</w:t>
            </w:r>
          </w:p>
        </w:tc>
        <w:tc>
          <w:tcPr>
            <w:tcW w:w="1106" w:type="dxa"/>
            <w:shd w:val="clear" w:color="auto" w:fill="auto"/>
            <w:vAlign w:val="bottom"/>
            <w:hideMark/>
          </w:tcPr>
          <w:p w14:paraId="4B8A525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r w:rsidR="00893477" w:rsidRPr="007A05C0" w14:paraId="7224E488" w14:textId="77777777" w:rsidTr="002162D7">
        <w:tc>
          <w:tcPr>
            <w:tcW w:w="3119" w:type="dxa"/>
            <w:shd w:val="clear" w:color="auto" w:fill="auto"/>
            <w:hideMark/>
          </w:tcPr>
          <w:p w14:paraId="69DFA31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移民人数</w:t>
            </w:r>
          </w:p>
        </w:tc>
        <w:tc>
          <w:tcPr>
            <w:tcW w:w="963" w:type="dxa"/>
            <w:shd w:val="clear" w:color="auto" w:fill="auto"/>
            <w:vAlign w:val="bottom"/>
            <w:hideMark/>
          </w:tcPr>
          <w:p w14:paraId="43818CE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115 805</w:t>
            </w:r>
          </w:p>
        </w:tc>
        <w:tc>
          <w:tcPr>
            <w:tcW w:w="1106" w:type="dxa"/>
            <w:shd w:val="clear" w:color="auto" w:fill="auto"/>
            <w:vAlign w:val="bottom"/>
            <w:hideMark/>
          </w:tcPr>
          <w:p w14:paraId="5C06DC3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82 518</w:t>
            </w:r>
          </w:p>
        </w:tc>
        <w:tc>
          <w:tcPr>
            <w:tcW w:w="1105" w:type="dxa"/>
            <w:shd w:val="clear" w:color="auto" w:fill="auto"/>
            <w:vAlign w:val="bottom"/>
            <w:hideMark/>
          </w:tcPr>
          <w:p w14:paraId="0E3C396D"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90 631</w:t>
            </w:r>
          </w:p>
        </w:tc>
        <w:tc>
          <w:tcPr>
            <w:tcW w:w="1106" w:type="dxa"/>
            <w:shd w:val="clear" w:color="auto" w:fill="auto"/>
            <w:vAlign w:val="bottom"/>
            <w:hideMark/>
          </w:tcPr>
          <w:p w14:paraId="3773CA9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102 436</w:t>
            </w:r>
          </w:p>
        </w:tc>
        <w:tc>
          <w:tcPr>
            <w:tcW w:w="1106" w:type="dxa"/>
            <w:shd w:val="clear" w:color="auto" w:fill="auto"/>
            <w:vAlign w:val="bottom"/>
            <w:hideMark/>
          </w:tcPr>
          <w:p w14:paraId="702FBAF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bookmarkStart w:id="1" w:name="_Hlk159240789"/>
            <w:r w:rsidRPr="007A05C0">
              <w:rPr>
                <w:rFonts w:ascii="Time New Roman" w:hAnsi="Time New Roman" w:hint="eastAsia"/>
                <w:sz w:val="18"/>
                <w:szCs w:val="18"/>
                <w:lang w:val="zh-CN"/>
              </w:rPr>
              <w:t>94 514</w:t>
            </w:r>
            <w:bookmarkEnd w:id="1"/>
          </w:p>
        </w:tc>
      </w:tr>
      <w:tr w:rsidR="00893477" w:rsidRPr="007A05C0" w14:paraId="099D7C26" w14:textId="77777777" w:rsidTr="002162D7">
        <w:tc>
          <w:tcPr>
            <w:tcW w:w="3119" w:type="dxa"/>
            <w:shd w:val="clear" w:color="auto" w:fill="auto"/>
            <w:hideMark/>
          </w:tcPr>
          <w:p w14:paraId="0C601BD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移入率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年初每千人</w:t>
            </w:r>
            <w:r w:rsidRPr="007A05C0">
              <w:rPr>
                <w:rFonts w:ascii="Time New Roman" w:hAnsi="Time New Roman" w:hint="eastAsia"/>
                <w:sz w:val="18"/>
                <w:szCs w:val="18"/>
                <w:lang w:val="zh-CN"/>
              </w:rPr>
              <w:t>)</w:t>
            </w:r>
          </w:p>
        </w:tc>
        <w:tc>
          <w:tcPr>
            <w:tcW w:w="963" w:type="dxa"/>
            <w:shd w:val="clear" w:color="auto" w:fill="auto"/>
            <w:vAlign w:val="bottom"/>
            <w:hideMark/>
          </w:tcPr>
          <w:p w14:paraId="5E189FE8"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11.3</w:t>
            </w:r>
          </w:p>
        </w:tc>
        <w:tc>
          <w:tcPr>
            <w:tcW w:w="1106" w:type="dxa"/>
            <w:shd w:val="clear" w:color="auto" w:fill="auto"/>
            <w:vAlign w:val="bottom"/>
            <w:hideMark/>
          </w:tcPr>
          <w:p w14:paraId="71BB65D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w:t>
            </w:r>
          </w:p>
        </w:tc>
        <w:tc>
          <w:tcPr>
            <w:tcW w:w="1105" w:type="dxa"/>
            <w:shd w:val="clear" w:color="auto" w:fill="auto"/>
            <w:vAlign w:val="bottom"/>
            <w:hideMark/>
          </w:tcPr>
          <w:p w14:paraId="3D3ECBC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8.7</w:t>
            </w:r>
          </w:p>
        </w:tc>
        <w:tc>
          <w:tcPr>
            <w:tcW w:w="1106" w:type="dxa"/>
            <w:shd w:val="clear" w:color="auto" w:fill="auto"/>
            <w:vAlign w:val="bottom"/>
            <w:hideMark/>
          </w:tcPr>
          <w:p w14:paraId="2D1CC06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9.8</w:t>
            </w:r>
          </w:p>
        </w:tc>
        <w:tc>
          <w:tcPr>
            <w:tcW w:w="1106" w:type="dxa"/>
            <w:shd w:val="clear" w:color="auto" w:fill="auto"/>
            <w:vAlign w:val="bottom"/>
            <w:hideMark/>
          </w:tcPr>
          <w:p w14:paraId="430DF5D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w:t>
            </w:r>
          </w:p>
        </w:tc>
      </w:tr>
      <w:tr w:rsidR="00893477" w:rsidRPr="007A05C0" w14:paraId="0B90F0F2" w14:textId="77777777" w:rsidTr="002162D7">
        <w:tc>
          <w:tcPr>
            <w:tcW w:w="3119" w:type="dxa"/>
            <w:shd w:val="clear" w:color="auto" w:fill="auto"/>
            <w:hideMark/>
          </w:tcPr>
          <w:p w14:paraId="79B06A0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移居国外人数</w:t>
            </w:r>
          </w:p>
        </w:tc>
        <w:tc>
          <w:tcPr>
            <w:tcW w:w="963" w:type="dxa"/>
            <w:shd w:val="clear" w:color="auto" w:fill="auto"/>
            <w:vAlign w:val="bottom"/>
            <w:hideMark/>
          </w:tcPr>
          <w:p w14:paraId="7FDFD55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47 718</w:t>
            </w:r>
          </w:p>
        </w:tc>
        <w:tc>
          <w:tcPr>
            <w:tcW w:w="1106" w:type="dxa"/>
            <w:shd w:val="clear" w:color="auto" w:fill="auto"/>
            <w:vAlign w:val="bottom"/>
            <w:hideMark/>
          </w:tcPr>
          <w:p w14:paraId="49098716"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48 937</w:t>
            </w:r>
          </w:p>
        </w:tc>
        <w:tc>
          <w:tcPr>
            <w:tcW w:w="1105" w:type="dxa"/>
            <w:shd w:val="clear" w:color="auto" w:fill="auto"/>
            <w:vAlign w:val="bottom"/>
            <w:hideMark/>
          </w:tcPr>
          <w:p w14:paraId="0D902E49"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48 284</w:t>
            </w:r>
          </w:p>
        </w:tc>
        <w:tc>
          <w:tcPr>
            <w:tcW w:w="1106" w:type="dxa"/>
            <w:shd w:val="clear" w:color="auto" w:fill="auto"/>
            <w:vAlign w:val="bottom"/>
            <w:hideMark/>
          </w:tcPr>
          <w:p w14:paraId="6F4C717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50 592</w:t>
            </w:r>
          </w:p>
        </w:tc>
        <w:tc>
          <w:tcPr>
            <w:tcW w:w="1106" w:type="dxa"/>
            <w:shd w:val="clear" w:color="auto" w:fill="auto"/>
            <w:vAlign w:val="bottom"/>
            <w:hideMark/>
          </w:tcPr>
          <w:p w14:paraId="62A914D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73 434</w:t>
            </w:r>
          </w:p>
        </w:tc>
      </w:tr>
      <w:tr w:rsidR="00893477" w:rsidRPr="007A05C0" w14:paraId="111DC5F5" w14:textId="77777777" w:rsidTr="002162D7">
        <w:tc>
          <w:tcPr>
            <w:tcW w:w="3119" w:type="dxa"/>
            <w:shd w:val="clear" w:color="auto" w:fill="auto"/>
            <w:hideMark/>
          </w:tcPr>
          <w:p w14:paraId="527824E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移出率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年初每千人</w:t>
            </w:r>
            <w:r w:rsidRPr="007A05C0">
              <w:rPr>
                <w:rFonts w:ascii="Time New Roman" w:hAnsi="Time New Roman" w:hint="eastAsia"/>
                <w:sz w:val="18"/>
                <w:szCs w:val="18"/>
                <w:lang w:val="zh-CN"/>
              </w:rPr>
              <w:t>)</w:t>
            </w:r>
          </w:p>
        </w:tc>
        <w:tc>
          <w:tcPr>
            <w:tcW w:w="963" w:type="dxa"/>
            <w:shd w:val="clear" w:color="auto" w:fill="auto"/>
            <w:vAlign w:val="bottom"/>
            <w:hideMark/>
          </w:tcPr>
          <w:p w14:paraId="662D1D4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4.7</w:t>
            </w:r>
          </w:p>
        </w:tc>
        <w:tc>
          <w:tcPr>
            <w:tcW w:w="1106" w:type="dxa"/>
            <w:shd w:val="clear" w:color="auto" w:fill="auto"/>
            <w:vAlign w:val="bottom"/>
            <w:hideMark/>
          </w:tcPr>
          <w:p w14:paraId="6BC8A7F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4.7</w:t>
            </w:r>
          </w:p>
        </w:tc>
        <w:tc>
          <w:tcPr>
            <w:tcW w:w="1105" w:type="dxa"/>
            <w:shd w:val="clear" w:color="auto" w:fill="auto"/>
            <w:vAlign w:val="bottom"/>
            <w:hideMark/>
          </w:tcPr>
          <w:p w14:paraId="0BE1C9D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4.7</w:t>
            </w:r>
          </w:p>
        </w:tc>
        <w:tc>
          <w:tcPr>
            <w:tcW w:w="1106" w:type="dxa"/>
            <w:shd w:val="clear" w:color="auto" w:fill="auto"/>
            <w:vAlign w:val="bottom"/>
            <w:hideMark/>
          </w:tcPr>
          <w:p w14:paraId="7009F03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4.8</w:t>
            </w:r>
          </w:p>
        </w:tc>
        <w:tc>
          <w:tcPr>
            <w:tcW w:w="1106" w:type="dxa"/>
            <w:shd w:val="clear" w:color="auto" w:fill="auto"/>
            <w:vAlign w:val="bottom"/>
            <w:hideMark/>
          </w:tcPr>
          <w:p w14:paraId="48521C8A"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7.0</w:t>
            </w:r>
          </w:p>
        </w:tc>
      </w:tr>
      <w:tr w:rsidR="00893477" w:rsidRPr="007A05C0" w14:paraId="16624F6B" w14:textId="77777777" w:rsidTr="002162D7">
        <w:tc>
          <w:tcPr>
            <w:tcW w:w="3119" w:type="dxa"/>
            <w:shd w:val="clear" w:color="auto" w:fill="auto"/>
            <w:hideMark/>
          </w:tcPr>
          <w:p w14:paraId="3E400A17"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人口增长数量</w:t>
            </w:r>
          </w:p>
        </w:tc>
        <w:tc>
          <w:tcPr>
            <w:tcW w:w="963" w:type="dxa"/>
            <w:shd w:val="clear" w:color="auto" w:fill="auto"/>
            <w:vAlign w:val="bottom"/>
            <w:hideMark/>
          </w:tcPr>
          <w:p w14:paraId="39CFF623"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97 404</w:t>
            </w:r>
          </w:p>
        </w:tc>
        <w:tc>
          <w:tcPr>
            <w:tcW w:w="1106" w:type="dxa"/>
            <w:shd w:val="clear" w:color="auto" w:fill="auto"/>
            <w:vAlign w:val="bottom"/>
            <w:hideMark/>
          </w:tcPr>
          <w:p w14:paraId="7A22782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51 706</w:t>
            </w:r>
          </w:p>
        </w:tc>
        <w:tc>
          <w:tcPr>
            <w:tcW w:w="1105" w:type="dxa"/>
            <w:shd w:val="clear" w:color="auto" w:fill="auto"/>
            <w:vAlign w:val="bottom"/>
            <w:hideMark/>
          </w:tcPr>
          <w:p w14:paraId="1767548B"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73 031</w:t>
            </w:r>
          </w:p>
        </w:tc>
        <w:tc>
          <w:tcPr>
            <w:tcW w:w="1106" w:type="dxa"/>
            <w:shd w:val="clear" w:color="auto" w:fill="auto"/>
            <w:vAlign w:val="bottom"/>
            <w:hideMark/>
          </w:tcPr>
          <w:p w14:paraId="7223282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69 230</w:t>
            </w:r>
          </w:p>
        </w:tc>
        <w:tc>
          <w:tcPr>
            <w:tcW w:w="1106" w:type="dxa"/>
            <w:shd w:val="clear" w:color="auto" w:fill="auto"/>
            <w:vAlign w:val="bottom"/>
            <w:hideMark/>
          </w:tcPr>
          <w:p w14:paraId="49C7F08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30 151</w:t>
            </w:r>
          </w:p>
        </w:tc>
      </w:tr>
      <w:tr w:rsidR="00893477" w:rsidRPr="007A05C0" w14:paraId="57041BBF" w14:textId="77777777" w:rsidTr="002162D7">
        <w:tc>
          <w:tcPr>
            <w:tcW w:w="3119" w:type="dxa"/>
            <w:shd w:val="clear" w:color="auto" w:fill="auto"/>
            <w:hideMark/>
          </w:tcPr>
          <w:p w14:paraId="548D8B7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人口增长率</w:t>
            </w:r>
            <w:r w:rsidRPr="007A05C0">
              <w:rPr>
                <w:rFonts w:ascii="Time New Roman" w:hAnsi="Time New Roman" w:hint="eastAsia"/>
                <w:sz w:val="18"/>
                <w:szCs w:val="18"/>
                <w:lang w:val="zh-CN"/>
              </w:rPr>
              <w:t>(</w:t>
            </w:r>
            <w:r w:rsidRPr="007A05C0">
              <w:rPr>
                <w:rFonts w:ascii="Time New Roman" w:hAnsi="Time New Roman" w:hint="eastAsia"/>
                <w:sz w:val="18"/>
                <w:szCs w:val="18"/>
                <w:lang w:val="zh-CN"/>
              </w:rPr>
              <w:t>年初每千人</w:t>
            </w:r>
            <w:r w:rsidRPr="007A05C0">
              <w:rPr>
                <w:rFonts w:ascii="Time New Roman" w:hAnsi="Time New Roman" w:hint="eastAsia"/>
                <w:sz w:val="18"/>
                <w:szCs w:val="18"/>
                <w:lang w:val="zh-CN"/>
              </w:rPr>
              <w:t>)</w:t>
            </w:r>
          </w:p>
        </w:tc>
        <w:tc>
          <w:tcPr>
            <w:tcW w:w="963" w:type="dxa"/>
            <w:shd w:val="clear" w:color="auto" w:fill="auto"/>
            <w:vAlign w:val="bottom"/>
            <w:hideMark/>
          </w:tcPr>
          <w:p w14:paraId="552B6A8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9.5</w:t>
            </w:r>
          </w:p>
        </w:tc>
        <w:tc>
          <w:tcPr>
            <w:tcW w:w="1106" w:type="dxa"/>
            <w:shd w:val="clear" w:color="auto" w:fill="auto"/>
            <w:vAlign w:val="bottom"/>
            <w:hideMark/>
          </w:tcPr>
          <w:p w14:paraId="7DA1CBB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5</w:t>
            </w:r>
          </w:p>
        </w:tc>
        <w:tc>
          <w:tcPr>
            <w:tcW w:w="1105" w:type="dxa"/>
            <w:shd w:val="clear" w:color="auto" w:fill="auto"/>
            <w:vAlign w:val="bottom"/>
            <w:hideMark/>
          </w:tcPr>
          <w:p w14:paraId="43126C60"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7</w:t>
            </w:r>
          </w:p>
        </w:tc>
        <w:tc>
          <w:tcPr>
            <w:tcW w:w="1106" w:type="dxa"/>
            <w:shd w:val="clear" w:color="auto" w:fill="auto"/>
            <w:vAlign w:val="bottom"/>
            <w:hideMark/>
          </w:tcPr>
          <w:p w14:paraId="34D480C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6.6</w:t>
            </w:r>
          </w:p>
        </w:tc>
        <w:tc>
          <w:tcPr>
            <w:tcW w:w="1106" w:type="dxa"/>
            <w:shd w:val="clear" w:color="auto" w:fill="auto"/>
            <w:vAlign w:val="bottom"/>
            <w:hideMark/>
          </w:tcPr>
          <w:p w14:paraId="575E482F"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2.9</w:t>
            </w:r>
          </w:p>
        </w:tc>
      </w:tr>
      <w:tr w:rsidR="00893477" w:rsidRPr="007A05C0" w14:paraId="3A613160" w14:textId="77777777" w:rsidTr="002162D7">
        <w:tc>
          <w:tcPr>
            <w:tcW w:w="3119" w:type="dxa"/>
            <w:shd w:val="clear" w:color="auto" w:fill="auto"/>
            <w:hideMark/>
          </w:tcPr>
          <w:p w14:paraId="53A96512"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left"/>
              <w:rPr>
                <w:rFonts w:ascii="Time New Roman" w:hAnsi="Time New Roman" w:hint="eastAsia"/>
                <w:sz w:val="18"/>
                <w:szCs w:val="18"/>
              </w:rPr>
            </w:pPr>
            <w:r w:rsidRPr="007A05C0">
              <w:rPr>
                <w:rFonts w:ascii="Time New Roman" w:hAnsi="Time New Roman" w:hint="eastAsia"/>
                <w:sz w:val="18"/>
                <w:szCs w:val="18"/>
                <w:lang w:val="zh-CN"/>
              </w:rPr>
              <w:t>获得瑞典国籍人数</w:t>
            </w:r>
          </w:p>
        </w:tc>
        <w:tc>
          <w:tcPr>
            <w:tcW w:w="963" w:type="dxa"/>
            <w:shd w:val="clear" w:color="auto" w:fill="auto"/>
            <w:vAlign w:val="bottom"/>
            <w:hideMark/>
          </w:tcPr>
          <w:p w14:paraId="249758F4"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64 206</w:t>
            </w:r>
          </w:p>
        </w:tc>
        <w:tc>
          <w:tcPr>
            <w:tcW w:w="1106" w:type="dxa"/>
            <w:shd w:val="clear" w:color="auto" w:fill="auto"/>
            <w:vAlign w:val="bottom"/>
            <w:hideMark/>
          </w:tcPr>
          <w:p w14:paraId="5D3C5451"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80 175</w:t>
            </w:r>
          </w:p>
        </w:tc>
        <w:tc>
          <w:tcPr>
            <w:tcW w:w="1105" w:type="dxa"/>
            <w:shd w:val="clear" w:color="auto" w:fill="auto"/>
            <w:vAlign w:val="bottom"/>
            <w:hideMark/>
          </w:tcPr>
          <w:p w14:paraId="6E7B92CC"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89 354</w:t>
            </w:r>
          </w:p>
        </w:tc>
        <w:tc>
          <w:tcPr>
            <w:tcW w:w="1106" w:type="dxa"/>
            <w:shd w:val="clear" w:color="auto" w:fill="auto"/>
            <w:vAlign w:val="bottom"/>
            <w:hideMark/>
          </w:tcPr>
          <w:p w14:paraId="15BB811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92 225</w:t>
            </w:r>
          </w:p>
        </w:tc>
        <w:tc>
          <w:tcPr>
            <w:tcW w:w="1106" w:type="dxa"/>
            <w:shd w:val="clear" w:color="auto" w:fill="auto"/>
            <w:vAlign w:val="bottom"/>
            <w:hideMark/>
          </w:tcPr>
          <w:p w14:paraId="555509AE" w14:textId="77777777" w:rsidR="00893477" w:rsidRPr="007A05C0" w:rsidRDefault="00893477" w:rsidP="00F36437">
            <w:pPr>
              <w:pStyle w:val="SingleTxtG"/>
              <w:tabs>
                <w:tab w:val="clear" w:pos="1701"/>
                <w:tab w:val="clear" w:pos="2268"/>
              </w:tabs>
              <w:suppressAutoHyphens w:val="0"/>
              <w:spacing w:before="40" w:after="40" w:line="220" w:lineRule="exact"/>
              <w:ind w:left="0" w:right="113"/>
              <w:jc w:val="right"/>
              <w:rPr>
                <w:rFonts w:ascii="Time New Roman" w:hAnsi="Time New Roman" w:hint="eastAsia"/>
                <w:sz w:val="18"/>
                <w:szCs w:val="18"/>
              </w:rPr>
            </w:pPr>
            <w:r w:rsidRPr="007A05C0">
              <w:rPr>
                <w:rFonts w:ascii="Time New Roman" w:hAnsi="Time New Roman" w:hint="eastAsia"/>
                <w:sz w:val="18"/>
                <w:szCs w:val="18"/>
                <w:lang w:val="zh-CN"/>
              </w:rPr>
              <w:t>不详</w:t>
            </w:r>
          </w:p>
        </w:tc>
      </w:tr>
    </w:tbl>
    <w:p w14:paraId="63A8345E" w14:textId="77777777" w:rsidR="002162D7" w:rsidRPr="00AE2B0B" w:rsidRDefault="002162D7" w:rsidP="00C5478E">
      <w:pPr>
        <w:pStyle w:val="SingleTxtGC"/>
        <w:spacing w:before="120" w:after="0"/>
        <w:ind w:firstLine="170"/>
        <w:rPr>
          <w:sz w:val="18"/>
          <w:szCs w:val="16"/>
        </w:rPr>
      </w:pPr>
      <w:r w:rsidRPr="00C5478E">
        <w:rPr>
          <w:rFonts w:ascii="Time New Roman" w:eastAsia="楷体" w:hAnsi="Time New Roman" w:hint="eastAsia"/>
          <w:sz w:val="18"/>
          <w:szCs w:val="16"/>
        </w:rPr>
        <w:t>来源</w:t>
      </w:r>
      <w:r w:rsidRPr="00AE2B0B">
        <w:rPr>
          <w:rFonts w:hint="eastAsia"/>
          <w:sz w:val="18"/>
          <w:szCs w:val="16"/>
        </w:rPr>
        <w:t>：瑞典统计局。</w:t>
      </w:r>
    </w:p>
    <w:p w14:paraId="46EDDC01" w14:textId="59320FAD" w:rsidR="002162D7" w:rsidRPr="00C5478E" w:rsidRDefault="002162D7" w:rsidP="00C5478E">
      <w:pPr>
        <w:pStyle w:val="SingleTxtGC"/>
        <w:spacing w:after="0"/>
        <w:ind w:firstLine="170"/>
        <w:rPr>
          <w:sz w:val="18"/>
          <w:szCs w:val="16"/>
        </w:rPr>
      </w:pPr>
      <w:r w:rsidRPr="00AE2B0B">
        <w:rPr>
          <w:sz w:val="18"/>
          <w:szCs w:val="16"/>
        </w:rPr>
        <w:t xml:space="preserve">* </w:t>
      </w:r>
      <w:hyperlink r:id="rId9" w:history="1">
        <w:r w:rsidR="00C5478E" w:rsidRPr="00C5478E">
          <w:rPr>
            <w:rStyle w:val="af5"/>
            <w:sz w:val="18"/>
            <w:szCs w:val="16"/>
          </w:rPr>
          <w:t>http://</w:t>
        </w:r>
        <w:proofErr w:type="spellStart"/>
        <w:r w:rsidR="00C5478E" w:rsidRPr="00C5478E">
          <w:rPr>
            <w:rStyle w:val="af5"/>
            <w:sz w:val="18"/>
            <w:szCs w:val="16"/>
          </w:rPr>
          <w:t>www.statistikdatabasen.scb.se</w:t>
        </w:r>
        <w:proofErr w:type="spellEnd"/>
        <w:r w:rsidR="00C5478E" w:rsidRPr="00C5478E">
          <w:rPr>
            <w:rStyle w:val="af5"/>
            <w:sz w:val="18"/>
            <w:szCs w:val="16"/>
          </w:rPr>
          <w:t>/sq/31156</w:t>
        </w:r>
      </w:hyperlink>
      <w:r w:rsidR="00C5478E" w:rsidRPr="00C5478E">
        <w:rPr>
          <w:sz w:val="18"/>
          <w:szCs w:val="16"/>
        </w:rPr>
        <w:t xml:space="preserve"> </w:t>
      </w:r>
    </w:p>
    <w:p w14:paraId="2E1DF4BF" w14:textId="51F6EDE9" w:rsidR="002162D7" w:rsidRPr="00C5478E" w:rsidRDefault="002162D7" w:rsidP="00C5478E">
      <w:pPr>
        <w:pStyle w:val="SingleTxtGC"/>
        <w:spacing w:after="0"/>
        <w:ind w:firstLine="170"/>
        <w:rPr>
          <w:sz w:val="18"/>
          <w:szCs w:val="16"/>
        </w:rPr>
      </w:pPr>
      <w:r w:rsidRPr="00C5478E">
        <w:rPr>
          <w:sz w:val="18"/>
          <w:szCs w:val="16"/>
        </w:rPr>
        <w:t xml:space="preserve">* </w:t>
      </w:r>
      <w:hyperlink r:id="rId10" w:history="1">
        <w:r w:rsidR="00C5478E" w:rsidRPr="00C5478E">
          <w:rPr>
            <w:rStyle w:val="af5"/>
            <w:sz w:val="18"/>
            <w:szCs w:val="16"/>
          </w:rPr>
          <w:t>http://</w:t>
        </w:r>
        <w:proofErr w:type="spellStart"/>
        <w:r w:rsidR="00C5478E" w:rsidRPr="00C5478E">
          <w:rPr>
            <w:rStyle w:val="af5"/>
            <w:sz w:val="18"/>
            <w:szCs w:val="16"/>
          </w:rPr>
          <w:t>www.statistikdatabasen.scb.se</w:t>
        </w:r>
        <w:proofErr w:type="spellEnd"/>
        <w:r w:rsidR="00C5478E" w:rsidRPr="00C5478E">
          <w:rPr>
            <w:rStyle w:val="af5"/>
            <w:sz w:val="18"/>
            <w:szCs w:val="16"/>
          </w:rPr>
          <w:t>/sq/31157</w:t>
        </w:r>
      </w:hyperlink>
      <w:r w:rsidR="00C5478E" w:rsidRPr="00C5478E">
        <w:rPr>
          <w:sz w:val="18"/>
          <w:szCs w:val="16"/>
        </w:rPr>
        <w:t xml:space="preserve"> </w:t>
      </w:r>
    </w:p>
    <w:p w14:paraId="4E4309D2" w14:textId="75917855" w:rsidR="002162D7" w:rsidRPr="00AE2B0B" w:rsidRDefault="002162D7" w:rsidP="00C5478E">
      <w:pPr>
        <w:pStyle w:val="SingleTxtGC"/>
        <w:spacing w:after="0"/>
        <w:ind w:firstLine="170"/>
        <w:rPr>
          <w:sz w:val="18"/>
          <w:szCs w:val="16"/>
        </w:rPr>
      </w:pPr>
      <w:r w:rsidRPr="00AE2B0B">
        <w:rPr>
          <w:rFonts w:hint="eastAsia"/>
          <w:sz w:val="18"/>
          <w:szCs w:val="16"/>
          <w:vertAlign w:val="superscript"/>
        </w:rPr>
        <w:t>1</w:t>
      </w:r>
      <w:r w:rsidR="00AE2B0B">
        <w:rPr>
          <w:sz w:val="18"/>
          <w:szCs w:val="16"/>
        </w:rPr>
        <w:t xml:space="preserve"> </w:t>
      </w:r>
      <w:r w:rsidRPr="00AE2B0B">
        <w:rPr>
          <w:rFonts w:hint="eastAsia"/>
          <w:sz w:val="18"/>
          <w:szCs w:val="16"/>
        </w:rPr>
        <w:t>不包括国籍之一为瑞典的双重国籍者。</w:t>
      </w:r>
    </w:p>
    <w:p w14:paraId="7BA3B81A" w14:textId="68C24E30" w:rsidR="00B02D5E" w:rsidRPr="00AE2B0B" w:rsidRDefault="002162D7" w:rsidP="00C5478E">
      <w:pPr>
        <w:pStyle w:val="SingleTxtGC"/>
        <w:ind w:firstLine="170"/>
        <w:rPr>
          <w:sz w:val="18"/>
          <w:szCs w:val="16"/>
        </w:rPr>
      </w:pPr>
      <w:r w:rsidRPr="00C5478E">
        <w:rPr>
          <w:rFonts w:hint="eastAsia"/>
          <w:sz w:val="18"/>
          <w:szCs w:val="16"/>
          <w:vertAlign w:val="superscript"/>
        </w:rPr>
        <w:t>2</w:t>
      </w:r>
      <w:r w:rsidR="00AE2B0B">
        <w:rPr>
          <w:sz w:val="18"/>
          <w:szCs w:val="16"/>
        </w:rPr>
        <w:t xml:space="preserve"> </w:t>
      </w:r>
      <w:r w:rsidRPr="00AE2B0B">
        <w:rPr>
          <w:rFonts w:hint="eastAsia"/>
          <w:sz w:val="18"/>
          <w:szCs w:val="16"/>
        </w:rPr>
        <w:t>外国背景是指在外国出生和在本国出生但父母均在外国出生。</w:t>
      </w:r>
    </w:p>
    <w:p w14:paraId="2B266384" w14:textId="1FF654F1" w:rsidR="00B02D5E" w:rsidRDefault="002162D7" w:rsidP="00C5478E">
      <w:pPr>
        <w:pStyle w:val="H23GC"/>
      </w:pPr>
      <w:r w:rsidRPr="002162D7">
        <w:rPr>
          <w:rFonts w:hint="eastAsia"/>
        </w:rPr>
        <w:tab/>
      </w:r>
      <w:r w:rsidRPr="002162D7">
        <w:rPr>
          <w:rFonts w:hint="eastAsia"/>
        </w:rPr>
        <w:tab/>
        <w:t>2019-2023</w:t>
      </w:r>
      <w:r w:rsidRPr="002162D7">
        <w:rPr>
          <w:rFonts w:hint="eastAsia"/>
        </w:rPr>
        <w:t>年瑞典人口</w:t>
      </w:r>
      <w:r w:rsidRPr="002162D7">
        <w:rPr>
          <w:rFonts w:hint="eastAsia"/>
        </w:rPr>
        <w:t>(</w:t>
      </w:r>
      <w:r w:rsidRPr="002162D7">
        <w:rPr>
          <w:rFonts w:hint="eastAsia"/>
        </w:rPr>
        <w:t>按年龄分组</w:t>
      </w:r>
      <w:r w:rsidRPr="002162D7">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993"/>
        <w:gridCol w:w="1134"/>
        <w:gridCol w:w="992"/>
        <w:gridCol w:w="992"/>
        <w:gridCol w:w="1134"/>
        <w:gridCol w:w="992"/>
      </w:tblGrid>
      <w:tr w:rsidR="002162D7" w:rsidRPr="009F1992" w14:paraId="44EC837A" w14:textId="77777777" w:rsidTr="00F36437">
        <w:trPr>
          <w:tblHeader/>
        </w:trPr>
        <w:tc>
          <w:tcPr>
            <w:tcW w:w="1133" w:type="dxa"/>
            <w:vMerge w:val="restart"/>
            <w:tcBorders>
              <w:top w:val="single" w:sz="4" w:space="0" w:color="auto"/>
              <w:bottom w:val="single" w:sz="12" w:space="0" w:color="auto"/>
            </w:tcBorders>
            <w:shd w:val="clear" w:color="auto" w:fill="auto"/>
            <w:vAlign w:val="bottom"/>
            <w:hideMark/>
          </w:tcPr>
          <w:p w14:paraId="426A293B" w14:textId="77777777" w:rsidR="002162D7" w:rsidRPr="009F1992" w:rsidRDefault="002162D7" w:rsidP="00F36437">
            <w:pPr>
              <w:pStyle w:val="SingleTxtG"/>
              <w:tabs>
                <w:tab w:val="clear" w:pos="1701"/>
                <w:tab w:val="clear" w:pos="2268"/>
              </w:tabs>
              <w:suppressAutoHyphens w:val="0"/>
              <w:spacing w:before="80" w:after="80" w:line="200" w:lineRule="exact"/>
              <w:ind w:left="0" w:right="113"/>
              <w:jc w:val="left"/>
              <w:rPr>
                <w:rFonts w:eastAsia="楷体"/>
                <w:snapToGrid w:val="0"/>
                <w:sz w:val="18"/>
                <w:szCs w:val="18"/>
              </w:rPr>
            </w:pPr>
            <w:r w:rsidRPr="009F1992">
              <w:rPr>
                <w:rFonts w:eastAsia="楷体"/>
                <w:snapToGrid w:val="0"/>
                <w:sz w:val="18"/>
                <w:szCs w:val="18"/>
              </w:rPr>
              <w:t>年份</w:t>
            </w:r>
          </w:p>
        </w:tc>
        <w:tc>
          <w:tcPr>
            <w:tcW w:w="6237" w:type="dxa"/>
            <w:gridSpan w:val="6"/>
            <w:tcBorders>
              <w:top w:val="single" w:sz="4" w:space="0" w:color="auto"/>
              <w:bottom w:val="single" w:sz="4" w:space="0" w:color="auto"/>
            </w:tcBorders>
            <w:shd w:val="clear" w:color="auto" w:fill="auto"/>
            <w:vAlign w:val="bottom"/>
            <w:hideMark/>
          </w:tcPr>
          <w:p w14:paraId="7DBC894E" w14:textId="77777777" w:rsidR="002162D7" w:rsidRPr="009F1992" w:rsidRDefault="002162D7" w:rsidP="00F36437">
            <w:pPr>
              <w:pStyle w:val="SingleTxtG"/>
              <w:tabs>
                <w:tab w:val="clear" w:pos="1701"/>
                <w:tab w:val="clear" w:pos="2268"/>
              </w:tabs>
              <w:suppressAutoHyphens w:val="0"/>
              <w:spacing w:before="80" w:after="80" w:line="200" w:lineRule="exact"/>
              <w:ind w:left="0" w:right="113"/>
              <w:jc w:val="center"/>
              <w:rPr>
                <w:rFonts w:eastAsia="楷体"/>
                <w:snapToGrid w:val="0"/>
                <w:sz w:val="18"/>
                <w:szCs w:val="18"/>
              </w:rPr>
            </w:pPr>
            <w:r w:rsidRPr="009F1992">
              <w:rPr>
                <w:rFonts w:eastAsia="楷体"/>
                <w:snapToGrid w:val="0"/>
                <w:sz w:val="18"/>
                <w:szCs w:val="18"/>
              </w:rPr>
              <w:t>年龄</w:t>
            </w:r>
          </w:p>
        </w:tc>
      </w:tr>
      <w:tr w:rsidR="002162D7" w:rsidRPr="009F1992" w14:paraId="614F91BA" w14:textId="77777777" w:rsidTr="00F36437">
        <w:trPr>
          <w:tblHeader/>
        </w:trPr>
        <w:tc>
          <w:tcPr>
            <w:tcW w:w="1133" w:type="dxa"/>
            <w:vMerge/>
            <w:tcBorders>
              <w:top w:val="single" w:sz="12" w:space="0" w:color="auto"/>
              <w:bottom w:val="single" w:sz="12" w:space="0" w:color="auto"/>
            </w:tcBorders>
            <w:shd w:val="clear" w:color="auto" w:fill="auto"/>
            <w:vAlign w:val="bottom"/>
            <w:hideMark/>
          </w:tcPr>
          <w:p w14:paraId="407CA8D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96587C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center"/>
              <w:rPr>
                <w:rFonts w:eastAsia="楷体"/>
                <w:snapToGrid w:val="0"/>
                <w:sz w:val="18"/>
                <w:szCs w:val="18"/>
              </w:rPr>
            </w:pPr>
            <w:r w:rsidRPr="009F1992">
              <w:rPr>
                <w:rFonts w:eastAsia="楷体"/>
                <w:snapToGrid w:val="0"/>
                <w:sz w:val="18"/>
                <w:szCs w:val="18"/>
              </w:rPr>
              <w:t>0–19</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71606E7"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center"/>
              <w:rPr>
                <w:rFonts w:eastAsia="楷体"/>
                <w:snapToGrid w:val="0"/>
                <w:sz w:val="18"/>
                <w:szCs w:val="18"/>
              </w:rPr>
            </w:pPr>
            <w:r w:rsidRPr="009F1992">
              <w:rPr>
                <w:rFonts w:eastAsia="楷体"/>
                <w:snapToGrid w:val="0"/>
                <w:sz w:val="18"/>
                <w:szCs w:val="18"/>
              </w:rPr>
              <w:t>20–64</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4313953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center"/>
              <w:rPr>
                <w:rFonts w:eastAsia="楷体"/>
                <w:snapToGrid w:val="0"/>
                <w:sz w:val="18"/>
                <w:szCs w:val="18"/>
              </w:rPr>
            </w:pPr>
            <w:r w:rsidRPr="009F1992">
              <w:rPr>
                <w:rFonts w:eastAsia="楷体"/>
                <w:snapToGrid w:val="0"/>
                <w:sz w:val="18"/>
                <w:szCs w:val="18"/>
              </w:rPr>
              <w:t>65+</w:t>
            </w:r>
          </w:p>
        </w:tc>
      </w:tr>
      <w:tr w:rsidR="002162D7" w:rsidRPr="009F1992" w14:paraId="4737EF56" w14:textId="77777777" w:rsidTr="00F36437">
        <w:trPr>
          <w:tblHeader/>
        </w:trPr>
        <w:tc>
          <w:tcPr>
            <w:tcW w:w="1133" w:type="dxa"/>
            <w:vMerge/>
            <w:tcBorders>
              <w:bottom w:val="single" w:sz="12" w:space="0" w:color="auto"/>
            </w:tcBorders>
            <w:shd w:val="clear" w:color="auto" w:fill="auto"/>
            <w:vAlign w:val="bottom"/>
            <w:hideMark/>
          </w:tcPr>
          <w:p w14:paraId="4496825C"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p>
        </w:tc>
        <w:tc>
          <w:tcPr>
            <w:tcW w:w="993" w:type="dxa"/>
            <w:tcBorders>
              <w:top w:val="single" w:sz="4" w:space="0" w:color="auto"/>
              <w:bottom w:val="single" w:sz="12" w:space="0" w:color="auto"/>
            </w:tcBorders>
            <w:shd w:val="clear" w:color="auto" w:fill="auto"/>
            <w:vAlign w:val="bottom"/>
            <w:hideMark/>
          </w:tcPr>
          <w:p w14:paraId="5D13CB9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女性</w:t>
            </w:r>
          </w:p>
        </w:tc>
        <w:tc>
          <w:tcPr>
            <w:tcW w:w="1134" w:type="dxa"/>
            <w:tcBorders>
              <w:top w:val="single" w:sz="4" w:space="0" w:color="auto"/>
              <w:bottom w:val="single" w:sz="12" w:space="0" w:color="auto"/>
              <w:right w:val="single" w:sz="24" w:space="0" w:color="FFFFFF" w:themeColor="background1"/>
            </w:tcBorders>
            <w:shd w:val="clear" w:color="auto" w:fill="auto"/>
            <w:vAlign w:val="bottom"/>
            <w:hideMark/>
          </w:tcPr>
          <w:p w14:paraId="5B75C388"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男性</w:t>
            </w:r>
          </w:p>
        </w:tc>
        <w:tc>
          <w:tcPr>
            <w:tcW w:w="992" w:type="dxa"/>
            <w:tcBorders>
              <w:top w:val="single" w:sz="4" w:space="0" w:color="auto"/>
              <w:left w:val="single" w:sz="24" w:space="0" w:color="FFFFFF" w:themeColor="background1"/>
              <w:bottom w:val="single" w:sz="12" w:space="0" w:color="auto"/>
            </w:tcBorders>
            <w:shd w:val="clear" w:color="auto" w:fill="auto"/>
            <w:vAlign w:val="bottom"/>
            <w:hideMark/>
          </w:tcPr>
          <w:p w14:paraId="4FDB1F48"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女性</w:t>
            </w:r>
          </w:p>
        </w:tc>
        <w:tc>
          <w:tcPr>
            <w:tcW w:w="992" w:type="dxa"/>
            <w:tcBorders>
              <w:top w:val="single" w:sz="4" w:space="0" w:color="auto"/>
              <w:bottom w:val="single" w:sz="12" w:space="0" w:color="auto"/>
              <w:right w:val="single" w:sz="24" w:space="0" w:color="FFFFFF" w:themeColor="background1"/>
            </w:tcBorders>
            <w:shd w:val="clear" w:color="auto" w:fill="auto"/>
            <w:vAlign w:val="bottom"/>
            <w:hideMark/>
          </w:tcPr>
          <w:p w14:paraId="244BF60F"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男性</w:t>
            </w:r>
          </w:p>
        </w:tc>
        <w:tc>
          <w:tcPr>
            <w:tcW w:w="1134" w:type="dxa"/>
            <w:tcBorders>
              <w:top w:val="single" w:sz="4" w:space="0" w:color="auto"/>
              <w:left w:val="single" w:sz="24" w:space="0" w:color="FFFFFF" w:themeColor="background1"/>
              <w:bottom w:val="single" w:sz="12" w:space="0" w:color="auto"/>
            </w:tcBorders>
            <w:shd w:val="clear" w:color="auto" w:fill="auto"/>
            <w:vAlign w:val="bottom"/>
            <w:hideMark/>
          </w:tcPr>
          <w:p w14:paraId="112B5C51"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女性</w:t>
            </w:r>
          </w:p>
        </w:tc>
        <w:tc>
          <w:tcPr>
            <w:tcW w:w="992" w:type="dxa"/>
            <w:tcBorders>
              <w:top w:val="single" w:sz="4" w:space="0" w:color="auto"/>
              <w:bottom w:val="single" w:sz="12" w:space="0" w:color="auto"/>
            </w:tcBorders>
            <w:shd w:val="clear" w:color="auto" w:fill="auto"/>
            <w:vAlign w:val="bottom"/>
            <w:hideMark/>
          </w:tcPr>
          <w:p w14:paraId="4781521D"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rFonts w:eastAsia="楷体"/>
                <w:snapToGrid w:val="0"/>
                <w:sz w:val="18"/>
                <w:szCs w:val="18"/>
              </w:rPr>
            </w:pPr>
            <w:r w:rsidRPr="009F1992">
              <w:rPr>
                <w:rFonts w:eastAsia="楷体"/>
                <w:snapToGrid w:val="0"/>
                <w:sz w:val="18"/>
                <w:szCs w:val="18"/>
              </w:rPr>
              <w:t>男性</w:t>
            </w:r>
          </w:p>
        </w:tc>
      </w:tr>
      <w:tr w:rsidR="002162D7" w:rsidRPr="009F1992" w14:paraId="436D4BFA" w14:textId="77777777" w:rsidTr="00186E56">
        <w:tc>
          <w:tcPr>
            <w:tcW w:w="1133" w:type="dxa"/>
            <w:tcBorders>
              <w:top w:val="single" w:sz="12" w:space="0" w:color="auto"/>
              <w:bottom w:val="nil"/>
            </w:tcBorders>
            <w:shd w:val="clear" w:color="auto" w:fill="auto"/>
            <w:hideMark/>
          </w:tcPr>
          <w:p w14:paraId="47E5970D"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sz w:val="18"/>
                <w:szCs w:val="18"/>
              </w:rPr>
            </w:pPr>
            <w:r w:rsidRPr="009F1992">
              <w:rPr>
                <w:sz w:val="18"/>
                <w:szCs w:val="18"/>
                <w:lang w:val="zh-CN"/>
              </w:rPr>
              <w:t>2019</w:t>
            </w:r>
          </w:p>
        </w:tc>
        <w:tc>
          <w:tcPr>
            <w:tcW w:w="993" w:type="dxa"/>
            <w:tcBorders>
              <w:top w:val="single" w:sz="12" w:space="0" w:color="auto"/>
              <w:bottom w:val="nil"/>
            </w:tcBorders>
            <w:shd w:val="clear" w:color="auto" w:fill="auto"/>
            <w:vAlign w:val="bottom"/>
            <w:hideMark/>
          </w:tcPr>
          <w:p w14:paraId="4DE09B46"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1 163 754</w:t>
            </w:r>
          </w:p>
        </w:tc>
        <w:tc>
          <w:tcPr>
            <w:tcW w:w="1134" w:type="dxa"/>
            <w:tcBorders>
              <w:top w:val="single" w:sz="12" w:space="0" w:color="auto"/>
              <w:bottom w:val="nil"/>
            </w:tcBorders>
            <w:shd w:val="clear" w:color="auto" w:fill="auto"/>
            <w:vAlign w:val="bottom"/>
            <w:hideMark/>
          </w:tcPr>
          <w:p w14:paraId="3CB1A632"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1 239 976</w:t>
            </w:r>
          </w:p>
        </w:tc>
        <w:tc>
          <w:tcPr>
            <w:tcW w:w="992" w:type="dxa"/>
            <w:tcBorders>
              <w:top w:val="single" w:sz="12" w:space="0" w:color="auto"/>
              <w:bottom w:val="nil"/>
            </w:tcBorders>
            <w:shd w:val="clear" w:color="auto" w:fill="auto"/>
            <w:vAlign w:val="bottom"/>
            <w:hideMark/>
          </w:tcPr>
          <w:p w14:paraId="064196DF"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2 864 294</w:t>
            </w:r>
          </w:p>
        </w:tc>
        <w:tc>
          <w:tcPr>
            <w:tcW w:w="992" w:type="dxa"/>
            <w:tcBorders>
              <w:top w:val="single" w:sz="12" w:space="0" w:color="auto"/>
              <w:bottom w:val="nil"/>
            </w:tcBorders>
            <w:shd w:val="clear" w:color="auto" w:fill="auto"/>
            <w:vAlign w:val="bottom"/>
            <w:hideMark/>
          </w:tcPr>
          <w:p w14:paraId="1D45A029"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2 994 198</w:t>
            </w:r>
          </w:p>
        </w:tc>
        <w:tc>
          <w:tcPr>
            <w:tcW w:w="1134" w:type="dxa"/>
            <w:tcBorders>
              <w:top w:val="single" w:sz="12" w:space="0" w:color="auto"/>
              <w:bottom w:val="nil"/>
            </w:tcBorders>
            <w:shd w:val="clear" w:color="auto" w:fill="auto"/>
            <w:vAlign w:val="bottom"/>
            <w:hideMark/>
          </w:tcPr>
          <w:p w14:paraId="131E12C0"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1 103 727</w:t>
            </w:r>
          </w:p>
        </w:tc>
        <w:tc>
          <w:tcPr>
            <w:tcW w:w="992" w:type="dxa"/>
            <w:tcBorders>
              <w:top w:val="single" w:sz="12" w:space="0" w:color="auto"/>
              <w:bottom w:val="nil"/>
            </w:tcBorders>
            <w:shd w:val="clear" w:color="auto" w:fill="auto"/>
            <w:vAlign w:val="bottom"/>
            <w:hideMark/>
          </w:tcPr>
          <w:p w14:paraId="03C1F8AA"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961 640</w:t>
            </w:r>
          </w:p>
        </w:tc>
      </w:tr>
      <w:tr w:rsidR="002162D7" w:rsidRPr="009F1992" w14:paraId="6EB2B8F6" w14:textId="77777777" w:rsidTr="00186E56">
        <w:tc>
          <w:tcPr>
            <w:tcW w:w="1133" w:type="dxa"/>
            <w:tcBorders>
              <w:top w:val="nil"/>
              <w:bottom w:val="nil"/>
            </w:tcBorders>
            <w:shd w:val="clear" w:color="auto" w:fill="auto"/>
            <w:hideMark/>
          </w:tcPr>
          <w:p w14:paraId="530894D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sz w:val="18"/>
                <w:szCs w:val="18"/>
              </w:rPr>
            </w:pPr>
            <w:r w:rsidRPr="009F1992">
              <w:rPr>
                <w:sz w:val="18"/>
                <w:szCs w:val="18"/>
                <w:lang w:val="zh-CN"/>
              </w:rPr>
              <w:t>2020</w:t>
            </w:r>
          </w:p>
        </w:tc>
        <w:tc>
          <w:tcPr>
            <w:tcW w:w="993" w:type="dxa"/>
            <w:tcBorders>
              <w:top w:val="nil"/>
              <w:bottom w:val="nil"/>
            </w:tcBorders>
            <w:shd w:val="clear" w:color="auto" w:fill="auto"/>
            <w:vAlign w:val="bottom"/>
            <w:hideMark/>
          </w:tcPr>
          <w:p w14:paraId="0B426F25"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1 170 648</w:t>
            </w:r>
          </w:p>
        </w:tc>
        <w:tc>
          <w:tcPr>
            <w:tcW w:w="1134" w:type="dxa"/>
            <w:tcBorders>
              <w:top w:val="nil"/>
              <w:bottom w:val="nil"/>
            </w:tcBorders>
            <w:shd w:val="clear" w:color="auto" w:fill="auto"/>
            <w:vAlign w:val="bottom"/>
            <w:hideMark/>
          </w:tcPr>
          <w:p w14:paraId="0EAEA806"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1 243 726</w:t>
            </w:r>
          </w:p>
        </w:tc>
        <w:tc>
          <w:tcPr>
            <w:tcW w:w="992" w:type="dxa"/>
            <w:tcBorders>
              <w:top w:val="nil"/>
              <w:bottom w:val="nil"/>
            </w:tcBorders>
            <w:shd w:val="clear" w:color="auto" w:fill="auto"/>
            <w:vAlign w:val="bottom"/>
            <w:hideMark/>
          </w:tcPr>
          <w:p w14:paraId="5D70AFE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2 871 277</w:t>
            </w:r>
          </w:p>
        </w:tc>
        <w:tc>
          <w:tcPr>
            <w:tcW w:w="992" w:type="dxa"/>
            <w:tcBorders>
              <w:top w:val="nil"/>
              <w:bottom w:val="nil"/>
            </w:tcBorders>
            <w:shd w:val="clear" w:color="auto" w:fill="auto"/>
            <w:vAlign w:val="bottom"/>
            <w:hideMark/>
          </w:tcPr>
          <w:p w14:paraId="4718A322"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3 005 558</w:t>
            </w:r>
          </w:p>
        </w:tc>
        <w:tc>
          <w:tcPr>
            <w:tcW w:w="1134" w:type="dxa"/>
            <w:tcBorders>
              <w:top w:val="nil"/>
              <w:bottom w:val="nil"/>
            </w:tcBorders>
            <w:shd w:val="clear" w:color="auto" w:fill="auto"/>
            <w:vAlign w:val="bottom"/>
            <w:hideMark/>
          </w:tcPr>
          <w:p w14:paraId="17371902"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1 114 523</w:t>
            </w:r>
          </w:p>
        </w:tc>
        <w:tc>
          <w:tcPr>
            <w:tcW w:w="992" w:type="dxa"/>
            <w:tcBorders>
              <w:top w:val="nil"/>
              <w:bottom w:val="nil"/>
            </w:tcBorders>
            <w:shd w:val="clear" w:color="auto" w:fill="auto"/>
            <w:vAlign w:val="bottom"/>
            <w:hideMark/>
          </w:tcPr>
          <w:p w14:paraId="37C72A68"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973 563</w:t>
            </w:r>
          </w:p>
        </w:tc>
      </w:tr>
      <w:tr w:rsidR="002162D7" w:rsidRPr="009F1992" w14:paraId="2721999C" w14:textId="77777777" w:rsidTr="00186E56">
        <w:tc>
          <w:tcPr>
            <w:tcW w:w="1133" w:type="dxa"/>
            <w:tcBorders>
              <w:top w:val="nil"/>
            </w:tcBorders>
            <w:shd w:val="clear" w:color="auto" w:fill="auto"/>
            <w:hideMark/>
          </w:tcPr>
          <w:p w14:paraId="596EA5C2"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sz w:val="18"/>
                <w:szCs w:val="18"/>
              </w:rPr>
            </w:pPr>
            <w:r w:rsidRPr="009F1992">
              <w:rPr>
                <w:sz w:val="18"/>
                <w:szCs w:val="18"/>
                <w:lang w:val="zh-CN"/>
              </w:rPr>
              <w:t>2021</w:t>
            </w:r>
          </w:p>
        </w:tc>
        <w:tc>
          <w:tcPr>
            <w:tcW w:w="993" w:type="dxa"/>
            <w:tcBorders>
              <w:top w:val="nil"/>
            </w:tcBorders>
            <w:shd w:val="clear" w:color="auto" w:fill="auto"/>
            <w:vAlign w:val="bottom"/>
            <w:hideMark/>
          </w:tcPr>
          <w:p w14:paraId="04D9EF01"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1 179 382</w:t>
            </w:r>
          </w:p>
        </w:tc>
        <w:tc>
          <w:tcPr>
            <w:tcW w:w="1134" w:type="dxa"/>
            <w:tcBorders>
              <w:top w:val="nil"/>
            </w:tcBorders>
            <w:shd w:val="clear" w:color="auto" w:fill="auto"/>
            <w:vAlign w:val="bottom"/>
            <w:hideMark/>
          </w:tcPr>
          <w:p w14:paraId="37B29F9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1 250 692</w:t>
            </w:r>
          </w:p>
        </w:tc>
        <w:tc>
          <w:tcPr>
            <w:tcW w:w="992" w:type="dxa"/>
            <w:tcBorders>
              <w:top w:val="nil"/>
            </w:tcBorders>
            <w:shd w:val="clear" w:color="auto" w:fill="auto"/>
            <w:vAlign w:val="bottom"/>
            <w:hideMark/>
          </w:tcPr>
          <w:p w14:paraId="5AA0BCAB"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2 883 310</w:t>
            </w:r>
          </w:p>
        </w:tc>
        <w:tc>
          <w:tcPr>
            <w:tcW w:w="992" w:type="dxa"/>
            <w:tcBorders>
              <w:top w:val="nil"/>
            </w:tcBorders>
            <w:shd w:val="clear" w:color="auto" w:fill="auto"/>
            <w:vAlign w:val="bottom"/>
            <w:hideMark/>
          </w:tcPr>
          <w:p w14:paraId="6372C609"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3 020 176</w:t>
            </w:r>
          </w:p>
        </w:tc>
        <w:tc>
          <w:tcPr>
            <w:tcW w:w="1134" w:type="dxa"/>
            <w:tcBorders>
              <w:top w:val="nil"/>
            </w:tcBorders>
            <w:shd w:val="clear" w:color="auto" w:fill="auto"/>
            <w:vAlign w:val="bottom"/>
            <w:hideMark/>
          </w:tcPr>
          <w:p w14:paraId="45241FE9"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1 128 927</w:t>
            </w:r>
          </w:p>
        </w:tc>
        <w:tc>
          <w:tcPr>
            <w:tcW w:w="992" w:type="dxa"/>
            <w:tcBorders>
              <w:top w:val="nil"/>
            </w:tcBorders>
            <w:shd w:val="clear" w:color="auto" w:fill="auto"/>
            <w:vAlign w:val="bottom"/>
            <w:hideMark/>
          </w:tcPr>
          <w:p w14:paraId="15E902EA"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989 839</w:t>
            </w:r>
          </w:p>
        </w:tc>
      </w:tr>
      <w:tr w:rsidR="002162D7" w:rsidRPr="009F1992" w14:paraId="4099336D" w14:textId="77777777" w:rsidTr="00F36437">
        <w:tc>
          <w:tcPr>
            <w:tcW w:w="1133" w:type="dxa"/>
            <w:shd w:val="clear" w:color="auto" w:fill="auto"/>
            <w:hideMark/>
          </w:tcPr>
          <w:p w14:paraId="4F0EBDE7"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sz w:val="18"/>
                <w:szCs w:val="18"/>
              </w:rPr>
            </w:pPr>
            <w:r w:rsidRPr="009F1992">
              <w:rPr>
                <w:sz w:val="18"/>
                <w:szCs w:val="18"/>
                <w:lang w:val="zh-CN"/>
              </w:rPr>
              <w:t>2022</w:t>
            </w:r>
          </w:p>
        </w:tc>
        <w:tc>
          <w:tcPr>
            <w:tcW w:w="993" w:type="dxa"/>
            <w:shd w:val="clear" w:color="auto" w:fill="auto"/>
            <w:vAlign w:val="bottom"/>
            <w:hideMark/>
          </w:tcPr>
          <w:p w14:paraId="039824A8"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1 180 395</w:t>
            </w:r>
          </w:p>
        </w:tc>
        <w:tc>
          <w:tcPr>
            <w:tcW w:w="1134" w:type="dxa"/>
            <w:shd w:val="clear" w:color="auto" w:fill="auto"/>
            <w:vAlign w:val="bottom"/>
            <w:hideMark/>
          </w:tcPr>
          <w:p w14:paraId="7EC2FD6C"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1 251 545</w:t>
            </w:r>
          </w:p>
        </w:tc>
        <w:tc>
          <w:tcPr>
            <w:tcW w:w="992" w:type="dxa"/>
            <w:shd w:val="clear" w:color="auto" w:fill="auto"/>
            <w:vAlign w:val="bottom"/>
            <w:hideMark/>
          </w:tcPr>
          <w:p w14:paraId="1981018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2 900 453</w:t>
            </w:r>
          </w:p>
        </w:tc>
        <w:tc>
          <w:tcPr>
            <w:tcW w:w="992" w:type="dxa"/>
            <w:shd w:val="clear" w:color="auto" w:fill="auto"/>
            <w:vAlign w:val="bottom"/>
            <w:hideMark/>
          </w:tcPr>
          <w:p w14:paraId="0523BA0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3 042 026</w:t>
            </w:r>
          </w:p>
        </w:tc>
        <w:tc>
          <w:tcPr>
            <w:tcW w:w="1134" w:type="dxa"/>
            <w:shd w:val="clear" w:color="auto" w:fill="auto"/>
            <w:vAlign w:val="bottom"/>
            <w:hideMark/>
          </w:tcPr>
          <w:p w14:paraId="46A3BA2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1 142 384</w:t>
            </w:r>
          </w:p>
        </w:tc>
        <w:tc>
          <w:tcPr>
            <w:tcW w:w="992" w:type="dxa"/>
            <w:shd w:val="clear" w:color="auto" w:fill="auto"/>
            <w:vAlign w:val="bottom"/>
            <w:hideMark/>
          </w:tcPr>
          <w:p w14:paraId="1228C1A3"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1 004 753</w:t>
            </w:r>
          </w:p>
        </w:tc>
      </w:tr>
      <w:tr w:rsidR="002162D7" w:rsidRPr="009F1992" w14:paraId="3249EE70" w14:textId="77777777" w:rsidTr="00F36437">
        <w:tc>
          <w:tcPr>
            <w:tcW w:w="1133" w:type="dxa"/>
            <w:shd w:val="clear" w:color="auto" w:fill="auto"/>
            <w:hideMark/>
          </w:tcPr>
          <w:p w14:paraId="5056B2B1"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left"/>
              <w:rPr>
                <w:sz w:val="18"/>
                <w:szCs w:val="18"/>
              </w:rPr>
            </w:pPr>
            <w:r w:rsidRPr="009F1992">
              <w:rPr>
                <w:sz w:val="18"/>
                <w:szCs w:val="18"/>
                <w:lang w:val="zh-CN"/>
              </w:rPr>
              <w:t>2023</w:t>
            </w:r>
          </w:p>
        </w:tc>
        <w:tc>
          <w:tcPr>
            <w:tcW w:w="993" w:type="dxa"/>
            <w:shd w:val="clear" w:color="auto" w:fill="auto"/>
            <w:vAlign w:val="bottom"/>
            <w:hideMark/>
          </w:tcPr>
          <w:p w14:paraId="2911FED4"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1 173 013</w:t>
            </w:r>
          </w:p>
        </w:tc>
        <w:tc>
          <w:tcPr>
            <w:tcW w:w="1134" w:type="dxa"/>
            <w:shd w:val="clear" w:color="auto" w:fill="auto"/>
            <w:vAlign w:val="bottom"/>
            <w:hideMark/>
          </w:tcPr>
          <w:p w14:paraId="3269CC48"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1 243 246</w:t>
            </w:r>
          </w:p>
        </w:tc>
        <w:tc>
          <w:tcPr>
            <w:tcW w:w="992" w:type="dxa"/>
            <w:shd w:val="clear" w:color="auto" w:fill="auto"/>
            <w:vAlign w:val="bottom"/>
            <w:hideMark/>
          </w:tcPr>
          <w:p w14:paraId="1FCEA1A7"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2 910 816</w:t>
            </w:r>
          </w:p>
        </w:tc>
        <w:tc>
          <w:tcPr>
            <w:tcW w:w="992" w:type="dxa"/>
            <w:shd w:val="clear" w:color="auto" w:fill="auto"/>
            <w:vAlign w:val="bottom"/>
            <w:hideMark/>
          </w:tcPr>
          <w:p w14:paraId="551C3FAF"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3 049 880</w:t>
            </w:r>
          </w:p>
        </w:tc>
        <w:tc>
          <w:tcPr>
            <w:tcW w:w="1134" w:type="dxa"/>
            <w:shd w:val="clear" w:color="auto" w:fill="auto"/>
            <w:vAlign w:val="bottom"/>
            <w:hideMark/>
          </w:tcPr>
          <w:p w14:paraId="37C4095F"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1 155 359</w:t>
            </w:r>
          </w:p>
        </w:tc>
        <w:tc>
          <w:tcPr>
            <w:tcW w:w="992" w:type="dxa"/>
            <w:shd w:val="clear" w:color="auto" w:fill="auto"/>
            <w:vAlign w:val="bottom"/>
            <w:hideMark/>
          </w:tcPr>
          <w:p w14:paraId="76A85175" w14:textId="77777777" w:rsidR="002162D7" w:rsidRPr="009F1992" w:rsidRDefault="002162D7" w:rsidP="00F36437">
            <w:pPr>
              <w:pStyle w:val="SingleTxtG"/>
              <w:tabs>
                <w:tab w:val="clear" w:pos="1701"/>
                <w:tab w:val="clear" w:pos="2268"/>
              </w:tabs>
              <w:suppressAutoHyphens w:val="0"/>
              <w:spacing w:before="40" w:after="40" w:line="220" w:lineRule="exact"/>
              <w:ind w:left="0" w:right="113"/>
              <w:jc w:val="right"/>
              <w:rPr>
                <w:sz w:val="18"/>
                <w:szCs w:val="18"/>
              </w:rPr>
            </w:pPr>
            <w:r w:rsidRPr="009F1992">
              <w:rPr>
                <w:sz w:val="18"/>
                <w:szCs w:val="18"/>
                <w:lang w:val="zh-CN"/>
              </w:rPr>
              <w:t>1 019 393</w:t>
            </w:r>
          </w:p>
        </w:tc>
      </w:tr>
    </w:tbl>
    <w:p w14:paraId="1507E7A1" w14:textId="77777777" w:rsidR="00186E56" w:rsidRPr="00AE2B0B" w:rsidRDefault="00186E56" w:rsidP="00186E56">
      <w:pPr>
        <w:pStyle w:val="SingleTxtGC"/>
        <w:spacing w:before="120" w:after="0"/>
        <w:ind w:firstLine="170"/>
        <w:rPr>
          <w:sz w:val="18"/>
          <w:szCs w:val="16"/>
        </w:rPr>
      </w:pPr>
      <w:r w:rsidRPr="00C5478E">
        <w:rPr>
          <w:rFonts w:ascii="Time New Roman" w:eastAsia="楷体" w:hAnsi="Time New Roman" w:hint="eastAsia"/>
          <w:sz w:val="18"/>
          <w:szCs w:val="16"/>
        </w:rPr>
        <w:t>来源</w:t>
      </w:r>
      <w:r w:rsidRPr="00AE2B0B">
        <w:rPr>
          <w:rFonts w:hint="eastAsia"/>
          <w:sz w:val="18"/>
          <w:szCs w:val="16"/>
        </w:rPr>
        <w:t>：瑞典统计局。</w:t>
      </w:r>
    </w:p>
    <w:p w14:paraId="5C2015ED" w14:textId="77777777" w:rsidR="005613A0" w:rsidRDefault="005613A0" w:rsidP="00186E56">
      <w:pPr>
        <w:pStyle w:val="H23GC"/>
      </w:pPr>
      <w:r>
        <w:rPr>
          <w:rFonts w:hint="eastAsia"/>
        </w:rPr>
        <w:tab/>
      </w:r>
      <w:r>
        <w:rPr>
          <w:rFonts w:hint="eastAsia"/>
        </w:rPr>
        <w:tab/>
      </w:r>
      <w:r>
        <w:rPr>
          <w:rFonts w:hint="eastAsia"/>
        </w:rPr>
        <w:t>就业和社会状况</w:t>
      </w:r>
    </w:p>
    <w:p w14:paraId="55F601A2" w14:textId="77777777" w:rsidR="005613A0" w:rsidRDefault="005613A0" w:rsidP="005613A0">
      <w:pPr>
        <w:pStyle w:val="SingleTxtGC"/>
      </w:pPr>
      <w:r>
        <w:rPr>
          <w:rFonts w:hint="eastAsia"/>
        </w:rPr>
        <w:t>8.</w:t>
      </w:r>
      <w:r>
        <w:rPr>
          <w:rFonts w:hint="eastAsia"/>
        </w:rPr>
        <w:tab/>
        <w:t>2020</w:t>
      </w:r>
      <w:r>
        <w:rPr>
          <w:rFonts w:hint="eastAsia"/>
        </w:rPr>
        <w:t>年春季，</w:t>
      </w:r>
      <w:r>
        <w:rPr>
          <w:rFonts w:hint="eastAsia"/>
        </w:rPr>
        <w:t>2019</w:t>
      </w:r>
      <w:r>
        <w:rPr>
          <w:rFonts w:hint="eastAsia"/>
        </w:rPr>
        <w:t>冠状病毒病大流行</w:t>
      </w:r>
      <w:r>
        <w:rPr>
          <w:rFonts w:hint="eastAsia"/>
        </w:rPr>
        <w:t>(COVID-19</w:t>
      </w:r>
      <w:r>
        <w:rPr>
          <w:rFonts w:hint="eastAsia"/>
        </w:rPr>
        <w:t>疫情</w:t>
      </w:r>
      <w:r>
        <w:rPr>
          <w:rFonts w:hint="eastAsia"/>
        </w:rPr>
        <w:t>)</w:t>
      </w:r>
      <w:r>
        <w:rPr>
          <w:rFonts w:hint="eastAsia"/>
        </w:rPr>
        <w:t>危机对瑞典劳动力市场造成重大负面影响，但自那以后劳动力市场呈现积极发展。就业率在</w:t>
      </w:r>
      <w:r>
        <w:rPr>
          <w:rFonts w:hint="eastAsia"/>
        </w:rPr>
        <w:t>2020</w:t>
      </w:r>
      <w:r>
        <w:rPr>
          <w:rFonts w:hint="eastAsia"/>
        </w:rPr>
        <w:t>年夏季开始飙升，直到</w:t>
      </w:r>
      <w:r>
        <w:rPr>
          <w:rFonts w:hint="eastAsia"/>
        </w:rPr>
        <w:t>2023</w:t>
      </w:r>
      <w:r>
        <w:rPr>
          <w:rFonts w:hint="eastAsia"/>
        </w:rPr>
        <w:t>年第一季度一直在持续上升。</w:t>
      </w:r>
      <w:r>
        <w:rPr>
          <w:rFonts w:hint="eastAsia"/>
        </w:rPr>
        <w:t>2023</w:t>
      </w:r>
      <w:r>
        <w:rPr>
          <w:rFonts w:hint="eastAsia"/>
        </w:rPr>
        <w:t>年下半年，就业率略有下降。就业率</w:t>
      </w:r>
      <w:r>
        <w:rPr>
          <w:rFonts w:hint="eastAsia"/>
        </w:rPr>
        <w:t>(15-74</w:t>
      </w:r>
      <w:r>
        <w:rPr>
          <w:rFonts w:hint="eastAsia"/>
        </w:rPr>
        <w:t>岁</w:t>
      </w:r>
      <w:r>
        <w:rPr>
          <w:rFonts w:hint="eastAsia"/>
        </w:rPr>
        <w:t>)</w:t>
      </w:r>
      <w:r>
        <w:rPr>
          <w:rFonts w:hint="eastAsia"/>
        </w:rPr>
        <w:t>从</w:t>
      </w:r>
      <w:r>
        <w:rPr>
          <w:rFonts w:hint="eastAsia"/>
        </w:rPr>
        <w:t>2020</w:t>
      </w:r>
      <w:r>
        <w:rPr>
          <w:rFonts w:hint="eastAsia"/>
        </w:rPr>
        <w:t>年的</w:t>
      </w:r>
      <w:r>
        <w:rPr>
          <w:rFonts w:hint="eastAsia"/>
        </w:rPr>
        <w:t>66.8%</w:t>
      </w:r>
      <w:r>
        <w:rPr>
          <w:rFonts w:hint="eastAsia"/>
        </w:rPr>
        <w:t>上升到</w:t>
      </w:r>
      <w:r>
        <w:rPr>
          <w:rFonts w:hint="eastAsia"/>
        </w:rPr>
        <w:t>2023</w:t>
      </w:r>
      <w:r>
        <w:rPr>
          <w:rFonts w:hint="eastAsia"/>
        </w:rPr>
        <w:t>年的</w:t>
      </w:r>
      <w:r>
        <w:rPr>
          <w:rFonts w:hint="eastAsia"/>
        </w:rPr>
        <w:t>69.4%</w:t>
      </w:r>
      <w:r>
        <w:rPr>
          <w:rFonts w:hint="eastAsia"/>
        </w:rPr>
        <w:t>。同一时期，新增就业人数</w:t>
      </w:r>
      <w:r>
        <w:rPr>
          <w:rFonts w:hint="eastAsia"/>
        </w:rPr>
        <w:t>260,000</w:t>
      </w:r>
      <w:r>
        <w:rPr>
          <w:rFonts w:hint="eastAsia"/>
        </w:rPr>
        <w:t>人，增幅</w:t>
      </w:r>
      <w:r>
        <w:rPr>
          <w:rFonts w:hint="eastAsia"/>
        </w:rPr>
        <w:t>5.2%</w:t>
      </w:r>
      <w:r>
        <w:rPr>
          <w:rFonts w:hint="eastAsia"/>
        </w:rPr>
        <w:t>。外国出生人口的就业率从</w:t>
      </w:r>
      <w:r>
        <w:rPr>
          <w:rFonts w:hint="eastAsia"/>
        </w:rPr>
        <w:t>2020</w:t>
      </w:r>
      <w:r>
        <w:rPr>
          <w:rFonts w:hint="eastAsia"/>
        </w:rPr>
        <w:t>年的</w:t>
      </w:r>
      <w:r>
        <w:rPr>
          <w:rFonts w:hint="eastAsia"/>
        </w:rPr>
        <w:t>59.2%</w:t>
      </w:r>
      <w:r>
        <w:rPr>
          <w:rFonts w:hint="eastAsia"/>
        </w:rPr>
        <w:t>上升到</w:t>
      </w:r>
      <w:r>
        <w:rPr>
          <w:rFonts w:hint="eastAsia"/>
        </w:rPr>
        <w:t>2023</w:t>
      </w:r>
      <w:r>
        <w:rPr>
          <w:rFonts w:hint="eastAsia"/>
        </w:rPr>
        <w:t>年的</w:t>
      </w:r>
      <w:r>
        <w:rPr>
          <w:rFonts w:hint="eastAsia"/>
        </w:rPr>
        <w:t>67.1%</w:t>
      </w:r>
      <w:r>
        <w:rPr>
          <w:rFonts w:hint="eastAsia"/>
        </w:rPr>
        <w:t>。与此同时，外国出生人口的就业人数增加了</w:t>
      </w:r>
      <w:r>
        <w:rPr>
          <w:rFonts w:hint="eastAsia"/>
        </w:rPr>
        <w:t>21.9%(</w:t>
      </w:r>
      <w:r>
        <w:rPr>
          <w:rFonts w:hint="eastAsia"/>
        </w:rPr>
        <w:t>就业统计数据和按经济部门分列的就业情况，请见附件</w:t>
      </w:r>
      <w:r>
        <w:rPr>
          <w:rFonts w:hint="eastAsia"/>
        </w:rPr>
        <w:t>1)</w:t>
      </w:r>
      <w:r>
        <w:rPr>
          <w:rFonts w:hint="eastAsia"/>
        </w:rPr>
        <w:t>。</w:t>
      </w:r>
    </w:p>
    <w:p w14:paraId="59A98A34" w14:textId="77777777" w:rsidR="005613A0" w:rsidRDefault="005613A0" w:rsidP="005613A0">
      <w:pPr>
        <w:pStyle w:val="SingleTxtGC"/>
      </w:pPr>
      <w:r>
        <w:rPr>
          <w:rFonts w:hint="eastAsia"/>
        </w:rPr>
        <w:t>9.</w:t>
      </w:r>
      <w:r>
        <w:rPr>
          <w:rFonts w:hint="eastAsia"/>
        </w:rPr>
        <w:tab/>
        <w:t>COVID-19</w:t>
      </w:r>
      <w:r>
        <w:rPr>
          <w:rFonts w:hint="eastAsia"/>
        </w:rPr>
        <w:t>疫情危机之后，失业率由</w:t>
      </w:r>
      <w:r>
        <w:rPr>
          <w:rFonts w:hint="eastAsia"/>
        </w:rPr>
        <w:t>2019</w:t>
      </w:r>
      <w:r>
        <w:rPr>
          <w:rFonts w:hint="eastAsia"/>
        </w:rPr>
        <w:t>年的</w:t>
      </w:r>
      <w:r>
        <w:rPr>
          <w:rFonts w:hint="eastAsia"/>
        </w:rPr>
        <w:t>6.9%</w:t>
      </w:r>
      <w:r>
        <w:rPr>
          <w:rFonts w:hint="eastAsia"/>
        </w:rPr>
        <w:t>上升至</w:t>
      </w:r>
      <w:r>
        <w:rPr>
          <w:rFonts w:hint="eastAsia"/>
        </w:rPr>
        <w:t>2020</w:t>
      </w:r>
      <w:r>
        <w:rPr>
          <w:rFonts w:hint="eastAsia"/>
        </w:rPr>
        <w:t>年的</w:t>
      </w:r>
      <w:r>
        <w:rPr>
          <w:rFonts w:hint="eastAsia"/>
        </w:rPr>
        <w:t>8.5%</w:t>
      </w:r>
      <w:r>
        <w:rPr>
          <w:rFonts w:hint="eastAsia"/>
        </w:rPr>
        <w:t>。</w:t>
      </w:r>
      <w:r>
        <w:rPr>
          <w:rFonts w:hint="eastAsia"/>
        </w:rPr>
        <w:t>2021</w:t>
      </w:r>
      <w:r>
        <w:rPr>
          <w:rFonts w:hint="eastAsia"/>
        </w:rPr>
        <w:t>年，失业率开始下降，但仍略高于</w:t>
      </w:r>
      <w:r>
        <w:rPr>
          <w:rFonts w:hint="eastAsia"/>
        </w:rPr>
        <w:t>2020</w:t>
      </w:r>
      <w:r>
        <w:rPr>
          <w:rFonts w:hint="eastAsia"/>
        </w:rPr>
        <w:t>年，达到</w:t>
      </w:r>
      <w:r>
        <w:rPr>
          <w:rFonts w:hint="eastAsia"/>
        </w:rPr>
        <w:t>8.9%</w:t>
      </w:r>
      <w:r>
        <w:rPr>
          <w:rFonts w:hint="eastAsia"/>
        </w:rPr>
        <w:t>。失业率在</w:t>
      </w:r>
      <w:r>
        <w:rPr>
          <w:rFonts w:hint="eastAsia"/>
        </w:rPr>
        <w:t>2022</w:t>
      </w:r>
      <w:r>
        <w:rPr>
          <w:rFonts w:hint="eastAsia"/>
        </w:rPr>
        <w:t>年大幅下降后，再次开始反弹，</w:t>
      </w:r>
      <w:r>
        <w:rPr>
          <w:rFonts w:hint="eastAsia"/>
        </w:rPr>
        <w:t>2023</w:t>
      </w:r>
      <w:r>
        <w:rPr>
          <w:rFonts w:hint="eastAsia"/>
        </w:rPr>
        <w:t>年达到</w:t>
      </w:r>
      <w:r>
        <w:rPr>
          <w:rFonts w:hint="eastAsia"/>
        </w:rPr>
        <w:t>7.7%</w:t>
      </w:r>
      <w:r>
        <w:rPr>
          <w:rFonts w:hint="eastAsia"/>
        </w:rPr>
        <w:t>。在</w:t>
      </w:r>
      <w:r>
        <w:rPr>
          <w:rFonts w:hint="eastAsia"/>
        </w:rPr>
        <w:t>COVID-19</w:t>
      </w:r>
      <w:r>
        <w:rPr>
          <w:rFonts w:hint="eastAsia"/>
        </w:rPr>
        <w:t>疫情危机期间，外国出生人口失业率明显高于瑞典出生人口。自那以来，瑞典出生人口和外国出生人口之间的失业率差距从</w:t>
      </w:r>
      <w:r>
        <w:rPr>
          <w:rFonts w:hint="eastAsia"/>
        </w:rPr>
        <w:t>2021</w:t>
      </w:r>
      <w:r>
        <w:rPr>
          <w:rFonts w:hint="eastAsia"/>
        </w:rPr>
        <w:t>年的</w:t>
      </w:r>
      <w:r>
        <w:rPr>
          <w:rFonts w:hint="eastAsia"/>
        </w:rPr>
        <w:t>14.1</w:t>
      </w:r>
      <w:r>
        <w:rPr>
          <w:rFonts w:hint="eastAsia"/>
        </w:rPr>
        <w:t>个百分点缩小到</w:t>
      </w:r>
      <w:r>
        <w:rPr>
          <w:rFonts w:hint="eastAsia"/>
        </w:rPr>
        <w:t>2023</w:t>
      </w:r>
      <w:r>
        <w:rPr>
          <w:rFonts w:hint="eastAsia"/>
        </w:rPr>
        <w:t>年的</w:t>
      </w:r>
      <w:r>
        <w:rPr>
          <w:rFonts w:hint="eastAsia"/>
        </w:rPr>
        <w:t>10.0</w:t>
      </w:r>
      <w:r>
        <w:rPr>
          <w:rFonts w:hint="eastAsia"/>
        </w:rPr>
        <w:t>个百分点。近年来，瑞典的工会入会率总体呈下降趋势。</w:t>
      </w:r>
      <w:r>
        <w:rPr>
          <w:rFonts w:hint="eastAsia"/>
        </w:rPr>
        <w:t>2014</w:t>
      </w:r>
      <w:r>
        <w:rPr>
          <w:rFonts w:hint="eastAsia"/>
        </w:rPr>
        <w:t>至</w:t>
      </w:r>
      <w:r>
        <w:rPr>
          <w:rFonts w:hint="eastAsia"/>
        </w:rPr>
        <w:t>2015</w:t>
      </w:r>
      <w:r>
        <w:rPr>
          <w:rFonts w:hint="eastAsia"/>
        </w:rPr>
        <w:t>年期间，</w:t>
      </w:r>
      <w:r>
        <w:rPr>
          <w:rFonts w:hint="eastAsia"/>
        </w:rPr>
        <w:t>75%</w:t>
      </w:r>
      <w:r>
        <w:rPr>
          <w:rFonts w:hint="eastAsia"/>
        </w:rPr>
        <w:t>的女性和</w:t>
      </w:r>
      <w:r>
        <w:rPr>
          <w:rFonts w:hint="eastAsia"/>
        </w:rPr>
        <w:t>68%</w:t>
      </w:r>
      <w:r>
        <w:rPr>
          <w:rFonts w:hint="eastAsia"/>
        </w:rPr>
        <w:t>的男性是工会成员。在</w:t>
      </w:r>
      <w:r>
        <w:rPr>
          <w:rFonts w:hint="eastAsia"/>
        </w:rPr>
        <w:t>2021</w:t>
      </w:r>
      <w:r>
        <w:rPr>
          <w:rFonts w:hint="eastAsia"/>
        </w:rPr>
        <w:t>年的最新调查中，瑞典女性员工入会率略低于</w:t>
      </w:r>
      <w:r>
        <w:rPr>
          <w:rFonts w:hint="eastAsia"/>
        </w:rPr>
        <w:t>72%</w:t>
      </w:r>
      <w:r>
        <w:rPr>
          <w:rFonts w:hint="eastAsia"/>
        </w:rPr>
        <w:t>，男性员工入会率略高于</w:t>
      </w:r>
      <w:r>
        <w:rPr>
          <w:rFonts w:hint="eastAsia"/>
        </w:rPr>
        <w:t>65%</w:t>
      </w:r>
      <w:r>
        <w:rPr>
          <w:rFonts w:hint="eastAsia"/>
        </w:rPr>
        <w:t>。</w:t>
      </w:r>
    </w:p>
    <w:p w14:paraId="5827CB60" w14:textId="77777777" w:rsidR="005613A0" w:rsidRDefault="005613A0" w:rsidP="005613A0">
      <w:pPr>
        <w:pStyle w:val="SingleTxtGC"/>
      </w:pPr>
      <w:r>
        <w:rPr>
          <w:rFonts w:hint="eastAsia"/>
        </w:rPr>
        <w:t>10.</w:t>
      </w:r>
      <w:r>
        <w:rPr>
          <w:rFonts w:hint="eastAsia"/>
        </w:rPr>
        <w:tab/>
      </w:r>
      <w:r>
        <w:rPr>
          <w:rFonts w:hint="eastAsia"/>
        </w:rPr>
        <w:t>虽然能够自食其力的人越来越多，但近年来既没有进入劳动力市场也没有参加社会保险的人口比例没有变化。与劳动力市场联系薄弱对生活状况产生重大影响，如增加患病风险。劳动力市场之外的人群，特别是从未进入劳动力市场的人，也有可能无法享受社会保险制度中与收入挂钩的部分所提供的保护。社会保险制度是个人化的，既包括与收入挂钩的福利，也包括基本保护，即全民福利和按经济状况发放的福利。社会保险制度为人生的不同阶段提供经济保障，例如为疾病和残疾等情况提供经济保障，也为老人和有子女家庭提供经济保障，但不提供医疗保险或失业保险。</w:t>
      </w:r>
    </w:p>
    <w:p w14:paraId="09B1FD97" w14:textId="77777777" w:rsidR="005613A0" w:rsidRDefault="005613A0" w:rsidP="005613A0">
      <w:pPr>
        <w:pStyle w:val="SingleTxtGC"/>
      </w:pPr>
      <w:r>
        <w:rPr>
          <w:rFonts w:hint="eastAsia"/>
        </w:rPr>
        <w:t>11.</w:t>
      </w:r>
      <w:r>
        <w:rPr>
          <w:rFonts w:hint="eastAsia"/>
        </w:rPr>
        <w:tab/>
      </w:r>
      <w:r>
        <w:rPr>
          <w:rFonts w:hint="eastAsia"/>
        </w:rPr>
        <w:t>公共部门包括中央政府、政府机构、地区政府和市政府，负责提供卫生保健、养老和教育等服务，还负责管理儿童福利和养老金等社会保障制度。公共部门支出资金主要来自税收和社保缴费，部分来自病人缴费。卫生保健和社会服务由地区政府或地方政府直接提供，或由私营部门提供，虽然受到国家层面的监管，但主要由地方政府资助。</w:t>
      </w:r>
    </w:p>
    <w:p w14:paraId="0C5A49EC" w14:textId="77777777" w:rsidR="005613A0" w:rsidRDefault="005613A0" w:rsidP="005613A0">
      <w:pPr>
        <w:pStyle w:val="SingleTxtGC"/>
      </w:pPr>
      <w:r>
        <w:rPr>
          <w:rFonts w:hint="eastAsia"/>
        </w:rPr>
        <w:t>12.</w:t>
      </w:r>
      <w:r>
        <w:rPr>
          <w:rFonts w:hint="eastAsia"/>
        </w:rPr>
        <w:tab/>
      </w:r>
      <w:r>
        <w:rPr>
          <w:rFonts w:hint="eastAsia"/>
        </w:rPr>
        <w:t>各类人群中，长期</w:t>
      </w:r>
      <w:r>
        <w:rPr>
          <w:rFonts w:hint="eastAsia"/>
        </w:rPr>
        <w:t>(</w:t>
      </w:r>
      <w:r>
        <w:rPr>
          <w:rFonts w:hint="eastAsia"/>
        </w:rPr>
        <w:t>五年或以上</w:t>
      </w:r>
      <w:r>
        <w:rPr>
          <w:rFonts w:hint="eastAsia"/>
        </w:rPr>
        <w:t>)</w:t>
      </w:r>
      <w:r>
        <w:rPr>
          <w:rFonts w:hint="eastAsia"/>
        </w:rPr>
        <w:t>贫困人口数量持续减少。此外，各类人群的收入均有所增加，但高收入者的收入增长比低收入者多，因此，收入差距有所扩大</w:t>
      </w:r>
      <w:r>
        <w:rPr>
          <w:rFonts w:hint="eastAsia"/>
        </w:rPr>
        <w:t>(</w:t>
      </w:r>
      <w:r>
        <w:rPr>
          <w:rFonts w:hint="eastAsia"/>
        </w:rPr>
        <w:t>关于生活状况、各种指标、按性别、年龄、时期统计的百分比、基尼系数、健康与社会经济指标的统计数据，请见附件</w:t>
      </w:r>
      <w:r>
        <w:rPr>
          <w:rFonts w:hint="eastAsia"/>
        </w:rPr>
        <w:t>2)</w:t>
      </w:r>
      <w:r>
        <w:rPr>
          <w:rFonts w:hint="eastAsia"/>
        </w:rPr>
        <w:t>。</w:t>
      </w:r>
    </w:p>
    <w:p w14:paraId="7ED2A1D2" w14:textId="77777777" w:rsidR="005613A0" w:rsidRDefault="005613A0" w:rsidP="005613A0">
      <w:pPr>
        <w:pStyle w:val="SingleTxtGC"/>
      </w:pPr>
      <w:r>
        <w:rPr>
          <w:rFonts w:hint="eastAsia"/>
        </w:rPr>
        <w:t>13.</w:t>
      </w:r>
      <w:r>
        <w:rPr>
          <w:rFonts w:hint="eastAsia"/>
        </w:rPr>
        <w:tab/>
      </w:r>
      <w:r>
        <w:rPr>
          <w:rFonts w:hint="eastAsia"/>
        </w:rPr>
        <w:t>在瑞典，</w:t>
      </w:r>
      <w:r>
        <w:rPr>
          <w:rFonts w:hint="eastAsia"/>
        </w:rPr>
        <w:t>53%</w:t>
      </w:r>
      <w:r>
        <w:rPr>
          <w:rFonts w:hint="eastAsia"/>
        </w:rPr>
        <w:t>的人口居住在三大城市地区，这三大城市地区是指三个最大的城市及其周边通勤城市。近几十年来，居住在三大城市地区的居民人口比例有所增加。在瑞典全国和城市地区，男性人口比例略高于</w:t>
      </w:r>
      <w:r>
        <w:rPr>
          <w:rFonts w:hint="eastAsia"/>
        </w:rPr>
        <w:t>50%</w:t>
      </w:r>
      <w:r>
        <w:rPr>
          <w:rFonts w:hint="eastAsia"/>
        </w:rPr>
        <w:t>，女性人口比例接近</w:t>
      </w:r>
      <w:r>
        <w:rPr>
          <w:rFonts w:hint="eastAsia"/>
        </w:rPr>
        <w:t>50%</w:t>
      </w:r>
      <w:r>
        <w:rPr>
          <w:rFonts w:hint="eastAsia"/>
        </w:rPr>
        <w:t>。与其他地区相比，三大城市地区中的年轻人口和受过高等教育的人口更多。瑞典不登记宗教、族裔和母语信息，仅登记</w:t>
      </w:r>
      <w:proofErr w:type="gramStart"/>
      <w:r>
        <w:rPr>
          <w:rFonts w:hint="eastAsia"/>
        </w:rPr>
        <w:t>出生国</w:t>
      </w:r>
      <w:proofErr w:type="gramEnd"/>
      <w:r>
        <w:rPr>
          <w:rFonts w:hint="eastAsia"/>
        </w:rPr>
        <w:t>信息。外国出生人口集中在城市地区</w:t>
      </w:r>
      <w:r>
        <w:rPr>
          <w:rFonts w:hint="eastAsia"/>
        </w:rPr>
        <w:t>(</w:t>
      </w:r>
      <w:r>
        <w:rPr>
          <w:rFonts w:hint="eastAsia"/>
        </w:rPr>
        <w:t>三大城市地区</w:t>
      </w:r>
      <w:r>
        <w:rPr>
          <w:rFonts w:hint="eastAsia"/>
        </w:rPr>
        <w:t>)</w:t>
      </w:r>
      <w:r>
        <w:rPr>
          <w:rFonts w:hint="eastAsia"/>
        </w:rPr>
        <w:t>，其中</w:t>
      </w:r>
      <w:r>
        <w:rPr>
          <w:rFonts w:hint="eastAsia"/>
        </w:rPr>
        <w:t>63%</w:t>
      </w:r>
      <w:r>
        <w:rPr>
          <w:rFonts w:hint="eastAsia"/>
        </w:rPr>
        <w:t>居住在这些地区。出生在瑞典以外国家的人口占这三大城市地区人口的</w:t>
      </w:r>
      <w:r>
        <w:rPr>
          <w:rFonts w:hint="eastAsia"/>
        </w:rPr>
        <w:t>24%</w:t>
      </w:r>
      <w:r>
        <w:rPr>
          <w:rFonts w:hint="eastAsia"/>
        </w:rPr>
        <w:t>，而在瑞典总人口中占</w:t>
      </w:r>
      <w:r>
        <w:rPr>
          <w:rFonts w:hint="eastAsia"/>
        </w:rPr>
        <w:t>21%</w:t>
      </w:r>
      <w:r>
        <w:rPr>
          <w:rFonts w:hint="eastAsia"/>
        </w:rPr>
        <w:t>。然而，在这三大城市地区的周边市镇中，外国出生人口占</w:t>
      </w:r>
      <w:r>
        <w:rPr>
          <w:rFonts w:hint="eastAsia"/>
        </w:rPr>
        <w:t>20%</w:t>
      </w:r>
      <w:r>
        <w:rPr>
          <w:rFonts w:hint="eastAsia"/>
        </w:rPr>
        <w:t>以上也并不罕见。过去五年中，这一比例一直在增加。</w:t>
      </w:r>
    </w:p>
    <w:p w14:paraId="7196F33E" w14:textId="77777777" w:rsidR="005613A0" w:rsidRDefault="005613A0" w:rsidP="005613A0">
      <w:pPr>
        <w:pStyle w:val="SingleTxtGC"/>
      </w:pPr>
      <w:r>
        <w:rPr>
          <w:rFonts w:hint="eastAsia"/>
        </w:rPr>
        <w:t>14.</w:t>
      </w:r>
      <w:r>
        <w:rPr>
          <w:rFonts w:hint="eastAsia"/>
        </w:rPr>
        <w:tab/>
      </w:r>
      <w:r>
        <w:rPr>
          <w:rFonts w:hint="eastAsia"/>
        </w:rPr>
        <w:t>有迹象表明，瑞典的城市隔离现象有所加剧。即使在同一城市或市镇，不同居住区的失业率、学习成绩、收入、福利依赖程度、对公共社会服务支助的需求、健康状况、选举参与度和不安全感都可能存在显著差异。这些因素在女性和男性、男童和女童之间也存在差异。各种福祉问题可能相伴而生，比如健康状况差往往伴随着经济状况脆弱。重病往往导致经济状况恶化，增加配偶分居的风险</w:t>
      </w:r>
      <w:r>
        <w:rPr>
          <w:rFonts w:hint="eastAsia"/>
        </w:rPr>
        <w:t>(</w:t>
      </w:r>
      <w:r>
        <w:rPr>
          <w:rFonts w:hint="eastAsia"/>
        </w:rPr>
        <w:t>关于</w:t>
      </w:r>
      <w:r>
        <w:rPr>
          <w:rFonts w:hint="eastAsia"/>
        </w:rPr>
        <w:t>2011-2015</w:t>
      </w:r>
      <w:r>
        <w:rPr>
          <w:rFonts w:hint="eastAsia"/>
        </w:rPr>
        <w:t>年面临贫困风险的人口统计数据，请见附件</w:t>
      </w:r>
      <w:r>
        <w:rPr>
          <w:rFonts w:hint="eastAsia"/>
        </w:rPr>
        <w:t>3)</w:t>
      </w:r>
      <w:r>
        <w:rPr>
          <w:rFonts w:hint="eastAsia"/>
        </w:rPr>
        <w:t>。</w:t>
      </w:r>
    </w:p>
    <w:p w14:paraId="46FE7866" w14:textId="77777777" w:rsidR="005613A0" w:rsidRDefault="005613A0" w:rsidP="008F567A">
      <w:pPr>
        <w:pStyle w:val="H23GC"/>
      </w:pPr>
      <w:r>
        <w:rPr>
          <w:rFonts w:hint="eastAsia"/>
        </w:rPr>
        <w:tab/>
      </w:r>
      <w:r>
        <w:rPr>
          <w:rFonts w:hint="eastAsia"/>
        </w:rPr>
        <w:tab/>
      </w:r>
      <w:r>
        <w:rPr>
          <w:rFonts w:hint="eastAsia"/>
        </w:rPr>
        <w:t>教育</w:t>
      </w:r>
    </w:p>
    <w:p w14:paraId="2B5DCA08" w14:textId="77777777" w:rsidR="005613A0" w:rsidRDefault="005613A0" w:rsidP="005613A0">
      <w:pPr>
        <w:pStyle w:val="SingleTxtGC"/>
      </w:pPr>
      <w:r>
        <w:rPr>
          <w:rFonts w:hint="eastAsia"/>
        </w:rPr>
        <w:t>15.</w:t>
      </w:r>
      <w:r>
        <w:rPr>
          <w:rFonts w:hint="eastAsia"/>
        </w:rPr>
        <w:tab/>
      </w:r>
      <w:r>
        <w:rPr>
          <w:rFonts w:hint="eastAsia"/>
        </w:rPr>
        <w:t>被认定为瑞典居民的</w:t>
      </w:r>
      <w:r>
        <w:rPr>
          <w:rFonts w:hint="eastAsia"/>
        </w:rPr>
        <w:t>6-16</w:t>
      </w:r>
      <w:r>
        <w:rPr>
          <w:rFonts w:hint="eastAsia"/>
        </w:rPr>
        <w:t>岁儿童必须接受学前、小学和中学义务教育。所有儿童都应当入学。</w:t>
      </w:r>
      <w:r>
        <w:rPr>
          <w:rFonts w:hint="eastAsia"/>
        </w:rPr>
        <w:t>2022/23</w:t>
      </w:r>
      <w:r>
        <w:rPr>
          <w:rFonts w:hint="eastAsia"/>
        </w:rPr>
        <w:t>学年，瑞典小学共有</w:t>
      </w:r>
      <w:r>
        <w:rPr>
          <w:rFonts w:hint="eastAsia"/>
        </w:rPr>
        <w:t>1,111,568</w:t>
      </w:r>
      <w:r>
        <w:rPr>
          <w:rFonts w:hint="eastAsia"/>
        </w:rPr>
        <w:t>名学生</w:t>
      </w:r>
      <w:r>
        <w:rPr>
          <w:rFonts w:hint="eastAsia"/>
        </w:rPr>
        <w:t>(</w:t>
      </w:r>
      <w:r>
        <w:rPr>
          <w:rFonts w:hint="eastAsia"/>
        </w:rPr>
        <w:t>有关义务教育学生人数的统计数据，请见附件</w:t>
      </w:r>
      <w:r>
        <w:rPr>
          <w:rFonts w:hint="eastAsia"/>
        </w:rPr>
        <w:t>4)</w:t>
      </w:r>
      <w:r>
        <w:rPr>
          <w:rFonts w:hint="eastAsia"/>
        </w:rPr>
        <w:t>。市政府和学校有义务确保所有义务教育适龄儿童确实到校上学。</w:t>
      </w:r>
    </w:p>
    <w:p w14:paraId="481C5ABD" w14:textId="77777777" w:rsidR="005613A0" w:rsidRDefault="005613A0" w:rsidP="005613A0">
      <w:pPr>
        <w:pStyle w:val="SingleTxtGC"/>
      </w:pPr>
      <w:r>
        <w:rPr>
          <w:rFonts w:hint="eastAsia"/>
        </w:rPr>
        <w:t>16.</w:t>
      </w:r>
      <w:r>
        <w:rPr>
          <w:rFonts w:hint="eastAsia"/>
        </w:rPr>
        <w:tab/>
      </w:r>
      <w:r>
        <w:rPr>
          <w:rFonts w:hint="eastAsia"/>
        </w:rPr>
        <w:t>寻求庇护儿童和没有获得必要许可或法律支持而留在瑞典的儿童，有权在中小学接受教育，但不强制。此类儿童如果</w:t>
      </w:r>
      <w:r>
        <w:rPr>
          <w:rFonts w:hint="eastAsia"/>
        </w:rPr>
        <w:t>18</w:t>
      </w:r>
      <w:r>
        <w:rPr>
          <w:rFonts w:hint="eastAsia"/>
        </w:rPr>
        <w:t>岁之前入学，也有权接受高级中等教育。市政府获得专项拨款，用于这些儿童的教育。根据瑞典移民局的评估，几乎所有儿童都能入学，极少出现例外。移民官员鼓励父母与最近的学校联系，如果父母同意，瑞典移民局会通知负责提供教育的市政府。</w:t>
      </w:r>
    </w:p>
    <w:p w14:paraId="02D1E998" w14:textId="77777777" w:rsidR="005613A0" w:rsidRDefault="005613A0" w:rsidP="005613A0">
      <w:pPr>
        <w:pStyle w:val="SingleTxtGC"/>
      </w:pPr>
      <w:r>
        <w:rPr>
          <w:rFonts w:hint="eastAsia"/>
        </w:rPr>
        <w:t>17.</w:t>
      </w:r>
      <w:r>
        <w:rPr>
          <w:rFonts w:hint="eastAsia"/>
        </w:rPr>
        <w:tab/>
      </w:r>
      <w:r>
        <w:rPr>
          <w:rFonts w:hint="eastAsia"/>
        </w:rPr>
        <w:t>高级中等教育包括国立职业教育课程、国立高等教育预备课程和入门课程。希望申请国立教育课程的学生在义务教育阶段最低必须通过下列考试：瑞典语</w:t>
      </w:r>
      <w:r>
        <w:rPr>
          <w:rFonts w:hint="eastAsia"/>
        </w:rPr>
        <w:t>/</w:t>
      </w:r>
      <w:r>
        <w:rPr>
          <w:rFonts w:hint="eastAsia"/>
        </w:rPr>
        <w:t>作为第二语言的瑞典语、英语、数学；此外，申请国立职业教育课程的学生至少还需通过五门其他课程；申请国立高等教育预备课程的学生至少还需通过九门其他课程。不符合这些要求的学生可以申请入门课程，作为入读国立教育课程或参与就业的途径。在</w:t>
      </w:r>
      <w:r>
        <w:rPr>
          <w:rFonts w:hint="eastAsia"/>
        </w:rPr>
        <w:t>2023/24</w:t>
      </w:r>
      <w:r>
        <w:rPr>
          <w:rFonts w:hint="eastAsia"/>
        </w:rPr>
        <w:t>学年之前，</w:t>
      </w:r>
      <w:r>
        <w:rPr>
          <w:rFonts w:hint="eastAsia"/>
        </w:rPr>
        <w:t>85.2%</w:t>
      </w:r>
      <w:r>
        <w:rPr>
          <w:rFonts w:hint="eastAsia"/>
        </w:rPr>
        <w:t>的学生有资格申请国立教育课程。</w:t>
      </w:r>
      <w:r>
        <w:rPr>
          <w:rFonts w:hint="eastAsia"/>
        </w:rPr>
        <w:t>14.8%</w:t>
      </w:r>
      <w:r>
        <w:rPr>
          <w:rFonts w:hint="eastAsia"/>
        </w:rPr>
        <w:t>没有资格的学生将改读入门课程。</w:t>
      </w:r>
    </w:p>
    <w:p w14:paraId="49FB1308" w14:textId="77777777" w:rsidR="005613A0" w:rsidRDefault="005613A0" w:rsidP="005613A0">
      <w:pPr>
        <w:pStyle w:val="SingleTxtGC"/>
      </w:pPr>
      <w:r>
        <w:rPr>
          <w:rFonts w:hint="eastAsia"/>
        </w:rPr>
        <w:t>18.</w:t>
      </w:r>
      <w:r>
        <w:rPr>
          <w:rFonts w:hint="eastAsia"/>
        </w:rPr>
        <w:tab/>
      </w:r>
      <w:r>
        <w:rPr>
          <w:rFonts w:hint="eastAsia"/>
        </w:rPr>
        <w:t>完成义务教育并继续接受高级中等教育的学生比例接近</w:t>
      </w:r>
      <w:r>
        <w:rPr>
          <w:rFonts w:hint="eastAsia"/>
        </w:rPr>
        <w:t>100%</w:t>
      </w:r>
      <w:r>
        <w:rPr>
          <w:rFonts w:hint="eastAsia"/>
        </w:rPr>
        <w:t>。</w:t>
      </w:r>
    </w:p>
    <w:p w14:paraId="5FE7BACB" w14:textId="4015F732" w:rsidR="00B02D5E" w:rsidRDefault="005613A0" w:rsidP="005613A0">
      <w:pPr>
        <w:pStyle w:val="SingleTxtGC"/>
      </w:pPr>
      <w:r>
        <w:rPr>
          <w:rFonts w:hint="eastAsia"/>
        </w:rPr>
        <w:t>19.</w:t>
      </w:r>
      <w:r>
        <w:rPr>
          <w:rFonts w:hint="eastAsia"/>
        </w:rPr>
        <w:tab/>
      </w:r>
      <w:r>
        <w:rPr>
          <w:rFonts w:hint="eastAsia"/>
        </w:rPr>
        <w:t>下表显示了五年内完成高级中等教育阶段三年制课程并获得文凭的学生比例</w:t>
      </w:r>
      <w:r>
        <w:rPr>
          <w:rFonts w:hint="eastAsia"/>
        </w:rPr>
        <w:t>(</w:t>
      </w:r>
      <w:r>
        <w:rPr>
          <w:rFonts w:hint="eastAsia"/>
        </w:rPr>
        <w:t>假定五年内没有完成三年课程的学生已经辍学，从这些数字可以看出高中辍学率</w:t>
      </w:r>
      <w:r>
        <w:rPr>
          <w:rFonts w:hint="eastAsia"/>
        </w:rPr>
        <w:t>)</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613A0" w:rsidRPr="003766F3" w14:paraId="25F6E88E" w14:textId="77777777" w:rsidTr="000D6394">
        <w:trPr>
          <w:tblHeader/>
        </w:trPr>
        <w:tc>
          <w:tcPr>
            <w:tcW w:w="1841" w:type="dxa"/>
            <w:tcBorders>
              <w:top w:val="single" w:sz="4" w:space="0" w:color="auto"/>
              <w:bottom w:val="single" w:sz="12" w:space="0" w:color="auto"/>
            </w:tcBorders>
            <w:shd w:val="clear" w:color="auto" w:fill="auto"/>
            <w:vAlign w:val="bottom"/>
          </w:tcPr>
          <w:p w14:paraId="2CD8285B" w14:textId="18A92589" w:rsidR="005613A0" w:rsidRPr="003766F3" w:rsidRDefault="005613A0" w:rsidP="00F36437">
            <w:pPr>
              <w:pStyle w:val="SingleTxtG"/>
              <w:tabs>
                <w:tab w:val="clear" w:pos="1701"/>
                <w:tab w:val="clear" w:pos="2268"/>
              </w:tabs>
              <w:suppressAutoHyphens w:val="0"/>
              <w:spacing w:before="80" w:after="80" w:line="200" w:lineRule="exact"/>
              <w:ind w:left="0" w:right="113"/>
              <w:jc w:val="left"/>
              <w:rPr>
                <w:sz w:val="18"/>
                <w:szCs w:val="18"/>
              </w:rPr>
            </w:pPr>
            <w:r w:rsidRPr="003766F3">
              <w:rPr>
                <w:rFonts w:eastAsia="楷体"/>
                <w:snapToGrid w:val="0"/>
                <w:sz w:val="18"/>
                <w:szCs w:val="18"/>
              </w:rPr>
              <w:t>高级中等教育</w:t>
            </w:r>
            <w:r w:rsidR="00D90FFC">
              <w:rPr>
                <w:rFonts w:eastAsia="楷体"/>
                <w:snapToGrid w:val="0"/>
                <w:sz w:val="18"/>
                <w:szCs w:val="18"/>
              </w:rPr>
              <w:br/>
            </w:r>
            <w:r w:rsidRPr="003766F3">
              <w:rPr>
                <w:rFonts w:eastAsia="楷体"/>
                <w:snapToGrid w:val="0"/>
                <w:sz w:val="18"/>
                <w:szCs w:val="18"/>
              </w:rPr>
              <w:t>入学年份</w:t>
            </w:r>
          </w:p>
        </w:tc>
        <w:tc>
          <w:tcPr>
            <w:tcW w:w="1843" w:type="dxa"/>
            <w:tcBorders>
              <w:top w:val="single" w:sz="4" w:space="0" w:color="auto"/>
              <w:bottom w:val="single" w:sz="12" w:space="0" w:color="auto"/>
            </w:tcBorders>
            <w:shd w:val="clear" w:color="auto" w:fill="auto"/>
            <w:vAlign w:val="bottom"/>
          </w:tcPr>
          <w:p w14:paraId="7B91068B" w14:textId="61C6EA0D" w:rsidR="005613A0" w:rsidRPr="003766F3" w:rsidRDefault="005613A0" w:rsidP="00F36437">
            <w:pPr>
              <w:pStyle w:val="SingleTxtG"/>
              <w:tabs>
                <w:tab w:val="clear" w:pos="1701"/>
                <w:tab w:val="clear" w:pos="2268"/>
              </w:tabs>
              <w:suppressAutoHyphens w:val="0"/>
              <w:spacing w:before="80" w:after="80" w:line="200" w:lineRule="exact"/>
              <w:ind w:left="0" w:right="113"/>
              <w:jc w:val="right"/>
              <w:rPr>
                <w:rFonts w:eastAsia="楷体"/>
                <w:snapToGrid w:val="0"/>
                <w:sz w:val="18"/>
                <w:szCs w:val="18"/>
              </w:rPr>
            </w:pPr>
            <w:r w:rsidRPr="003766F3">
              <w:rPr>
                <w:rFonts w:eastAsia="楷体"/>
                <w:snapToGrid w:val="0"/>
                <w:sz w:val="18"/>
                <w:szCs w:val="18"/>
              </w:rPr>
              <w:t>5</w:t>
            </w:r>
            <w:r w:rsidRPr="003766F3">
              <w:rPr>
                <w:rFonts w:eastAsia="楷体"/>
                <w:snapToGrid w:val="0"/>
                <w:sz w:val="18"/>
                <w:szCs w:val="18"/>
              </w:rPr>
              <w:t>年内完成课程的</w:t>
            </w:r>
            <w:r w:rsidR="00D90FFC">
              <w:rPr>
                <w:rFonts w:eastAsia="楷体"/>
                <w:snapToGrid w:val="0"/>
                <w:sz w:val="18"/>
                <w:szCs w:val="18"/>
              </w:rPr>
              <w:br/>
            </w:r>
            <w:r w:rsidRPr="003766F3">
              <w:rPr>
                <w:rFonts w:eastAsia="楷体"/>
                <w:snapToGrid w:val="0"/>
                <w:sz w:val="18"/>
                <w:szCs w:val="18"/>
              </w:rPr>
              <w:t>女生比例</w:t>
            </w:r>
          </w:p>
        </w:tc>
        <w:tc>
          <w:tcPr>
            <w:tcW w:w="1843" w:type="dxa"/>
            <w:tcBorders>
              <w:top w:val="single" w:sz="4" w:space="0" w:color="auto"/>
              <w:bottom w:val="single" w:sz="12" w:space="0" w:color="auto"/>
            </w:tcBorders>
            <w:shd w:val="clear" w:color="auto" w:fill="auto"/>
            <w:vAlign w:val="bottom"/>
          </w:tcPr>
          <w:p w14:paraId="05B4FA63" w14:textId="270DD036" w:rsidR="005613A0" w:rsidRPr="003766F3" w:rsidRDefault="005613A0" w:rsidP="00F36437">
            <w:pPr>
              <w:pStyle w:val="SingleTxtG"/>
              <w:tabs>
                <w:tab w:val="clear" w:pos="1701"/>
                <w:tab w:val="clear" w:pos="2268"/>
              </w:tabs>
              <w:suppressAutoHyphens w:val="0"/>
              <w:spacing w:before="80" w:after="80" w:line="200" w:lineRule="exact"/>
              <w:ind w:left="0" w:right="113"/>
              <w:jc w:val="right"/>
              <w:rPr>
                <w:rFonts w:eastAsia="楷体"/>
                <w:snapToGrid w:val="0"/>
                <w:sz w:val="18"/>
                <w:szCs w:val="18"/>
              </w:rPr>
            </w:pPr>
            <w:r w:rsidRPr="003766F3">
              <w:rPr>
                <w:rFonts w:eastAsia="楷体"/>
                <w:snapToGrid w:val="0"/>
                <w:sz w:val="18"/>
                <w:szCs w:val="18"/>
              </w:rPr>
              <w:t>5</w:t>
            </w:r>
            <w:r w:rsidRPr="003766F3">
              <w:rPr>
                <w:rFonts w:eastAsia="楷体"/>
                <w:snapToGrid w:val="0"/>
                <w:sz w:val="18"/>
                <w:szCs w:val="18"/>
              </w:rPr>
              <w:t>年内完成课程的</w:t>
            </w:r>
            <w:r w:rsidR="00D90FFC">
              <w:rPr>
                <w:rFonts w:eastAsia="楷体"/>
                <w:snapToGrid w:val="0"/>
                <w:sz w:val="18"/>
                <w:szCs w:val="18"/>
              </w:rPr>
              <w:br/>
            </w:r>
            <w:r w:rsidRPr="003766F3">
              <w:rPr>
                <w:rFonts w:eastAsia="楷体"/>
                <w:snapToGrid w:val="0"/>
                <w:sz w:val="18"/>
                <w:szCs w:val="18"/>
              </w:rPr>
              <w:t>男生比例</w:t>
            </w:r>
          </w:p>
        </w:tc>
        <w:tc>
          <w:tcPr>
            <w:tcW w:w="1843" w:type="dxa"/>
            <w:tcBorders>
              <w:top w:val="single" w:sz="4" w:space="0" w:color="auto"/>
              <w:bottom w:val="single" w:sz="12" w:space="0" w:color="auto"/>
            </w:tcBorders>
            <w:shd w:val="clear" w:color="auto" w:fill="auto"/>
            <w:vAlign w:val="bottom"/>
          </w:tcPr>
          <w:p w14:paraId="0AF64D0F" w14:textId="57F97923" w:rsidR="005613A0" w:rsidRPr="003766F3" w:rsidRDefault="005613A0" w:rsidP="00F36437">
            <w:pPr>
              <w:pStyle w:val="SingleTxtG"/>
              <w:tabs>
                <w:tab w:val="clear" w:pos="1701"/>
                <w:tab w:val="clear" w:pos="2268"/>
              </w:tabs>
              <w:suppressAutoHyphens w:val="0"/>
              <w:spacing w:before="80" w:after="80" w:line="200" w:lineRule="exact"/>
              <w:ind w:left="0" w:right="113"/>
              <w:jc w:val="right"/>
              <w:rPr>
                <w:sz w:val="18"/>
                <w:szCs w:val="18"/>
              </w:rPr>
            </w:pPr>
            <w:r w:rsidRPr="003766F3">
              <w:rPr>
                <w:sz w:val="18"/>
                <w:szCs w:val="18"/>
                <w:lang w:val="zh-CN"/>
              </w:rPr>
              <w:t>5</w:t>
            </w:r>
            <w:r w:rsidRPr="003766F3">
              <w:rPr>
                <w:rFonts w:eastAsia="楷体"/>
                <w:snapToGrid w:val="0"/>
                <w:sz w:val="18"/>
                <w:szCs w:val="18"/>
              </w:rPr>
              <w:t>年内完成课程的</w:t>
            </w:r>
            <w:r w:rsidR="00D90FFC">
              <w:rPr>
                <w:rFonts w:eastAsia="楷体"/>
                <w:snapToGrid w:val="0"/>
                <w:sz w:val="18"/>
                <w:szCs w:val="18"/>
              </w:rPr>
              <w:br/>
            </w:r>
            <w:r w:rsidRPr="003766F3">
              <w:rPr>
                <w:rFonts w:eastAsia="楷体"/>
                <w:snapToGrid w:val="0"/>
                <w:sz w:val="18"/>
                <w:szCs w:val="18"/>
              </w:rPr>
              <w:t>学生比例</w:t>
            </w:r>
          </w:p>
        </w:tc>
      </w:tr>
      <w:tr w:rsidR="005613A0" w:rsidRPr="003766F3" w14:paraId="2652A8C7" w14:textId="77777777" w:rsidTr="000D6394">
        <w:tc>
          <w:tcPr>
            <w:tcW w:w="1841" w:type="dxa"/>
            <w:shd w:val="clear" w:color="auto" w:fill="auto"/>
          </w:tcPr>
          <w:p w14:paraId="0C445A98" w14:textId="77777777" w:rsidR="005613A0" w:rsidRPr="003766F3" w:rsidRDefault="005613A0" w:rsidP="00F36437">
            <w:pPr>
              <w:pStyle w:val="SingleTxtG"/>
              <w:tabs>
                <w:tab w:val="clear" w:pos="1701"/>
                <w:tab w:val="clear" w:pos="2268"/>
              </w:tabs>
              <w:suppressAutoHyphens w:val="0"/>
              <w:spacing w:before="40" w:after="40" w:line="220" w:lineRule="exact"/>
              <w:ind w:left="0" w:right="113"/>
              <w:jc w:val="left"/>
              <w:rPr>
                <w:sz w:val="18"/>
                <w:szCs w:val="18"/>
              </w:rPr>
            </w:pPr>
            <w:r w:rsidRPr="003766F3">
              <w:rPr>
                <w:sz w:val="18"/>
                <w:szCs w:val="18"/>
                <w:lang w:val="zh-CN"/>
              </w:rPr>
              <w:t>2018</w:t>
            </w:r>
            <w:r w:rsidRPr="003766F3">
              <w:rPr>
                <w:sz w:val="18"/>
                <w:szCs w:val="18"/>
                <w:lang w:val="zh-CN"/>
              </w:rPr>
              <w:t>年秋季</w:t>
            </w:r>
          </w:p>
        </w:tc>
        <w:tc>
          <w:tcPr>
            <w:tcW w:w="1843" w:type="dxa"/>
            <w:shd w:val="clear" w:color="auto" w:fill="auto"/>
            <w:vAlign w:val="bottom"/>
          </w:tcPr>
          <w:p w14:paraId="355425E1" w14:textId="77777777" w:rsidR="005613A0" w:rsidRPr="003766F3" w:rsidRDefault="005613A0" w:rsidP="00F36437">
            <w:pPr>
              <w:pStyle w:val="SingleTxtG"/>
              <w:tabs>
                <w:tab w:val="clear" w:pos="1701"/>
                <w:tab w:val="clear" w:pos="2268"/>
              </w:tabs>
              <w:suppressAutoHyphens w:val="0"/>
              <w:spacing w:before="40" w:after="40" w:line="220" w:lineRule="exact"/>
              <w:ind w:left="0" w:right="113"/>
              <w:jc w:val="right"/>
              <w:rPr>
                <w:sz w:val="18"/>
                <w:szCs w:val="18"/>
              </w:rPr>
            </w:pPr>
            <w:r w:rsidRPr="003766F3">
              <w:rPr>
                <w:sz w:val="18"/>
                <w:szCs w:val="18"/>
                <w:lang w:val="zh-CN"/>
              </w:rPr>
              <w:t>78.3%</w:t>
            </w:r>
          </w:p>
        </w:tc>
        <w:tc>
          <w:tcPr>
            <w:tcW w:w="1843" w:type="dxa"/>
            <w:shd w:val="clear" w:color="auto" w:fill="auto"/>
            <w:vAlign w:val="bottom"/>
          </w:tcPr>
          <w:p w14:paraId="783DE61A" w14:textId="77777777" w:rsidR="005613A0" w:rsidRPr="003766F3" w:rsidRDefault="005613A0" w:rsidP="00F36437">
            <w:pPr>
              <w:pStyle w:val="SingleTxtG"/>
              <w:tabs>
                <w:tab w:val="clear" w:pos="1701"/>
                <w:tab w:val="clear" w:pos="2268"/>
              </w:tabs>
              <w:suppressAutoHyphens w:val="0"/>
              <w:spacing w:before="40" w:after="40" w:line="220" w:lineRule="exact"/>
              <w:ind w:left="0" w:right="113"/>
              <w:jc w:val="right"/>
              <w:rPr>
                <w:sz w:val="18"/>
                <w:szCs w:val="18"/>
              </w:rPr>
            </w:pPr>
            <w:r w:rsidRPr="003766F3">
              <w:rPr>
                <w:sz w:val="18"/>
                <w:szCs w:val="18"/>
                <w:lang w:val="zh-CN"/>
              </w:rPr>
              <w:t>71.2%</w:t>
            </w:r>
          </w:p>
        </w:tc>
        <w:tc>
          <w:tcPr>
            <w:tcW w:w="1843" w:type="dxa"/>
            <w:shd w:val="clear" w:color="auto" w:fill="auto"/>
            <w:vAlign w:val="bottom"/>
          </w:tcPr>
          <w:p w14:paraId="79B16A94" w14:textId="77777777" w:rsidR="005613A0" w:rsidRPr="003766F3" w:rsidRDefault="005613A0" w:rsidP="00F36437">
            <w:pPr>
              <w:pStyle w:val="SingleTxtG"/>
              <w:tabs>
                <w:tab w:val="clear" w:pos="1701"/>
                <w:tab w:val="clear" w:pos="2268"/>
              </w:tabs>
              <w:suppressAutoHyphens w:val="0"/>
              <w:spacing w:before="40" w:after="40" w:line="220" w:lineRule="exact"/>
              <w:ind w:left="0" w:right="113"/>
              <w:jc w:val="right"/>
              <w:rPr>
                <w:sz w:val="18"/>
                <w:szCs w:val="18"/>
              </w:rPr>
            </w:pPr>
            <w:r w:rsidRPr="003766F3">
              <w:rPr>
                <w:sz w:val="18"/>
                <w:szCs w:val="18"/>
                <w:lang w:val="zh-CN"/>
              </w:rPr>
              <w:t>74.6%</w:t>
            </w:r>
          </w:p>
        </w:tc>
      </w:tr>
    </w:tbl>
    <w:p w14:paraId="1C3BD731" w14:textId="77777777" w:rsidR="000D6394" w:rsidRPr="0073199E" w:rsidRDefault="000D6394" w:rsidP="0073199E">
      <w:pPr>
        <w:pStyle w:val="SingleTxtGC"/>
        <w:spacing w:before="120"/>
        <w:ind w:firstLine="170"/>
        <w:rPr>
          <w:sz w:val="18"/>
          <w:szCs w:val="16"/>
        </w:rPr>
      </w:pPr>
      <w:r w:rsidRPr="0073199E">
        <w:rPr>
          <w:rFonts w:ascii="Time New Roman" w:eastAsia="楷体" w:hAnsi="Time New Roman" w:hint="eastAsia"/>
          <w:sz w:val="18"/>
          <w:szCs w:val="16"/>
        </w:rPr>
        <w:t>来源</w:t>
      </w:r>
      <w:r w:rsidRPr="0073199E">
        <w:rPr>
          <w:rFonts w:hint="eastAsia"/>
          <w:sz w:val="18"/>
          <w:szCs w:val="16"/>
        </w:rPr>
        <w:t>：国家教育署数据库。</w:t>
      </w:r>
    </w:p>
    <w:p w14:paraId="469F701B" w14:textId="3EBB211B" w:rsidR="005613A0" w:rsidRDefault="000D6394" w:rsidP="0073199E">
      <w:pPr>
        <w:pStyle w:val="H23GC"/>
      </w:pPr>
      <w:r>
        <w:rPr>
          <w:rFonts w:hint="eastAsia"/>
        </w:rPr>
        <w:tab/>
      </w:r>
      <w:r>
        <w:rPr>
          <w:rFonts w:hint="eastAsia"/>
        </w:rPr>
        <w:tab/>
      </w:r>
      <w:r>
        <w:rPr>
          <w:rFonts w:hint="eastAsia"/>
        </w:rPr>
        <w:t>公立学校的师生比例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0D6394" w:rsidRPr="000C670E" w14:paraId="4483972A" w14:textId="77777777" w:rsidTr="00F36437">
        <w:trPr>
          <w:tblHeader/>
        </w:trPr>
        <w:tc>
          <w:tcPr>
            <w:tcW w:w="7370" w:type="dxa"/>
            <w:gridSpan w:val="5"/>
            <w:tcBorders>
              <w:top w:val="single" w:sz="4" w:space="0" w:color="auto"/>
              <w:bottom w:val="single" w:sz="4" w:space="0" w:color="auto"/>
            </w:tcBorders>
            <w:shd w:val="clear" w:color="auto" w:fill="auto"/>
            <w:noWrap/>
            <w:vAlign w:val="bottom"/>
          </w:tcPr>
          <w:p w14:paraId="0BAE9B2C" w14:textId="77777777" w:rsidR="000D6394" w:rsidRPr="000C670E" w:rsidRDefault="000D6394" w:rsidP="00F36437">
            <w:pPr>
              <w:pStyle w:val="SingleTxtG"/>
              <w:tabs>
                <w:tab w:val="clear" w:pos="1701"/>
                <w:tab w:val="clear" w:pos="2268"/>
              </w:tabs>
              <w:suppressAutoHyphens w:val="0"/>
              <w:spacing w:before="80" w:after="80" w:line="200" w:lineRule="exact"/>
              <w:ind w:left="0" w:right="113"/>
              <w:jc w:val="left"/>
              <w:rPr>
                <w:i/>
                <w:sz w:val="18"/>
                <w:szCs w:val="18"/>
              </w:rPr>
            </w:pPr>
            <w:r w:rsidRPr="000C670E">
              <w:rPr>
                <w:rFonts w:eastAsia="楷体"/>
                <w:snapToGrid w:val="0"/>
                <w:sz w:val="18"/>
                <w:szCs w:val="18"/>
              </w:rPr>
              <w:t>义务教育阶段每名教师对应的学生人数</w:t>
            </w:r>
          </w:p>
        </w:tc>
      </w:tr>
      <w:tr w:rsidR="000D6394" w:rsidRPr="000C670E" w14:paraId="7108D9F0" w14:textId="77777777" w:rsidTr="005F3A74">
        <w:trPr>
          <w:tblHeader/>
        </w:trPr>
        <w:tc>
          <w:tcPr>
            <w:tcW w:w="1474" w:type="dxa"/>
            <w:tcBorders>
              <w:top w:val="single" w:sz="4" w:space="0" w:color="auto"/>
              <w:bottom w:val="single" w:sz="12" w:space="0" w:color="auto"/>
            </w:tcBorders>
            <w:shd w:val="clear" w:color="auto" w:fill="auto"/>
            <w:noWrap/>
          </w:tcPr>
          <w:p w14:paraId="074B0F3A"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0C670E">
              <w:rPr>
                <w:rFonts w:eastAsia="楷体"/>
                <w:snapToGrid w:val="0"/>
                <w:sz w:val="18"/>
                <w:szCs w:val="18"/>
              </w:rPr>
              <w:t>2018/19</w:t>
            </w:r>
          </w:p>
        </w:tc>
        <w:tc>
          <w:tcPr>
            <w:tcW w:w="1474" w:type="dxa"/>
            <w:tcBorders>
              <w:top w:val="single" w:sz="4" w:space="0" w:color="auto"/>
              <w:bottom w:val="single" w:sz="12" w:space="0" w:color="auto"/>
            </w:tcBorders>
            <w:shd w:val="clear" w:color="auto" w:fill="auto"/>
            <w:noWrap/>
          </w:tcPr>
          <w:p w14:paraId="6593DA9E"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0C670E">
              <w:rPr>
                <w:rFonts w:eastAsia="楷体"/>
                <w:snapToGrid w:val="0"/>
                <w:sz w:val="18"/>
                <w:szCs w:val="18"/>
              </w:rPr>
              <w:t>2019/20</w:t>
            </w:r>
          </w:p>
        </w:tc>
        <w:tc>
          <w:tcPr>
            <w:tcW w:w="1474" w:type="dxa"/>
            <w:tcBorders>
              <w:top w:val="single" w:sz="4" w:space="0" w:color="auto"/>
              <w:bottom w:val="single" w:sz="12" w:space="0" w:color="auto"/>
            </w:tcBorders>
            <w:shd w:val="clear" w:color="auto" w:fill="auto"/>
            <w:noWrap/>
          </w:tcPr>
          <w:p w14:paraId="7436C23A"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0C670E">
              <w:rPr>
                <w:rFonts w:eastAsia="楷体"/>
                <w:snapToGrid w:val="0"/>
                <w:sz w:val="18"/>
                <w:szCs w:val="18"/>
              </w:rPr>
              <w:t>2020/21</w:t>
            </w:r>
          </w:p>
        </w:tc>
        <w:tc>
          <w:tcPr>
            <w:tcW w:w="1474" w:type="dxa"/>
            <w:tcBorders>
              <w:top w:val="single" w:sz="4" w:space="0" w:color="auto"/>
              <w:bottom w:val="single" w:sz="12" w:space="0" w:color="auto"/>
            </w:tcBorders>
            <w:shd w:val="clear" w:color="auto" w:fill="auto"/>
            <w:noWrap/>
          </w:tcPr>
          <w:p w14:paraId="73C61B4F"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0C670E">
              <w:rPr>
                <w:rFonts w:eastAsia="楷体"/>
                <w:snapToGrid w:val="0"/>
                <w:sz w:val="18"/>
                <w:szCs w:val="18"/>
              </w:rPr>
              <w:t>2021/22</w:t>
            </w:r>
          </w:p>
        </w:tc>
        <w:tc>
          <w:tcPr>
            <w:tcW w:w="1474" w:type="dxa"/>
            <w:tcBorders>
              <w:top w:val="single" w:sz="4" w:space="0" w:color="auto"/>
              <w:bottom w:val="single" w:sz="12" w:space="0" w:color="auto"/>
            </w:tcBorders>
            <w:shd w:val="clear" w:color="auto" w:fill="auto"/>
            <w:noWrap/>
          </w:tcPr>
          <w:p w14:paraId="1212A9CD"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0C670E">
              <w:rPr>
                <w:rFonts w:eastAsia="楷体"/>
                <w:snapToGrid w:val="0"/>
                <w:sz w:val="18"/>
                <w:szCs w:val="18"/>
              </w:rPr>
              <w:t>2022/2023</w:t>
            </w:r>
          </w:p>
        </w:tc>
      </w:tr>
      <w:tr w:rsidR="000D6394" w:rsidRPr="000C670E" w14:paraId="42425B58" w14:textId="77777777" w:rsidTr="005F3A74">
        <w:tc>
          <w:tcPr>
            <w:tcW w:w="1474" w:type="dxa"/>
            <w:tcBorders>
              <w:top w:val="single" w:sz="12" w:space="0" w:color="auto"/>
            </w:tcBorders>
            <w:shd w:val="clear" w:color="auto" w:fill="auto"/>
            <w:noWrap/>
          </w:tcPr>
          <w:p w14:paraId="7B9DBC6D"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sz w:val="18"/>
                <w:szCs w:val="18"/>
              </w:rPr>
            </w:pPr>
            <w:r w:rsidRPr="000C670E">
              <w:rPr>
                <w:sz w:val="18"/>
                <w:szCs w:val="18"/>
                <w:lang w:val="zh-CN"/>
              </w:rPr>
              <w:t>12.1</w:t>
            </w:r>
          </w:p>
        </w:tc>
        <w:tc>
          <w:tcPr>
            <w:tcW w:w="1474" w:type="dxa"/>
            <w:tcBorders>
              <w:top w:val="single" w:sz="12" w:space="0" w:color="auto"/>
            </w:tcBorders>
            <w:shd w:val="clear" w:color="auto" w:fill="auto"/>
            <w:noWrap/>
          </w:tcPr>
          <w:p w14:paraId="6D52A5B2"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sz w:val="18"/>
                <w:szCs w:val="18"/>
              </w:rPr>
            </w:pPr>
            <w:r w:rsidRPr="000C670E">
              <w:rPr>
                <w:sz w:val="18"/>
                <w:szCs w:val="18"/>
                <w:lang w:val="zh-CN"/>
              </w:rPr>
              <w:t>12.2</w:t>
            </w:r>
          </w:p>
        </w:tc>
        <w:tc>
          <w:tcPr>
            <w:tcW w:w="1474" w:type="dxa"/>
            <w:tcBorders>
              <w:top w:val="single" w:sz="12" w:space="0" w:color="auto"/>
            </w:tcBorders>
            <w:shd w:val="clear" w:color="auto" w:fill="auto"/>
            <w:noWrap/>
          </w:tcPr>
          <w:p w14:paraId="16AB807F"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sz w:val="18"/>
                <w:szCs w:val="18"/>
              </w:rPr>
            </w:pPr>
            <w:r w:rsidRPr="000C670E">
              <w:rPr>
                <w:sz w:val="18"/>
                <w:szCs w:val="18"/>
                <w:lang w:val="zh-CN"/>
              </w:rPr>
              <w:t>12.2</w:t>
            </w:r>
          </w:p>
        </w:tc>
        <w:tc>
          <w:tcPr>
            <w:tcW w:w="1474" w:type="dxa"/>
            <w:tcBorders>
              <w:top w:val="single" w:sz="12" w:space="0" w:color="auto"/>
            </w:tcBorders>
            <w:shd w:val="clear" w:color="auto" w:fill="auto"/>
            <w:noWrap/>
          </w:tcPr>
          <w:p w14:paraId="4C6D5217"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sz w:val="18"/>
                <w:szCs w:val="18"/>
              </w:rPr>
            </w:pPr>
            <w:r w:rsidRPr="000C670E">
              <w:rPr>
                <w:sz w:val="18"/>
                <w:szCs w:val="18"/>
                <w:lang w:val="zh-CN"/>
              </w:rPr>
              <w:t>12.2</w:t>
            </w:r>
          </w:p>
        </w:tc>
        <w:tc>
          <w:tcPr>
            <w:tcW w:w="1474" w:type="dxa"/>
            <w:tcBorders>
              <w:top w:val="single" w:sz="12" w:space="0" w:color="auto"/>
            </w:tcBorders>
            <w:shd w:val="clear" w:color="auto" w:fill="auto"/>
            <w:noWrap/>
          </w:tcPr>
          <w:p w14:paraId="18F320E9" w14:textId="77777777" w:rsidR="000D6394" w:rsidRPr="000C670E" w:rsidRDefault="000D6394" w:rsidP="00F36437">
            <w:pPr>
              <w:pStyle w:val="SingleTxtG"/>
              <w:tabs>
                <w:tab w:val="clear" w:pos="1701"/>
                <w:tab w:val="clear" w:pos="2268"/>
              </w:tabs>
              <w:suppressAutoHyphens w:val="0"/>
              <w:spacing w:before="40" w:after="40" w:line="220" w:lineRule="exact"/>
              <w:ind w:left="0" w:right="113"/>
              <w:jc w:val="left"/>
              <w:rPr>
                <w:sz w:val="18"/>
                <w:szCs w:val="18"/>
              </w:rPr>
            </w:pPr>
            <w:r w:rsidRPr="000C670E">
              <w:rPr>
                <w:sz w:val="18"/>
                <w:szCs w:val="18"/>
                <w:lang w:val="zh-CN"/>
              </w:rPr>
              <w:t>12.0</w:t>
            </w:r>
          </w:p>
        </w:tc>
      </w:tr>
    </w:tbl>
    <w:p w14:paraId="08D988E2" w14:textId="77777777" w:rsidR="0073199E" w:rsidRPr="0073199E" w:rsidRDefault="0073199E" w:rsidP="007F78F2">
      <w:pPr>
        <w:pStyle w:val="SingleTxtGC"/>
        <w:spacing w:before="120" w:after="240"/>
        <w:ind w:firstLine="170"/>
        <w:rPr>
          <w:sz w:val="18"/>
          <w:szCs w:val="16"/>
        </w:rPr>
      </w:pPr>
      <w:r w:rsidRPr="0073199E">
        <w:rPr>
          <w:rFonts w:ascii="Time New Roman" w:eastAsia="楷体" w:hAnsi="Time New Roman" w:hint="eastAsia"/>
          <w:sz w:val="18"/>
          <w:szCs w:val="16"/>
        </w:rPr>
        <w:t>来源</w:t>
      </w:r>
      <w:r w:rsidRPr="0073199E">
        <w:rPr>
          <w:rFonts w:hint="eastAsia"/>
          <w:sz w:val="18"/>
          <w:szCs w:val="16"/>
        </w:rPr>
        <w:t>：国家教育署数据库。</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5F3A74" w:rsidRPr="00AF3360" w14:paraId="4417C24C" w14:textId="77777777" w:rsidTr="00F36437">
        <w:trPr>
          <w:tblHeader/>
        </w:trPr>
        <w:tc>
          <w:tcPr>
            <w:tcW w:w="7370" w:type="dxa"/>
            <w:gridSpan w:val="5"/>
            <w:tcBorders>
              <w:top w:val="single" w:sz="4" w:space="0" w:color="auto"/>
              <w:bottom w:val="single" w:sz="4" w:space="0" w:color="auto"/>
            </w:tcBorders>
            <w:shd w:val="clear" w:color="auto" w:fill="auto"/>
            <w:noWrap/>
            <w:vAlign w:val="bottom"/>
          </w:tcPr>
          <w:p w14:paraId="6B6CB2E4" w14:textId="77777777" w:rsidR="005F3A74" w:rsidRPr="00AF3360" w:rsidRDefault="005F3A74" w:rsidP="00F36437">
            <w:pPr>
              <w:pStyle w:val="SingleTxtG"/>
              <w:tabs>
                <w:tab w:val="clear" w:pos="1701"/>
                <w:tab w:val="clear" w:pos="2268"/>
              </w:tabs>
              <w:suppressAutoHyphens w:val="0"/>
              <w:spacing w:before="80" w:after="80" w:line="200" w:lineRule="exact"/>
              <w:ind w:left="0" w:right="113"/>
              <w:jc w:val="left"/>
              <w:rPr>
                <w:i/>
                <w:sz w:val="18"/>
                <w:szCs w:val="18"/>
              </w:rPr>
            </w:pPr>
            <w:r w:rsidRPr="00AF3360">
              <w:rPr>
                <w:rFonts w:eastAsia="楷体"/>
                <w:snapToGrid w:val="0"/>
                <w:sz w:val="18"/>
                <w:szCs w:val="18"/>
              </w:rPr>
              <w:t>高级中等教育阶段每</w:t>
            </w:r>
            <w:r w:rsidRPr="00AF3360">
              <w:rPr>
                <w:rFonts w:eastAsia="楷体"/>
                <w:snapToGrid w:val="0"/>
                <w:sz w:val="18"/>
                <w:szCs w:val="18"/>
              </w:rPr>
              <w:t>100</w:t>
            </w:r>
            <w:r w:rsidRPr="00AF3360">
              <w:rPr>
                <w:rFonts w:eastAsia="楷体"/>
                <w:snapToGrid w:val="0"/>
                <w:sz w:val="18"/>
                <w:szCs w:val="18"/>
              </w:rPr>
              <w:t>名学生对应的教师人数</w:t>
            </w:r>
          </w:p>
        </w:tc>
      </w:tr>
      <w:tr w:rsidR="005F3A74" w:rsidRPr="00AF3360" w14:paraId="528DB20F" w14:textId="77777777" w:rsidTr="002061AA">
        <w:trPr>
          <w:tblHeader/>
        </w:trPr>
        <w:tc>
          <w:tcPr>
            <w:tcW w:w="1474" w:type="dxa"/>
            <w:tcBorders>
              <w:top w:val="single" w:sz="4" w:space="0" w:color="auto"/>
              <w:bottom w:val="single" w:sz="12" w:space="0" w:color="auto"/>
            </w:tcBorders>
            <w:shd w:val="clear" w:color="auto" w:fill="auto"/>
            <w:noWrap/>
          </w:tcPr>
          <w:p w14:paraId="5E85C5FC"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AF3360">
              <w:rPr>
                <w:rFonts w:eastAsia="楷体"/>
                <w:snapToGrid w:val="0"/>
                <w:sz w:val="18"/>
                <w:szCs w:val="18"/>
              </w:rPr>
              <w:t>2018/19</w:t>
            </w:r>
          </w:p>
        </w:tc>
        <w:tc>
          <w:tcPr>
            <w:tcW w:w="1474" w:type="dxa"/>
            <w:tcBorders>
              <w:top w:val="single" w:sz="4" w:space="0" w:color="auto"/>
              <w:bottom w:val="single" w:sz="12" w:space="0" w:color="auto"/>
            </w:tcBorders>
            <w:shd w:val="clear" w:color="auto" w:fill="auto"/>
            <w:noWrap/>
          </w:tcPr>
          <w:p w14:paraId="4D092F5C"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AF3360">
              <w:rPr>
                <w:rFonts w:eastAsia="楷体"/>
                <w:snapToGrid w:val="0"/>
                <w:sz w:val="18"/>
                <w:szCs w:val="18"/>
              </w:rPr>
              <w:t>2019/20</w:t>
            </w:r>
          </w:p>
        </w:tc>
        <w:tc>
          <w:tcPr>
            <w:tcW w:w="1474" w:type="dxa"/>
            <w:tcBorders>
              <w:top w:val="single" w:sz="4" w:space="0" w:color="auto"/>
              <w:bottom w:val="single" w:sz="12" w:space="0" w:color="auto"/>
            </w:tcBorders>
            <w:shd w:val="clear" w:color="auto" w:fill="auto"/>
            <w:noWrap/>
          </w:tcPr>
          <w:p w14:paraId="746ABBF4"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AF3360">
              <w:rPr>
                <w:rFonts w:eastAsia="楷体"/>
                <w:snapToGrid w:val="0"/>
                <w:sz w:val="18"/>
                <w:szCs w:val="18"/>
              </w:rPr>
              <w:t>2020/21</w:t>
            </w:r>
          </w:p>
        </w:tc>
        <w:tc>
          <w:tcPr>
            <w:tcW w:w="1474" w:type="dxa"/>
            <w:tcBorders>
              <w:top w:val="single" w:sz="4" w:space="0" w:color="auto"/>
              <w:bottom w:val="single" w:sz="12" w:space="0" w:color="auto"/>
            </w:tcBorders>
            <w:shd w:val="clear" w:color="auto" w:fill="auto"/>
            <w:noWrap/>
          </w:tcPr>
          <w:p w14:paraId="3DB9702F"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AF3360">
              <w:rPr>
                <w:rFonts w:eastAsia="楷体"/>
                <w:snapToGrid w:val="0"/>
                <w:sz w:val="18"/>
                <w:szCs w:val="18"/>
              </w:rPr>
              <w:t>2021/22</w:t>
            </w:r>
          </w:p>
        </w:tc>
        <w:tc>
          <w:tcPr>
            <w:tcW w:w="1474" w:type="dxa"/>
            <w:tcBorders>
              <w:top w:val="single" w:sz="4" w:space="0" w:color="auto"/>
              <w:bottom w:val="single" w:sz="12" w:space="0" w:color="auto"/>
            </w:tcBorders>
            <w:shd w:val="clear" w:color="auto" w:fill="auto"/>
            <w:noWrap/>
          </w:tcPr>
          <w:p w14:paraId="0E118E53"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rFonts w:eastAsia="楷体"/>
                <w:snapToGrid w:val="0"/>
                <w:sz w:val="18"/>
                <w:szCs w:val="18"/>
              </w:rPr>
            </w:pPr>
            <w:r w:rsidRPr="00AF3360">
              <w:rPr>
                <w:rFonts w:eastAsia="楷体"/>
                <w:snapToGrid w:val="0"/>
                <w:sz w:val="18"/>
                <w:szCs w:val="18"/>
              </w:rPr>
              <w:t>2022/2023</w:t>
            </w:r>
          </w:p>
        </w:tc>
      </w:tr>
      <w:tr w:rsidR="005F3A74" w:rsidRPr="00AF3360" w14:paraId="7E389341" w14:textId="77777777" w:rsidTr="002061AA">
        <w:tc>
          <w:tcPr>
            <w:tcW w:w="1474" w:type="dxa"/>
            <w:tcBorders>
              <w:top w:val="single" w:sz="12" w:space="0" w:color="auto"/>
            </w:tcBorders>
            <w:shd w:val="clear" w:color="auto" w:fill="auto"/>
            <w:noWrap/>
          </w:tcPr>
          <w:p w14:paraId="20F4D439"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sz w:val="18"/>
                <w:szCs w:val="18"/>
              </w:rPr>
            </w:pPr>
            <w:r w:rsidRPr="00AF3360">
              <w:rPr>
                <w:sz w:val="18"/>
                <w:szCs w:val="18"/>
                <w:lang w:val="zh-CN"/>
              </w:rPr>
              <w:t>11.9</w:t>
            </w:r>
          </w:p>
        </w:tc>
        <w:tc>
          <w:tcPr>
            <w:tcW w:w="1474" w:type="dxa"/>
            <w:tcBorders>
              <w:top w:val="single" w:sz="12" w:space="0" w:color="auto"/>
            </w:tcBorders>
            <w:shd w:val="clear" w:color="auto" w:fill="auto"/>
            <w:noWrap/>
          </w:tcPr>
          <w:p w14:paraId="6B7E6253"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sz w:val="18"/>
                <w:szCs w:val="18"/>
              </w:rPr>
            </w:pPr>
            <w:r w:rsidRPr="00AF3360">
              <w:rPr>
                <w:sz w:val="18"/>
                <w:szCs w:val="18"/>
                <w:lang w:val="zh-CN"/>
              </w:rPr>
              <w:t>12.1</w:t>
            </w:r>
          </w:p>
        </w:tc>
        <w:tc>
          <w:tcPr>
            <w:tcW w:w="1474" w:type="dxa"/>
            <w:tcBorders>
              <w:top w:val="single" w:sz="12" w:space="0" w:color="auto"/>
            </w:tcBorders>
            <w:shd w:val="clear" w:color="auto" w:fill="auto"/>
            <w:noWrap/>
          </w:tcPr>
          <w:p w14:paraId="6A8EFF43"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sz w:val="18"/>
                <w:szCs w:val="18"/>
              </w:rPr>
            </w:pPr>
            <w:r w:rsidRPr="00AF3360">
              <w:rPr>
                <w:sz w:val="18"/>
                <w:szCs w:val="18"/>
                <w:lang w:val="zh-CN"/>
              </w:rPr>
              <w:t>12.2</w:t>
            </w:r>
          </w:p>
        </w:tc>
        <w:tc>
          <w:tcPr>
            <w:tcW w:w="1474" w:type="dxa"/>
            <w:tcBorders>
              <w:top w:val="single" w:sz="12" w:space="0" w:color="auto"/>
            </w:tcBorders>
            <w:shd w:val="clear" w:color="auto" w:fill="auto"/>
            <w:noWrap/>
          </w:tcPr>
          <w:p w14:paraId="0AE3A9F3"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sz w:val="18"/>
                <w:szCs w:val="18"/>
              </w:rPr>
            </w:pPr>
            <w:r w:rsidRPr="00AF3360">
              <w:rPr>
                <w:sz w:val="18"/>
                <w:szCs w:val="18"/>
                <w:lang w:val="zh-CN"/>
              </w:rPr>
              <w:t>12.3</w:t>
            </w:r>
          </w:p>
        </w:tc>
        <w:tc>
          <w:tcPr>
            <w:tcW w:w="1474" w:type="dxa"/>
            <w:tcBorders>
              <w:top w:val="single" w:sz="12" w:space="0" w:color="auto"/>
            </w:tcBorders>
            <w:shd w:val="clear" w:color="auto" w:fill="auto"/>
            <w:noWrap/>
          </w:tcPr>
          <w:p w14:paraId="5AFB8560" w14:textId="77777777" w:rsidR="005F3A74" w:rsidRPr="00AF3360" w:rsidRDefault="005F3A74" w:rsidP="00F36437">
            <w:pPr>
              <w:pStyle w:val="SingleTxtG"/>
              <w:tabs>
                <w:tab w:val="clear" w:pos="1701"/>
                <w:tab w:val="clear" w:pos="2268"/>
              </w:tabs>
              <w:suppressAutoHyphens w:val="0"/>
              <w:spacing w:before="40" w:after="40" w:line="220" w:lineRule="exact"/>
              <w:ind w:left="0" w:right="113"/>
              <w:jc w:val="left"/>
              <w:rPr>
                <w:sz w:val="18"/>
                <w:szCs w:val="18"/>
              </w:rPr>
            </w:pPr>
            <w:r w:rsidRPr="00AF3360">
              <w:rPr>
                <w:sz w:val="18"/>
                <w:szCs w:val="18"/>
                <w:lang w:val="zh-CN"/>
              </w:rPr>
              <w:t>12.2</w:t>
            </w:r>
          </w:p>
        </w:tc>
      </w:tr>
    </w:tbl>
    <w:p w14:paraId="56A6322E" w14:textId="77777777" w:rsidR="002C2E5E" w:rsidRDefault="002C2E5E" w:rsidP="007F78F2">
      <w:pPr>
        <w:pStyle w:val="SingleTxtGC"/>
        <w:spacing w:before="120"/>
      </w:pPr>
      <w:r>
        <w:rPr>
          <w:rFonts w:hint="eastAsia"/>
        </w:rPr>
        <w:t>20.</w:t>
      </w:r>
      <w:r>
        <w:rPr>
          <w:rFonts w:hint="eastAsia"/>
        </w:rPr>
        <w:tab/>
      </w:r>
      <w:r>
        <w:rPr>
          <w:rFonts w:hint="eastAsia"/>
        </w:rPr>
        <w:t>瑞典没有关于识字率的统计数据。经合组织国际学生评估方案</w:t>
      </w:r>
      <w:r>
        <w:rPr>
          <w:rFonts w:hint="eastAsia"/>
        </w:rPr>
        <w:t>(PISA)</w:t>
      </w:r>
      <w:r>
        <w:rPr>
          <w:rFonts w:hint="eastAsia"/>
        </w:rPr>
        <w:t>等国际评估的结果可作为衡量初级教育阶段学生识字率的指标。</w:t>
      </w:r>
      <w:r>
        <w:rPr>
          <w:rFonts w:hint="eastAsia"/>
        </w:rPr>
        <w:t>PISA</w:t>
      </w:r>
      <w:r>
        <w:rPr>
          <w:rFonts w:hint="eastAsia"/>
        </w:rPr>
        <w:t>是唯一</w:t>
      </w:r>
      <w:proofErr w:type="gramStart"/>
      <w:r>
        <w:rPr>
          <w:rFonts w:hint="eastAsia"/>
        </w:rPr>
        <w:t>一</w:t>
      </w:r>
      <w:proofErr w:type="gramEnd"/>
      <w:r>
        <w:rPr>
          <w:rFonts w:hint="eastAsia"/>
        </w:rPr>
        <w:t>项衡量</w:t>
      </w:r>
      <w:r>
        <w:rPr>
          <w:rFonts w:hint="eastAsia"/>
        </w:rPr>
        <w:t>15</w:t>
      </w:r>
      <w:r>
        <w:rPr>
          <w:rFonts w:hint="eastAsia"/>
        </w:rPr>
        <w:t>岁学生知识和技能水平的国际教育研究，大多数国家的学生在这个年龄即将完成义务教育。最近一次</w:t>
      </w:r>
      <w:r>
        <w:rPr>
          <w:rFonts w:hint="eastAsia"/>
        </w:rPr>
        <w:t>PISA</w:t>
      </w:r>
      <w:r>
        <w:rPr>
          <w:rFonts w:hint="eastAsia"/>
        </w:rPr>
        <w:t>调查于</w:t>
      </w:r>
      <w:r>
        <w:rPr>
          <w:rFonts w:hint="eastAsia"/>
        </w:rPr>
        <w:t>2022</w:t>
      </w:r>
      <w:r>
        <w:rPr>
          <w:rFonts w:hint="eastAsia"/>
        </w:rPr>
        <w:t>年进行，调查结果于</w:t>
      </w:r>
      <w:r>
        <w:rPr>
          <w:rFonts w:hint="eastAsia"/>
        </w:rPr>
        <w:t>2023</w:t>
      </w:r>
      <w:r>
        <w:rPr>
          <w:rFonts w:hint="eastAsia"/>
        </w:rPr>
        <w:t>年底发布，结果显示，相较</w:t>
      </w:r>
      <w:r>
        <w:rPr>
          <w:rFonts w:hint="eastAsia"/>
        </w:rPr>
        <w:t>2018</w:t>
      </w:r>
      <w:r>
        <w:rPr>
          <w:rFonts w:hint="eastAsia"/>
        </w:rPr>
        <w:t>年的良好成绩，瑞典学生的数学和阅读理解成绩有所下滑</w:t>
      </w:r>
      <w:r>
        <w:rPr>
          <w:rFonts w:hint="eastAsia"/>
        </w:rPr>
        <w:t>(</w:t>
      </w:r>
      <w:r>
        <w:rPr>
          <w:rFonts w:hint="eastAsia"/>
        </w:rPr>
        <w:t>科学成绩与</w:t>
      </w:r>
      <w:r>
        <w:rPr>
          <w:rFonts w:hint="eastAsia"/>
        </w:rPr>
        <w:t>2018</w:t>
      </w:r>
      <w:r>
        <w:rPr>
          <w:rFonts w:hint="eastAsia"/>
        </w:rPr>
        <w:t>年相同，但是低分学生人数增多</w:t>
      </w:r>
      <w:r>
        <w:rPr>
          <w:rFonts w:hint="eastAsia"/>
        </w:rPr>
        <w:t>)</w:t>
      </w:r>
      <w:r>
        <w:rPr>
          <w:rFonts w:hint="eastAsia"/>
        </w:rPr>
        <w:t>。这一结果与</w:t>
      </w:r>
      <w:r>
        <w:rPr>
          <w:rFonts w:hint="eastAsia"/>
        </w:rPr>
        <w:t>2012</w:t>
      </w:r>
      <w:r>
        <w:rPr>
          <w:rFonts w:hint="eastAsia"/>
        </w:rPr>
        <w:t>年的</w:t>
      </w:r>
      <w:r>
        <w:rPr>
          <w:rFonts w:hint="eastAsia"/>
        </w:rPr>
        <w:t>PISA</w:t>
      </w:r>
      <w:r>
        <w:rPr>
          <w:rFonts w:hint="eastAsia"/>
        </w:rPr>
        <w:t>结果相同。成绩下降的主要原因是成绩较低</w:t>
      </w:r>
      <w:r>
        <w:rPr>
          <w:rFonts w:hint="eastAsia"/>
        </w:rPr>
        <w:t>(2</w:t>
      </w:r>
      <w:r>
        <w:rPr>
          <w:rFonts w:hint="eastAsia"/>
        </w:rPr>
        <w:t>级或以下</w:t>
      </w:r>
      <w:r>
        <w:rPr>
          <w:rFonts w:hint="eastAsia"/>
        </w:rPr>
        <w:t>)</w:t>
      </w:r>
      <w:r>
        <w:rPr>
          <w:rFonts w:hint="eastAsia"/>
        </w:rPr>
        <w:t>的学生人数有所增加。例如，在数学方面，成绩在</w:t>
      </w:r>
      <w:r>
        <w:rPr>
          <w:rFonts w:hint="eastAsia"/>
        </w:rPr>
        <w:t>2</w:t>
      </w:r>
      <w:r>
        <w:rPr>
          <w:rFonts w:hint="eastAsia"/>
        </w:rPr>
        <w:t>级或以下的学生比例从</w:t>
      </w:r>
      <w:r>
        <w:rPr>
          <w:rFonts w:hint="eastAsia"/>
        </w:rPr>
        <w:t>2018</w:t>
      </w:r>
      <w:r>
        <w:rPr>
          <w:rFonts w:hint="eastAsia"/>
        </w:rPr>
        <w:t>年的</w:t>
      </w:r>
      <w:r>
        <w:rPr>
          <w:rFonts w:hint="eastAsia"/>
        </w:rPr>
        <w:t>19%</w:t>
      </w:r>
      <w:r>
        <w:rPr>
          <w:rFonts w:hint="eastAsia"/>
        </w:rPr>
        <w:t>增加到</w:t>
      </w:r>
      <w:r>
        <w:rPr>
          <w:rFonts w:hint="eastAsia"/>
        </w:rPr>
        <w:t>2022</w:t>
      </w:r>
      <w:r>
        <w:rPr>
          <w:rFonts w:hint="eastAsia"/>
        </w:rPr>
        <w:t>年的</w:t>
      </w:r>
      <w:r>
        <w:rPr>
          <w:rFonts w:hint="eastAsia"/>
        </w:rPr>
        <w:t>27%</w:t>
      </w:r>
      <w:r>
        <w:rPr>
          <w:rFonts w:hint="eastAsia"/>
        </w:rPr>
        <w:t>，而高分学生比例从</w:t>
      </w:r>
      <w:r>
        <w:rPr>
          <w:rFonts w:hint="eastAsia"/>
        </w:rPr>
        <w:t>13%</w:t>
      </w:r>
      <w:r>
        <w:rPr>
          <w:rFonts w:hint="eastAsia"/>
        </w:rPr>
        <w:t>减少到</w:t>
      </w:r>
      <w:r>
        <w:rPr>
          <w:rFonts w:hint="eastAsia"/>
        </w:rPr>
        <w:t>10%</w:t>
      </w:r>
      <w:r>
        <w:rPr>
          <w:rFonts w:hint="eastAsia"/>
        </w:rPr>
        <w:t>。然而，科学成绩下降幅度不大，这是因为成绩较高</w:t>
      </w:r>
      <w:r>
        <w:rPr>
          <w:rFonts w:hint="eastAsia"/>
        </w:rPr>
        <w:t>(5</w:t>
      </w:r>
      <w:r>
        <w:rPr>
          <w:rFonts w:hint="eastAsia"/>
        </w:rPr>
        <w:t>级或以上</w:t>
      </w:r>
      <w:r>
        <w:rPr>
          <w:rFonts w:hint="eastAsia"/>
        </w:rPr>
        <w:t>)</w:t>
      </w:r>
      <w:r>
        <w:rPr>
          <w:rFonts w:hint="eastAsia"/>
        </w:rPr>
        <w:t>的学生人数有所增加，抵消了低分学生的一部分影响。综合起来，这意味着从</w:t>
      </w:r>
      <w:r>
        <w:rPr>
          <w:rFonts w:hint="eastAsia"/>
        </w:rPr>
        <w:t>PISA</w:t>
      </w:r>
      <w:r>
        <w:rPr>
          <w:rFonts w:hint="eastAsia"/>
        </w:rPr>
        <w:t>结果来看，整体公平性有所下降。不过，瑞典在所有三个科目上的表现仍然高于经合组织平均水平。据瑞典国家教育</w:t>
      </w:r>
      <w:proofErr w:type="gramStart"/>
      <w:r>
        <w:rPr>
          <w:rFonts w:hint="eastAsia"/>
        </w:rPr>
        <w:t>署称</w:t>
      </w:r>
      <w:proofErr w:type="gramEnd"/>
      <w:r>
        <w:rPr>
          <w:rFonts w:hint="eastAsia"/>
        </w:rPr>
        <w:t>，瑞典成绩下降很大程度上是受疫情影响。</w:t>
      </w:r>
    </w:p>
    <w:p w14:paraId="40E002C6" w14:textId="77777777" w:rsidR="002C2E5E" w:rsidRDefault="002C2E5E" w:rsidP="00D412EC">
      <w:pPr>
        <w:pStyle w:val="H23GC"/>
      </w:pPr>
      <w:r>
        <w:rPr>
          <w:rFonts w:hint="eastAsia"/>
        </w:rPr>
        <w:tab/>
      </w:r>
      <w:r>
        <w:rPr>
          <w:rFonts w:hint="eastAsia"/>
        </w:rPr>
        <w:tab/>
      </w:r>
      <w:r>
        <w:rPr>
          <w:rFonts w:hint="eastAsia"/>
        </w:rPr>
        <w:t>公共财政</w:t>
      </w:r>
    </w:p>
    <w:p w14:paraId="6CD74DA1" w14:textId="77777777" w:rsidR="002C2E5E" w:rsidRDefault="002C2E5E" w:rsidP="002C2E5E">
      <w:pPr>
        <w:pStyle w:val="SingleTxtGC"/>
      </w:pPr>
      <w:r>
        <w:rPr>
          <w:rFonts w:hint="eastAsia"/>
        </w:rPr>
        <w:t>21.</w:t>
      </w:r>
      <w:r>
        <w:rPr>
          <w:rFonts w:hint="eastAsia"/>
        </w:rPr>
        <w:tab/>
      </w:r>
      <w:r>
        <w:rPr>
          <w:rFonts w:hint="eastAsia"/>
        </w:rPr>
        <w:t>有关国内生产总值、消费者价格指数、公共部门收支以及中央政府的预算平衡情况，请见附件</w:t>
      </w:r>
      <w:r>
        <w:rPr>
          <w:rFonts w:hint="eastAsia"/>
        </w:rPr>
        <w:t>5</w:t>
      </w:r>
      <w:r>
        <w:rPr>
          <w:rFonts w:hint="eastAsia"/>
        </w:rPr>
        <w:t>。</w:t>
      </w:r>
    </w:p>
    <w:p w14:paraId="1ACA0251" w14:textId="77777777" w:rsidR="002C2E5E" w:rsidRDefault="002C2E5E" w:rsidP="00D412EC">
      <w:pPr>
        <w:pStyle w:val="H23GC"/>
      </w:pPr>
      <w:r>
        <w:rPr>
          <w:rFonts w:hint="eastAsia"/>
        </w:rPr>
        <w:tab/>
      </w:r>
      <w:r>
        <w:rPr>
          <w:rFonts w:hint="eastAsia"/>
        </w:rPr>
        <w:tab/>
      </w:r>
      <w:r>
        <w:rPr>
          <w:rFonts w:hint="eastAsia"/>
        </w:rPr>
        <w:t>发展合作</w:t>
      </w:r>
    </w:p>
    <w:p w14:paraId="52C79565" w14:textId="3172A25F" w:rsidR="002C2E5E" w:rsidRDefault="002C2E5E" w:rsidP="002C2E5E">
      <w:pPr>
        <w:pStyle w:val="SingleTxtGC"/>
      </w:pPr>
      <w:r>
        <w:rPr>
          <w:rFonts w:hint="eastAsia"/>
        </w:rPr>
        <w:t>22.</w:t>
      </w:r>
      <w:r>
        <w:rPr>
          <w:rFonts w:hint="eastAsia"/>
        </w:rPr>
        <w:tab/>
        <w:t>2023</w:t>
      </w:r>
      <w:r>
        <w:rPr>
          <w:rFonts w:hint="eastAsia"/>
        </w:rPr>
        <w:t>年</w:t>
      </w:r>
      <w:r>
        <w:rPr>
          <w:rFonts w:hint="eastAsia"/>
        </w:rPr>
        <w:t>12</w:t>
      </w:r>
      <w:r>
        <w:rPr>
          <w:rFonts w:hint="eastAsia"/>
        </w:rPr>
        <w:t>月，瑞典通过了题为“新时代的发展援助</w:t>
      </w:r>
      <w:r w:rsidR="00D412EC">
        <w:rPr>
          <w:rFonts w:hint="eastAsia"/>
          <w:spacing w:val="-50"/>
        </w:rPr>
        <w:t>―</w:t>
      </w:r>
      <w:r w:rsidR="00D412EC">
        <w:rPr>
          <w:rFonts w:hint="eastAsia"/>
        </w:rPr>
        <w:t>―</w:t>
      </w:r>
      <w:r>
        <w:rPr>
          <w:rFonts w:hint="eastAsia"/>
        </w:rPr>
        <w:t>自由、赋能和可持续增长”的国际发展合作改革议程。这项新政策着眼长远，注重透明度和有效性，以便能够更好地应对多重全球挑战。改革议程有七个优先主题：通过创造就业、贸易和教育消除贫困；改善最弱势群体的健康状况；促进自由和反对压迫；扩大气候援助并提高其有效性；增强妇女和女童的自由和权能；加强发展援助与移民政策之间的协同作用；以及加强人道主义援助，以拯救生命和减轻痛苦。</w:t>
      </w:r>
    </w:p>
    <w:p w14:paraId="4DBB37D4" w14:textId="77777777" w:rsidR="002C2E5E" w:rsidRDefault="002C2E5E" w:rsidP="002C2E5E">
      <w:pPr>
        <w:pStyle w:val="SingleTxtGC"/>
      </w:pPr>
      <w:r>
        <w:rPr>
          <w:rFonts w:hint="eastAsia"/>
        </w:rPr>
        <w:t>23.</w:t>
      </w:r>
      <w:r>
        <w:rPr>
          <w:rFonts w:hint="eastAsia"/>
        </w:rPr>
        <w:tab/>
      </w:r>
      <w:r>
        <w:rPr>
          <w:rFonts w:hint="eastAsia"/>
        </w:rPr>
        <w:t>瑞典</w:t>
      </w:r>
      <w:r>
        <w:rPr>
          <w:rFonts w:hint="eastAsia"/>
        </w:rPr>
        <w:t>2023-2026</w:t>
      </w:r>
      <w:r>
        <w:rPr>
          <w:rFonts w:hint="eastAsia"/>
        </w:rPr>
        <w:t>年发展援助预算总额为每年</w:t>
      </w:r>
      <w:r>
        <w:rPr>
          <w:rFonts w:hint="eastAsia"/>
        </w:rPr>
        <w:t>560</w:t>
      </w:r>
      <w:r>
        <w:rPr>
          <w:rFonts w:hint="eastAsia"/>
        </w:rPr>
        <w:t>亿瑞典克朗。瑞典是少数几个实现联合国将国民总收入的</w:t>
      </w:r>
      <w:r>
        <w:rPr>
          <w:rFonts w:hint="eastAsia"/>
        </w:rPr>
        <w:t>0.7%</w:t>
      </w:r>
      <w:r>
        <w:rPr>
          <w:rFonts w:hint="eastAsia"/>
        </w:rPr>
        <w:t>用于官方发展援助这一目标的国家。</w:t>
      </w:r>
    </w:p>
    <w:p w14:paraId="2259AEB0" w14:textId="77777777" w:rsidR="002C2E5E" w:rsidRDefault="002C2E5E" w:rsidP="008550EA">
      <w:pPr>
        <w:pStyle w:val="H1GC"/>
      </w:pPr>
      <w:r>
        <w:rPr>
          <w:rFonts w:hint="eastAsia"/>
        </w:rPr>
        <w:tab/>
        <w:t>B.</w:t>
      </w:r>
      <w:r>
        <w:rPr>
          <w:rFonts w:hint="eastAsia"/>
        </w:rPr>
        <w:tab/>
      </w:r>
      <w:r>
        <w:rPr>
          <w:rFonts w:hint="eastAsia"/>
        </w:rPr>
        <w:t>宪法、政治和法律结构</w:t>
      </w:r>
    </w:p>
    <w:p w14:paraId="658F5447" w14:textId="77777777" w:rsidR="002C2E5E" w:rsidRDefault="002C2E5E" w:rsidP="002C2E5E">
      <w:pPr>
        <w:pStyle w:val="SingleTxtGC"/>
      </w:pPr>
      <w:r>
        <w:rPr>
          <w:rFonts w:hint="eastAsia"/>
        </w:rPr>
        <w:t>24.</w:t>
      </w:r>
      <w:r>
        <w:rPr>
          <w:rFonts w:hint="eastAsia"/>
        </w:rPr>
        <w:tab/>
      </w:r>
      <w:r>
        <w:rPr>
          <w:rFonts w:hint="eastAsia"/>
        </w:rPr>
        <w:t>瑞典实行议会制君主立宪制。瑞典民主的基石是普遍和平等的投票权以及自由形成意见的权利。君主是国家元首，但没有政治权力。</w:t>
      </w:r>
    </w:p>
    <w:p w14:paraId="46A1066D" w14:textId="77777777" w:rsidR="002C2E5E" w:rsidRDefault="002C2E5E" w:rsidP="002C2E5E">
      <w:pPr>
        <w:pStyle w:val="SingleTxtGC"/>
      </w:pPr>
      <w:r>
        <w:rPr>
          <w:rFonts w:hint="eastAsia"/>
        </w:rPr>
        <w:t>25.</w:t>
      </w:r>
      <w:r>
        <w:rPr>
          <w:rFonts w:hint="eastAsia"/>
        </w:rPr>
        <w:tab/>
      </w:r>
      <w:r>
        <w:rPr>
          <w:rFonts w:hint="eastAsia"/>
        </w:rPr>
        <w:t>瑞典实行议会民主制。一切公共权力都来自人民。政府组织形式为代表制；议会代表人民，拥有立法权。政府执行议会决定，起草关于新立法或法律修正案的提案。议会制意味着政府必须获得议会信任，或者至少得到议会容忍。只要大多数议员同意，议会就可以解散政府。</w:t>
      </w:r>
    </w:p>
    <w:p w14:paraId="2A806D40" w14:textId="77777777" w:rsidR="002C2E5E" w:rsidRDefault="002C2E5E" w:rsidP="002C2E5E">
      <w:pPr>
        <w:pStyle w:val="SingleTxtGC"/>
      </w:pPr>
      <w:r>
        <w:rPr>
          <w:rFonts w:hint="eastAsia"/>
        </w:rPr>
        <w:t>26.</w:t>
      </w:r>
      <w:r>
        <w:rPr>
          <w:rFonts w:hint="eastAsia"/>
        </w:rPr>
        <w:tab/>
        <w:t>1974</w:t>
      </w:r>
      <w:r>
        <w:rPr>
          <w:rFonts w:hint="eastAsia"/>
        </w:rPr>
        <w:t>年《政府法典》是《瑞典宪法》的一部分，其基础是主权在民、代议民主制、议会制、地方自治和法治等原则。所有公共权力都必须依法行使。这不仅适用于法院和行政当局，也适用于政府和议会，以及地方和中央政府。</w:t>
      </w:r>
    </w:p>
    <w:p w14:paraId="1BEBE813" w14:textId="77777777" w:rsidR="002C2E5E" w:rsidRDefault="002C2E5E" w:rsidP="002C2E5E">
      <w:pPr>
        <w:pStyle w:val="SingleTxtGC"/>
      </w:pPr>
      <w:r>
        <w:rPr>
          <w:rFonts w:hint="eastAsia"/>
        </w:rPr>
        <w:t>27.</w:t>
      </w:r>
      <w:r>
        <w:rPr>
          <w:rFonts w:hint="eastAsia"/>
        </w:rPr>
        <w:tab/>
      </w:r>
      <w:r>
        <w:rPr>
          <w:rFonts w:hint="eastAsia"/>
        </w:rPr>
        <w:t>在保护基本权利和自由方面，那些对政府组织形式具有特殊意义的权利和自由，即“政治”自由，被赋予核心地位。这样做的具体目的是保障公民在政治、宗教和文化事务上可以各抒己见。但是，各项规定也意在防止个人遭受非人道惩罚和可能出于骚扰或胁迫目的而实施的其他肉体或精神折磨等。</w:t>
      </w:r>
    </w:p>
    <w:p w14:paraId="4432E0BE" w14:textId="77777777" w:rsidR="002C2E5E" w:rsidRDefault="002C2E5E" w:rsidP="002C2E5E">
      <w:pPr>
        <w:pStyle w:val="SingleTxtGC"/>
      </w:pPr>
      <w:r>
        <w:rPr>
          <w:rFonts w:hint="eastAsia"/>
        </w:rPr>
        <w:t>28.</w:t>
      </w:r>
      <w:r>
        <w:rPr>
          <w:rFonts w:hint="eastAsia"/>
        </w:rPr>
        <w:tab/>
      </w:r>
      <w:r>
        <w:rPr>
          <w:rFonts w:hint="eastAsia"/>
        </w:rPr>
        <w:t>根据《政府法典》，由政府负责治理国家。为执行这项任务，政府可支配行政机构。政府决定行政机构的组织方式和职责。但是，行政机构在处理与针对私人主体或地方机构行使公共权力相关的特定案件或法律适用问题时，独立于政府和包括议会在内的其他公共当局行使决策权。因此，在这些情况下，政府不得对行政机构在具体案件中应</w:t>
      </w:r>
      <w:proofErr w:type="gramStart"/>
      <w:r>
        <w:rPr>
          <w:rFonts w:hint="eastAsia"/>
        </w:rPr>
        <w:t>作出</w:t>
      </w:r>
      <w:proofErr w:type="gramEnd"/>
      <w:r>
        <w:rPr>
          <w:rFonts w:hint="eastAsia"/>
        </w:rPr>
        <w:t>何种决定给予指导。</w:t>
      </w:r>
    </w:p>
    <w:p w14:paraId="6EE4A992" w14:textId="77777777" w:rsidR="002C2E5E" w:rsidRDefault="002C2E5E" w:rsidP="002C2E5E">
      <w:pPr>
        <w:pStyle w:val="SingleTxtGC"/>
      </w:pPr>
      <w:r>
        <w:rPr>
          <w:rFonts w:hint="eastAsia"/>
        </w:rPr>
        <w:t>29.</w:t>
      </w:r>
      <w:r>
        <w:rPr>
          <w:rFonts w:hint="eastAsia"/>
        </w:rPr>
        <w:tab/>
      </w:r>
      <w:r>
        <w:rPr>
          <w:rFonts w:hint="eastAsia"/>
        </w:rPr>
        <w:t>司法独立性受《政府法典》的保障。包括议会在内的任何公共当局都不能决定法院如何裁决具体案件或在特定案件中如何适用法律规定。法院的司法职能、主要组织特点和司法程序由法律</w:t>
      </w:r>
      <w:proofErr w:type="gramStart"/>
      <w:r>
        <w:rPr>
          <w:rFonts w:hint="eastAsia"/>
        </w:rPr>
        <w:t>作出</w:t>
      </w:r>
      <w:proofErr w:type="gramEnd"/>
      <w:r>
        <w:rPr>
          <w:rFonts w:hint="eastAsia"/>
        </w:rPr>
        <w:t>规定。</w:t>
      </w:r>
    </w:p>
    <w:p w14:paraId="554A29FE" w14:textId="77777777" w:rsidR="002C2E5E" w:rsidRDefault="002C2E5E" w:rsidP="00583B31">
      <w:pPr>
        <w:pStyle w:val="H23GC"/>
      </w:pPr>
      <w:r>
        <w:rPr>
          <w:rFonts w:hint="eastAsia"/>
        </w:rPr>
        <w:tab/>
      </w:r>
      <w:r>
        <w:rPr>
          <w:rFonts w:hint="eastAsia"/>
        </w:rPr>
        <w:tab/>
      </w:r>
      <w:r>
        <w:rPr>
          <w:rFonts w:hint="eastAsia"/>
        </w:rPr>
        <w:t>选举</w:t>
      </w:r>
    </w:p>
    <w:p w14:paraId="1939DB1B" w14:textId="77777777" w:rsidR="002C2E5E" w:rsidRDefault="002C2E5E" w:rsidP="002C2E5E">
      <w:pPr>
        <w:pStyle w:val="SingleTxtGC"/>
      </w:pPr>
      <w:r>
        <w:rPr>
          <w:rFonts w:hint="eastAsia"/>
        </w:rPr>
        <w:t>30.</w:t>
      </w:r>
      <w:r>
        <w:rPr>
          <w:rFonts w:hint="eastAsia"/>
        </w:rPr>
        <w:tab/>
        <w:t>20</w:t>
      </w:r>
      <w:r>
        <w:rPr>
          <w:rFonts w:hint="eastAsia"/>
        </w:rPr>
        <w:t>世纪初，选民范围逐步扩大。</w:t>
      </w:r>
      <w:r>
        <w:rPr>
          <w:rFonts w:hint="eastAsia"/>
        </w:rPr>
        <w:t>1909</w:t>
      </w:r>
      <w:r>
        <w:rPr>
          <w:rFonts w:hint="eastAsia"/>
        </w:rPr>
        <w:t>年开始实行男性普选，</w:t>
      </w:r>
      <w:r>
        <w:rPr>
          <w:rFonts w:hint="eastAsia"/>
        </w:rPr>
        <w:t>1921</w:t>
      </w:r>
      <w:r>
        <w:rPr>
          <w:rFonts w:hint="eastAsia"/>
        </w:rPr>
        <w:t>年开始实行女性普选。国家议会、省议会和市议会的普选每四年举行一次。国家议会为一院制机构，共有</w:t>
      </w:r>
      <w:r>
        <w:rPr>
          <w:rFonts w:hint="eastAsia"/>
        </w:rPr>
        <w:t>349</w:t>
      </w:r>
      <w:r>
        <w:rPr>
          <w:rFonts w:hint="eastAsia"/>
        </w:rPr>
        <w:t>个席位，当选代表任期固定为四年。其中</w:t>
      </w:r>
      <w:r>
        <w:rPr>
          <w:rFonts w:hint="eastAsia"/>
        </w:rPr>
        <w:t>310</w:t>
      </w:r>
      <w:r>
        <w:rPr>
          <w:rFonts w:hint="eastAsia"/>
        </w:rPr>
        <w:t>个席位为选区固定席位，其余</w:t>
      </w:r>
      <w:r>
        <w:rPr>
          <w:rFonts w:hint="eastAsia"/>
        </w:rPr>
        <w:t>39</w:t>
      </w:r>
      <w:r>
        <w:rPr>
          <w:rFonts w:hint="eastAsia"/>
        </w:rPr>
        <w:t>个席位则可分配，以确保选区席位在全国的分配更符合比例。选举方法采用比例代表制。</w:t>
      </w:r>
    </w:p>
    <w:p w14:paraId="5B974883" w14:textId="77777777" w:rsidR="002C2E5E" w:rsidRDefault="002C2E5E" w:rsidP="002C2E5E">
      <w:pPr>
        <w:pStyle w:val="SingleTxtGC"/>
      </w:pPr>
      <w:r>
        <w:rPr>
          <w:rFonts w:hint="eastAsia"/>
        </w:rPr>
        <w:t>31.</w:t>
      </w:r>
      <w:r>
        <w:rPr>
          <w:rFonts w:hint="eastAsia"/>
        </w:rPr>
        <w:tab/>
      </w:r>
      <w:r>
        <w:rPr>
          <w:rFonts w:hint="eastAsia"/>
        </w:rPr>
        <w:t>选民包括所有年满</w:t>
      </w:r>
      <w:r>
        <w:rPr>
          <w:rFonts w:hint="eastAsia"/>
        </w:rPr>
        <w:t>18</w:t>
      </w:r>
      <w:r>
        <w:rPr>
          <w:rFonts w:hint="eastAsia"/>
        </w:rPr>
        <w:t>周岁、现在或曾经在瑞典居住的公民。除瑞典公民外，合法居住在瑞典的欧洲联盟、挪威和冰岛年满</w:t>
      </w:r>
      <w:r>
        <w:rPr>
          <w:rFonts w:hint="eastAsia"/>
        </w:rPr>
        <w:t>18</w:t>
      </w:r>
      <w:r>
        <w:rPr>
          <w:rFonts w:hint="eastAsia"/>
        </w:rPr>
        <w:t>周岁及以上公民，以及在瑞典居住至少三年的其他外国国民，均可参加省议会和市议会选举。有权参加议会选举的瑞典公民也有权参加欧洲议会选举。居住在瑞典的欧洲联盟公民也有权参加欧洲议会的选举，前提是他们提出行使这一权利，并证明他们将来不会在原籍国行使选举权和被选举权。</w:t>
      </w:r>
    </w:p>
    <w:p w14:paraId="55C5C226" w14:textId="77777777" w:rsidR="002C2E5E" w:rsidRDefault="002C2E5E" w:rsidP="002C2E5E">
      <w:pPr>
        <w:pStyle w:val="SingleTxtGC"/>
      </w:pPr>
      <w:r>
        <w:rPr>
          <w:rFonts w:hint="eastAsia"/>
        </w:rPr>
        <w:t>32.</w:t>
      </w:r>
      <w:r>
        <w:rPr>
          <w:rFonts w:hint="eastAsia"/>
        </w:rPr>
        <w:tab/>
      </w:r>
      <w:r>
        <w:rPr>
          <w:rFonts w:hint="eastAsia"/>
        </w:rPr>
        <w:t>当前选期</w:t>
      </w:r>
      <w:r>
        <w:rPr>
          <w:rFonts w:hint="eastAsia"/>
        </w:rPr>
        <w:t>(2022-2026</w:t>
      </w:r>
      <w:r>
        <w:rPr>
          <w:rFonts w:hint="eastAsia"/>
        </w:rPr>
        <w:t>年</w:t>
      </w:r>
      <w:r>
        <w:rPr>
          <w:rFonts w:hint="eastAsia"/>
        </w:rPr>
        <w:t>)</w:t>
      </w:r>
      <w:r>
        <w:rPr>
          <w:rFonts w:hint="eastAsia"/>
        </w:rPr>
        <w:t>内，国家议会由社会民主党、瑞典民主党、温和党、左翼党、中间党、基督教民主党、环境党和自由党等八个政党组成。政党获得国家议会席位所需的最低票数为</w:t>
      </w:r>
      <w:r>
        <w:rPr>
          <w:rFonts w:hint="eastAsia"/>
        </w:rPr>
        <w:t>4%</w:t>
      </w:r>
      <w:r>
        <w:rPr>
          <w:rFonts w:hint="eastAsia"/>
        </w:rPr>
        <w:t>。这条一般规则有一种例外情况，如果一个政党在全国范围内未获得</w:t>
      </w:r>
      <w:r>
        <w:rPr>
          <w:rFonts w:hint="eastAsia"/>
        </w:rPr>
        <w:t>4%</w:t>
      </w:r>
      <w:r>
        <w:rPr>
          <w:rFonts w:hint="eastAsia"/>
        </w:rPr>
        <w:t>的选票，但在任</w:t>
      </w:r>
      <w:proofErr w:type="gramStart"/>
      <w:r>
        <w:rPr>
          <w:rFonts w:hint="eastAsia"/>
        </w:rPr>
        <w:t>一</w:t>
      </w:r>
      <w:proofErr w:type="gramEnd"/>
      <w:r>
        <w:rPr>
          <w:rFonts w:hint="eastAsia"/>
        </w:rPr>
        <w:t>选区获得至少</w:t>
      </w:r>
      <w:r>
        <w:rPr>
          <w:rFonts w:hint="eastAsia"/>
        </w:rPr>
        <w:t>12%</w:t>
      </w:r>
      <w:r>
        <w:rPr>
          <w:rFonts w:hint="eastAsia"/>
        </w:rPr>
        <w:t>的选票，则可以参与分配该选区的席位。</w:t>
      </w:r>
    </w:p>
    <w:p w14:paraId="1EB60F9D" w14:textId="77777777" w:rsidR="002C2E5E" w:rsidRDefault="002C2E5E" w:rsidP="002C2E5E">
      <w:pPr>
        <w:pStyle w:val="SingleTxtGC"/>
      </w:pPr>
      <w:r>
        <w:rPr>
          <w:rFonts w:hint="eastAsia"/>
        </w:rPr>
        <w:t>33.</w:t>
      </w:r>
      <w:r>
        <w:rPr>
          <w:rFonts w:hint="eastAsia"/>
        </w:rPr>
        <w:tab/>
      </w:r>
      <w:r>
        <w:rPr>
          <w:rFonts w:hint="eastAsia"/>
        </w:rPr>
        <w:t>在</w:t>
      </w:r>
      <w:r>
        <w:rPr>
          <w:rFonts w:hint="eastAsia"/>
        </w:rPr>
        <w:t>2022</w:t>
      </w:r>
      <w:r>
        <w:rPr>
          <w:rFonts w:hint="eastAsia"/>
        </w:rPr>
        <w:t>年国家议会选举中，共有</w:t>
      </w:r>
      <w:r>
        <w:rPr>
          <w:rFonts w:hint="eastAsia"/>
        </w:rPr>
        <w:t>7,772,120</w:t>
      </w:r>
      <w:r>
        <w:rPr>
          <w:rFonts w:hint="eastAsia"/>
        </w:rPr>
        <w:t>人有资格投票，在</w:t>
      </w:r>
      <w:r>
        <w:rPr>
          <w:rFonts w:hint="eastAsia"/>
        </w:rPr>
        <w:t>2022</w:t>
      </w:r>
      <w:r>
        <w:rPr>
          <w:rFonts w:hint="eastAsia"/>
        </w:rPr>
        <w:t>年市议会选举中，共有</w:t>
      </w:r>
      <w:r>
        <w:rPr>
          <w:rFonts w:hint="eastAsia"/>
        </w:rPr>
        <w:t>8,196,423</w:t>
      </w:r>
      <w:r>
        <w:rPr>
          <w:rFonts w:hint="eastAsia"/>
        </w:rPr>
        <w:t>人有资格投票，在</w:t>
      </w:r>
      <w:r>
        <w:rPr>
          <w:rFonts w:hint="eastAsia"/>
        </w:rPr>
        <w:t>2022</w:t>
      </w:r>
      <w:r>
        <w:rPr>
          <w:rFonts w:hint="eastAsia"/>
        </w:rPr>
        <w:t>年省议会选举中，共有</w:t>
      </w:r>
      <w:r>
        <w:rPr>
          <w:rFonts w:hint="eastAsia"/>
        </w:rPr>
        <w:t>8,147,129</w:t>
      </w:r>
      <w:r>
        <w:rPr>
          <w:rFonts w:hint="eastAsia"/>
        </w:rPr>
        <w:t>人有资格投票。</w:t>
      </w:r>
    </w:p>
    <w:p w14:paraId="4981AB6A" w14:textId="77777777" w:rsidR="002C2E5E" w:rsidRDefault="002C2E5E" w:rsidP="002C2E5E">
      <w:pPr>
        <w:pStyle w:val="SingleTxtGC"/>
      </w:pPr>
      <w:r>
        <w:rPr>
          <w:rFonts w:hint="eastAsia"/>
        </w:rPr>
        <w:t>34.</w:t>
      </w:r>
      <w:r>
        <w:rPr>
          <w:rFonts w:hint="eastAsia"/>
        </w:rPr>
        <w:tab/>
      </w:r>
      <w:r>
        <w:rPr>
          <w:rFonts w:hint="eastAsia"/>
        </w:rPr>
        <w:t>国家议会、省议会和市议会的选举每四年于</w:t>
      </w:r>
      <w:r>
        <w:rPr>
          <w:rFonts w:hint="eastAsia"/>
        </w:rPr>
        <w:t>9</w:t>
      </w:r>
      <w:r>
        <w:rPr>
          <w:rFonts w:hint="eastAsia"/>
        </w:rPr>
        <w:t>月份举行一次。在</w:t>
      </w:r>
      <w:r>
        <w:rPr>
          <w:rFonts w:hint="eastAsia"/>
        </w:rPr>
        <w:t>2022</w:t>
      </w:r>
      <w:r>
        <w:rPr>
          <w:rFonts w:hint="eastAsia"/>
        </w:rPr>
        <w:t>年的国家议会选举中，选民投票率为</w:t>
      </w:r>
      <w:r>
        <w:rPr>
          <w:rFonts w:hint="eastAsia"/>
        </w:rPr>
        <w:t>84.2%</w:t>
      </w:r>
      <w:r>
        <w:rPr>
          <w:rFonts w:hint="eastAsia"/>
        </w:rPr>
        <w:t>，比</w:t>
      </w:r>
      <w:r>
        <w:rPr>
          <w:rFonts w:hint="eastAsia"/>
        </w:rPr>
        <w:t>2018</w:t>
      </w:r>
      <w:r>
        <w:rPr>
          <w:rFonts w:hint="eastAsia"/>
        </w:rPr>
        <w:t>年的上一次选举下降了</w:t>
      </w:r>
      <w:r>
        <w:rPr>
          <w:rFonts w:hint="eastAsia"/>
        </w:rPr>
        <w:t>3</w:t>
      </w:r>
      <w:r>
        <w:rPr>
          <w:rFonts w:hint="eastAsia"/>
        </w:rPr>
        <w:t>个百分点。这是自</w:t>
      </w:r>
      <w:r>
        <w:rPr>
          <w:rFonts w:hint="eastAsia"/>
        </w:rPr>
        <w:t>2002</w:t>
      </w:r>
      <w:r>
        <w:rPr>
          <w:rFonts w:hint="eastAsia"/>
        </w:rPr>
        <w:t>年以来投票率首次下滑。</w:t>
      </w:r>
      <w:r>
        <w:rPr>
          <w:rFonts w:hint="eastAsia"/>
        </w:rPr>
        <w:t>2022</w:t>
      </w:r>
      <w:r>
        <w:rPr>
          <w:rFonts w:hint="eastAsia"/>
        </w:rPr>
        <w:t>年的省议会和市议会选举投票率分别下降了</w:t>
      </w:r>
      <w:r>
        <w:rPr>
          <w:rFonts w:hint="eastAsia"/>
        </w:rPr>
        <w:t>3.5</w:t>
      </w:r>
      <w:r>
        <w:rPr>
          <w:rFonts w:hint="eastAsia"/>
        </w:rPr>
        <w:t>和</w:t>
      </w:r>
      <w:r>
        <w:rPr>
          <w:rFonts w:hint="eastAsia"/>
        </w:rPr>
        <w:t>3.6</w:t>
      </w:r>
      <w:r>
        <w:rPr>
          <w:rFonts w:hint="eastAsia"/>
        </w:rPr>
        <w:t>个百分点。省议会选举投票率为</w:t>
      </w:r>
      <w:r>
        <w:rPr>
          <w:rFonts w:hint="eastAsia"/>
        </w:rPr>
        <w:t>80.2%</w:t>
      </w:r>
      <w:r>
        <w:rPr>
          <w:rFonts w:hint="eastAsia"/>
        </w:rPr>
        <w:t>，市议会选举投票率为</w:t>
      </w:r>
      <w:r>
        <w:rPr>
          <w:rFonts w:hint="eastAsia"/>
        </w:rPr>
        <w:t>80.5%</w:t>
      </w:r>
      <w:r>
        <w:rPr>
          <w:rFonts w:hint="eastAsia"/>
        </w:rPr>
        <w:t>。</w:t>
      </w:r>
    </w:p>
    <w:p w14:paraId="0E99CFE3" w14:textId="77777777" w:rsidR="002C2E5E" w:rsidRDefault="002C2E5E" w:rsidP="002C2E5E">
      <w:pPr>
        <w:pStyle w:val="SingleTxtGC"/>
      </w:pPr>
      <w:r>
        <w:rPr>
          <w:rFonts w:hint="eastAsia"/>
        </w:rPr>
        <w:t>35.</w:t>
      </w:r>
      <w:r>
        <w:rPr>
          <w:rFonts w:hint="eastAsia"/>
        </w:rPr>
        <w:tab/>
      </w:r>
      <w:r>
        <w:rPr>
          <w:rFonts w:hint="eastAsia"/>
        </w:rPr>
        <w:t>凡是选民登记册上有权参加选举的人，如果认为选举中存在错误或失误，影响到选举结果，可在选举结束后十天内向选举审查委员会提出上诉。参加选举的政党也可以提出上诉。上诉提交</w:t>
      </w:r>
      <w:proofErr w:type="gramStart"/>
      <w:r>
        <w:rPr>
          <w:rFonts w:hint="eastAsia"/>
        </w:rPr>
        <w:t>至选举</w:t>
      </w:r>
      <w:proofErr w:type="gramEnd"/>
      <w:r>
        <w:rPr>
          <w:rFonts w:hint="eastAsia"/>
        </w:rPr>
        <w:t>审查委员会。</w:t>
      </w:r>
      <w:r>
        <w:rPr>
          <w:rFonts w:hint="eastAsia"/>
        </w:rPr>
        <w:t>2022</w:t>
      </w:r>
      <w:r>
        <w:rPr>
          <w:rFonts w:hint="eastAsia"/>
        </w:rPr>
        <w:t>年选举之后，共登记了</w:t>
      </w:r>
      <w:r>
        <w:rPr>
          <w:rFonts w:hint="eastAsia"/>
        </w:rPr>
        <w:t>148</w:t>
      </w:r>
      <w:r>
        <w:rPr>
          <w:rFonts w:hint="eastAsia"/>
        </w:rPr>
        <w:t>起针对国家议会选举的上诉，</w:t>
      </w:r>
      <w:r>
        <w:rPr>
          <w:rFonts w:hint="eastAsia"/>
        </w:rPr>
        <w:t>110</w:t>
      </w:r>
      <w:r>
        <w:rPr>
          <w:rFonts w:hint="eastAsia"/>
        </w:rPr>
        <w:t>起</w:t>
      </w:r>
      <w:proofErr w:type="gramStart"/>
      <w:r>
        <w:rPr>
          <w:rFonts w:hint="eastAsia"/>
        </w:rPr>
        <w:t>针对省</w:t>
      </w:r>
      <w:proofErr w:type="gramEnd"/>
      <w:r>
        <w:rPr>
          <w:rFonts w:hint="eastAsia"/>
        </w:rPr>
        <w:t>议会选举的上诉和</w:t>
      </w:r>
      <w:r>
        <w:rPr>
          <w:rFonts w:hint="eastAsia"/>
        </w:rPr>
        <w:t>148</w:t>
      </w:r>
      <w:r>
        <w:rPr>
          <w:rFonts w:hint="eastAsia"/>
        </w:rPr>
        <w:t>起针对市议会选举的上诉。所有关于国家议会选举结果的上诉都被认定为证据不足或被驳回。在涉及市议会选举的三起案件中，上诉导致重新计票</w:t>
      </w:r>
      <w:r>
        <w:rPr>
          <w:rFonts w:hint="eastAsia"/>
        </w:rPr>
        <w:t>(</w:t>
      </w:r>
      <w:r>
        <w:rPr>
          <w:rFonts w:hint="eastAsia"/>
        </w:rPr>
        <w:t>费里耶兰达市、哈宁厄市和拉普兰市</w:t>
      </w:r>
      <w:r>
        <w:rPr>
          <w:rFonts w:hint="eastAsia"/>
        </w:rPr>
        <w:t>)</w:t>
      </w:r>
      <w:r>
        <w:rPr>
          <w:rFonts w:hint="eastAsia"/>
        </w:rPr>
        <w:t>。</w:t>
      </w:r>
    </w:p>
    <w:p w14:paraId="3B985D75" w14:textId="3DC8EACB" w:rsidR="005F3A74" w:rsidRDefault="002C2E5E" w:rsidP="00F00DC4">
      <w:pPr>
        <w:pStyle w:val="SingleTxtGC"/>
        <w:spacing w:after="240"/>
      </w:pPr>
      <w:r>
        <w:rPr>
          <w:rFonts w:hint="eastAsia"/>
        </w:rPr>
        <w:t>36.</w:t>
      </w:r>
      <w:r>
        <w:rPr>
          <w:rFonts w:hint="eastAsia"/>
        </w:rPr>
        <w:tab/>
      </w:r>
      <w:r>
        <w:rPr>
          <w:rFonts w:hint="eastAsia"/>
        </w:rPr>
        <w:t>国家议会为一院制，有</w:t>
      </w:r>
      <w:r>
        <w:rPr>
          <w:rFonts w:hint="eastAsia"/>
        </w:rPr>
        <w:t>349</w:t>
      </w:r>
      <w:r>
        <w:rPr>
          <w:rFonts w:hint="eastAsia"/>
        </w:rPr>
        <w:t>个席位。自</w:t>
      </w:r>
      <w:r>
        <w:rPr>
          <w:rFonts w:hint="eastAsia"/>
        </w:rPr>
        <w:t>2022</w:t>
      </w:r>
      <w:r>
        <w:rPr>
          <w:rFonts w:hint="eastAsia"/>
        </w:rPr>
        <w:t>年选举以来，执政联盟由温和党、基督教民主党和自由党组成。这次选举后，各政党拥有席位数量如下：社会民主党</w:t>
      </w:r>
      <w:r>
        <w:rPr>
          <w:rFonts w:hint="eastAsia"/>
        </w:rPr>
        <w:t>107</w:t>
      </w:r>
      <w:r>
        <w:rPr>
          <w:rFonts w:hint="eastAsia"/>
        </w:rPr>
        <w:t>个；瑞典民主党</w:t>
      </w:r>
      <w:r>
        <w:rPr>
          <w:rFonts w:hint="eastAsia"/>
        </w:rPr>
        <w:t>73</w:t>
      </w:r>
      <w:r>
        <w:rPr>
          <w:rFonts w:hint="eastAsia"/>
        </w:rPr>
        <w:t>个、温和党</w:t>
      </w:r>
      <w:r>
        <w:rPr>
          <w:rFonts w:hint="eastAsia"/>
        </w:rPr>
        <w:t>68</w:t>
      </w:r>
      <w:r>
        <w:rPr>
          <w:rFonts w:hint="eastAsia"/>
        </w:rPr>
        <w:t>个、左翼党</w:t>
      </w:r>
      <w:r>
        <w:rPr>
          <w:rFonts w:hint="eastAsia"/>
        </w:rPr>
        <w:t>24</w:t>
      </w:r>
      <w:r>
        <w:rPr>
          <w:rFonts w:hint="eastAsia"/>
        </w:rPr>
        <w:t>个、中央党</w:t>
      </w:r>
      <w:r>
        <w:rPr>
          <w:rFonts w:hint="eastAsia"/>
        </w:rPr>
        <w:t>24</w:t>
      </w:r>
      <w:r>
        <w:rPr>
          <w:rFonts w:hint="eastAsia"/>
        </w:rPr>
        <w:t>个、基督教民主党</w:t>
      </w:r>
      <w:r>
        <w:rPr>
          <w:rFonts w:hint="eastAsia"/>
        </w:rPr>
        <w:t>19</w:t>
      </w:r>
      <w:r>
        <w:rPr>
          <w:rFonts w:hint="eastAsia"/>
        </w:rPr>
        <w:t>个、环境党</w:t>
      </w:r>
      <w:r>
        <w:rPr>
          <w:rFonts w:hint="eastAsia"/>
        </w:rPr>
        <w:t>18</w:t>
      </w:r>
      <w:r>
        <w:rPr>
          <w:rFonts w:hint="eastAsia"/>
        </w:rPr>
        <w:t>个、自由党</w:t>
      </w:r>
      <w:r>
        <w:rPr>
          <w:rFonts w:hint="eastAsia"/>
        </w:rPr>
        <w:t>16</w:t>
      </w:r>
      <w:r>
        <w:rPr>
          <w:rFonts w:hint="eastAsia"/>
        </w:rPr>
        <w:t>个。自</w:t>
      </w:r>
      <w:r>
        <w:rPr>
          <w:rFonts w:hint="eastAsia"/>
        </w:rPr>
        <w:t>2022</w:t>
      </w:r>
      <w:r>
        <w:rPr>
          <w:rFonts w:hint="eastAsia"/>
        </w:rPr>
        <w:t>年选举以来，有两位议员退出所属政党。他们仍然是国家议会成员，但不再隶属任何党派。</w:t>
      </w:r>
      <w:r>
        <w:rPr>
          <w:rFonts w:hint="eastAsia"/>
        </w:rPr>
        <w:t>2022</w:t>
      </w:r>
      <w:r>
        <w:rPr>
          <w:rFonts w:hint="eastAsia"/>
        </w:rPr>
        <w:t>年选举后，女议员占议员总数的</w:t>
      </w:r>
      <w:r>
        <w:rPr>
          <w:rFonts w:hint="eastAsia"/>
        </w:rPr>
        <w:t>46.1%(349</w:t>
      </w:r>
      <w:r>
        <w:rPr>
          <w:rFonts w:hint="eastAsia"/>
        </w:rPr>
        <w:t>个席位中占</w:t>
      </w:r>
      <w:r>
        <w:rPr>
          <w:rFonts w:hint="eastAsia"/>
        </w:rPr>
        <w:t>161</w:t>
      </w:r>
      <w:r>
        <w:rPr>
          <w:rFonts w:hint="eastAsia"/>
        </w:rPr>
        <w:t>个</w:t>
      </w:r>
      <w:r>
        <w:rPr>
          <w:rFonts w:hint="eastAsia"/>
        </w:rPr>
        <w:t>)</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127"/>
        <w:gridCol w:w="2975"/>
      </w:tblGrid>
      <w:tr w:rsidR="002C2E5E" w:rsidRPr="006652B8" w14:paraId="75D1DF9C" w14:textId="77777777" w:rsidTr="00F00DC4">
        <w:trPr>
          <w:tblHeader/>
        </w:trPr>
        <w:tc>
          <w:tcPr>
            <w:tcW w:w="2268" w:type="dxa"/>
            <w:tcBorders>
              <w:top w:val="single" w:sz="4" w:space="0" w:color="auto"/>
              <w:bottom w:val="single" w:sz="12" w:space="0" w:color="auto"/>
            </w:tcBorders>
            <w:shd w:val="clear" w:color="auto" w:fill="auto"/>
            <w:vAlign w:val="bottom"/>
          </w:tcPr>
          <w:p w14:paraId="0AF97BA3"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left"/>
              <w:rPr>
                <w:i/>
                <w:sz w:val="18"/>
                <w:szCs w:val="18"/>
              </w:rPr>
            </w:pPr>
            <w:r w:rsidRPr="006652B8">
              <w:rPr>
                <w:rFonts w:eastAsia="楷体"/>
                <w:snapToGrid w:val="0"/>
                <w:sz w:val="18"/>
                <w:szCs w:val="18"/>
                <w:lang w:val="zh-CN"/>
              </w:rPr>
              <w:t>政党名称</w:t>
            </w:r>
          </w:p>
        </w:tc>
        <w:tc>
          <w:tcPr>
            <w:tcW w:w="2127" w:type="dxa"/>
            <w:tcBorders>
              <w:top w:val="single" w:sz="4" w:space="0" w:color="auto"/>
              <w:bottom w:val="single" w:sz="12" w:space="0" w:color="auto"/>
            </w:tcBorders>
            <w:shd w:val="clear" w:color="auto" w:fill="auto"/>
            <w:vAlign w:val="bottom"/>
          </w:tcPr>
          <w:p w14:paraId="2008D3F7"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right"/>
              <w:rPr>
                <w:rFonts w:eastAsia="楷体"/>
                <w:snapToGrid w:val="0"/>
                <w:sz w:val="18"/>
                <w:szCs w:val="18"/>
                <w:lang w:val="zh-CN"/>
              </w:rPr>
            </w:pPr>
            <w:r w:rsidRPr="006652B8">
              <w:rPr>
                <w:rFonts w:eastAsia="楷体"/>
                <w:snapToGrid w:val="0"/>
                <w:sz w:val="18"/>
                <w:szCs w:val="18"/>
                <w:lang w:val="zh-CN"/>
              </w:rPr>
              <w:t>2022</w:t>
            </w:r>
            <w:r w:rsidRPr="006652B8">
              <w:rPr>
                <w:rFonts w:eastAsia="楷体"/>
                <w:snapToGrid w:val="0"/>
                <w:sz w:val="18"/>
                <w:szCs w:val="18"/>
                <w:lang w:val="zh-CN"/>
              </w:rPr>
              <w:t>年选举得票率</w:t>
            </w:r>
            <w:r w:rsidRPr="006652B8">
              <w:rPr>
                <w:rFonts w:eastAsia="楷体"/>
                <w:snapToGrid w:val="0"/>
                <w:sz w:val="18"/>
                <w:szCs w:val="18"/>
                <w:lang w:val="zh-CN"/>
              </w:rPr>
              <w:t>(%)</w:t>
            </w:r>
          </w:p>
        </w:tc>
        <w:tc>
          <w:tcPr>
            <w:tcW w:w="2975" w:type="dxa"/>
            <w:tcBorders>
              <w:top w:val="single" w:sz="4" w:space="0" w:color="auto"/>
              <w:bottom w:val="single" w:sz="12" w:space="0" w:color="auto"/>
            </w:tcBorders>
            <w:shd w:val="clear" w:color="auto" w:fill="auto"/>
            <w:vAlign w:val="bottom"/>
          </w:tcPr>
          <w:p w14:paraId="0DB8639B"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right"/>
              <w:rPr>
                <w:rFonts w:eastAsia="楷体"/>
                <w:snapToGrid w:val="0"/>
                <w:sz w:val="18"/>
                <w:szCs w:val="18"/>
                <w:lang w:val="zh-CN"/>
              </w:rPr>
            </w:pPr>
            <w:r w:rsidRPr="006652B8">
              <w:rPr>
                <w:rFonts w:eastAsia="楷体"/>
                <w:snapToGrid w:val="0"/>
                <w:sz w:val="18"/>
                <w:szCs w:val="18"/>
                <w:lang w:val="zh-CN"/>
              </w:rPr>
              <w:t>2022</w:t>
            </w:r>
            <w:r w:rsidRPr="006652B8">
              <w:rPr>
                <w:rFonts w:eastAsia="楷体"/>
                <w:snapToGrid w:val="0"/>
                <w:sz w:val="18"/>
                <w:szCs w:val="18"/>
                <w:lang w:val="zh-CN"/>
              </w:rPr>
              <w:t>年选举获得的议会席位</w:t>
            </w:r>
          </w:p>
        </w:tc>
      </w:tr>
      <w:tr w:rsidR="002C2E5E" w:rsidRPr="006652B8" w14:paraId="3E49533A" w14:textId="77777777" w:rsidTr="00F00DC4">
        <w:trPr>
          <w:trHeight w:hRule="exact" w:val="113"/>
          <w:tblHeader/>
        </w:trPr>
        <w:tc>
          <w:tcPr>
            <w:tcW w:w="2268" w:type="dxa"/>
            <w:tcBorders>
              <w:top w:val="single" w:sz="12" w:space="0" w:color="auto"/>
              <w:bottom w:val="nil"/>
            </w:tcBorders>
            <w:shd w:val="clear" w:color="auto" w:fill="auto"/>
            <w:vAlign w:val="bottom"/>
          </w:tcPr>
          <w:p w14:paraId="0F7C6D9E"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left"/>
              <w:rPr>
                <w:i/>
                <w:sz w:val="13"/>
                <w:szCs w:val="6"/>
              </w:rPr>
            </w:pPr>
          </w:p>
        </w:tc>
        <w:tc>
          <w:tcPr>
            <w:tcW w:w="2127" w:type="dxa"/>
            <w:tcBorders>
              <w:top w:val="single" w:sz="12" w:space="0" w:color="auto"/>
              <w:bottom w:val="nil"/>
            </w:tcBorders>
            <w:shd w:val="clear" w:color="auto" w:fill="auto"/>
            <w:vAlign w:val="bottom"/>
          </w:tcPr>
          <w:p w14:paraId="3386094F"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right"/>
              <w:rPr>
                <w:i/>
                <w:sz w:val="13"/>
                <w:szCs w:val="6"/>
              </w:rPr>
            </w:pPr>
          </w:p>
        </w:tc>
        <w:tc>
          <w:tcPr>
            <w:tcW w:w="2975" w:type="dxa"/>
            <w:tcBorders>
              <w:top w:val="single" w:sz="12" w:space="0" w:color="auto"/>
              <w:bottom w:val="nil"/>
            </w:tcBorders>
            <w:shd w:val="clear" w:color="auto" w:fill="auto"/>
            <w:vAlign w:val="bottom"/>
          </w:tcPr>
          <w:p w14:paraId="381FFD68" w14:textId="77777777" w:rsidR="002C2E5E" w:rsidRPr="006652B8" w:rsidRDefault="002C2E5E" w:rsidP="00F36437">
            <w:pPr>
              <w:pStyle w:val="SingleTxtG"/>
              <w:tabs>
                <w:tab w:val="clear" w:pos="1701"/>
                <w:tab w:val="clear" w:pos="2268"/>
              </w:tabs>
              <w:suppressAutoHyphens w:val="0"/>
              <w:spacing w:before="80" w:after="80" w:line="200" w:lineRule="exact"/>
              <w:ind w:left="0" w:right="113"/>
              <w:jc w:val="right"/>
              <w:rPr>
                <w:i/>
                <w:sz w:val="13"/>
                <w:szCs w:val="6"/>
              </w:rPr>
            </w:pPr>
          </w:p>
        </w:tc>
      </w:tr>
      <w:tr w:rsidR="002C2E5E" w:rsidRPr="006652B8" w14:paraId="6B010EF0" w14:textId="77777777" w:rsidTr="00F00DC4">
        <w:trPr>
          <w:tblHeader/>
        </w:trPr>
        <w:tc>
          <w:tcPr>
            <w:tcW w:w="2268" w:type="dxa"/>
            <w:tcBorders>
              <w:top w:val="nil"/>
            </w:tcBorders>
            <w:shd w:val="clear" w:color="auto" w:fill="auto"/>
          </w:tcPr>
          <w:p w14:paraId="1E0AA6BF"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社会民主党</w:t>
            </w:r>
          </w:p>
        </w:tc>
        <w:tc>
          <w:tcPr>
            <w:tcW w:w="2127" w:type="dxa"/>
            <w:tcBorders>
              <w:top w:val="nil"/>
            </w:tcBorders>
            <w:shd w:val="clear" w:color="auto" w:fill="auto"/>
            <w:vAlign w:val="bottom"/>
          </w:tcPr>
          <w:p w14:paraId="19ABBC97"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30.33</w:t>
            </w:r>
          </w:p>
        </w:tc>
        <w:tc>
          <w:tcPr>
            <w:tcW w:w="2975" w:type="dxa"/>
            <w:tcBorders>
              <w:top w:val="nil"/>
            </w:tcBorders>
            <w:shd w:val="clear" w:color="auto" w:fill="auto"/>
            <w:vAlign w:val="bottom"/>
          </w:tcPr>
          <w:p w14:paraId="6C6EA01B"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107</w:t>
            </w:r>
          </w:p>
        </w:tc>
      </w:tr>
      <w:tr w:rsidR="002C2E5E" w:rsidRPr="006652B8" w14:paraId="24AAC139" w14:textId="77777777" w:rsidTr="00F00DC4">
        <w:tc>
          <w:tcPr>
            <w:tcW w:w="2268" w:type="dxa"/>
            <w:shd w:val="clear" w:color="auto" w:fill="auto"/>
          </w:tcPr>
          <w:p w14:paraId="22A6F304"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瑞典民主党</w:t>
            </w:r>
          </w:p>
        </w:tc>
        <w:tc>
          <w:tcPr>
            <w:tcW w:w="2127" w:type="dxa"/>
            <w:shd w:val="clear" w:color="auto" w:fill="auto"/>
            <w:vAlign w:val="bottom"/>
          </w:tcPr>
          <w:p w14:paraId="79C5B498"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20.54</w:t>
            </w:r>
          </w:p>
        </w:tc>
        <w:tc>
          <w:tcPr>
            <w:tcW w:w="2975" w:type="dxa"/>
            <w:shd w:val="clear" w:color="auto" w:fill="auto"/>
            <w:vAlign w:val="bottom"/>
          </w:tcPr>
          <w:p w14:paraId="30AE2ABF"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73</w:t>
            </w:r>
          </w:p>
        </w:tc>
      </w:tr>
      <w:tr w:rsidR="002C2E5E" w:rsidRPr="006652B8" w14:paraId="478ECC92" w14:textId="77777777" w:rsidTr="00F00DC4">
        <w:tc>
          <w:tcPr>
            <w:tcW w:w="2268" w:type="dxa"/>
            <w:shd w:val="clear" w:color="auto" w:fill="auto"/>
          </w:tcPr>
          <w:p w14:paraId="45C36765"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温和党</w:t>
            </w:r>
          </w:p>
        </w:tc>
        <w:tc>
          <w:tcPr>
            <w:tcW w:w="2127" w:type="dxa"/>
            <w:shd w:val="clear" w:color="auto" w:fill="auto"/>
            <w:vAlign w:val="bottom"/>
          </w:tcPr>
          <w:p w14:paraId="746276AA"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19.10</w:t>
            </w:r>
          </w:p>
        </w:tc>
        <w:tc>
          <w:tcPr>
            <w:tcW w:w="2975" w:type="dxa"/>
            <w:shd w:val="clear" w:color="auto" w:fill="auto"/>
            <w:vAlign w:val="bottom"/>
          </w:tcPr>
          <w:p w14:paraId="006F43F5"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68</w:t>
            </w:r>
          </w:p>
        </w:tc>
      </w:tr>
      <w:tr w:rsidR="002C2E5E" w:rsidRPr="006652B8" w14:paraId="2DAA8D13" w14:textId="77777777" w:rsidTr="00F00DC4">
        <w:tc>
          <w:tcPr>
            <w:tcW w:w="2268" w:type="dxa"/>
            <w:shd w:val="clear" w:color="auto" w:fill="auto"/>
          </w:tcPr>
          <w:p w14:paraId="4C4ACA37"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左翼党</w:t>
            </w:r>
          </w:p>
        </w:tc>
        <w:tc>
          <w:tcPr>
            <w:tcW w:w="2127" w:type="dxa"/>
            <w:shd w:val="clear" w:color="auto" w:fill="auto"/>
            <w:vAlign w:val="bottom"/>
          </w:tcPr>
          <w:p w14:paraId="6C3C88BA"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6.75</w:t>
            </w:r>
          </w:p>
        </w:tc>
        <w:tc>
          <w:tcPr>
            <w:tcW w:w="2975" w:type="dxa"/>
            <w:shd w:val="clear" w:color="auto" w:fill="auto"/>
            <w:vAlign w:val="bottom"/>
          </w:tcPr>
          <w:p w14:paraId="69564539"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24</w:t>
            </w:r>
          </w:p>
        </w:tc>
      </w:tr>
      <w:tr w:rsidR="002C2E5E" w:rsidRPr="006652B8" w14:paraId="3691DADD" w14:textId="77777777" w:rsidTr="00F00DC4">
        <w:tc>
          <w:tcPr>
            <w:tcW w:w="2268" w:type="dxa"/>
            <w:shd w:val="clear" w:color="auto" w:fill="auto"/>
          </w:tcPr>
          <w:p w14:paraId="02F2E4ED"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中间党</w:t>
            </w:r>
          </w:p>
        </w:tc>
        <w:tc>
          <w:tcPr>
            <w:tcW w:w="2127" w:type="dxa"/>
            <w:shd w:val="clear" w:color="auto" w:fill="auto"/>
            <w:vAlign w:val="bottom"/>
          </w:tcPr>
          <w:p w14:paraId="3B451577"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6.71</w:t>
            </w:r>
          </w:p>
        </w:tc>
        <w:tc>
          <w:tcPr>
            <w:tcW w:w="2975" w:type="dxa"/>
            <w:shd w:val="clear" w:color="auto" w:fill="auto"/>
            <w:vAlign w:val="bottom"/>
          </w:tcPr>
          <w:p w14:paraId="64554701"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24</w:t>
            </w:r>
          </w:p>
        </w:tc>
      </w:tr>
      <w:tr w:rsidR="002C2E5E" w:rsidRPr="006652B8" w14:paraId="1FECF459" w14:textId="77777777" w:rsidTr="00F00DC4">
        <w:tc>
          <w:tcPr>
            <w:tcW w:w="2268" w:type="dxa"/>
            <w:tcBorders>
              <w:bottom w:val="nil"/>
            </w:tcBorders>
            <w:shd w:val="clear" w:color="auto" w:fill="auto"/>
          </w:tcPr>
          <w:p w14:paraId="14862089"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基督教民主党</w:t>
            </w:r>
          </w:p>
        </w:tc>
        <w:tc>
          <w:tcPr>
            <w:tcW w:w="2127" w:type="dxa"/>
            <w:tcBorders>
              <w:bottom w:val="nil"/>
            </w:tcBorders>
            <w:shd w:val="clear" w:color="auto" w:fill="auto"/>
            <w:vAlign w:val="bottom"/>
          </w:tcPr>
          <w:p w14:paraId="789AEFD9"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5.34</w:t>
            </w:r>
          </w:p>
        </w:tc>
        <w:tc>
          <w:tcPr>
            <w:tcW w:w="2975" w:type="dxa"/>
            <w:tcBorders>
              <w:bottom w:val="nil"/>
            </w:tcBorders>
            <w:shd w:val="clear" w:color="auto" w:fill="auto"/>
            <w:vAlign w:val="bottom"/>
          </w:tcPr>
          <w:p w14:paraId="6AF04DFE"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19</w:t>
            </w:r>
          </w:p>
        </w:tc>
      </w:tr>
      <w:tr w:rsidR="002C2E5E" w:rsidRPr="006652B8" w14:paraId="22083373" w14:textId="77777777" w:rsidTr="00F00DC4">
        <w:tc>
          <w:tcPr>
            <w:tcW w:w="2268" w:type="dxa"/>
            <w:tcBorders>
              <w:top w:val="nil"/>
              <w:bottom w:val="nil"/>
            </w:tcBorders>
            <w:shd w:val="clear" w:color="auto" w:fill="auto"/>
          </w:tcPr>
          <w:p w14:paraId="6066C389"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环境党</w:t>
            </w:r>
          </w:p>
        </w:tc>
        <w:tc>
          <w:tcPr>
            <w:tcW w:w="2127" w:type="dxa"/>
            <w:tcBorders>
              <w:top w:val="nil"/>
              <w:bottom w:val="nil"/>
            </w:tcBorders>
            <w:shd w:val="clear" w:color="auto" w:fill="auto"/>
            <w:vAlign w:val="bottom"/>
          </w:tcPr>
          <w:p w14:paraId="61684A5D"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5.08</w:t>
            </w:r>
          </w:p>
        </w:tc>
        <w:tc>
          <w:tcPr>
            <w:tcW w:w="2975" w:type="dxa"/>
            <w:tcBorders>
              <w:top w:val="nil"/>
              <w:bottom w:val="nil"/>
            </w:tcBorders>
            <w:shd w:val="clear" w:color="auto" w:fill="auto"/>
            <w:vAlign w:val="bottom"/>
          </w:tcPr>
          <w:p w14:paraId="78F9CBB1"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18</w:t>
            </w:r>
          </w:p>
        </w:tc>
      </w:tr>
      <w:tr w:rsidR="002C2E5E" w:rsidRPr="006652B8" w14:paraId="0ED9D47F" w14:textId="77777777" w:rsidTr="00F00DC4">
        <w:tc>
          <w:tcPr>
            <w:tcW w:w="2268" w:type="dxa"/>
            <w:tcBorders>
              <w:top w:val="nil"/>
            </w:tcBorders>
            <w:shd w:val="clear" w:color="auto" w:fill="auto"/>
          </w:tcPr>
          <w:p w14:paraId="2FAA76DB"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自由党</w:t>
            </w:r>
          </w:p>
        </w:tc>
        <w:tc>
          <w:tcPr>
            <w:tcW w:w="2127" w:type="dxa"/>
            <w:tcBorders>
              <w:top w:val="nil"/>
            </w:tcBorders>
            <w:shd w:val="clear" w:color="auto" w:fill="auto"/>
            <w:vAlign w:val="bottom"/>
          </w:tcPr>
          <w:p w14:paraId="399E6C40"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4.61</w:t>
            </w:r>
          </w:p>
        </w:tc>
        <w:tc>
          <w:tcPr>
            <w:tcW w:w="2975" w:type="dxa"/>
            <w:tcBorders>
              <w:top w:val="nil"/>
            </w:tcBorders>
            <w:shd w:val="clear" w:color="auto" w:fill="auto"/>
            <w:vAlign w:val="bottom"/>
          </w:tcPr>
          <w:p w14:paraId="0DABB20A"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16</w:t>
            </w:r>
          </w:p>
        </w:tc>
      </w:tr>
      <w:tr w:rsidR="002C2E5E" w:rsidRPr="006652B8" w14:paraId="3F675720" w14:textId="77777777" w:rsidTr="00F00DC4">
        <w:tc>
          <w:tcPr>
            <w:tcW w:w="2268" w:type="dxa"/>
            <w:shd w:val="clear" w:color="auto" w:fill="auto"/>
          </w:tcPr>
          <w:p w14:paraId="55B9BBB7"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left"/>
              <w:rPr>
                <w:sz w:val="15"/>
                <w:szCs w:val="6"/>
              </w:rPr>
            </w:pPr>
            <w:r w:rsidRPr="006652B8">
              <w:rPr>
                <w:sz w:val="18"/>
                <w:szCs w:val="6"/>
                <w:lang w:val="zh-CN"/>
              </w:rPr>
              <w:t>其他政党</w:t>
            </w:r>
          </w:p>
        </w:tc>
        <w:tc>
          <w:tcPr>
            <w:tcW w:w="2127" w:type="dxa"/>
            <w:shd w:val="clear" w:color="auto" w:fill="auto"/>
            <w:vAlign w:val="bottom"/>
          </w:tcPr>
          <w:p w14:paraId="5163426E"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r w:rsidRPr="006652B8">
              <w:rPr>
                <w:sz w:val="18"/>
                <w:szCs w:val="6"/>
                <w:lang w:val="zh-CN"/>
              </w:rPr>
              <w:t>1.54</w:t>
            </w:r>
          </w:p>
        </w:tc>
        <w:tc>
          <w:tcPr>
            <w:tcW w:w="2975" w:type="dxa"/>
            <w:shd w:val="clear" w:color="auto" w:fill="auto"/>
            <w:vAlign w:val="bottom"/>
          </w:tcPr>
          <w:p w14:paraId="67F865D4" w14:textId="77777777" w:rsidR="002C2E5E" w:rsidRPr="006652B8" w:rsidRDefault="002C2E5E" w:rsidP="00F36437">
            <w:pPr>
              <w:pStyle w:val="SingleTxtG"/>
              <w:tabs>
                <w:tab w:val="clear" w:pos="1701"/>
                <w:tab w:val="clear" w:pos="2268"/>
              </w:tabs>
              <w:suppressAutoHyphens w:val="0"/>
              <w:spacing w:before="40" w:after="40" w:line="220" w:lineRule="exact"/>
              <w:ind w:left="0" w:right="113"/>
              <w:jc w:val="right"/>
              <w:rPr>
                <w:sz w:val="15"/>
                <w:szCs w:val="6"/>
              </w:rPr>
            </w:pPr>
          </w:p>
        </w:tc>
      </w:tr>
    </w:tbl>
    <w:p w14:paraId="1ABA7172" w14:textId="77777777" w:rsidR="002C2E5E" w:rsidRPr="00F00DC4" w:rsidRDefault="002C2E5E" w:rsidP="00F00DC4">
      <w:pPr>
        <w:pStyle w:val="SingleTxtGC"/>
        <w:spacing w:before="120"/>
        <w:ind w:firstLine="170"/>
        <w:rPr>
          <w:sz w:val="18"/>
          <w:szCs w:val="16"/>
        </w:rPr>
      </w:pPr>
      <w:r w:rsidRPr="00F00DC4">
        <w:rPr>
          <w:rFonts w:ascii="Time New Roman" w:eastAsia="楷体" w:hAnsi="Time New Roman" w:hint="eastAsia"/>
          <w:sz w:val="18"/>
          <w:szCs w:val="16"/>
        </w:rPr>
        <w:t>来源</w:t>
      </w:r>
      <w:r w:rsidRPr="00F00DC4">
        <w:rPr>
          <w:rFonts w:hint="eastAsia"/>
          <w:sz w:val="18"/>
          <w:szCs w:val="16"/>
        </w:rPr>
        <w:t>：瑞典选举局。</w:t>
      </w:r>
    </w:p>
    <w:p w14:paraId="7D9ED49D" w14:textId="77777777" w:rsidR="002C2E5E" w:rsidRDefault="002C2E5E" w:rsidP="00E773A5">
      <w:pPr>
        <w:pStyle w:val="H23GC"/>
      </w:pPr>
      <w:r>
        <w:rPr>
          <w:rFonts w:hint="eastAsia"/>
        </w:rPr>
        <w:tab/>
      </w:r>
      <w:r>
        <w:rPr>
          <w:rFonts w:hint="eastAsia"/>
        </w:rPr>
        <w:tab/>
      </w:r>
      <w:r>
        <w:rPr>
          <w:rFonts w:hint="eastAsia"/>
        </w:rPr>
        <w:t>媒体</w:t>
      </w:r>
    </w:p>
    <w:p w14:paraId="514F7FB3" w14:textId="77777777" w:rsidR="002C2E5E" w:rsidRDefault="002C2E5E" w:rsidP="002C2E5E">
      <w:pPr>
        <w:pStyle w:val="SingleTxtGC"/>
      </w:pPr>
      <w:r>
        <w:rPr>
          <w:rFonts w:hint="eastAsia"/>
        </w:rPr>
        <w:t>37.</w:t>
      </w:r>
      <w:r>
        <w:rPr>
          <w:rFonts w:hint="eastAsia"/>
        </w:rPr>
        <w:tab/>
      </w:r>
      <w:r>
        <w:rPr>
          <w:rFonts w:hint="eastAsia"/>
        </w:rPr>
        <w:t>各家日报公司在独立新闻报道中占很大比例，但现在受到多方面压力，包括国内外竞争压力。技术发展、新消费模式和媒体市场竞争加剧，给媒体行业带来了重大挑战，例如，广告商正在选择其他方式</w:t>
      </w:r>
      <w:proofErr w:type="gramStart"/>
      <w:r>
        <w:rPr>
          <w:rFonts w:hint="eastAsia"/>
        </w:rPr>
        <w:t>触达目标</w:t>
      </w:r>
      <w:proofErr w:type="gramEnd"/>
      <w:r>
        <w:rPr>
          <w:rFonts w:hint="eastAsia"/>
        </w:rPr>
        <w:t>受众。印刷报业尤其面临持续结构调整和数字化带来的重大挑战。杂志社发现难以向用户收取数字内容的费用，数字销售不足以弥补印刷广告销售的下滑。瑞典最大的传媒公司是邦尼尔集团，它直接或间接控制着</w:t>
      </w:r>
      <w:r>
        <w:rPr>
          <w:rFonts w:hint="eastAsia"/>
        </w:rPr>
        <w:t>55</w:t>
      </w:r>
      <w:r>
        <w:rPr>
          <w:rFonts w:hint="eastAsia"/>
        </w:rPr>
        <w:t>家日报，如《今日新闻》、《南瑞典日报》、《快报》、《</w:t>
      </w:r>
      <w:r>
        <w:rPr>
          <w:rFonts w:hint="eastAsia"/>
        </w:rPr>
        <w:t>GT</w:t>
      </w:r>
      <w:r>
        <w:rPr>
          <w:rFonts w:hint="eastAsia"/>
        </w:rPr>
        <w:t>》、《晚邮报》和《今日产业》，营业额为</w:t>
      </w:r>
      <w:r>
        <w:rPr>
          <w:rFonts w:hint="eastAsia"/>
        </w:rPr>
        <w:t>68</w:t>
      </w:r>
      <w:r>
        <w:rPr>
          <w:rFonts w:hint="eastAsia"/>
        </w:rPr>
        <w:t>亿瑞典克朗。第二大传媒公司是</w:t>
      </w:r>
      <w:r>
        <w:rPr>
          <w:rFonts w:hint="eastAsia"/>
        </w:rPr>
        <w:t>Schibsted</w:t>
      </w:r>
      <w:r>
        <w:rPr>
          <w:rFonts w:hint="eastAsia"/>
        </w:rPr>
        <w:t>，拥有《晚报》和《瑞典日报》，营业额为</w:t>
      </w:r>
      <w:r>
        <w:rPr>
          <w:rFonts w:hint="eastAsia"/>
        </w:rPr>
        <w:t>25</w:t>
      </w:r>
      <w:r>
        <w:rPr>
          <w:rFonts w:hint="eastAsia"/>
        </w:rPr>
        <w:t>亿瑞典克朗。第三大传媒公司是</w:t>
      </w:r>
      <w:proofErr w:type="spellStart"/>
      <w:r>
        <w:rPr>
          <w:rFonts w:hint="eastAsia"/>
        </w:rPr>
        <w:t>Norrköpings</w:t>
      </w:r>
      <w:proofErr w:type="spellEnd"/>
      <w:r>
        <w:rPr>
          <w:rFonts w:hint="eastAsia"/>
        </w:rPr>
        <w:t xml:space="preserve"> </w:t>
      </w:r>
      <w:proofErr w:type="spellStart"/>
      <w:r>
        <w:rPr>
          <w:rFonts w:hint="eastAsia"/>
        </w:rPr>
        <w:t>Tidningars</w:t>
      </w:r>
      <w:proofErr w:type="spellEnd"/>
      <w:r>
        <w:rPr>
          <w:rFonts w:hint="eastAsia"/>
        </w:rPr>
        <w:t xml:space="preserve"> Media (NTM)</w:t>
      </w:r>
      <w:r>
        <w:rPr>
          <w:rFonts w:hint="eastAsia"/>
        </w:rPr>
        <w:t>，专注于地方和区域报纸市场，营业额为</w:t>
      </w:r>
      <w:r>
        <w:rPr>
          <w:rFonts w:hint="eastAsia"/>
        </w:rPr>
        <w:t>19</w:t>
      </w:r>
      <w:r>
        <w:rPr>
          <w:rFonts w:hint="eastAsia"/>
        </w:rPr>
        <w:t>亿瑞典克朗。九家最大的报业集团总营业额为</w:t>
      </w:r>
      <w:r>
        <w:rPr>
          <w:rFonts w:hint="eastAsia"/>
        </w:rPr>
        <w:t>144</w:t>
      </w:r>
      <w:r>
        <w:rPr>
          <w:rFonts w:hint="eastAsia"/>
        </w:rPr>
        <w:t>亿瑞典克朗，几乎占据了整个市场。</w:t>
      </w:r>
    </w:p>
    <w:p w14:paraId="71E2C8D2" w14:textId="77777777" w:rsidR="002C2E5E" w:rsidRDefault="002C2E5E" w:rsidP="002C2E5E">
      <w:pPr>
        <w:pStyle w:val="SingleTxtGC"/>
      </w:pPr>
      <w:r>
        <w:rPr>
          <w:rFonts w:hint="eastAsia"/>
        </w:rPr>
        <w:t>38.</w:t>
      </w:r>
      <w:r>
        <w:rPr>
          <w:rFonts w:hint="eastAsia"/>
        </w:rPr>
        <w:tab/>
      </w:r>
      <w:r>
        <w:rPr>
          <w:rFonts w:hint="eastAsia"/>
        </w:rPr>
        <w:t>点播视听服务的使用量持续增加，线性电视的观看量持续下降。公共服务广播公司瑞典电视台和</w:t>
      </w:r>
      <w:proofErr w:type="gramStart"/>
      <w:r>
        <w:rPr>
          <w:rFonts w:hint="eastAsia"/>
        </w:rPr>
        <w:t>特</w:t>
      </w:r>
      <w:proofErr w:type="gramEnd"/>
      <w:r>
        <w:rPr>
          <w:rFonts w:hint="eastAsia"/>
        </w:rPr>
        <w:t>利亚电信旗下的</w:t>
      </w:r>
      <w:proofErr w:type="spellStart"/>
      <w:r>
        <w:rPr>
          <w:rFonts w:hint="eastAsia"/>
        </w:rPr>
        <w:t>TV4</w:t>
      </w:r>
      <w:proofErr w:type="spellEnd"/>
      <w:r>
        <w:rPr>
          <w:rFonts w:hint="eastAsia"/>
        </w:rPr>
        <w:t xml:space="preserve"> Media</w:t>
      </w:r>
      <w:r>
        <w:rPr>
          <w:rFonts w:hint="eastAsia"/>
        </w:rPr>
        <w:t>传媒集团共同占据线性电视的大部分观众份额。其他广播公司，如</w:t>
      </w:r>
      <w:r>
        <w:rPr>
          <w:rFonts w:hint="eastAsia"/>
        </w:rPr>
        <w:t>Viaplay Group AB</w:t>
      </w:r>
      <w:r>
        <w:rPr>
          <w:rFonts w:hint="eastAsia"/>
        </w:rPr>
        <w:t>和华纳兄弟探索公司的观众份额较少。在不需要订阅的点播服务中，</w:t>
      </w:r>
      <w:r>
        <w:rPr>
          <w:rFonts w:hint="eastAsia"/>
        </w:rPr>
        <w:t>SVT</w:t>
      </w:r>
      <w:r>
        <w:rPr>
          <w:rFonts w:hint="eastAsia"/>
        </w:rPr>
        <w:t>的点播服务</w:t>
      </w:r>
      <w:r>
        <w:rPr>
          <w:rFonts w:hint="eastAsia"/>
        </w:rPr>
        <w:t>SVT Play</w:t>
      </w:r>
      <w:r>
        <w:rPr>
          <w:rFonts w:hint="eastAsia"/>
        </w:rPr>
        <w:t>最受老年观众喜爱，而</w:t>
      </w:r>
      <w:r>
        <w:rPr>
          <w:rFonts w:hint="eastAsia"/>
        </w:rPr>
        <w:t>YouTube</w:t>
      </w:r>
      <w:r>
        <w:rPr>
          <w:rFonts w:hint="eastAsia"/>
        </w:rPr>
        <w:t>最受年轻观众喜爱。</w:t>
      </w:r>
      <w:r>
        <w:rPr>
          <w:rFonts w:hint="eastAsia"/>
        </w:rPr>
        <w:t>Netflix</w:t>
      </w:r>
      <w:r>
        <w:rPr>
          <w:rFonts w:hint="eastAsia"/>
        </w:rPr>
        <w:t>是最受欢迎的订阅点播服务，其次是</w:t>
      </w:r>
      <w:r>
        <w:rPr>
          <w:rFonts w:hint="eastAsia"/>
        </w:rPr>
        <w:t>C More/TV 4 play</w:t>
      </w:r>
      <w:r>
        <w:rPr>
          <w:rFonts w:hint="eastAsia"/>
        </w:rPr>
        <w:t>和</w:t>
      </w:r>
      <w:r>
        <w:rPr>
          <w:rFonts w:hint="eastAsia"/>
        </w:rPr>
        <w:t>Viaplay</w:t>
      </w:r>
      <w:r>
        <w:rPr>
          <w:rFonts w:hint="eastAsia"/>
        </w:rPr>
        <w:t>。在广播电台中，公共服务广播电台</w:t>
      </w:r>
      <w:proofErr w:type="spellStart"/>
      <w:r>
        <w:rPr>
          <w:rFonts w:hint="eastAsia"/>
        </w:rPr>
        <w:t>Sveriges</w:t>
      </w:r>
      <w:proofErr w:type="spellEnd"/>
      <w:r>
        <w:rPr>
          <w:rFonts w:hint="eastAsia"/>
        </w:rPr>
        <w:t xml:space="preserve"> Radio AB (SR)</w:t>
      </w:r>
      <w:r>
        <w:rPr>
          <w:rFonts w:hint="eastAsia"/>
        </w:rPr>
        <w:t>拥有三分之二以上的听众，而商业电台、国家或区域</w:t>
      </w:r>
      <w:r>
        <w:rPr>
          <w:rFonts w:hint="eastAsia"/>
        </w:rPr>
        <w:t>/</w:t>
      </w:r>
      <w:r>
        <w:rPr>
          <w:rFonts w:hint="eastAsia"/>
        </w:rPr>
        <w:t>地方广播电台拥有的听众略低于三分之一。目前，几乎所有独立地方广播电台都由</w:t>
      </w:r>
      <w:r>
        <w:rPr>
          <w:rFonts w:hint="eastAsia"/>
        </w:rPr>
        <w:t>Bauer Media</w:t>
      </w:r>
      <w:r>
        <w:rPr>
          <w:rFonts w:hint="eastAsia"/>
        </w:rPr>
        <w:t>或</w:t>
      </w:r>
      <w:r>
        <w:rPr>
          <w:rFonts w:hint="eastAsia"/>
        </w:rPr>
        <w:t>Viaplay Group Radio</w:t>
      </w:r>
      <w:r>
        <w:rPr>
          <w:rFonts w:hint="eastAsia"/>
        </w:rPr>
        <w:t>所有或控股。</w:t>
      </w:r>
    </w:p>
    <w:p w14:paraId="243F157B" w14:textId="77777777" w:rsidR="002C2E5E" w:rsidRDefault="002C2E5E" w:rsidP="00455DF3">
      <w:pPr>
        <w:pStyle w:val="H23GC"/>
      </w:pPr>
      <w:r>
        <w:rPr>
          <w:rFonts w:hint="eastAsia"/>
        </w:rPr>
        <w:tab/>
      </w:r>
      <w:r>
        <w:rPr>
          <w:rFonts w:hint="eastAsia"/>
        </w:rPr>
        <w:tab/>
      </w:r>
      <w:r>
        <w:rPr>
          <w:rFonts w:hint="eastAsia"/>
        </w:rPr>
        <w:t>民间社会</w:t>
      </w:r>
    </w:p>
    <w:p w14:paraId="2327C675" w14:textId="77777777" w:rsidR="002C2E5E" w:rsidRDefault="002C2E5E" w:rsidP="002C2E5E">
      <w:pPr>
        <w:pStyle w:val="SingleTxtGC"/>
      </w:pPr>
      <w:r>
        <w:rPr>
          <w:rFonts w:hint="eastAsia"/>
        </w:rPr>
        <w:t>39.</w:t>
      </w:r>
      <w:r>
        <w:rPr>
          <w:rFonts w:hint="eastAsia"/>
        </w:rPr>
        <w:tab/>
      </w:r>
      <w:r>
        <w:rPr>
          <w:rFonts w:hint="eastAsia"/>
        </w:rPr>
        <w:t>一般来说，瑞典的非政府组织要么是非营利协会，要么是注册的宗教团体。非营利协会不需要注册，没有统一的立法来管理，也没有统一的注册要求。每个人均可发起或加入任何形式的协会，这项结社自由的权利是一项宪法权利。要想成为法律实体，非政府组织必须拥有理事会和章程，明确规定如何</w:t>
      </w:r>
      <w:proofErr w:type="gramStart"/>
      <w:r>
        <w:rPr>
          <w:rFonts w:hint="eastAsia"/>
        </w:rPr>
        <w:t>作出</w:t>
      </w:r>
      <w:proofErr w:type="gramEnd"/>
      <w:r>
        <w:rPr>
          <w:rFonts w:hint="eastAsia"/>
        </w:rPr>
        <w:t>决定、谁被授权代表协会。根据章程留存的会议记录，构成个人经授权代表协会的证据。与作为法律实体的其他组织一样，非营利协会必须遵守税法和劳动法等具体立法中的规则和条例。没有法律限制瑞典非政府组织接受外国资助，或限制非瑞典公民创办或加入瑞典非政府组织。要想被承认为瑞典非政府组织，该组织总部必须设在瑞典境内。按照民间社会独立的原则，非政府组织不经由政府注册，也没有经认可的非政府组织总数记录。根据瑞典统计局的数据，瑞典有</w:t>
      </w:r>
      <w:r>
        <w:rPr>
          <w:rFonts w:hint="eastAsia"/>
        </w:rPr>
        <w:t>26</w:t>
      </w:r>
      <w:r>
        <w:rPr>
          <w:rFonts w:hint="eastAsia"/>
        </w:rPr>
        <w:t>万多个地方、国家和区域性非政府组织。</w:t>
      </w:r>
    </w:p>
    <w:p w14:paraId="47F547E0" w14:textId="77777777" w:rsidR="002C2E5E" w:rsidRDefault="002C2E5E" w:rsidP="002C2E5E">
      <w:pPr>
        <w:pStyle w:val="SingleTxtGC"/>
      </w:pPr>
      <w:r>
        <w:rPr>
          <w:rFonts w:hint="eastAsia"/>
        </w:rPr>
        <w:t>40.</w:t>
      </w:r>
      <w:r>
        <w:rPr>
          <w:rFonts w:hint="eastAsia"/>
        </w:rPr>
        <w:tab/>
        <w:t>2001</w:t>
      </w:r>
      <w:r>
        <w:rPr>
          <w:rFonts w:hint="eastAsia"/>
        </w:rPr>
        <w:t>年，中央政府预算首次把非营利组织和群众运动政策确定为一个单独的政策领域。这项政策的重点是鼓励和支持群众创办协会和类似团体，并为这些组织创造有利的运营和活动氛围。</w:t>
      </w:r>
    </w:p>
    <w:p w14:paraId="27D34042" w14:textId="77777777" w:rsidR="002C2E5E" w:rsidRDefault="002C2E5E" w:rsidP="002C2E5E">
      <w:pPr>
        <w:pStyle w:val="SingleTxtGC"/>
      </w:pPr>
      <w:r>
        <w:rPr>
          <w:rFonts w:hint="eastAsia"/>
        </w:rPr>
        <w:t>41.</w:t>
      </w:r>
      <w:r>
        <w:rPr>
          <w:rFonts w:hint="eastAsia"/>
        </w:rPr>
        <w:tab/>
        <w:t>2009</w:t>
      </w:r>
      <w:r>
        <w:rPr>
          <w:rFonts w:hint="eastAsia"/>
        </w:rPr>
        <w:t>年，发布了最新的民间社会政策。该政策的目标是改善民间社会作为民主制度内在组成部分的条件。政府通过与民间社会组织对话，为这些组织创造机会，帮助公众出于责任感和渴望影响自身生活或整个社会的愿望而参与其中。</w:t>
      </w:r>
    </w:p>
    <w:p w14:paraId="6E54DC52" w14:textId="77777777" w:rsidR="002C2E5E" w:rsidRDefault="002C2E5E" w:rsidP="00631A5A">
      <w:pPr>
        <w:pStyle w:val="H23GC"/>
      </w:pPr>
      <w:r>
        <w:rPr>
          <w:rFonts w:hint="eastAsia"/>
        </w:rPr>
        <w:tab/>
      </w:r>
      <w:r>
        <w:rPr>
          <w:rFonts w:hint="eastAsia"/>
        </w:rPr>
        <w:tab/>
      </w:r>
      <w:r>
        <w:rPr>
          <w:rFonts w:hint="eastAsia"/>
        </w:rPr>
        <w:t>司法机构</w:t>
      </w:r>
    </w:p>
    <w:p w14:paraId="48952668" w14:textId="77777777" w:rsidR="002C2E5E" w:rsidRDefault="002C2E5E" w:rsidP="002C2E5E">
      <w:pPr>
        <w:pStyle w:val="SingleTxtGC"/>
      </w:pPr>
      <w:r>
        <w:rPr>
          <w:rFonts w:hint="eastAsia"/>
        </w:rPr>
        <w:t>42.</w:t>
      </w:r>
      <w:r>
        <w:rPr>
          <w:rFonts w:hint="eastAsia"/>
        </w:rPr>
        <w:tab/>
      </w:r>
      <w:r>
        <w:rPr>
          <w:rFonts w:hint="eastAsia"/>
        </w:rPr>
        <w:t>瑞典司法机构的独立性受《政府法典》保障。议会、政府或任何其他公共机构都不能决定法院如何判决具体案件或如何在具体案件中适用法律规定。任何其他公共机构，包括政府，也无权决定各个法官之间如何分配司法责任。法官只有在实施犯罪、严重或屡次玩忽职守因而明显不适合任职时，或者依法必须退休时，才可以被免除职务。</w:t>
      </w:r>
    </w:p>
    <w:p w14:paraId="1CEF3DEC" w14:textId="77777777" w:rsidR="002C2E5E" w:rsidRDefault="002C2E5E" w:rsidP="002C2E5E">
      <w:pPr>
        <w:pStyle w:val="SingleTxtGC"/>
      </w:pPr>
      <w:r>
        <w:rPr>
          <w:rFonts w:hint="eastAsia"/>
        </w:rPr>
        <w:t>43.</w:t>
      </w:r>
      <w:r>
        <w:rPr>
          <w:rFonts w:hint="eastAsia"/>
        </w:rPr>
        <w:tab/>
      </w:r>
      <w:r>
        <w:rPr>
          <w:rFonts w:hint="eastAsia"/>
        </w:rPr>
        <w:t>在瑞典，法院在保护个人权利方面发挥着核心作用。瑞典法院系统规定的救济措施旨在提供保护人权的手段。司法系统由普通法院和行政法院组成。地方法院、上诉法院和最高法院负责处理普通事项。地区行政法院、行政上诉法院和最高行政法院负责处理行政诉讼。此外，瑞典还设立了一些专门法院和法庭，以审理特定法律细分领域中的案件。</w:t>
      </w:r>
    </w:p>
    <w:p w14:paraId="21274DEB" w14:textId="77777777" w:rsidR="002C2E5E" w:rsidRDefault="002C2E5E" w:rsidP="002C2E5E">
      <w:pPr>
        <w:pStyle w:val="SingleTxtGC"/>
      </w:pPr>
      <w:r>
        <w:rPr>
          <w:rFonts w:hint="eastAsia"/>
        </w:rPr>
        <w:t>44.</w:t>
      </w:r>
      <w:r>
        <w:rPr>
          <w:rFonts w:hint="eastAsia"/>
        </w:rPr>
        <w:tab/>
      </w:r>
      <w:r>
        <w:rPr>
          <w:rFonts w:hint="eastAsia"/>
        </w:rPr>
        <w:t>《政府法典》规定，个人之间的法律纠纷不得由法院之外的机关裁决，但法律另行规定的情况除外。《政府法典》还保证涉及剥夺自由的案件都必须由法院及时审理，不得无故拖延。关于法院的司法职责、组织特点和司法程序，也必须通过法律加以规定。</w:t>
      </w:r>
    </w:p>
    <w:p w14:paraId="7BE4F946" w14:textId="77777777" w:rsidR="002C2E5E" w:rsidRDefault="002C2E5E" w:rsidP="002C2E5E">
      <w:pPr>
        <w:pStyle w:val="SingleTxtGC"/>
      </w:pPr>
      <w:r>
        <w:rPr>
          <w:rFonts w:hint="eastAsia"/>
        </w:rPr>
        <w:t>45.</w:t>
      </w:r>
      <w:r>
        <w:rPr>
          <w:rFonts w:hint="eastAsia"/>
        </w:rPr>
        <w:tab/>
        <w:t>2017-2023</w:t>
      </w:r>
      <w:r>
        <w:rPr>
          <w:rFonts w:hint="eastAsia"/>
        </w:rPr>
        <w:t>年期间，每</w:t>
      </w:r>
      <w:r>
        <w:rPr>
          <w:rFonts w:hint="eastAsia"/>
        </w:rPr>
        <w:t>10</w:t>
      </w:r>
      <w:r>
        <w:rPr>
          <w:rFonts w:hint="eastAsia"/>
        </w:rPr>
        <w:t>万居民拥有的常任专业法官人数约为</w:t>
      </w:r>
      <w:r>
        <w:rPr>
          <w:rFonts w:hint="eastAsia"/>
        </w:rPr>
        <w:t>11.8</w:t>
      </w:r>
      <w:r>
        <w:rPr>
          <w:rFonts w:hint="eastAsia"/>
        </w:rPr>
        <w:t>至</w:t>
      </w:r>
      <w:r>
        <w:rPr>
          <w:rFonts w:hint="eastAsia"/>
        </w:rPr>
        <w:t>12.3</w:t>
      </w:r>
      <w:r>
        <w:rPr>
          <w:rFonts w:hint="eastAsia"/>
        </w:rPr>
        <w:t>人。如果把非常任法官包括在内，每</w:t>
      </w:r>
      <w:r>
        <w:rPr>
          <w:rFonts w:hint="eastAsia"/>
        </w:rPr>
        <w:t>10</w:t>
      </w:r>
      <w:r>
        <w:rPr>
          <w:rFonts w:hint="eastAsia"/>
        </w:rPr>
        <w:t>万居民拥有的专业法官人数约为</w:t>
      </w:r>
      <w:r>
        <w:rPr>
          <w:rFonts w:hint="eastAsia"/>
        </w:rPr>
        <w:t>23</w:t>
      </w:r>
      <w:r>
        <w:rPr>
          <w:rFonts w:hint="eastAsia"/>
        </w:rPr>
        <w:t>人。</w:t>
      </w:r>
    </w:p>
    <w:p w14:paraId="504B1D51" w14:textId="1A3BE885" w:rsidR="002C2E5E" w:rsidRDefault="002C2E5E" w:rsidP="002C2E5E">
      <w:pPr>
        <w:pStyle w:val="SingleTxtGC"/>
      </w:pPr>
      <w:r>
        <w:rPr>
          <w:rFonts w:hint="eastAsia"/>
        </w:rPr>
        <w:t>46.</w:t>
      </w:r>
      <w:r>
        <w:rPr>
          <w:rFonts w:hint="eastAsia"/>
        </w:rPr>
        <w:tab/>
        <w:t>2017-2023</w:t>
      </w:r>
      <w:r>
        <w:rPr>
          <w:rFonts w:hint="eastAsia"/>
        </w:rPr>
        <w:t>年各级司法系统法官人均积压案件数量如下表所示</w:t>
      </w:r>
      <w:r>
        <w:rPr>
          <w:rFonts w:hint="eastAsia"/>
        </w:rPr>
        <w:t>(</w:t>
      </w:r>
      <w:r>
        <w:rPr>
          <w:rFonts w:hint="eastAsia"/>
        </w:rPr>
        <w:t>括号内数字为法官人均判决案件数量</w:t>
      </w:r>
      <w:r>
        <w:rPr>
          <w:rFonts w:hint="eastAsia"/>
        </w:rPr>
        <w:t>)</w:t>
      </w:r>
      <w:r>
        <w:rPr>
          <w:rFonts w:hint="eastAsia"/>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012"/>
        <w:gridCol w:w="1012"/>
        <w:gridCol w:w="1013"/>
        <w:gridCol w:w="1012"/>
        <w:gridCol w:w="1013"/>
        <w:gridCol w:w="1012"/>
        <w:gridCol w:w="1013"/>
      </w:tblGrid>
      <w:tr w:rsidR="00092E76" w:rsidRPr="00F32278" w14:paraId="4D5B17EB" w14:textId="77777777" w:rsidTr="00ED521A">
        <w:trPr>
          <w:tblHeader/>
        </w:trPr>
        <w:tc>
          <w:tcPr>
            <w:tcW w:w="1418" w:type="dxa"/>
            <w:tcBorders>
              <w:top w:val="single" w:sz="4" w:space="0" w:color="auto"/>
              <w:bottom w:val="single" w:sz="12" w:space="0" w:color="auto"/>
            </w:tcBorders>
            <w:shd w:val="clear" w:color="auto" w:fill="auto"/>
            <w:noWrap/>
            <w:vAlign w:val="bottom"/>
            <w:hideMark/>
          </w:tcPr>
          <w:p w14:paraId="7169533C"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left"/>
              <w:rPr>
                <w:i/>
                <w:sz w:val="18"/>
                <w:szCs w:val="18"/>
              </w:rPr>
            </w:pPr>
          </w:p>
        </w:tc>
        <w:tc>
          <w:tcPr>
            <w:tcW w:w="1012" w:type="dxa"/>
            <w:tcBorders>
              <w:top w:val="single" w:sz="4" w:space="0" w:color="auto"/>
              <w:bottom w:val="single" w:sz="12" w:space="0" w:color="auto"/>
            </w:tcBorders>
            <w:shd w:val="clear" w:color="auto" w:fill="auto"/>
            <w:noWrap/>
            <w:vAlign w:val="bottom"/>
            <w:hideMark/>
          </w:tcPr>
          <w:p w14:paraId="70AB1705"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2017</w:t>
            </w:r>
          </w:p>
        </w:tc>
        <w:tc>
          <w:tcPr>
            <w:tcW w:w="1012" w:type="dxa"/>
            <w:tcBorders>
              <w:top w:val="single" w:sz="4" w:space="0" w:color="auto"/>
              <w:bottom w:val="single" w:sz="12" w:space="0" w:color="auto"/>
            </w:tcBorders>
            <w:shd w:val="clear" w:color="auto" w:fill="auto"/>
            <w:noWrap/>
            <w:vAlign w:val="bottom"/>
            <w:hideMark/>
          </w:tcPr>
          <w:p w14:paraId="6E9EFCE5"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2018</w:t>
            </w:r>
          </w:p>
        </w:tc>
        <w:tc>
          <w:tcPr>
            <w:tcW w:w="1013" w:type="dxa"/>
            <w:tcBorders>
              <w:top w:val="single" w:sz="4" w:space="0" w:color="auto"/>
              <w:bottom w:val="single" w:sz="12" w:space="0" w:color="auto"/>
            </w:tcBorders>
            <w:shd w:val="clear" w:color="auto" w:fill="auto"/>
            <w:noWrap/>
            <w:vAlign w:val="bottom"/>
            <w:hideMark/>
          </w:tcPr>
          <w:p w14:paraId="6458D48D"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2019</w:t>
            </w:r>
          </w:p>
        </w:tc>
        <w:tc>
          <w:tcPr>
            <w:tcW w:w="1012" w:type="dxa"/>
            <w:tcBorders>
              <w:top w:val="single" w:sz="4" w:space="0" w:color="auto"/>
              <w:bottom w:val="single" w:sz="12" w:space="0" w:color="auto"/>
            </w:tcBorders>
            <w:shd w:val="clear" w:color="auto" w:fill="auto"/>
            <w:noWrap/>
            <w:vAlign w:val="bottom"/>
            <w:hideMark/>
          </w:tcPr>
          <w:p w14:paraId="3EDF0CB3"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2020</w:t>
            </w:r>
          </w:p>
        </w:tc>
        <w:tc>
          <w:tcPr>
            <w:tcW w:w="1013" w:type="dxa"/>
            <w:tcBorders>
              <w:top w:val="single" w:sz="4" w:space="0" w:color="auto"/>
              <w:bottom w:val="single" w:sz="12" w:space="0" w:color="auto"/>
            </w:tcBorders>
            <w:shd w:val="clear" w:color="auto" w:fill="auto"/>
            <w:noWrap/>
            <w:vAlign w:val="bottom"/>
            <w:hideMark/>
          </w:tcPr>
          <w:p w14:paraId="0DF702F3"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2021</w:t>
            </w:r>
          </w:p>
        </w:tc>
        <w:tc>
          <w:tcPr>
            <w:tcW w:w="1012" w:type="dxa"/>
            <w:tcBorders>
              <w:top w:val="single" w:sz="4" w:space="0" w:color="auto"/>
              <w:bottom w:val="single" w:sz="12" w:space="0" w:color="auto"/>
            </w:tcBorders>
            <w:shd w:val="clear" w:color="auto" w:fill="auto"/>
            <w:noWrap/>
            <w:vAlign w:val="bottom"/>
            <w:hideMark/>
          </w:tcPr>
          <w:p w14:paraId="5838E889"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2022</w:t>
            </w:r>
          </w:p>
        </w:tc>
        <w:tc>
          <w:tcPr>
            <w:tcW w:w="1013" w:type="dxa"/>
            <w:tcBorders>
              <w:top w:val="single" w:sz="4" w:space="0" w:color="auto"/>
              <w:bottom w:val="single" w:sz="12" w:space="0" w:color="auto"/>
            </w:tcBorders>
            <w:shd w:val="clear" w:color="auto" w:fill="auto"/>
            <w:noWrap/>
            <w:vAlign w:val="bottom"/>
            <w:hideMark/>
          </w:tcPr>
          <w:p w14:paraId="1A3DBBD2" w14:textId="77777777" w:rsidR="00092E76" w:rsidRPr="00F32278" w:rsidRDefault="00092E76" w:rsidP="00F36437">
            <w:pPr>
              <w:pStyle w:val="SingleTxtG"/>
              <w:tabs>
                <w:tab w:val="clear" w:pos="1701"/>
                <w:tab w:val="clear" w:pos="2268"/>
              </w:tabs>
              <w:suppressAutoHyphens w:val="0"/>
              <w:spacing w:before="80" w:after="80" w:line="200" w:lineRule="exact"/>
              <w:ind w:left="0" w:right="113"/>
              <w:jc w:val="right"/>
              <w:rPr>
                <w:rFonts w:ascii="Time New Roman" w:eastAsia="楷体" w:hAnsi="Time New Roman" w:hint="eastAsia"/>
                <w:snapToGrid w:val="0"/>
                <w:sz w:val="18"/>
                <w:szCs w:val="18"/>
              </w:rPr>
            </w:pPr>
            <w:r w:rsidRPr="00F32278">
              <w:rPr>
                <w:rFonts w:ascii="Time New Roman" w:eastAsia="楷体" w:hAnsi="Time New Roman"/>
                <w:snapToGrid w:val="0"/>
                <w:sz w:val="18"/>
                <w:szCs w:val="18"/>
              </w:rPr>
              <w:t>2023</w:t>
            </w:r>
          </w:p>
        </w:tc>
      </w:tr>
      <w:tr w:rsidR="00092E76" w:rsidRPr="00F32278" w14:paraId="164A6C64" w14:textId="77777777" w:rsidTr="00ED521A">
        <w:tc>
          <w:tcPr>
            <w:tcW w:w="1418" w:type="dxa"/>
            <w:tcBorders>
              <w:top w:val="single" w:sz="12" w:space="0" w:color="auto"/>
            </w:tcBorders>
            <w:shd w:val="clear" w:color="auto" w:fill="auto"/>
            <w:noWrap/>
            <w:hideMark/>
          </w:tcPr>
          <w:p w14:paraId="3AB167CA"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最高法院</w:t>
            </w:r>
          </w:p>
        </w:tc>
        <w:tc>
          <w:tcPr>
            <w:tcW w:w="1012" w:type="dxa"/>
            <w:tcBorders>
              <w:top w:val="single" w:sz="12" w:space="0" w:color="auto"/>
            </w:tcBorders>
            <w:shd w:val="clear" w:color="auto" w:fill="auto"/>
            <w:noWrap/>
            <w:vAlign w:val="bottom"/>
            <w:hideMark/>
          </w:tcPr>
          <w:p w14:paraId="42E78CEB"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14 (110)</w:t>
            </w:r>
          </w:p>
        </w:tc>
        <w:tc>
          <w:tcPr>
            <w:tcW w:w="1012" w:type="dxa"/>
            <w:tcBorders>
              <w:top w:val="single" w:sz="12" w:space="0" w:color="auto"/>
            </w:tcBorders>
            <w:shd w:val="clear" w:color="auto" w:fill="auto"/>
            <w:noWrap/>
            <w:vAlign w:val="bottom"/>
            <w:hideMark/>
          </w:tcPr>
          <w:p w14:paraId="4815F9B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12 (119)</w:t>
            </w:r>
          </w:p>
        </w:tc>
        <w:tc>
          <w:tcPr>
            <w:tcW w:w="1013" w:type="dxa"/>
            <w:tcBorders>
              <w:top w:val="single" w:sz="12" w:space="0" w:color="auto"/>
            </w:tcBorders>
            <w:shd w:val="clear" w:color="auto" w:fill="auto"/>
            <w:noWrap/>
            <w:vAlign w:val="bottom"/>
            <w:hideMark/>
          </w:tcPr>
          <w:p w14:paraId="0E1A0CB2"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16 (128)</w:t>
            </w:r>
          </w:p>
        </w:tc>
        <w:tc>
          <w:tcPr>
            <w:tcW w:w="1012" w:type="dxa"/>
            <w:tcBorders>
              <w:top w:val="single" w:sz="12" w:space="0" w:color="auto"/>
            </w:tcBorders>
            <w:shd w:val="clear" w:color="auto" w:fill="auto"/>
            <w:noWrap/>
            <w:vAlign w:val="bottom"/>
            <w:hideMark/>
          </w:tcPr>
          <w:p w14:paraId="1865BE04"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20 (128)</w:t>
            </w:r>
          </w:p>
        </w:tc>
        <w:tc>
          <w:tcPr>
            <w:tcW w:w="1013" w:type="dxa"/>
            <w:tcBorders>
              <w:top w:val="single" w:sz="12" w:space="0" w:color="auto"/>
            </w:tcBorders>
            <w:shd w:val="clear" w:color="auto" w:fill="auto"/>
            <w:noWrap/>
            <w:vAlign w:val="bottom"/>
            <w:hideMark/>
          </w:tcPr>
          <w:p w14:paraId="12375F8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26 (149)</w:t>
            </w:r>
          </w:p>
        </w:tc>
        <w:tc>
          <w:tcPr>
            <w:tcW w:w="1012" w:type="dxa"/>
            <w:tcBorders>
              <w:top w:val="single" w:sz="12" w:space="0" w:color="auto"/>
            </w:tcBorders>
            <w:shd w:val="clear" w:color="auto" w:fill="auto"/>
            <w:noWrap/>
            <w:vAlign w:val="bottom"/>
            <w:hideMark/>
          </w:tcPr>
          <w:p w14:paraId="71583067"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28 (142)</w:t>
            </w:r>
          </w:p>
        </w:tc>
        <w:tc>
          <w:tcPr>
            <w:tcW w:w="1013" w:type="dxa"/>
            <w:tcBorders>
              <w:top w:val="single" w:sz="12" w:space="0" w:color="auto"/>
            </w:tcBorders>
            <w:shd w:val="clear" w:color="auto" w:fill="auto"/>
            <w:noWrap/>
            <w:vAlign w:val="bottom"/>
            <w:hideMark/>
          </w:tcPr>
          <w:p w14:paraId="5F45DD5F"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41 (153)</w:t>
            </w:r>
          </w:p>
        </w:tc>
      </w:tr>
      <w:tr w:rsidR="00092E76" w:rsidRPr="00F32278" w14:paraId="457025B6" w14:textId="77777777" w:rsidTr="00ED521A">
        <w:tc>
          <w:tcPr>
            <w:tcW w:w="1418" w:type="dxa"/>
            <w:shd w:val="clear" w:color="auto" w:fill="auto"/>
            <w:noWrap/>
            <w:hideMark/>
          </w:tcPr>
          <w:p w14:paraId="402CFADD"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上诉法院</w:t>
            </w:r>
          </w:p>
        </w:tc>
        <w:tc>
          <w:tcPr>
            <w:tcW w:w="1012" w:type="dxa"/>
            <w:shd w:val="clear" w:color="auto" w:fill="auto"/>
            <w:noWrap/>
            <w:vAlign w:val="bottom"/>
            <w:hideMark/>
          </w:tcPr>
          <w:p w14:paraId="18A0D584"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7 (35)</w:t>
            </w:r>
          </w:p>
        </w:tc>
        <w:tc>
          <w:tcPr>
            <w:tcW w:w="1012" w:type="dxa"/>
            <w:shd w:val="clear" w:color="auto" w:fill="auto"/>
            <w:noWrap/>
            <w:vAlign w:val="bottom"/>
            <w:hideMark/>
          </w:tcPr>
          <w:p w14:paraId="6D2BEBA3"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8 (36)</w:t>
            </w:r>
          </w:p>
        </w:tc>
        <w:tc>
          <w:tcPr>
            <w:tcW w:w="1013" w:type="dxa"/>
            <w:shd w:val="clear" w:color="auto" w:fill="auto"/>
            <w:noWrap/>
            <w:vAlign w:val="bottom"/>
            <w:hideMark/>
          </w:tcPr>
          <w:p w14:paraId="48FBBF61"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9 (37)</w:t>
            </w:r>
          </w:p>
        </w:tc>
        <w:tc>
          <w:tcPr>
            <w:tcW w:w="1012" w:type="dxa"/>
            <w:shd w:val="clear" w:color="auto" w:fill="auto"/>
            <w:noWrap/>
            <w:vAlign w:val="bottom"/>
            <w:hideMark/>
          </w:tcPr>
          <w:p w14:paraId="7CE9CD1E"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10 (40)</w:t>
            </w:r>
          </w:p>
        </w:tc>
        <w:tc>
          <w:tcPr>
            <w:tcW w:w="1013" w:type="dxa"/>
            <w:shd w:val="clear" w:color="auto" w:fill="auto"/>
            <w:noWrap/>
            <w:vAlign w:val="bottom"/>
            <w:hideMark/>
          </w:tcPr>
          <w:p w14:paraId="306EF2C8"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11 (42)</w:t>
            </w:r>
          </w:p>
        </w:tc>
        <w:tc>
          <w:tcPr>
            <w:tcW w:w="1012" w:type="dxa"/>
            <w:shd w:val="clear" w:color="auto" w:fill="auto"/>
            <w:noWrap/>
            <w:vAlign w:val="bottom"/>
            <w:hideMark/>
          </w:tcPr>
          <w:p w14:paraId="2B64B84D"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11 (44)</w:t>
            </w:r>
          </w:p>
        </w:tc>
        <w:tc>
          <w:tcPr>
            <w:tcW w:w="1013" w:type="dxa"/>
            <w:shd w:val="clear" w:color="auto" w:fill="auto"/>
            <w:noWrap/>
            <w:vAlign w:val="bottom"/>
            <w:hideMark/>
          </w:tcPr>
          <w:p w14:paraId="51FF2D0D"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11 (42)</w:t>
            </w:r>
          </w:p>
        </w:tc>
      </w:tr>
      <w:tr w:rsidR="00092E76" w:rsidRPr="00F32278" w14:paraId="4B76D54C" w14:textId="77777777" w:rsidTr="00ED521A">
        <w:tc>
          <w:tcPr>
            <w:tcW w:w="1418" w:type="dxa"/>
            <w:shd w:val="clear" w:color="auto" w:fill="auto"/>
            <w:noWrap/>
            <w:hideMark/>
          </w:tcPr>
          <w:p w14:paraId="7A6396B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地方法院</w:t>
            </w:r>
          </w:p>
        </w:tc>
        <w:tc>
          <w:tcPr>
            <w:tcW w:w="1012" w:type="dxa"/>
            <w:shd w:val="clear" w:color="auto" w:fill="auto"/>
            <w:noWrap/>
            <w:vAlign w:val="bottom"/>
            <w:hideMark/>
          </w:tcPr>
          <w:p w14:paraId="599A2EB7"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122 (301)</w:t>
            </w:r>
          </w:p>
        </w:tc>
        <w:tc>
          <w:tcPr>
            <w:tcW w:w="1012" w:type="dxa"/>
            <w:shd w:val="clear" w:color="auto" w:fill="auto"/>
            <w:noWrap/>
            <w:vAlign w:val="bottom"/>
            <w:hideMark/>
          </w:tcPr>
          <w:p w14:paraId="0AFF17E6"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129 (308)</w:t>
            </w:r>
          </w:p>
        </w:tc>
        <w:tc>
          <w:tcPr>
            <w:tcW w:w="1013" w:type="dxa"/>
            <w:shd w:val="clear" w:color="auto" w:fill="auto"/>
            <w:noWrap/>
            <w:vAlign w:val="bottom"/>
            <w:hideMark/>
          </w:tcPr>
          <w:p w14:paraId="774477DE"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138 (329)</w:t>
            </w:r>
          </w:p>
        </w:tc>
        <w:tc>
          <w:tcPr>
            <w:tcW w:w="1012" w:type="dxa"/>
            <w:shd w:val="clear" w:color="auto" w:fill="auto"/>
            <w:noWrap/>
            <w:vAlign w:val="bottom"/>
            <w:hideMark/>
          </w:tcPr>
          <w:p w14:paraId="18B76B06"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137 (346)</w:t>
            </w:r>
          </w:p>
        </w:tc>
        <w:tc>
          <w:tcPr>
            <w:tcW w:w="1013" w:type="dxa"/>
            <w:shd w:val="clear" w:color="auto" w:fill="auto"/>
            <w:noWrap/>
            <w:vAlign w:val="bottom"/>
            <w:hideMark/>
          </w:tcPr>
          <w:p w14:paraId="4F9183E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130 (339)</w:t>
            </w:r>
          </w:p>
        </w:tc>
        <w:tc>
          <w:tcPr>
            <w:tcW w:w="1012" w:type="dxa"/>
            <w:shd w:val="clear" w:color="auto" w:fill="auto"/>
            <w:noWrap/>
            <w:vAlign w:val="bottom"/>
            <w:hideMark/>
          </w:tcPr>
          <w:p w14:paraId="1C7DC34F"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127 (333)</w:t>
            </w:r>
          </w:p>
        </w:tc>
        <w:tc>
          <w:tcPr>
            <w:tcW w:w="1013" w:type="dxa"/>
            <w:shd w:val="clear" w:color="auto" w:fill="auto"/>
            <w:noWrap/>
            <w:vAlign w:val="bottom"/>
            <w:hideMark/>
          </w:tcPr>
          <w:p w14:paraId="1FBA5C62"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130 (338)</w:t>
            </w:r>
          </w:p>
        </w:tc>
      </w:tr>
      <w:tr w:rsidR="00092E76" w:rsidRPr="00F32278" w14:paraId="2A393FF5" w14:textId="77777777" w:rsidTr="00ED521A">
        <w:tc>
          <w:tcPr>
            <w:tcW w:w="1418" w:type="dxa"/>
            <w:shd w:val="clear" w:color="auto" w:fill="auto"/>
            <w:noWrap/>
            <w:hideMark/>
          </w:tcPr>
          <w:p w14:paraId="28E1993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最高行政法院</w:t>
            </w:r>
          </w:p>
        </w:tc>
        <w:tc>
          <w:tcPr>
            <w:tcW w:w="1012" w:type="dxa"/>
            <w:shd w:val="clear" w:color="auto" w:fill="auto"/>
            <w:noWrap/>
            <w:vAlign w:val="bottom"/>
            <w:hideMark/>
          </w:tcPr>
          <w:p w14:paraId="71BF3C80"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43 (129)</w:t>
            </w:r>
          </w:p>
        </w:tc>
        <w:tc>
          <w:tcPr>
            <w:tcW w:w="1012" w:type="dxa"/>
            <w:shd w:val="clear" w:color="auto" w:fill="auto"/>
            <w:noWrap/>
            <w:vAlign w:val="bottom"/>
            <w:hideMark/>
          </w:tcPr>
          <w:p w14:paraId="5080E7D2"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31 (136)</w:t>
            </w:r>
          </w:p>
        </w:tc>
        <w:tc>
          <w:tcPr>
            <w:tcW w:w="1013" w:type="dxa"/>
            <w:shd w:val="clear" w:color="auto" w:fill="auto"/>
            <w:noWrap/>
            <w:vAlign w:val="bottom"/>
            <w:hideMark/>
          </w:tcPr>
          <w:p w14:paraId="7C4A3DB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28 (126)</w:t>
            </w:r>
          </w:p>
        </w:tc>
        <w:tc>
          <w:tcPr>
            <w:tcW w:w="1012" w:type="dxa"/>
            <w:shd w:val="clear" w:color="auto" w:fill="auto"/>
            <w:noWrap/>
            <w:vAlign w:val="bottom"/>
            <w:hideMark/>
          </w:tcPr>
          <w:p w14:paraId="472EEBA0"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33 (128)</w:t>
            </w:r>
          </w:p>
        </w:tc>
        <w:tc>
          <w:tcPr>
            <w:tcW w:w="1013" w:type="dxa"/>
            <w:shd w:val="clear" w:color="auto" w:fill="auto"/>
            <w:noWrap/>
            <w:vAlign w:val="bottom"/>
            <w:hideMark/>
          </w:tcPr>
          <w:p w14:paraId="6E12380F"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36 (133)</w:t>
            </w:r>
          </w:p>
        </w:tc>
        <w:tc>
          <w:tcPr>
            <w:tcW w:w="1012" w:type="dxa"/>
            <w:shd w:val="clear" w:color="auto" w:fill="auto"/>
            <w:noWrap/>
            <w:vAlign w:val="bottom"/>
            <w:hideMark/>
          </w:tcPr>
          <w:p w14:paraId="4BFD769C"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36 (146)</w:t>
            </w:r>
          </w:p>
        </w:tc>
        <w:tc>
          <w:tcPr>
            <w:tcW w:w="1013" w:type="dxa"/>
            <w:shd w:val="clear" w:color="auto" w:fill="auto"/>
            <w:noWrap/>
            <w:vAlign w:val="bottom"/>
            <w:hideMark/>
          </w:tcPr>
          <w:p w14:paraId="55BC0C8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35 (147)</w:t>
            </w:r>
          </w:p>
        </w:tc>
      </w:tr>
      <w:tr w:rsidR="00092E76" w:rsidRPr="00F32278" w14:paraId="44BE1096" w14:textId="77777777" w:rsidTr="00ED521A">
        <w:tc>
          <w:tcPr>
            <w:tcW w:w="1418" w:type="dxa"/>
            <w:shd w:val="clear" w:color="auto" w:fill="auto"/>
            <w:noWrap/>
            <w:hideMark/>
          </w:tcPr>
          <w:p w14:paraId="71575438"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行政上诉法院</w:t>
            </w:r>
          </w:p>
        </w:tc>
        <w:tc>
          <w:tcPr>
            <w:tcW w:w="1012" w:type="dxa"/>
            <w:shd w:val="clear" w:color="auto" w:fill="auto"/>
            <w:noWrap/>
            <w:vAlign w:val="bottom"/>
            <w:hideMark/>
          </w:tcPr>
          <w:p w14:paraId="3E46EDB7"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23 (132)</w:t>
            </w:r>
          </w:p>
        </w:tc>
        <w:tc>
          <w:tcPr>
            <w:tcW w:w="1012" w:type="dxa"/>
            <w:shd w:val="clear" w:color="auto" w:fill="auto"/>
            <w:noWrap/>
            <w:vAlign w:val="bottom"/>
            <w:hideMark/>
          </w:tcPr>
          <w:p w14:paraId="421A6B9C"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32 (120)</w:t>
            </w:r>
          </w:p>
        </w:tc>
        <w:tc>
          <w:tcPr>
            <w:tcW w:w="1013" w:type="dxa"/>
            <w:shd w:val="clear" w:color="auto" w:fill="auto"/>
            <w:noWrap/>
            <w:vAlign w:val="bottom"/>
            <w:hideMark/>
          </w:tcPr>
          <w:p w14:paraId="0A9F0941"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37 (126)</w:t>
            </w:r>
          </w:p>
        </w:tc>
        <w:tc>
          <w:tcPr>
            <w:tcW w:w="1012" w:type="dxa"/>
            <w:shd w:val="clear" w:color="auto" w:fill="auto"/>
            <w:noWrap/>
            <w:vAlign w:val="bottom"/>
            <w:hideMark/>
          </w:tcPr>
          <w:p w14:paraId="1232C454"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24 (129)</w:t>
            </w:r>
          </w:p>
        </w:tc>
        <w:tc>
          <w:tcPr>
            <w:tcW w:w="1013" w:type="dxa"/>
            <w:shd w:val="clear" w:color="auto" w:fill="auto"/>
            <w:noWrap/>
            <w:vAlign w:val="bottom"/>
            <w:hideMark/>
          </w:tcPr>
          <w:p w14:paraId="40A2897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28 (109)</w:t>
            </w:r>
          </w:p>
        </w:tc>
        <w:tc>
          <w:tcPr>
            <w:tcW w:w="1012" w:type="dxa"/>
            <w:shd w:val="clear" w:color="auto" w:fill="auto"/>
            <w:noWrap/>
            <w:vAlign w:val="bottom"/>
            <w:hideMark/>
          </w:tcPr>
          <w:p w14:paraId="3680172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21 (102)</w:t>
            </w:r>
          </w:p>
        </w:tc>
        <w:tc>
          <w:tcPr>
            <w:tcW w:w="1013" w:type="dxa"/>
            <w:shd w:val="clear" w:color="auto" w:fill="auto"/>
            <w:noWrap/>
            <w:vAlign w:val="bottom"/>
            <w:hideMark/>
          </w:tcPr>
          <w:p w14:paraId="6B054893"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21 (106)</w:t>
            </w:r>
          </w:p>
        </w:tc>
      </w:tr>
      <w:tr w:rsidR="00092E76" w:rsidRPr="00F32278" w14:paraId="5177173E" w14:textId="77777777" w:rsidTr="00ED521A">
        <w:tc>
          <w:tcPr>
            <w:tcW w:w="1418" w:type="dxa"/>
            <w:shd w:val="clear" w:color="auto" w:fill="auto"/>
            <w:noWrap/>
            <w:hideMark/>
          </w:tcPr>
          <w:p w14:paraId="4A8F149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left"/>
              <w:rPr>
                <w:sz w:val="18"/>
                <w:szCs w:val="18"/>
              </w:rPr>
            </w:pPr>
            <w:r w:rsidRPr="00F32278">
              <w:rPr>
                <w:sz w:val="18"/>
                <w:szCs w:val="18"/>
                <w:lang w:val="zh-CN"/>
              </w:rPr>
              <w:t>行政法院</w:t>
            </w:r>
          </w:p>
        </w:tc>
        <w:tc>
          <w:tcPr>
            <w:tcW w:w="1012" w:type="dxa"/>
            <w:shd w:val="clear" w:color="auto" w:fill="auto"/>
            <w:noWrap/>
            <w:vAlign w:val="bottom"/>
            <w:hideMark/>
          </w:tcPr>
          <w:p w14:paraId="6E15FDB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172 (425)</w:t>
            </w:r>
          </w:p>
        </w:tc>
        <w:tc>
          <w:tcPr>
            <w:tcW w:w="1012" w:type="dxa"/>
            <w:shd w:val="clear" w:color="auto" w:fill="auto"/>
            <w:noWrap/>
            <w:vAlign w:val="bottom"/>
            <w:hideMark/>
          </w:tcPr>
          <w:p w14:paraId="5CB2F792"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185 (464)</w:t>
            </w:r>
          </w:p>
        </w:tc>
        <w:tc>
          <w:tcPr>
            <w:tcW w:w="1013" w:type="dxa"/>
            <w:shd w:val="clear" w:color="auto" w:fill="auto"/>
            <w:noWrap/>
            <w:vAlign w:val="bottom"/>
            <w:hideMark/>
          </w:tcPr>
          <w:p w14:paraId="58D08EC1"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176 (514)</w:t>
            </w:r>
          </w:p>
        </w:tc>
        <w:tc>
          <w:tcPr>
            <w:tcW w:w="1012" w:type="dxa"/>
            <w:shd w:val="clear" w:color="auto" w:fill="auto"/>
            <w:noWrap/>
            <w:vAlign w:val="bottom"/>
            <w:hideMark/>
          </w:tcPr>
          <w:p w14:paraId="54015F79"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173 (592)</w:t>
            </w:r>
          </w:p>
        </w:tc>
        <w:tc>
          <w:tcPr>
            <w:tcW w:w="1013" w:type="dxa"/>
            <w:shd w:val="clear" w:color="auto" w:fill="auto"/>
            <w:noWrap/>
            <w:vAlign w:val="bottom"/>
            <w:hideMark/>
          </w:tcPr>
          <w:p w14:paraId="53B88B3C"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159 (569)</w:t>
            </w:r>
          </w:p>
        </w:tc>
        <w:tc>
          <w:tcPr>
            <w:tcW w:w="1012" w:type="dxa"/>
            <w:shd w:val="clear" w:color="auto" w:fill="auto"/>
            <w:noWrap/>
            <w:vAlign w:val="bottom"/>
            <w:hideMark/>
          </w:tcPr>
          <w:p w14:paraId="69C25450"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150 (510)</w:t>
            </w:r>
          </w:p>
        </w:tc>
        <w:tc>
          <w:tcPr>
            <w:tcW w:w="1013" w:type="dxa"/>
            <w:shd w:val="clear" w:color="auto" w:fill="auto"/>
            <w:noWrap/>
            <w:vAlign w:val="bottom"/>
            <w:hideMark/>
          </w:tcPr>
          <w:p w14:paraId="5F2960E5" w14:textId="77777777" w:rsidR="00092E76" w:rsidRPr="00F32278" w:rsidRDefault="00092E76" w:rsidP="00F36437">
            <w:pPr>
              <w:pStyle w:val="SingleTxtG"/>
              <w:tabs>
                <w:tab w:val="clear" w:pos="1701"/>
                <w:tab w:val="clear" w:pos="2268"/>
              </w:tabs>
              <w:suppressAutoHyphens w:val="0"/>
              <w:spacing w:before="40" w:after="40" w:line="220" w:lineRule="exact"/>
              <w:ind w:left="0" w:right="113"/>
              <w:jc w:val="right"/>
              <w:rPr>
                <w:sz w:val="18"/>
                <w:szCs w:val="18"/>
              </w:rPr>
            </w:pPr>
            <w:r w:rsidRPr="00F32278">
              <w:rPr>
                <w:sz w:val="18"/>
                <w:szCs w:val="18"/>
              </w:rPr>
              <w:t>116 (515)</w:t>
            </w:r>
          </w:p>
        </w:tc>
      </w:tr>
    </w:tbl>
    <w:p w14:paraId="387DC258" w14:textId="77777777" w:rsidR="00C93FAE" w:rsidRPr="005D41C0" w:rsidRDefault="00C93FAE" w:rsidP="005D41C0">
      <w:pPr>
        <w:pStyle w:val="SingleTxtGC"/>
        <w:spacing w:before="120"/>
        <w:ind w:firstLine="170"/>
        <w:rPr>
          <w:sz w:val="18"/>
          <w:szCs w:val="16"/>
        </w:rPr>
      </w:pPr>
      <w:r w:rsidRPr="005D41C0">
        <w:rPr>
          <w:rFonts w:ascii="Time New Roman" w:eastAsia="楷体" w:hAnsi="Time New Roman" w:hint="eastAsia"/>
          <w:sz w:val="18"/>
          <w:szCs w:val="16"/>
        </w:rPr>
        <w:t>注</w:t>
      </w:r>
      <w:r w:rsidRPr="005D41C0">
        <w:rPr>
          <w:rFonts w:hint="eastAsia"/>
          <w:sz w:val="18"/>
          <w:szCs w:val="16"/>
        </w:rPr>
        <w:t>：上表列入了独立裁定案件的非常任法官。</w:t>
      </w:r>
    </w:p>
    <w:p w14:paraId="4B957F3D" w14:textId="77777777" w:rsidR="00C93FAE" w:rsidRDefault="00C93FAE" w:rsidP="00C93FAE">
      <w:pPr>
        <w:pStyle w:val="SingleTxtGC"/>
      </w:pPr>
      <w:r>
        <w:rPr>
          <w:rFonts w:hint="eastAsia"/>
        </w:rPr>
        <w:t>47.</w:t>
      </w:r>
      <w:r>
        <w:rPr>
          <w:rFonts w:hint="eastAsia"/>
        </w:rPr>
        <w:tab/>
      </w:r>
      <w:r>
        <w:rPr>
          <w:rFonts w:hint="eastAsia"/>
        </w:rPr>
        <w:t>有关审前羁押时限的立法修正案于</w:t>
      </w:r>
      <w:r>
        <w:rPr>
          <w:rFonts w:hint="eastAsia"/>
        </w:rPr>
        <w:t>2021</w:t>
      </w:r>
      <w:r>
        <w:rPr>
          <w:rFonts w:hint="eastAsia"/>
        </w:rPr>
        <w:t>年</w:t>
      </w:r>
      <w:r>
        <w:rPr>
          <w:rFonts w:hint="eastAsia"/>
        </w:rPr>
        <w:t>7</w:t>
      </w:r>
      <w:r>
        <w:rPr>
          <w:rFonts w:hint="eastAsia"/>
        </w:rPr>
        <w:t>月</w:t>
      </w:r>
      <w:r>
        <w:rPr>
          <w:rFonts w:hint="eastAsia"/>
        </w:rPr>
        <w:t>1</w:t>
      </w:r>
      <w:r>
        <w:rPr>
          <w:rFonts w:hint="eastAsia"/>
        </w:rPr>
        <w:t>日生效。规定对成年人的起诉前拘留期限为九个月，未满</w:t>
      </w:r>
      <w:r>
        <w:rPr>
          <w:rFonts w:hint="eastAsia"/>
        </w:rPr>
        <w:t>18</w:t>
      </w:r>
      <w:r>
        <w:rPr>
          <w:rFonts w:hint="eastAsia"/>
        </w:rPr>
        <w:t>岁的犯罪嫌疑人为三个月。只有在有特殊原因的情况下才能超过时限，例如刑罚金额很高，而且对犯罪行为的调查特别困难。关于瑞典候审的被拘留者人数和拘留时间的详细数据，请见附件</w:t>
      </w:r>
      <w:r>
        <w:rPr>
          <w:rFonts w:hint="eastAsia"/>
        </w:rPr>
        <w:t>6</w:t>
      </w:r>
      <w:r>
        <w:rPr>
          <w:rFonts w:hint="eastAsia"/>
        </w:rPr>
        <w:t>中的犯罪统计数据和指标。</w:t>
      </w:r>
    </w:p>
    <w:p w14:paraId="413F15C3" w14:textId="77777777" w:rsidR="00C93FAE" w:rsidRDefault="00C93FAE" w:rsidP="00C93FAE">
      <w:pPr>
        <w:pStyle w:val="SingleTxtGC"/>
      </w:pPr>
      <w:r>
        <w:rPr>
          <w:rFonts w:hint="eastAsia"/>
        </w:rPr>
        <w:t>48.</w:t>
      </w:r>
      <w:r>
        <w:rPr>
          <w:rFonts w:hint="eastAsia"/>
        </w:rPr>
        <w:tab/>
      </w:r>
      <w:r>
        <w:rPr>
          <w:rFonts w:hint="eastAsia"/>
        </w:rPr>
        <w:t>如果被逮捕或拘留的嫌疑人提出请求，必须为其指定一名公共辩护律师。对于涉嫌犯罪且法定刑罚不低于六个月的嫌疑人，必须根据其请求指定一名公共辩护律师。下列情况下必须指定公共辩护律师：嫌疑人要求有辩护律师参与对其罪行的调查，嫌疑人对处罚方式存在疑问并有可能被处以罚款、有条件量刑或两者并处之外的处罚，或存在其他特殊情况，包括嫌疑人的个人情况或案件所涉事项的特殊性。中央政府将先行垫付公共辩护律师的费用。如果被告或嫌疑人被宣告无罪，则无须偿还任何费用。如果被判刑，他们一般有责任根据收入情况全部或部分偿还中央政府垫付的费用。</w:t>
      </w:r>
      <w:r>
        <w:rPr>
          <w:rFonts w:hint="eastAsia"/>
        </w:rPr>
        <w:t>2017</w:t>
      </w:r>
      <w:r>
        <w:rPr>
          <w:rFonts w:hint="eastAsia"/>
        </w:rPr>
        <w:t>至</w:t>
      </w:r>
      <w:r>
        <w:rPr>
          <w:rFonts w:hint="eastAsia"/>
        </w:rPr>
        <w:t>2022</w:t>
      </w:r>
      <w:r>
        <w:rPr>
          <w:rFonts w:hint="eastAsia"/>
        </w:rPr>
        <w:t>年期间，平均每年指定大约</w:t>
      </w:r>
      <w:r>
        <w:rPr>
          <w:rFonts w:hint="eastAsia"/>
        </w:rPr>
        <w:t>6</w:t>
      </w:r>
      <w:r>
        <w:rPr>
          <w:rFonts w:hint="eastAsia"/>
        </w:rPr>
        <w:t>万至</w:t>
      </w:r>
      <w:r>
        <w:rPr>
          <w:rFonts w:hint="eastAsia"/>
        </w:rPr>
        <w:t>7</w:t>
      </w:r>
      <w:r>
        <w:rPr>
          <w:rFonts w:hint="eastAsia"/>
        </w:rPr>
        <w:t>万名公共辩护律师。没有统计数据说明有多少请求获得公共辩护律师的申请遭到拒绝，因此获得公共辩护律师援助的申请人比例不详。</w:t>
      </w:r>
    </w:p>
    <w:p w14:paraId="2C32A212" w14:textId="77777777" w:rsidR="00C93FAE" w:rsidRDefault="00C93FAE" w:rsidP="00C93FAE">
      <w:pPr>
        <w:pStyle w:val="SingleTxtGC"/>
      </w:pPr>
      <w:r>
        <w:rPr>
          <w:rFonts w:hint="eastAsia"/>
        </w:rPr>
        <w:t>49.</w:t>
      </w:r>
      <w:r>
        <w:rPr>
          <w:rFonts w:hint="eastAsia"/>
        </w:rPr>
        <w:tab/>
      </w:r>
      <w:r>
        <w:rPr>
          <w:rFonts w:hint="eastAsia"/>
        </w:rPr>
        <w:t>依据《侵权责任法》</w:t>
      </w:r>
      <w:r>
        <w:rPr>
          <w:rFonts w:hint="eastAsia"/>
        </w:rPr>
        <w:t>(1972:207)</w:t>
      </w:r>
      <w:r>
        <w:rPr>
          <w:rFonts w:hint="eastAsia"/>
        </w:rPr>
        <w:t>，犯罪受害者有权要求肇事者</w:t>
      </w:r>
      <w:proofErr w:type="gramStart"/>
      <w:r>
        <w:rPr>
          <w:rFonts w:hint="eastAsia"/>
        </w:rPr>
        <w:t>作出</w:t>
      </w:r>
      <w:proofErr w:type="gramEnd"/>
      <w:r>
        <w:rPr>
          <w:rFonts w:hint="eastAsia"/>
        </w:rPr>
        <w:t>补偿和损害赔偿，包括人身伤害赔偿、财产损害或损失、经济损失及人格完整性损害赔偿。如果无法确定肇事者，或者肇事者没有能力支付损害赔偿，而且没有完全覆盖伤害的保险，犯罪受害者一般可向中央政府申请赔偿。这种赔偿被称为刑事伤害赔偿，受《刑事伤害赔偿法》</w:t>
      </w:r>
      <w:r>
        <w:rPr>
          <w:rFonts w:hint="eastAsia"/>
        </w:rPr>
        <w:t>(2014:322)</w:t>
      </w:r>
      <w:r>
        <w:rPr>
          <w:rFonts w:hint="eastAsia"/>
        </w:rPr>
        <w:t>管辖。犯罪受害者管理局负责处理根据《刑事伤害赔偿法》提出的申请。主要针对个人伤害支付赔偿，包括身体和心理伤害。受害人也有权就人格完整性遭受的损害主张赔偿。在特殊情况下，国家也可支付经济损失或损害及财产损失赔偿。</w:t>
      </w:r>
    </w:p>
    <w:p w14:paraId="2D806A47" w14:textId="77777777" w:rsidR="00C93FAE" w:rsidRDefault="00C93FAE" w:rsidP="00C93FAE">
      <w:pPr>
        <w:pStyle w:val="SingleTxtGC"/>
      </w:pPr>
      <w:r>
        <w:rPr>
          <w:rFonts w:hint="eastAsia"/>
        </w:rPr>
        <w:t>50.</w:t>
      </w:r>
      <w:r>
        <w:rPr>
          <w:rFonts w:hint="eastAsia"/>
        </w:rPr>
        <w:tab/>
        <w:t>2022</w:t>
      </w:r>
      <w:r>
        <w:rPr>
          <w:rFonts w:hint="eastAsia"/>
        </w:rPr>
        <w:t>年，犯罪受害者赔偿和支助管理局评估了</w:t>
      </w:r>
      <w:r>
        <w:rPr>
          <w:rFonts w:hint="eastAsia"/>
        </w:rPr>
        <w:t>10,383</w:t>
      </w:r>
      <w:r>
        <w:rPr>
          <w:rFonts w:hint="eastAsia"/>
        </w:rPr>
        <w:t>份请求中央政府赔偿的申请，共计向申请人支付了</w:t>
      </w:r>
      <w:r>
        <w:rPr>
          <w:rFonts w:hint="eastAsia"/>
        </w:rPr>
        <w:t>117,684,000</w:t>
      </w:r>
      <w:r>
        <w:rPr>
          <w:rFonts w:hint="eastAsia"/>
        </w:rPr>
        <w:t>瑞典克朗。</w:t>
      </w:r>
      <w:r>
        <w:rPr>
          <w:rFonts w:hint="eastAsia"/>
        </w:rPr>
        <w:t>2021</w:t>
      </w:r>
      <w:r>
        <w:rPr>
          <w:rFonts w:hint="eastAsia"/>
        </w:rPr>
        <w:t>年，犯罪受害者赔偿和支助管理局评估了</w:t>
      </w:r>
      <w:r>
        <w:rPr>
          <w:rFonts w:hint="eastAsia"/>
        </w:rPr>
        <w:t>9,755</w:t>
      </w:r>
      <w:r>
        <w:rPr>
          <w:rFonts w:hint="eastAsia"/>
        </w:rPr>
        <w:t>份请求中央政府赔偿的申请，共计向申请人支付了</w:t>
      </w:r>
      <w:r>
        <w:rPr>
          <w:rFonts w:hint="eastAsia"/>
        </w:rPr>
        <w:t>105,278,000</w:t>
      </w:r>
      <w:r>
        <w:rPr>
          <w:rFonts w:hint="eastAsia"/>
        </w:rPr>
        <w:t>瑞典克朗。</w:t>
      </w:r>
      <w:r>
        <w:rPr>
          <w:rFonts w:hint="eastAsia"/>
        </w:rPr>
        <w:t>2020</w:t>
      </w:r>
      <w:r>
        <w:rPr>
          <w:rFonts w:hint="eastAsia"/>
        </w:rPr>
        <w:t>年，犯罪受害者赔偿和支助管理局评估了</w:t>
      </w:r>
      <w:r>
        <w:rPr>
          <w:rFonts w:hint="eastAsia"/>
        </w:rPr>
        <w:t>10,086</w:t>
      </w:r>
      <w:r>
        <w:rPr>
          <w:rFonts w:hint="eastAsia"/>
        </w:rPr>
        <w:t>份请求中央政府赔偿的申请，共计向申请人支付了</w:t>
      </w:r>
      <w:r>
        <w:rPr>
          <w:rFonts w:hint="eastAsia"/>
        </w:rPr>
        <w:t>95,842,000</w:t>
      </w:r>
      <w:r>
        <w:rPr>
          <w:rFonts w:hint="eastAsia"/>
        </w:rPr>
        <w:t>瑞典克朗。</w:t>
      </w:r>
      <w:r>
        <w:rPr>
          <w:rFonts w:hint="eastAsia"/>
        </w:rPr>
        <w:t>2019</w:t>
      </w:r>
      <w:r>
        <w:rPr>
          <w:rFonts w:hint="eastAsia"/>
        </w:rPr>
        <w:t>年，犯罪受害者赔偿和支助管理局评估了</w:t>
      </w:r>
      <w:r>
        <w:rPr>
          <w:rFonts w:hint="eastAsia"/>
        </w:rPr>
        <w:t>10,372</w:t>
      </w:r>
      <w:r>
        <w:rPr>
          <w:rFonts w:hint="eastAsia"/>
        </w:rPr>
        <w:t>份请求中央政府赔偿的申请，共计向申请人支付了</w:t>
      </w:r>
      <w:r>
        <w:rPr>
          <w:rFonts w:hint="eastAsia"/>
        </w:rPr>
        <w:t>104,562,000</w:t>
      </w:r>
      <w:r>
        <w:rPr>
          <w:rFonts w:hint="eastAsia"/>
        </w:rPr>
        <w:t>瑞典克朗。</w:t>
      </w:r>
      <w:r>
        <w:rPr>
          <w:rFonts w:hint="eastAsia"/>
        </w:rPr>
        <w:t>2018</w:t>
      </w:r>
      <w:r>
        <w:rPr>
          <w:rFonts w:hint="eastAsia"/>
        </w:rPr>
        <w:t>年，犯罪受害者赔偿和支助管理局评估了</w:t>
      </w:r>
      <w:r>
        <w:rPr>
          <w:rFonts w:hint="eastAsia"/>
        </w:rPr>
        <w:t>8,686</w:t>
      </w:r>
      <w:r>
        <w:rPr>
          <w:rFonts w:hint="eastAsia"/>
        </w:rPr>
        <w:t>份请求中央政府赔偿的申请，共计向申请人支付了</w:t>
      </w:r>
      <w:r>
        <w:rPr>
          <w:rFonts w:hint="eastAsia"/>
        </w:rPr>
        <w:t>91,211,000</w:t>
      </w:r>
      <w:r>
        <w:rPr>
          <w:rFonts w:hint="eastAsia"/>
        </w:rPr>
        <w:t>瑞典克朗。</w:t>
      </w:r>
      <w:r>
        <w:rPr>
          <w:rFonts w:hint="eastAsia"/>
        </w:rPr>
        <w:t>2017</w:t>
      </w:r>
      <w:r>
        <w:rPr>
          <w:rFonts w:hint="eastAsia"/>
        </w:rPr>
        <w:t>年，犯罪受害者赔偿和支助管理局评估了</w:t>
      </w:r>
      <w:r>
        <w:rPr>
          <w:rFonts w:hint="eastAsia"/>
        </w:rPr>
        <w:t>9,539</w:t>
      </w:r>
      <w:r>
        <w:rPr>
          <w:rFonts w:hint="eastAsia"/>
        </w:rPr>
        <w:t>份请求中央政府赔偿的申请，共计向申请人支付了</w:t>
      </w:r>
      <w:r>
        <w:rPr>
          <w:rFonts w:hint="eastAsia"/>
        </w:rPr>
        <w:t>91,272,000</w:t>
      </w:r>
      <w:r>
        <w:rPr>
          <w:rFonts w:hint="eastAsia"/>
        </w:rPr>
        <w:t>瑞典克朗。</w:t>
      </w:r>
    </w:p>
    <w:p w14:paraId="3279E230" w14:textId="77777777" w:rsidR="00C93FAE" w:rsidRDefault="00C93FAE" w:rsidP="00C93FAE">
      <w:pPr>
        <w:pStyle w:val="SingleTxtGC"/>
      </w:pPr>
      <w:r>
        <w:rPr>
          <w:rFonts w:hint="eastAsia"/>
        </w:rPr>
        <w:t>51.</w:t>
      </w:r>
      <w:r>
        <w:rPr>
          <w:rFonts w:hint="eastAsia"/>
        </w:rPr>
        <w:tab/>
      </w:r>
      <w:r>
        <w:rPr>
          <w:rFonts w:hint="eastAsia"/>
        </w:rPr>
        <w:t>瑞典每</w:t>
      </w:r>
      <w:r>
        <w:rPr>
          <w:rFonts w:hint="eastAsia"/>
        </w:rPr>
        <w:t>10</w:t>
      </w:r>
      <w:r>
        <w:rPr>
          <w:rFonts w:hint="eastAsia"/>
        </w:rPr>
        <w:t>万人的警察人数从</w:t>
      </w:r>
      <w:r>
        <w:rPr>
          <w:rFonts w:hint="eastAsia"/>
        </w:rPr>
        <w:t>2017</w:t>
      </w:r>
      <w:r>
        <w:rPr>
          <w:rFonts w:hint="eastAsia"/>
        </w:rPr>
        <w:t>年的</w:t>
      </w:r>
      <w:r>
        <w:rPr>
          <w:rFonts w:hint="eastAsia"/>
        </w:rPr>
        <w:t>195</w:t>
      </w:r>
      <w:r>
        <w:rPr>
          <w:rFonts w:hint="eastAsia"/>
        </w:rPr>
        <w:t>人增加至</w:t>
      </w:r>
      <w:r>
        <w:rPr>
          <w:rFonts w:hint="eastAsia"/>
        </w:rPr>
        <w:t>2023</w:t>
      </w:r>
      <w:r>
        <w:rPr>
          <w:rFonts w:hint="eastAsia"/>
        </w:rPr>
        <w:t>年的</w:t>
      </w:r>
      <w:r>
        <w:rPr>
          <w:rFonts w:hint="eastAsia"/>
        </w:rPr>
        <w:t>218</w:t>
      </w:r>
      <w:r>
        <w:rPr>
          <w:rFonts w:hint="eastAsia"/>
        </w:rPr>
        <w:t>人。同期，中央政府拨给警察局的公共支出份额从</w:t>
      </w:r>
      <w:r>
        <w:rPr>
          <w:rFonts w:hint="eastAsia"/>
        </w:rPr>
        <w:t>2.35%</w:t>
      </w:r>
      <w:r>
        <w:rPr>
          <w:rFonts w:hint="eastAsia"/>
        </w:rPr>
        <w:t>增至</w:t>
      </w:r>
      <w:r>
        <w:rPr>
          <w:rFonts w:hint="eastAsia"/>
        </w:rPr>
        <w:t>2.95%</w:t>
      </w:r>
      <w:r>
        <w:rPr>
          <w:rFonts w:hint="eastAsia"/>
        </w:rPr>
        <w:t>。中央政府拨给司法机关的公共支出份额从</w:t>
      </w:r>
      <w:r>
        <w:rPr>
          <w:rFonts w:hint="eastAsia"/>
        </w:rPr>
        <w:t>2017</w:t>
      </w:r>
      <w:r>
        <w:rPr>
          <w:rFonts w:hint="eastAsia"/>
        </w:rPr>
        <w:t>年的</w:t>
      </w:r>
      <w:r>
        <w:rPr>
          <w:rFonts w:hint="eastAsia"/>
        </w:rPr>
        <w:t>4.68%</w:t>
      </w:r>
      <w:r>
        <w:rPr>
          <w:rFonts w:hint="eastAsia"/>
        </w:rPr>
        <w:t>增至</w:t>
      </w:r>
      <w:r>
        <w:rPr>
          <w:rFonts w:hint="eastAsia"/>
        </w:rPr>
        <w:t>2022</w:t>
      </w:r>
      <w:r>
        <w:rPr>
          <w:rFonts w:hint="eastAsia"/>
        </w:rPr>
        <w:t>年的</w:t>
      </w:r>
      <w:r>
        <w:rPr>
          <w:rFonts w:hint="eastAsia"/>
        </w:rPr>
        <w:t>4.97%</w:t>
      </w:r>
      <w:r>
        <w:rPr>
          <w:rFonts w:hint="eastAsia"/>
        </w:rPr>
        <w:t>。</w:t>
      </w:r>
      <w:r>
        <w:rPr>
          <w:rFonts w:hint="eastAsia"/>
        </w:rPr>
        <w:t>2023</w:t>
      </w:r>
      <w:r>
        <w:rPr>
          <w:rFonts w:hint="eastAsia"/>
        </w:rPr>
        <w:t>年，每</w:t>
      </w:r>
      <w:r>
        <w:rPr>
          <w:rFonts w:hint="eastAsia"/>
        </w:rPr>
        <w:t>10</w:t>
      </w:r>
      <w:r>
        <w:rPr>
          <w:rFonts w:hint="eastAsia"/>
        </w:rPr>
        <w:t>万居民的检察官人数为</w:t>
      </w:r>
      <w:r>
        <w:rPr>
          <w:rFonts w:hint="eastAsia"/>
        </w:rPr>
        <w:t>13.44</w:t>
      </w:r>
      <w:r>
        <w:rPr>
          <w:rFonts w:hint="eastAsia"/>
        </w:rPr>
        <w:t>人，高于</w:t>
      </w:r>
      <w:r>
        <w:rPr>
          <w:rFonts w:hint="eastAsia"/>
        </w:rPr>
        <w:t>2017</w:t>
      </w:r>
      <w:r>
        <w:rPr>
          <w:rFonts w:hint="eastAsia"/>
        </w:rPr>
        <w:t>年的</w:t>
      </w:r>
      <w:r>
        <w:rPr>
          <w:rFonts w:hint="eastAsia"/>
        </w:rPr>
        <w:t>10.62</w:t>
      </w:r>
      <w:r>
        <w:rPr>
          <w:rFonts w:hint="eastAsia"/>
        </w:rPr>
        <w:t>人。</w:t>
      </w:r>
    </w:p>
    <w:p w14:paraId="08E70E5A" w14:textId="084E5200" w:rsidR="00C93FAE" w:rsidRDefault="00C93FAE" w:rsidP="00C93FAE">
      <w:pPr>
        <w:pStyle w:val="SingleTxtGC"/>
      </w:pPr>
      <w:r>
        <w:rPr>
          <w:rFonts w:hint="eastAsia"/>
        </w:rPr>
        <w:t>52.</w:t>
      </w:r>
      <w:r>
        <w:rPr>
          <w:rFonts w:hint="eastAsia"/>
        </w:rPr>
        <w:tab/>
      </w:r>
      <w:r>
        <w:rPr>
          <w:rFonts w:hint="eastAsia"/>
        </w:rPr>
        <w:t>瑞典国家预防犯罪委员会编写和分发关于犯罪和预防犯罪的资料。委员会编制官方犯罪统计数据，评估改革措施，开展研究，并支持地方开展预防犯罪工作。例如，委员会每月公布关于已报告犯罪事件的初步统计数据，其中整理了已报告且已被瑞典警方、海关和检察官登记为犯罪的事件。因此，这些统计数据包括报告后经充分调查被认为不属于犯罪的事件，也包括无法证明属实的犯罪事件。委员会每年都会发布关于犯罪的统计数据和《瑞典犯罪调查》，后者调查大众</w:t>
      </w:r>
      <w:r>
        <w:rPr>
          <w:rFonts w:hint="eastAsia"/>
        </w:rPr>
        <w:t>(16</w:t>
      </w:r>
      <w:r>
        <w:rPr>
          <w:rFonts w:hint="eastAsia"/>
        </w:rPr>
        <w:t>至</w:t>
      </w:r>
      <w:r>
        <w:rPr>
          <w:rFonts w:hint="eastAsia"/>
        </w:rPr>
        <w:t>84</w:t>
      </w:r>
      <w:r>
        <w:rPr>
          <w:rFonts w:hint="eastAsia"/>
        </w:rPr>
        <w:t>岁</w:t>
      </w:r>
      <w:r>
        <w:rPr>
          <w:rFonts w:hint="eastAsia"/>
        </w:rPr>
        <w:t>)</w:t>
      </w:r>
      <w:r>
        <w:rPr>
          <w:rFonts w:hint="eastAsia"/>
        </w:rPr>
        <w:t>对犯罪的态度和相关经历，包括受害情况、对犯罪的恐惧程度，以及公众对司法系统的信心</w:t>
      </w:r>
      <w:r>
        <w:rPr>
          <w:rFonts w:hint="eastAsia"/>
        </w:rPr>
        <w:t>(</w:t>
      </w:r>
      <w:proofErr w:type="gramStart"/>
      <w:r>
        <w:rPr>
          <w:rFonts w:hint="eastAsia"/>
        </w:rPr>
        <w:t>请访问</w:t>
      </w:r>
      <w:proofErr w:type="gramEnd"/>
      <w:r w:rsidR="001A4E58">
        <w:fldChar w:fldCharType="begin"/>
      </w:r>
      <w:r w:rsidR="001A4E58">
        <w:rPr>
          <w:rFonts w:hint="eastAsia"/>
        </w:rPr>
        <w:instrText>HYPERLINK "http://www.bra.se"</w:instrText>
      </w:r>
      <w:r w:rsidR="001A4E58">
        <w:fldChar w:fldCharType="separate"/>
      </w:r>
      <w:proofErr w:type="spellStart"/>
      <w:r w:rsidR="001A4E58" w:rsidRPr="009E5A67">
        <w:rPr>
          <w:rStyle w:val="af5"/>
          <w:rFonts w:hint="eastAsia"/>
        </w:rPr>
        <w:t>www.bra.se</w:t>
      </w:r>
      <w:proofErr w:type="spellEnd"/>
      <w:r w:rsidR="001A4E58">
        <w:fldChar w:fldCharType="end"/>
      </w:r>
      <w:r>
        <w:rPr>
          <w:rFonts w:hint="eastAsia"/>
        </w:rPr>
        <w:t>，获取更多详细资料</w:t>
      </w:r>
      <w:r>
        <w:rPr>
          <w:rFonts w:hint="eastAsia"/>
        </w:rPr>
        <w:t>)</w:t>
      </w:r>
      <w:r>
        <w:rPr>
          <w:rFonts w:hint="eastAsia"/>
        </w:rPr>
        <w:t>。</w:t>
      </w:r>
    </w:p>
    <w:p w14:paraId="231E4E0A" w14:textId="543803D5" w:rsidR="00C93FAE" w:rsidRDefault="00C93FAE" w:rsidP="00C93FAE">
      <w:pPr>
        <w:pStyle w:val="SingleTxtGC"/>
      </w:pPr>
      <w:r>
        <w:rPr>
          <w:rFonts w:hint="eastAsia"/>
        </w:rPr>
        <w:t>53.</w:t>
      </w:r>
      <w:r>
        <w:rPr>
          <w:rFonts w:hint="eastAsia"/>
        </w:rPr>
        <w:tab/>
        <w:t>2022</w:t>
      </w:r>
      <w:r>
        <w:rPr>
          <w:rFonts w:hint="eastAsia"/>
        </w:rPr>
        <w:t>年</w:t>
      </w:r>
      <w:r>
        <w:rPr>
          <w:rFonts w:hint="eastAsia"/>
        </w:rPr>
        <w:t>(10</w:t>
      </w:r>
      <w:r>
        <w:rPr>
          <w:rFonts w:hint="eastAsia"/>
        </w:rPr>
        <w:t>月</w:t>
      </w:r>
      <w:r>
        <w:rPr>
          <w:rFonts w:hint="eastAsia"/>
        </w:rPr>
        <w:t>1</w:t>
      </w:r>
      <w:r>
        <w:rPr>
          <w:rFonts w:hint="eastAsia"/>
        </w:rPr>
        <w:t>日</w:t>
      </w:r>
      <w:r>
        <w:rPr>
          <w:rFonts w:hint="eastAsia"/>
        </w:rPr>
        <w:t>)</w:t>
      </w:r>
      <w:r>
        <w:rPr>
          <w:rFonts w:hint="eastAsia"/>
        </w:rPr>
        <w:t>，有</w:t>
      </w:r>
      <w:r>
        <w:rPr>
          <w:rFonts w:hint="eastAsia"/>
        </w:rPr>
        <w:t>6</w:t>
      </w:r>
      <w:r w:rsidR="007F04A8">
        <w:t>,</w:t>
      </w:r>
      <w:r>
        <w:rPr>
          <w:rFonts w:hint="eastAsia"/>
        </w:rPr>
        <w:t>146</w:t>
      </w:r>
      <w:r>
        <w:rPr>
          <w:rFonts w:hint="eastAsia"/>
        </w:rPr>
        <w:t>人正在监狱服刑，与</w:t>
      </w:r>
      <w:r>
        <w:rPr>
          <w:rFonts w:hint="eastAsia"/>
        </w:rPr>
        <w:t>2021</w:t>
      </w:r>
      <w:r>
        <w:rPr>
          <w:rFonts w:hint="eastAsia"/>
        </w:rPr>
        <w:t>年相比增加了</w:t>
      </w:r>
      <w:r>
        <w:rPr>
          <w:rFonts w:hint="eastAsia"/>
        </w:rPr>
        <w:t>8%</w:t>
      </w:r>
      <w:r>
        <w:rPr>
          <w:rFonts w:hint="eastAsia"/>
        </w:rPr>
        <w:t>。在过去五年中，监狱人口持续增加。在被判处监禁并于</w:t>
      </w:r>
      <w:r>
        <w:rPr>
          <w:rFonts w:hint="eastAsia"/>
        </w:rPr>
        <w:t>2022</w:t>
      </w:r>
      <w:r>
        <w:rPr>
          <w:rFonts w:hint="eastAsia"/>
        </w:rPr>
        <w:t>年开始服刑的罪犯中，</w:t>
      </w:r>
      <w:r>
        <w:rPr>
          <w:rFonts w:hint="eastAsia"/>
        </w:rPr>
        <w:t>17%</w:t>
      </w:r>
      <w:r>
        <w:rPr>
          <w:rFonts w:hint="eastAsia"/>
        </w:rPr>
        <w:t>因盗窃罪获刑，盗窃罪是一项主要罪行。约</w:t>
      </w:r>
      <w:r>
        <w:rPr>
          <w:rFonts w:hint="eastAsia"/>
        </w:rPr>
        <w:t>12%</w:t>
      </w:r>
      <w:r>
        <w:rPr>
          <w:rFonts w:hint="eastAsia"/>
        </w:rPr>
        <w:t>因危害生命和健康</w:t>
      </w:r>
      <w:proofErr w:type="gramStart"/>
      <w:r>
        <w:rPr>
          <w:rFonts w:hint="eastAsia"/>
        </w:rPr>
        <w:t>罪获刑</w:t>
      </w:r>
      <w:proofErr w:type="gramEnd"/>
      <w:r>
        <w:rPr>
          <w:rFonts w:hint="eastAsia"/>
        </w:rPr>
        <w:t>，约</w:t>
      </w:r>
      <w:r>
        <w:rPr>
          <w:rFonts w:hint="eastAsia"/>
        </w:rPr>
        <w:t>31%</w:t>
      </w:r>
      <w:r>
        <w:rPr>
          <w:rFonts w:hint="eastAsia"/>
        </w:rPr>
        <w:t>因毒品</w:t>
      </w:r>
      <w:proofErr w:type="gramStart"/>
      <w:r>
        <w:rPr>
          <w:rFonts w:hint="eastAsia"/>
        </w:rPr>
        <w:t>罪获刑</w:t>
      </w:r>
      <w:proofErr w:type="gramEnd"/>
      <w:r>
        <w:rPr>
          <w:rFonts w:hint="eastAsia"/>
        </w:rPr>
        <w:t>，约</w:t>
      </w:r>
      <w:r>
        <w:rPr>
          <w:rFonts w:hint="eastAsia"/>
        </w:rPr>
        <w:t>10%</w:t>
      </w:r>
      <w:r>
        <w:rPr>
          <w:rFonts w:hint="eastAsia"/>
        </w:rPr>
        <w:t>因道路交通违法行为获刑。在危害生命和健康罪中，大多是袭击罪；在交通罪中，大多是酒后驾驶罪。</w:t>
      </w:r>
    </w:p>
    <w:p w14:paraId="5CA4AA13" w14:textId="77777777" w:rsidR="00C93FAE" w:rsidRDefault="00C93FAE" w:rsidP="00C93FAE">
      <w:pPr>
        <w:pStyle w:val="SingleTxtGC"/>
      </w:pPr>
      <w:r>
        <w:rPr>
          <w:rFonts w:hint="eastAsia"/>
        </w:rPr>
        <w:t>54.</w:t>
      </w:r>
      <w:r>
        <w:rPr>
          <w:rFonts w:hint="eastAsia"/>
        </w:rPr>
        <w:tab/>
      </w:r>
      <w:r>
        <w:rPr>
          <w:rFonts w:hint="eastAsia"/>
        </w:rPr>
        <w:t>监狱人口多数为男性。</w:t>
      </w:r>
      <w:r>
        <w:rPr>
          <w:rFonts w:hint="eastAsia"/>
        </w:rPr>
        <w:t>2022</w:t>
      </w:r>
      <w:r>
        <w:rPr>
          <w:rFonts w:hint="eastAsia"/>
        </w:rPr>
        <w:t>年，男性约占监狱新增人口的</w:t>
      </w:r>
      <w:r>
        <w:rPr>
          <w:rFonts w:hint="eastAsia"/>
        </w:rPr>
        <w:t>93%</w:t>
      </w:r>
      <w:r>
        <w:rPr>
          <w:rFonts w:hint="eastAsia"/>
        </w:rPr>
        <w:t>。这一比例在过去十年中一直相对稳定。综合各类犯罪，男性在被判处监禁的囚犯中占据多数。总体而言，被判有罪者中大多是男性，</w:t>
      </w:r>
      <w:r>
        <w:rPr>
          <w:rFonts w:hint="eastAsia"/>
        </w:rPr>
        <w:t>2022</w:t>
      </w:r>
      <w:r>
        <w:rPr>
          <w:rFonts w:hint="eastAsia"/>
        </w:rPr>
        <w:t>年占比高达</w:t>
      </w:r>
      <w:r>
        <w:rPr>
          <w:rFonts w:hint="eastAsia"/>
        </w:rPr>
        <w:t>82%</w:t>
      </w:r>
      <w:r>
        <w:rPr>
          <w:rFonts w:hint="eastAsia"/>
        </w:rPr>
        <w:t>。</w:t>
      </w:r>
    </w:p>
    <w:p w14:paraId="341D8FF1" w14:textId="77777777" w:rsidR="00C93FAE" w:rsidRDefault="00C93FAE" w:rsidP="00C93FAE">
      <w:pPr>
        <w:pStyle w:val="SingleTxtGC"/>
      </w:pPr>
      <w:r>
        <w:rPr>
          <w:rFonts w:hint="eastAsia"/>
        </w:rPr>
        <w:t>55.</w:t>
      </w:r>
      <w:r>
        <w:rPr>
          <w:rFonts w:hint="eastAsia"/>
        </w:rPr>
        <w:tab/>
        <w:t>2022</w:t>
      </w:r>
      <w:r>
        <w:rPr>
          <w:rFonts w:hint="eastAsia"/>
        </w:rPr>
        <w:t>年，在被地方法院判处监禁的罪犯中，约</w:t>
      </w:r>
      <w:r>
        <w:rPr>
          <w:rFonts w:hint="eastAsia"/>
        </w:rPr>
        <w:t>36%</w:t>
      </w:r>
      <w:r>
        <w:rPr>
          <w:rFonts w:hint="eastAsia"/>
        </w:rPr>
        <w:t>在</w:t>
      </w:r>
      <w:r>
        <w:rPr>
          <w:rFonts w:hint="eastAsia"/>
        </w:rPr>
        <w:t>40</w:t>
      </w:r>
      <w:r>
        <w:rPr>
          <w:rFonts w:hint="eastAsia"/>
        </w:rPr>
        <w:t>岁或以上，</w:t>
      </w:r>
      <w:r>
        <w:rPr>
          <w:rFonts w:hint="eastAsia"/>
        </w:rPr>
        <w:t>44%</w:t>
      </w:r>
      <w:r>
        <w:rPr>
          <w:rFonts w:hint="eastAsia"/>
        </w:rPr>
        <w:t>在</w:t>
      </w:r>
      <w:r>
        <w:rPr>
          <w:rFonts w:hint="eastAsia"/>
        </w:rPr>
        <w:t>25</w:t>
      </w:r>
      <w:r>
        <w:rPr>
          <w:rFonts w:hint="eastAsia"/>
        </w:rPr>
        <w:t>岁至</w:t>
      </w:r>
      <w:r>
        <w:rPr>
          <w:rFonts w:hint="eastAsia"/>
        </w:rPr>
        <w:t>39</w:t>
      </w:r>
      <w:r>
        <w:rPr>
          <w:rFonts w:hint="eastAsia"/>
        </w:rPr>
        <w:t>岁之间，</w:t>
      </w:r>
      <w:r>
        <w:rPr>
          <w:rFonts w:hint="eastAsia"/>
        </w:rPr>
        <w:t>14%</w:t>
      </w:r>
      <w:r>
        <w:rPr>
          <w:rFonts w:hint="eastAsia"/>
        </w:rPr>
        <w:t>在</w:t>
      </w:r>
      <w:r>
        <w:rPr>
          <w:rFonts w:hint="eastAsia"/>
        </w:rPr>
        <w:t>21</w:t>
      </w:r>
      <w:r>
        <w:rPr>
          <w:rFonts w:hint="eastAsia"/>
        </w:rPr>
        <w:t>岁至</w:t>
      </w:r>
      <w:r>
        <w:rPr>
          <w:rFonts w:hint="eastAsia"/>
        </w:rPr>
        <w:t>24</w:t>
      </w:r>
      <w:r>
        <w:rPr>
          <w:rFonts w:hint="eastAsia"/>
        </w:rPr>
        <w:t>岁之间。</w:t>
      </w:r>
      <w:r>
        <w:rPr>
          <w:rFonts w:hint="eastAsia"/>
        </w:rPr>
        <w:t>2022</w:t>
      </w:r>
      <w:r>
        <w:rPr>
          <w:rFonts w:hint="eastAsia"/>
        </w:rPr>
        <w:t>年，</w:t>
      </w:r>
      <w:r>
        <w:rPr>
          <w:rFonts w:hint="eastAsia"/>
        </w:rPr>
        <w:t>20</w:t>
      </w:r>
      <w:r>
        <w:rPr>
          <w:rFonts w:hint="eastAsia"/>
        </w:rPr>
        <w:t>岁或以下的年轻人占被判监禁人员的</w:t>
      </w:r>
      <w:r>
        <w:rPr>
          <w:rFonts w:hint="eastAsia"/>
        </w:rPr>
        <w:t>6%(2022</w:t>
      </w:r>
      <w:r>
        <w:rPr>
          <w:rFonts w:hint="eastAsia"/>
        </w:rPr>
        <w:t>年没有</w:t>
      </w:r>
      <w:r>
        <w:rPr>
          <w:rFonts w:hint="eastAsia"/>
        </w:rPr>
        <w:t>15</w:t>
      </w:r>
      <w:r>
        <w:rPr>
          <w:rFonts w:hint="eastAsia"/>
        </w:rPr>
        <w:t>岁至</w:t>
      </w:r>
      <w:r>
        <w:rPr>
          <w:rFonts w:hint="eastAsia"/>
        </w:rPr>
        <w:t>17</w:t>
      </w:r>
      <w:r>
        <w:rPr>
          <w:rFonts w:hint="eastAsia"/>
        </w:rPr>
        <w:t>岁之间的人被判处监禁</w:t>
      </w:r>
      <w:r>
        <w:rPr>
          <w:rFonts w:hint="eastAsia"/>
        </w:rPr>
        <w:t>)</w:t>
      </w:r>
      <w:r>
        <w:rPr>
          <w:rFonts w:hint="eastAsia"/>
        </w:rPr>
        <w:t>。请注意，“监禁刑”是指监狱刑罚。犯罪时年龄在</w:t>
      </w:r>
      <w:r>
        <w:rPr>
          <w:rFonts w:hint="eastAsia"/>
        </w:rPr>
        <w:t>15</w:t>
      </w:r>
      <w:r>
        <w:rPr>
          <w:rFonts w:hint="eastAsia"/>
        </w:rPr>
        <w:t>至</w:t>
      </w:r>
      <w:r>
        <w:rPr>
          <w:rFonts w:hint="eastAsia"/>
        </w:rPr>
        <w:t>17</w:t>
      </w:r>
      <w:r>
        <w:rPr>
          <w:rFonts w:hint="eastAsia"/>
        </w:rPr>
        <w:t>岁的人主要被判处进入青少年管教所，而不是监禁。</w:t>
      </w:r>
      <w:r>
        <w:rPr>
          <w:rFonts w:hint="eastAsia"/>
        </w:rPr>
        <w:t>2022</w:t>
      </w:r>
      <w:r>
        <w:rPr>
          <w:rFonts w:hint="eastAsia"/>
        </w:rPr>
        <w:t>年，有</w:t>
      </w:r>
      <w:r>
        <w:rPr>
          <w:rFonts w:hint="eastAsia"/>
        </w:rPr>
        <w:t>59</w:t>
      </w:r>
      <w:r>
        <w:rPr>
          <w:rFonts w:hint="eastAsia"/>
        </w:rPr>
        <w:t>人被判处进入青少年管教所，相当于每</w:t>
      </w:r>
      <w:r>
        <w:rPr>
          <w:rFonts w:hint="eastAsia"/>
        </w:rPr>
        <w:t>10</w:t>
      </w:r>
      <w:r>
        <w:rPr>
          <w:rFonts w:hint="eastAsia"/>
        </w:rPr>
        <w:t>万人中有</w:t>
      </w:r>
      <w:r>
        <w:rPr>
          <w:rFonts w:hint="eastAsia"/>
        </w:rPr>
        <w:t>16</w:t>
      </w:r>
      <w:r>
        <w:rPr>
          <w:rFonts w:hint="eastAsia"/>
        </w:rPr>
        <w:t>人被定罪。在每</w:t>
      </w:r>
      <w:r>
        <w:rPr>
          <w:rFonts w:hint="eastAsia"/>
        </w:rPr>
        <w:t>10</w:t>
      </w:r>
      <w:r>
        <w:rPr>
          <w:rFonts w:hint="eastAsia"/>
        </w:rPr>
        <w:t>万被判处监禁刑的人员当中，各年龄组分布情况不同。</w:t>
      </w:r>
      <w:r>
        <w:rPr>
          <w:rFonts w:hint="eastAsia"/>
        </w:rPr>
        <w:t>21</w:t>
      </w:r>
      <w:r>
        <w:rPr>
          <w:rFonts w:hint="eastAsia"/>
        </w:rPr>
        <w:t>岁至</w:t>
      </w:r>
      <w:r>
        <w:rPr>
          <w:rFonts w:hint="eastAsia"/>
        </w:rPr>
        <w:t>24</w:t>
      </w:r>
      <w:r>
        <w:rPr>
          <w:rFonts w:hint="eastAsia"/>
        </w:rPr>
        <w:t>岁年龄组的人数最多，每</w:t>
      </w:r>
      <w:r>
        <w:rPr>
          <w:rFonts w:hint="eastAsia"/>
        </w:rPr>
        <w:t>10</w:t>
      </w:r>
      <w:r>
        <w:rPr>
          <w:rFonts w:hint="eastAsia"/>
        </w:rPr>
        <w:t>万人有</w:t>
      </w:r>
      <w:r>
        <w:rPr>
          <w:rFonts w:hint="eastAsia"/>
        </w:rPr>
        <w:t>377</w:t>
      </w:r>
      <w:r>
        <w:rPr>
          <w:rFonts w:hint="eastAsia"/>
        </w:rPr>
        <w:t>人被判处监禁刑，而</w:t>
      </w:r>
      <w:r>
        <w:rPr>
          <w:rFonts w:hint="eastAsia"/>
        </w:rPr>
        <w:t>15</w:t>
      </w:r>
      <w:r>
        <w:rPr>
          <w:rFonts w:hint="eastAsia"/>
        </w:rPr>
        <w:t>至</w:t>
      </w:r>
      <w:r>
        <w:rPr>
          <w:rFonts w:hint="eastAsia"/>
        </w:rPr>
        <w:t>20</w:t>
      </w:r>
      <w:r>
        <w:rPr>
          <w:rFonts w:hint="eastAsia"/>
        </w:rPr>
        <w:t>岁年龄组中每</w:t>
      </w:r>
      <w:r>
        <w:rPr>
          <w:rFonts w:hint="eastAsia"/>
        </w:rPr>
        <w:t>10</w:t>
      </w:r>
      <w:r>
        <w:rPr>
          <w:rFonts w:hint="eastAsia"/>
        </w:rPr>
        <w:t>万人有</w:t>
      </w:r>
      <w:r>
        <w:rPr>
          <w:rFonts w:hint="eastAsia"/>
        </w:rPr>
        <w:t>104</w:t>
      </w:r>
      <w:r>
        <w:rPr>
          <w:rFonts w:hint="eastAsia"/>
        </w:rPr>
        <w:t>人被判处监禁刑。</w:t>
      </w:r>
    </w:p>
    <w:p w14:paraId="6D27DFBF" w14:textId="0D2FA32C" w:rsidR="00C93FAE" w:rsidRDefault="00C93FAE" w:rsidP="00C93FAE">
      <w:pPr>
        <w:pStyle w:val="SingleTxtGC"/>
      </w:pPr>
      <w:r>
        <w:rPr>
          <w:rFonts w:hint="eastAsia"/>
        </w:rPr>
        <w:t>56.</w:t>
      </w:r>
      <w:r>
        <w:rPr>
          <w:rFonts w:hint="eastAsia"/>
        </w:rPr>
        <w:tab/>
        <w:t>2022</w:t>
      </w:r>
      <w:r>
        <w:rPr>
          <w:rFonts w:hint="eastAsia"/>
        </w:rPr>
        <w:t>年，约</w:t>
      </w:r>
      <w:r>
        <w:rPr>
          <w:rFonts w:hint="eastAsia"/>
        </w:rPr>
        <w:t>1</w:t>
      </w:r>
      <w:r w:rsidR="00501465">
        <w:t>,</w:t>
      </w:r>
      <w:r>
        <w:rPr>
          <w:rFonts w:hint="eastAsia"/>
        </w:rPr>
        <w:t>610</w:t>
      </w:r>
      <w:r>
        <w:rPr>
          <w:rFonts w:hint="eastAsia"/>
        </w:rPr>
        <w:t>人在装有严密电子监控的监狱中服刑，与</w:t>
      </w:r>
      <w:r>
        <w:rPr>
          <w:rFonts w:hint="eastAsia"/>
        </w:rPr>
        <w:t>2021</w:t>
      </w:r>
      <w:r>
        <w:rPr>
          <w:rFonts w:hint="eastAsia"/>
        </w:rPr>
        <w:t>年相比减少了</w:t>
      </w:r>
      <w:r>
        <w:rPr>
          <w:rFonts w:hint="eastAsia"/>
        </w:rPr>
        <w:t>9%</w:t>
      </w:r>
      <w:r>
        <w:rPr>
          <w:rFonts w:hint="eastAsia"/>
        </w:rPr>
        <w:t>。截至</w:t>
      </w:r>
      <w:r>
        <w:rPr>
          <w:rFonts w:hint="eastAsia"/>
        </w:rPr>
        <w:t>2021</w:t>
      </w:r>
      <w:r>
        <w:rPr>
          <w:rFonts w:hint="eastAsia"/>
        </w:rPr>
        <w:t>年</w:t>
      </w:r>
      <w:r>
        <w:rPr>
          <w:rFonts w:hint="eastAsia"/>
        </w:rPr>
        <w:t>10</w:t>
      </w:r>
      <w:r>
        <w:rPr>
          <w:rFonts w:hint="eastAsia"/>
        </w:rPr>
        <w:t>月</w:t>
      </w:r>
      <w:r>
        <w:rPr>
          <w:rFonts w:hint="eastAsia"/>
        </w:rPr>
        <w:t>1</w:t>
      </w:r>
      <w:r>
        <w:rPr>
          <w:rFonts w:hint="eastAsia"/>
        </w:rPr>
        <w:t>日，约有</w:t>
      </w:r>
      <w:r>
        <w:rPr>
          <w:rFonts w:hint="eastAsia"/>
        </w:rPr>
        <w:t>2</w:t>
      </w:r>
      <w:r w:rsidR="00501465">
        <w:t>,</w:t>
      </w:r>
      <w:r>
        <w:rPr>
          <w:rFonts w:hint="eastAsia"/>
        </w:rPr>
        <w:t>420</w:t>
      </w:r>
      <w:r>
        <w:rPr>
          <w:rFonts w:hint="eastAsia"/>
        </w:rPr>
        <w:t>人被关押在还押中心，其中</w:t>
      </w:r>
      <w:r>
        <w:rPr>
          <w:rFonts w:hint="eastAsia"/>
        </w:rPr>
        <w:t>85%</w:t>
      </w:r>
      <w:r>
        <w:rPr>
          <w:rFonts w:hint="eastAsia"/>
        </w:rPr>
        <w:t>在羁押候审或接受刑事调查，</w:t>
      </w:r>
      <w:r>
        <w:rPr>
          <w:rFonts w:hint="eastAsia"/>
        </w:rPr>
        <w:t>2%</w:t>
      </w:r>
      <w:r>
        <w:rPr>
          <w:rFonts w:hint="eastAsia"/>
        </w:rPr>
        <w:t>被拘捕或以其他方式被拘留。</w:t>
      </w:r>
      <w:r>
        <w:rPr>
          <w:rFonts w:hint="eastAsia"/>
        </w:rPr>
        <w:t>2021</w:t>
      </w:r>
      <w:r>
        <w:rPr>
          <w:rFonts w:hint="eastAsia"/>
        </w:rPr>
        <w:t>年</w:t>
      </w:r>
      <w:r>
        <w:rPr>
          <w:rFonts w:hint="eastAsia"/>
        </w:rPr>
        <w:t>10</w:t>
      </w:r>
      <w:r>
        <w:rPr>
          <w:rFonts w:hint="eastAsia"/>
        </w:rPr>
        <w:t>月</w:t>
      </w:r>
      <w:r>
        <w:rPr>
          <w:rFonts w:hint="eastAsia"/>
        </w:rPr>
        <w:t>1</w:t>
      </w:r>
      <w:r>
        <w:rPr>
          <w:rFonts w:hint="eastAsia"/>
        </w:rPr>
        <w:t>日，</w:t>
      </w:r>
      <w:r>
        <w:rPr>
          <w:rFonts w:hint="eastAsia"/>
        </w:rPr>
        <w:t>229</w:t>
      </w:r>
      <w:r>
        <w:rPr>
          <w:rFonts w:hint="eastAsia"/>
        </w:rPr>
        <w:t>人在还</w:t>
      </w:r>
      <w:proofErr w:type="gramStart"/>
      <w:r>
        <w:rPr>
          <w:rFonts w:hint="eastAsia"/>
        </w:rPr>
        <w:t>押中心</w:t>
      </w:r>
      <w:proofErr w:type="gramEnd"/>
      <w:r>
        <w:rPr>
          <w:rFonts w:hint="eastAsia"/>
        </w:rPr>
        <w:t>服刑。</w:t>
      </w:r>
      <w:r>
        <w:rPr>
          <w:rFonts w:hint="eastAsia"/>
        </w:rPr>
        <w:t>2022</w:t>
      </w:r>
      <w:r>
        <w:rPr>
          <w:rFonts w:hint="eastAsia"/>
        </w:rPr>
        <w:t>年，约有</w:t>
      </w:r>
      <w:r>
        <w:rPr>
          <w:rFonts w:hint="eastAsia"/>
        </w:rPr>
        <w:t>10,500</w:t>
      </w:r>
      <w:r>
        <w:rPr>
          <w:rFonts w:hint="eastAsia"/>
        </w:rPr>
        <w:t>人接受缓刑服务机构的监督，比</w:t>
      </w:r>
      <w:r>
        <w:rPr>
          <w:rFonts w:hint="eastAsia"/>
        </w:rPr>
        <w:t>2021</w:t>
      </w:r>
      <w:r>
        <w:rPr>
          <w:rFonts w:hint="eastAsia"/>
        </w:rPr>
        <w:t>年减少了</w:t>
      </w:r>
      <w:r>
        <w:rPr>
          <w:rFonts w:hint="eastAsia"/>
        </w:rPr>
        <w:t>6%</w:t>
      </w:r>
      <w:r>
        <w:rPr>
          <w:rFonts w:hint="eastAsia"/>
        </w:rPr>
        <w:t>。在</w:t>
      </w:r>
      <w:r>
        <w:rPr>
          <w:rFonts w:hint="eastAsia"/>
        </w:rPr>
        <w:t>2022</w:t>
      </w:r>
      <w:r>
        <w:rPr>
          <w:rFonts w:hint="eastAsia"/>
        </w:rPr>
        <w:t>年的所有定罪决定中，约有</w:t>
      </w:r>
      <w:r>
        <w:rPr>
          <w:rFonts w:hint="eastAsia"/>
        </w:rPr>
        <w:t>5</w:t>
      </w:r>
      <w:r w:rsidR="000C4D20">
        <w:t>,</w:t>
      </w:r>
      <w:r>
        <w:rPr>
          <w:rFonts w:hint="eastAsia"/>
        </w:rPr>
        <w:t>480</w:t>
      </w:r>
      <w:r>
        <w:rPr>
          <w:rFonts w:hint="eastAsia"/>
        </w:rPr>
        <w:t>起</w:t>
      </w:r>
      <w:r>
        <w:rPr>
          <w:rFonts w:hint="eastAsia"/>
        </w:rPr>
        <w:t>(5%)</w:t>
      </w:r>
      <w:r>
        <w:rPr>
          <w:rFonts w:hint="eastAsia"/>
        </w:rPr>
        <w:t>判处缓刑。在</w:t>
      </w:r>
      <w:r>
        <w:rPr>
          <w:rFonts w:hint="eastAsia"/>
        </w:rPr>
        <w:t>2022</w:t>
      </w:r>
      <w:r>
        <w:rPr>
          <w:rFonts w:hint="eastAsia"/>
        </w:rPr>
        <w:t>年服完刑期的人员中，</w:t>
      </w:r>
      <w:r>
        <w:rPr>
          <w:rFonts w:hint="eastAsia"/>
        </w:rPr>
        <w:t>70%</w:t>
      </w:r>
      <w:r>
        <w:rPr>
          <w:rFonts w:hint="eastAsia"/>
        </w:rPr>
        <w:t>获得了假释。</w:t>
      </w:r>
    </w:p>
    <w:p w14:paraId="2DBFA25E" w14:textId="77777777" w:rsidR="00C93FAE" w:rsidRDefault="00C93FAE" w:rsidP="000C4D20">
      <w:pPr>
        <w:pStyle w:val="H23GC"/>
      </w:pPr>
      <w:r>
        <w:rPr>
          <w:rFonts w:hint="eastAsia"/>
        </w:rPr>
        <w:tab/>
      </w:r>
      <w:r>
        <w:rPr>
          <w:rFonts w:hint="eastAsia"/>
        </w:rPr>
        <w:tab/>
      </w:r>
      <w:r>
        <w:rPr>
          <w:rFonts w:hint="eastAsia"/>
        </w:rPr>
        <w:t>国际刑事法院和其他国际刑事法庭</w:t>
      </w:r>
    </w:p>
    <w:p w14:paraId="2BC4ACEB" w14:textId="77777777" w:rsidR="00C93FAE" w:rsidRDefault="00C93FAE" w:rsidP="00C93FAE">
      <w:pPr>
        <w:pStyle w:val="SingleTxtGC"/>
      </w:pPr>
      <w:r>
        <w:rPr>
          <w:rFonts w:hint="eastAsia"/>
        </w:rPr>
        <w:t>57.</w:t>
      </w:r>
      <w:r>
        <w:rPr>
          <w:rFonts w:hint="eastAsia"/>
        </w:rPr>
        <w:tab/>
      </w:r>
      <w:r>
        <w:rPr>
          <w:rFonts w:hint="eastAsia"/>
        </w:rPr>
        <w:t>自</w:t>
      </w:r>
      <w:r>
        <w:rPr>
          <w:rFonts w:hint="eastAsia"/>
        </w:rPr>
        <w:t>2002</w:t>
      </w:r>
      <w:r>
        <w:rPr>
          <w:rFonts w:hint="eastAsia"/>
        </w:rPr>
        <w:t>年以来，瑞典一直与国际刑事法院合作，并通过《某些国际罪行的刑事责任法》</w:t>
      </w:r>
      <w:r>
        <w:rPr>
          <w:rFonts w:hint="eastAsia"/>
        </w:rPr>
        <w:t>(2014:406)</w:t>
      </w:r>
      <w:r>
        <w:rPr>
          <w:rFonts w:hint="eastAsia"/>
        </w:rPr>
        <w:t>将《罗马规约》转化为国内法。自</w:t>
      </w:r>
      <w:r>
        <w:rPr>
          <w:rFonts w:hint="eastAsia"/>
        </w:rPr>
        <w:t>2007</w:t>
      </w:r>
      <w:r>
        <w:rPr>
          <w:rFonts w:hint="eastAsia"/>
        </w:rPr>
        <w:t>年以来，瑞典已与国际刑事法院</w:t>
      </w:r>
      <w:proofErr w:type="gramStart"/>
      <w:r>
        <w:rPr>
          <w:rFonts w:hint="eastAsia"/>
        </w:rPr>
        <w:t>作出</w:t>
      </w:r>
      <w:proofErr w:type="gramEnd"/>
      <w:r>
        <w:rPr>
          <w:rFonts w:hint="eastAsia"/>
        </w:rPr>
        <w:t>安排，将已经或即将在国际刑事法院诉讼程序中出庭的证人以及在必要时将与这些证人关系密切的人转移到瑞典境内。按照这些安排，国际刑事法院书记官长可请求转移证人，并在必要时转移与证人关系密切的人。瑞典将在个案基础上审议此类请求，如认为必要和适当，则向被转移者提供一年的居住和工作许可。这些安排通过《外国人法》</w:t>
      </w:r>
      <w:r>
        <w:rPr>
          <w:rFonts w:hint="eastAsia"/>
        </w:rPr>
        <w:t>(2005:716)</w:t>
      </w:r>
      <w:r>
        <w:rPr>
          <w:rFonts w:hint="eastAsia"/>
        </w:rPr>
        <w:t>第</w:t>
      </w:r>
      <w:r>
        <w:rPr>
          <w:rFonts w:hint="eastAsia"/>
        </w:rPr>
        <w:t>22</w:t>
      </w:r>
      <w:r>
        <w:rPr>
          <w:rFonts w:hint="eastAsia"/>
        </w:rPr>
        <w:t>章在瑞典国内立法中实施。</w:t>
      </w:r>
    </w:p>
    <w:p w14:paraId="332A72C3" w14:textId="77777777" w:rsidR="00C93FAE" w:rsidRDefault="00C93FAE" w:rsidP="00C93FAE">
      <w:pPr>
        <w:pStyle w:val="SingleTxtGC"/>
      </w:pPr>
      <w:r>
        <w:rPr>
          <w:rFonts w:hint="eastAsia"/>
        </w:rPr>
        <w:t>58.</w:t>
      </w:r>
      <w:r>
        <w:rPr>
          <w:rFonts w:hint="eastAsia"/>
        </w:rPr>
        <w:tab/>
        <w:t>2017</w:t>
      </w:r>
      <w:r>
        <w:rPr>
          <w:rFonts w:hint="eastAsia"/>
        </w:rPr>
        <w:t>年，瑞典与国际刑事法院签署了《关于执行国际刑事法院判决的协议》。在国际刑事法院对被告</w:t>
      </w:r>
      <w:proofErr w:type="gramStart"/>
      <w:r>
        <w:rPr>
          <w:rFonts w:hint="eastAsia"/>
        </w:rPr>
        <w:t>作出</w:t>
      </w:r>
      <w:proofErr w:type="gramEnd"/>
      <w:r>
        <w:rPr>
          <w:rFonts w:hint="eastAsia"/>
        </w:rPr>
        <w:t>判决后，法院院长会议会与瑞典联系，请求瑞典表明其是否愿意接收被国际刑事法院定罪的人。如果瑞典表示愿意接收，院长会议必须请求瑞典向国际刑事法院提供关于瑞典羁押制度的最新和必要信息。院长会议如指定瑞典作为被判刑者的服刑国，必须将该决定通知瑞典。瑞典必须根据其国内法迅速</w:t>
      </w:r>
      <w:proofErr w:type="gramStart"/>
      <w:r>
        <w:rPr>
          <w:rFonts w:hint="eastAsia"/>
        </w:rPr>
        <w:t>作出</w:t>
      </w:r>
      <w:proofErr w:type="gramEnd"/>
      <w:r>
        <w:rPr>
          <w:rFonts w:hint="eastAsia"/>
        </w:rPr>
        <w:t>是否接受指定的决定并通知院长会议。</w:t>
      </w:r>
    </w:p>
    <w:p w14:paraId="7E816FF0" w14:textId="77777777" w:rsidR="00C93FAE" w:rsidRDefault="00C93FAE" w:rsidP="00C93FAE">
      <w:pPr>
        <w:pStyle w:val="SingleTxtGC"/>
      </w:pPr>
      <w:r>
        <w:rPr>
          <w:rFonts w:hint="eastAsia"/>
        </w:rPr>
        <w:t>59.</w:t>
      </w:r>
      <w:r>
        <w:rPr>
          <w:rFonts w:hint="eastAsia"/>
        </w:rPr>
        <w:tab/>
      </w:r>
      <w:r>
        <w:rPr>
          <w:rFonts w:hint="eastAsia"/>
        </w:rPr>
        <w:t>此外，瑞典还是《国际刑事法院特权和豁免协定》的缔约国。自</w:t>
      </w:r>
      <w:r>
        <w:rPr>
          <w:rFonts w:hint="eastAsia"/>
        </w:rPr>
        <w:t>20</w:t>
      </w:r>
      <w:r>
        <w:rPr>
          <w:rFonts w:hint="eastAsia"/>
        </w:rPr>
        <w:t>世纪</w:t>
      </w:r>
      <w:r>
        <w:rPr>
          <w:rFonts w:hint="eastAsia"/>
        </w:rPr>
        <w:t>90</w:t>
      </w:r>
      <w:r>
        <w:rPr>
          <w:rFonts w:hint="eastAsia"/>
        </w:rPr>
        <w:t>年代中期以来，瑞典还一直与联合国安理会分别于</w:t>
      </w:r>
      <w:r>
        <w:rPr>
          <w:rFonts w:hint="eastAsia"/>
        </w:rPr>
        <w:t>1993</w:t>
      </w:r>
      <w:r>
        <w:rPr>
          <w:rFonts w:hint="eastAsia"/>
        </w:rPr>
        <w:t>年和</w:t>
      </w:r>
      <w:r>
        <w:rPr>
          <w:rFonts w:hint="eastAsia"/>
        </w:rPr>
        <w:t>1994</w:t>
      </w:r>
      <w:r>
        <w:rPr>
          <w:rFonts w:hint="eastAsia"/>
        </w:rPr>
        <w:t>年设立的前南斯拉夫问题国际法庭和卢旺达问题国际法庭合作。自</w:t>
      </w:r>
      <w:r>
        <w:rPr>
          <w:rFonts w:hint="eastAsia"/>
        </w:rPr>
        <w:t>2006</w:t>
      </w:r>
      <w:r>
        <w:rPr>
          <w:rFonts w:hint="eastAsia"/>
        </w:rPr>
        <w:t>年以来，瑞典还一直与</w:t>
      </w:r>
      <w:r>
        <w:rPr>
          <w:rFonts w:hint="eastAsia"/>
        </w:rPr>
        <w:t>2002</w:t>
      </w:r>
      <w:r>
        <w:rPr>
          <w:rFonts w:hint="eastAsia"/>
        </w:rPr>
        <w:t>年设立的塞拉利昂问题特别法庭合作。这些合作</w:t>
      </w:r>
      <w:proofErr w:type="gramStart"/>
      <w:r>
        <w:rPr>
          <w:rFonts w:hint="eastAsia"/>
        </w:rPr>
        <w:t>受若</w:t>
      </w:r>
      <w:proofErr w:type="gramEnd"/>
      <w:r>
        <w:rPr>
          <w:rFonts w:hint="eastAsia"/>
        </w:rPr>
        <w:t>干瑞典法律管辖，合作条件因提出请求的法院不同而异。简而言之，瑞典法律包含不同形式的刑事案件司法互助，包括讯问、取证、初步调查中的各种强制措施、嫌疑人移交</w:t>
      </w:r>
      <w:r>
        <w:rPr>
          <w:rFonts w:hint="eastAsia"/>
        </w:rPr>
        <w:t>(</w:t>
      </w:r>
      <w:r>
        <w:rPr>
          <w:rFonts w:hint="eastAsia"/>
        </w:rPr>
        <w:t>引渡</w:t>
      </w:r>
      <w:r>
        <w:rPr>
          <w:rFonts w:hint="eastAsia"/>
        </w:rPr>
        <w:t>)</w:t>
      </w:r>
      <w:r>
        <w:rPr>
          <w:rFonts w:hint="eastAsia"/>
        </w:rPr>
        <w:t>以及刑罚和其他决定的执行。</w:t>
      </w:r>
    </w:p>
    <w:p w14:paraId="46B046DE" w14:textId="77777777" w:rsidR="00C93FAE" w:rsidRDefault="00C93FAE" w:rsidP="00A475EC">
      <w:pPr>
        <w:pStyle w:val="HChGC"/>
      </w:pPr>
      <w:r>
        <w:rPr>
          <w:rFonts w:hint="eastAsia"/>
        </w:rPr>
        <w:tab/>
      </w:r>
      <w:r>
        <w:rPr>
          <w:rFonts w:hint="eastAsia"/>
        </w:rPr>
        <w:t>二</w:t>
      </w:r>
      <w:r>
        <w:rPr>
          <w:rFonts w:hint="eastAsia"/>
        </w:rPr>
        <w:t>.</w:t>
      </w:r>
      <w:r>
        <w:rPr>
          <w:rFonts w:hint="eastAsia"/>
        </w:rPr>
        <w:tab/>
      </w:r>
      <w:r>
        <w:rPr>
          <w:rFonts w:hint="eastAsia"/>
        </w:rPr>
        <w:t>保护和促进人权的总体框架</w:t>
      </w:r>
    </w:p>
    <w:p w14:paraId="739B9613" w14:textId="77777777" w:rsidR="00C93FAE" w:rsidRDefault="00C93FAE" w:rsidP="00A475EC">
      <w:pPr>
        <w:pStyle w:val="H1GC"/>
      </w:pPr>
      <w:r>
        <w:rPr>
          <w:rFonts w:hint="eastAsia"/>
        </w:rPr>
        <w:tab/>
        <w:t>A.</w:t>
      </w:r>
      <w:r>
        <w:rPr>
          <w:rFonts w:hint="eastAsia"/>
        </w:rPr>
        <w:tab/>
      </w:r>
      <w:r>
        <w:rPr>
          <w:rFonts w:hint="eastAsia"/>
        </w:rPr>
        <w:t>接受国际人权准则的情况</w:t>
      </w:r>
    </w:p>
    <w:p w14:paraId="32D95888" w14:textId="77777777" w:rsidR="00C93FAE" w:rsidRDefault="00C93FAE" w:rsidP="00C93FAE">
      <w:pPr>
        <w:pStyle w:val="SingleTxtGC"/>
      </w:pPr>
      <w:r>
        <w:rPr>
          <w:rFonts w:hint="eastAsia"/>
        </w:rPr>
        <w:t>60.</w:t>
      </w:r>
      <w:r>
        <w:rPr>
          <w:rFonts w:hint="eastAsia"/>
        </w:rPr>
        <w:tab/>
      </w:r>
      <w:r>
        <w:rPr>
          <w:rFonts w:hint="eastAsia"/>
        </w:rPr>
        <w:t>瑞典是联合国大多数主要人权公约的缔约国，其中包括《公民及政治权利国际公约》、《经济社会文化权利国际公约》、《消除一切形式种族歧视国际公约》、《消除对妇女一切形式歧视公约》、《禁止酷刑和其他残忍、不人道或有辱人格的待遇或处罚公约》、《儿童权利公约》和《残疾人权利公约》。瑞典还批准了这些公约的议定书，但《经济、社会、文化权利国际公约任择议定书》和《儿童权利公约关于设定来文程序的第三项任择议定书》除外。</w:t>
      </w:r>
      <w:r>
        <w:rPr>
          <w:rFonts w:hint="eastAsia"/>
        </w:rPr>
        <w:t>2007</w:t>
      </w:r>
      <w:r>
        <w:rPr>
          <w:rFonts w:hint="eastAsia"/>
        </w:rPr>
        <w:t>年，瑞典签署了《保护所有人免遭强迫失踪国际公约》。瑞典定期审查</w:t>
      </w:r>
      <w:proofErr w:type="gramStart"/>
      <w:r>
        <w:rPr>
          <w:rFonts w:hint="eastAsia"/>
        </w:rPr>
        <w:t>本国对</w:t>
      </w:r>
      <w:proofErr w:type="gramEnd"/>
      <w:r>
        <w:rPr>
          <w:rFonts w:hint="eastAsia"/>
        </w:rPr>
        <w:t>联合国核心人权文书的保留意见。</w:t>
      </w:r>
    </w:p>
    <w:p w14:paraId="5726162C" w14:textId="77777777" w:rsidR="00C93FAE" w:rsidRDefault="00C93FAE" w:rsidP="00C93FAE">
      <w:pPr>
        <w:pStyle w:val="SingleTxtGC"/>
      </w:pPr>
      <w:r>
        <w:rPr>
          <w:rFonts w:hint="eastAsia"/>
        </w:rPr>
        <w:t>61.</w:t>
      </w:r>
      <w:r>
        <w:rPr>
          <w:rFonts w:hint="eastAsia"/>
        </w:rPr>
        <w:tab/>
      </w:r>
      <w:r>
        <w:rPr>
          <w:rFonts w:hint="eastAsia"/>
        </w:rPr>
        <w:t>瑞典以通过关于国家落实人权的战略为契机，审查了其对《公民及政治权利国际公约》第十条第三款、第十四条第七款和第二十条第一款、《经济社会文化权利国际公约》第七条</w:t>
      </w:r>
      <w:r>
        <w:rPr>
          <w:rFonts w:hint="eastAsia"/>
        </w:rPr>
        <w:t>(</w:t>
      </w:r>
      <w:r>
        <w:rPr>
          <w:rFonts w:hint="eastAsia"/>
        </w:rPr>
        <w:t>卯</w:t>
      </w:r>
      <w:r>
        <w:rPr>
          <w:rFonts w:hint="eastAsia"/>
        </w:rPr>
        <w:t>)</w:t>
      </w:r>
      <w:r>
        <w:rPr>
          <w:rFonts w:hint="eastAsia"/>
        </w:rPr>
        <w:t>款、《公民及政治权利国际公约任择议定书》第五条第二款和《消除一切形式种族歧视国际公约》第十四条第一款的保留意见。瑞典认为有必要继续维持这些保留意见。</w:t>
      </w:r>
    </w:p>
    <w:p w14:paraId="6B2D7BBC" w14:textId="77777777" w:rsidR="00C93FAE" w:rsidRDefault="00C93FAE" w:rsidP="00C93FAE">
      <w:pPr>
        <w:pStyle w:val="SingleTxtGC"/>
      </w:pPr>
      <w:r>
        <w:rPr>
          <w:rFonts w:hint="eastAsia"/>
        </w:rPr>
        <w:t>62.</w:t>
      </w:r>
      <w:r>
        <w:rPr>
          <w:rFonts w:hint="eastAsia"/>
        </w:rPr>
        <w:tab/>
      </w:r>
      <w:r>
        <w:rPr>
          <w:rFonts w:hint="eastAsia"/>
        </w:rPr>
        <w:t>瑞典认为针对要求将少年犯与成年犯隔离提出的保留意见是合理的，因为适用《公民及政治权利国际公约》第十条第三款可能导致少年犯被关押在远离家人和社会服务的中央机构，这会对其健康产生不利影响。如果在中央监狱中选择将少年犯与成年犯分开关押，可能会导致少年犯被孤立，因为服刑的少年犯人数相对很少。因此，根据现行制度，被判犯有严重罪行、必须被剥夺自由的</w:t>
      </w:r>
      <w:r>
        <w:rPr>
          <w:rFonts w:hint="eastAsia"/>
        </w:rPr>
        <w:t>18</w:t>
      </w:r>
      <w:r>
        <w:rPr>
          <w:rFonts w:hint="eastAsia"/>
        </w:rPr>
        <w:t>岁以下儿童一般不会被判入狱，而是进入青少年管教所，这是专门为</w:t>
      </w:r>
      <w:proofErr w:type="gramStart"/>
      <w:r>
        <w:rPr>
          <w:rFonts w:hint="eastAsia"/>
        </w:rPr>
        <w:t>改造约</w:t>
      </w:r>
      <w:proofErr w:type="gramEnd"/>
      <w:r>
        <w:rPr>
          <w:rFonts w:hint="eastAsia"/>
        </w:rPr>
        <w:t>25</w:t>
      </w:r>
      <w:r>
        <w:rPr>
          <w:rFonts w:hint="eastAsia"/>
        </w:rPr>
        <w:t>岁以下年轻罪犯开设的机构。瑞典还批准了《儿童权利公约》，根据该《公约》，所有被剥夺自由的儿童必须与成人隔开，除非认为反之最有利于儿童</w:t>
      </w:r>
      <w:r>
        <w:rPr>
          <w:rFonts w:hint="eastAsia"/>
        </w:rPr>
        <w:t>(</w:t>
      </w:r>
      <w:r>
        <w:rPr>
          <w:rFonts w:hint="eastAsia"/>
        </w:rPr>
        <w:t>第</w:t>
      </w:r>
      <w:r>
        <w:rPr>
          <w:rFonts w:hint="eastAsia"/>
        </w:rPr>
        <w:t>37</w:t>
      </w:r>
      <w:r>
        <w:rPr>
          <w:rFonts w:hint="eastAsia"/>
        </w:rPr>
        <w:t>条</w:t>
      </w:r>
      <w:r>
        <w:rPr>
          <w:rFonts w:hint="eastAsia"/>
        </w:rPr>
        <w:t>(C)</w:t>
      </w:r>
      <w:r>
        <w:rPr>
          <w:rFonts w:hint="eastAsia"/>
        </w:rPr>
        <w:t>项</w:t>
      </w:r>
      <w:r>
        <w:rPr>
          <w:rFonts w:hint="eastAsia"/>
        </w:rPr>
        <w:t>)</w:t>
      </w:r>
      <w:r>
        <w:rPr>
          <w:rFonts w:hint="eastAsia"/>
        </w:rPr>
        <w:t>。鉴于存在根据《司法程序法》第</w:t>
      </w:r>
      <w:r>
        <w:rPr>
          <w:rFonts w:hint="eastAsia"/>
        </w:rPr>
        <w:t>58</w:t>
      </w:r>
      <w:r>
        <w:rPr>
          <w:rFonts w:hint="eastAsia"/>
        </w:rPr>
        <w:t>章第</w:t>
      </w:r>
      <w:r>
        <w:rPr>
          <w:rFonts w:hint="eastAsia"/>
        </w:rPr>
        <w:t>3</w:t>
      </w:r>
      <w:r>
        <w:rPr>
          <w:rFonts w:hint="eastAsia"/>
        </w:rPr>
        <w:t>节请求重审的可能性，瑞典认为对《公民及政治权利国际公约》第十四条第七款的保留意见是必要的。如果发现新证据后不允许申请重审案件，将破坏瑞典司法系统的公信力。</w:t>
      </w:r>
    </w:p>
    <w:p w14:paraId="4AF0CEC3" w14:textId="77777777" w:rsidR="00C93FAE" w:rsidRDefault="00C93FAE" w:rsidP="00C93FAE">
      <w:pPr>
        <w:pStyle w:val="SingleTxtGC"/>
      </w:pPr>
      <w:r>
        <w:rPr>
          <w:rFonts w:hint="eastAsia"/>
        </w:rPr>
        <w:t>63.</w:t>
      </w:r>
      <w:r>
        <w:rPr>
          <w:rFonts w:hint="eastAsia"/>
        </w:rPr>
        <w:tab/>
      </w:r>
      <w:r>
        <w:rPr>
          <w:rFonts w:hint="eastAsia"/>
        </w:rPr>
        <w:t>对《公民及政治权利国际公约》第二十条第一款</w:t>
      </w:r>
      <w:proofErr w:type="gramStart"/>
      <w:r>
        <w:rPr>
          <w:rFonts w:hint="eastAsia"/>
        </w:rPr>
        <w:t>作出</w:t>
      </w:r>
      <w:proofErr w:type="gramEnd"/>
      <w:r>
        <w:rPr>
          <w:rFonts w:hint="eastAsia"/>
        </w:rPr>
        <w:t>保留出于以下三个原因。首先，禁止宣传战争意味着限制表达和意见自由，而这些自由受《公约》第十九条和《瑞典宪法》保护。第二，必须考虑此项规定对公众自由辩论的影响。最后，很难具体规定应受惩罚的领域。</w:t>
      </w:r>
    </w:p>
    <w:p w14:paraId="1338E53C" w14:textId="77777777" w:rsidR="00C93FAE" w:rsidRDefault="00C93FAE" w:rsidP="00C93FAE">
      <w:pPr>
        <w:pStyle w:val="SingleTxtGC"/>
      </w:pPr>
      <w:r>
        <w:rPr>
          <w:rFonts w:hint="eastAsia"/>
        </w:rPr>
        <w:t>64.</w:t>
      </w:r>
      <w:r>
        <w:rPr>
          <w:rFonts w:hint="eastAsia"/>
        </w:rPr>
        <w:tab/>
      </w:r>
      <w:r>
        <w:rPr>
          <w:rFonts w:hint="eastAsia"/>
        </w:rPr>
        <w:t>瑞典针对</w:t>
      </w:r>
      <w:r>
        <w:rPr>
          <w:rFonts w:hint="eastAsia"/>
        </w:rPr>
        <w:t>1966</w:t>
      </w:r>
      <w:r>
        <w:rPr>
          <w:rFonts w:hint="eastAsia"/>
        </w:rPr>
        <w:t>年《公民及政治权利国际公约任择议定书》发表了一项声明，大意是瑞典认为该议定书第五条第二款意味着人权事务委员会在审议任何个人来文之前，必须确定同一事项过去和现在均未受到另一国际调查或解决程序的审查。</w:t>
      </w:r>
    </w:p>
    <w:p w14:paraId="08BEF2D6" w14:textId="77777777" w:rsidR="00C93FAE" w:rsidRDefault="00C93FAE" w:rsidP="00C93FAE">
      <w:pPr>
        <w:pStyle w:val="SingleTxtGC"/>
      </w:pPr>
      <w:r>
        <w:rPr>
          <w:rFonts w:hint="eastAsia"/>
        </w:rPr>
        <w:t>65.</w:t>
      </w:r>
      <w:r>
        <w:rPr>
          <w:rFonts w:hint="eastAsia"/>
        </w:rPr>
        <w:tab/>
      </w:r>
      <w:r>
        <w:rPr>
          <w:rFonts w:hint="eastAsia"/>
        </w:rPr>
        <w:t>瑞典认为，出于对《公民及政治权利国际公约任择议定书》第五条第二款持保留意见相同的原因，有必要继续维持对《消除一切形式种族歧视国际公约》第十四条第一款的保留意见。</w:t>
      </w:r>
    </w:p>
    <w:p w14:paraId="2076AC86" w14:textId="77777777" w:rsidR="00C93FAE" w:rsidRDefault="00C93FAE" w:rsidP="00C93FAE">
      <w:pPr>
        <w:pStyle w:val="SingleTxtGC"/>
      </w:pPr>
      <w:r>
        <w:rPr>
          <w:rFonts w:hint="eastAsia"/>
        </w:rPr>
        <w:t>66.</w:t>
      </w:r>
      <w:r>
        <w:rPr>
          <w:rFonts w:hint="eastAsia"/>
        </w:rPr>
        <w:tab/>
      </w:r>
      <w:r>
        <w:rPr>
          <w:rFonts w:hint="eastAsia"/>
        </w:rPr>
        <w:t>瑞典也是劳工组织有关劳工权利的多项公约缔约国，包括八项核心公约。</w:t>
      </w:r>
    </w:p>
    <w:p w14:paraId="03C54DAD" w14:textId="77777777" w:rsidR="00C93FAE" w:rsidRDefault="00C93FAE" w:rsidP="00C93FAE">
      <w:pPr>
        <w:pStyle w:val="SingleTxtGC"/>
      </w:pPr>
      <w:r>
        <w:rPr>
          <w:rFonts w:hint="eastAsia"/>
        </w:rPr>
        <w:t>67.</w:t>
      </w:r>
      <w:r>
        <w:rPr>
          <w:rFonts w:hint="eastAsia"/>
        </w:rPr>
        <w:tab/>
      </w:r>
      <w:r>
        <w:rPr>
          <w:rFonts w:hint="eastAsia"/>
        </w:rPr>
        <w:t>瑞典是《欧洲保护人权与基本自由公约》</w:t>
      </w:r>
      <w:r>
        <w:rPr>
          <w:rFonts w:hint="eastAsia"/>
        </w:rPr>
        <w:t>(</w:t>
      </w:r>
      <w:r>
        <w:rPr>
          <w:rFonts w:hint="eastAsia"/>
        </w:rPr>
        <w:t>《欧洲人权公约》</w:t>
      </w:r>
      <w:r>
        <w:rPr>
          <w:rFonts w:hint="eastAsia"/>
        </w:rPr>
        <w:t>)</w:t>
      </w:r>
      <w:r>
        <w:rPr>
          <w:rFonts w:hint="eastAsia"/>
        </w:rPr>
        <w:t>的缔约国。《公约》和第</w:t>
      </w:r>
      <w:r>
        <w:rPr>
          <w:rFonts w:hint="eastAsia"/>
        </w:rPr>
        <w:t>1</w:t>
      </w:r>
      <w:r>
        <w:rPr>
          <w:rFonts w:hint="eastAsia"/>
        </w:rPr>
        <w:t>、</w:t>
      </w:r>
      <w:r>
        <w:rPr>
          <w:rFonts w:hint="eastAsia"/>
        </w:rPr>
        <w:t>4</w:t>
      </w:r>
      <w:r>
        <w:rPr>
          <w:rFonts w:hint="eastAsia"/>
        </w:rPr>
        <w:t>、</w:t>
      </w:r>
      <w:r>
        <w:rPr>
          <w:rFonts w:hint="eastAsia"/>
        </w:rPr>
        <w:t>6</w:t>
      </w:r>
      <w:r>
        <w:rPr>
          <w:rFonts w:hint="eastAsia"/>
        </w:rPr>
        <w:t>、</w:t>
      </w:r>
      <w:r>
        <w:rPr>
          <w:rFonts w:hint="eastAsia"/>
        </w:rPr>
        <w:t>7</w:t>
      </w:r>
      <w:r>
        <w:rPr>
          <w:rFonts w:hint="eastAsia"/>
        </w:rPr>
        <w:t>和</w:t>
      </w:r>
      <w:r>
        <w:rPr>
          <w:rFonts w:hint="eastAsia"/>
        </w:rPr>
        <w:t>13</w:t>
      </w:r>
      <w:r>
        <w:rPr>
          <w:rFonts w:hint="eastAsia"/>
        </w:rPr>
        <w:t>号附加议定书于</w:t>
      </w:r>
      <w:r>
        <w:rPr>
          <w:rFonts w:hint="eastAsia"/>
        </w:rPr>
        <w:t>1995</w:t>
      </w:r>
      <w:r>
        <w:rPr>
          <w:rFonts w:hint="eastAsia"/>
        </w:rPr>
        <w:t>年被纳入瑞典法律。瑞典对该《公约》或这些议定书没有保留意见，但没有批准第</w:t>
      </w:r>
      <w:r>
        <w:rPr>
          <w:rFonts w:hint="eastAsia"/>
        </w:rPr>
        <w:t>12</w:t>
      </w:r>
      <w:r>
        <w:rPr>
          <w:rFonts w:hint="eastAsia"/>
        </w:rPr>
        <w:t>和</w:t>
      </w:r>
      <w:r>
        <w:rPr>
          <w:rFonts w:hint="eastAsia"/>
        </w:rPr>
        <w:t>16</w:t>
      </w:r>
      <w:r>
        <w:rPr>
          <w:rFonts w:hint="eastAsia"/>
        </w:rPr>
        <w:t>项议定书。根据《政府法典》，不得通过任何违背瑞典在《欧洲人权公约》下所承担义务的法律或其他规定。</w:t>
      </w:r>
    </w:p>
    <w:p w14:paraId="434193C7" w14:textId="77777777" w:rsidR="00C93FAE" w:rsidRDefault="00C93FAE" w:rsidP="00C93FAE">
      <w:pPr>
        <w:pStyle w:val="SingleTxtGC"/>
      </w:pPr>
      <w:r>
        <w:rPr>
          <w:rFonts w:hint="eastAsia"/>
        </w:rPr>
        <w:t>68.</w:t>
      </w:r>
      <w:r>
        <w:rPr>
          <w:rFonts w:hint="eastAsia"/>
        </w:rPr>
        <w:tab/>
      </w:r>
      <w:r>
        <w:rPr>
          <w:rFonts w:hint="eastAsia"/>
        </w:rPr>
        <w:t>凡是声称根据《欧洲人权公约》及其议定书享有的权利遭受瑞典侵犯的个人、非政府组织或个人团体，均可诉诸欧洲人权法院。此外，任何缔约国均可向欧洲人权法院提交关于另一缔约国违反《欧洲人权公约》或其议定书条款的指控。作为《公约》的缔约国，瑞典必须遵守该法院针对其</w:t>
      </w:r>
      <w:proofErr w:type="gramStart"/>
      <w:r>
        <w:rPr>
          <w:rFonts w:hint="eastAsia"/>
        </w:rPr>
        <w:t>作出</w:t>
      </w:r>
      <w:proofErr w:type="gramEnd"/>
      <w:r>
        <w:rPr>
          <w:rFonts w:hint="eastAsia"/>
        </w:rPr>
        <w:t>的判决。在一些案件中，针对瑞典的判决帮助申诉者获得了公正赔偿，在有些情况下，判决促使瑞典修订了法律。瑞典也是欧洲委员会另外一些人权公约的缔约国。</w:t>
      </w:r>
    </w:p>
    <w:p w14:paraId="45CF2065" w14:textId="77777777" w:rsidR="00C93FAE" w:rsidRDefault="00C93FAE" w:rsidP="00C93FAE">
      <w:pPr>
        <w:pStyle w:val="SingleTxtGC"/>
      </w:pPr>
      <w:r>
        <w:rPr>
          <w:rFonts w:hint="eastAsia"/>
        </w:rPr>
        <w:t>69.</w:t>
      </w:r>
      <w:r>
        <w:rPr>
          <w:rFonts w:hint="eastAsia"/>
        </w:rPr>
        <w:tab/>
      </w:r>
      <w:r>
        <w:rPr>
          <w:rFonts w:hint="eastAsia"/>
        </w:rPr>
        <w:t>作为欧洲安全与合作组织</w:t>
      </w:r>
      <w:r>
        <w:rPr>
          <w:rFonts w:hint="eastAsia"/>
        </w:rPr>
        <w:t>(</w:t>
      </w:r>
      <w:r>
        <w:rPr>
          <w:rFonts w:hint="eastAsia"/>
        </w:rPr>
        <w:t>欧安组织</w:t>
      </w:r>
      <w:r>
        <w:rPr>
          <w:rFonts w:hint="eastAsia"/>
        </w:rPr>
        <w:t>)</w:t>
      </w:r>
      <w:r>
        <w:rPr>
          <w:rFonts w:hint="eastAsia"/>
        </w:rPr>
        <w:t>的参与国，瑞典履行在该组织中</w:t>
      </w:r>
      <w:proofErr w:type="gramStart"/>
      <w:r>
        <w:rPr>
          <w:rFonts w:hint="eastAsia"/>
        </w:rPr>
        <w:t>作出</w:t>
      </w:r>
      <w:proofErr w:type="gramEnd"/>
      <w:r>
        <w:rPr>
          <w:rFonts w:hint="eastAsia"/>
        </w:rPr>
        <w:t>的承诺，包括在人权方面</w:t>
      </w:r>
      <w:proofErr w:type="gramStart"/>
      <w:r>
        <w:rPr>
          <w:rFonts w:hint="eastAsia"/>
        </w:rPr>
        <w:t>作出</w:t>
      </w:r>
      <w:proofErr w:type="gramEnd"/>
      <w:r>
        <w:rPr>
          <w:rFonts w:hint="eastAsia"/>
        </w:rPr>
        <w:t>的承诺。</w:t>
      </w:r>
    </w:p>
    <w:p w14:paraId="361A9A22" w14:textId="77777777" w:rsidR="00C93FAE" w:rsidRDefault="00C93FAE" w:rsidP="007C4C25">
      <w:pPr>
        <w:pStyle w:val="H1GC"/>
      </w:pPr>
      <w:r>
        <w:rPr>
          <w:rFonts w:hint="eastAsia"/>
        </w:rPr>
        <w:tab/>
        <w:t>B.</w:t>
      </w:r>
      <w:r>
        <w:rPr>
          <w:rFonts w:hint="eastAsia"/>
        </w:rPr>
        <w:tab/>
      </w:r>
      <w:r>
        <w:rPr>
          <w:rFonts w:hint="eastAsia"/>
        </w:rPr>
        <w:t>国家一级保护人权的法律框架</w:t>
      </w:r>
    </w:p>
    <w:p w14:paraId="3597E338" w14:textId="77777777" w:rsidR="00C93FAE" w:rsidRDefault="00C93FAE" w:rsidP="00C93FAE">
      <w:pPr>
        <w:pStyle w:val="SingleTxtGC"/>
      </w:pPr>
      <w:r>
        <w:rPr>
          <w:rFonts w:hint="eastAsia"/>
        </w:rPr>
        <w:t>70.</w:t>
      </w:r>
      <w:r>
        <w:rPr>
          <w:rFonts w:hint="eastAsia"/>
        </w:rPr>
        <w:tab/>
      </w:r>
      <w:r>
        <w:rPr>
          <w:rFonts w:hint="eastAsia"/>
        </w:rPr>
        <w:t>瑞典人民享有的权利和自由主要受三部基本法保护：《政府法典》、《新闻自由法》和《表达自由基本法》。《政府法典》规定公共权力的行使必须尊重所有人的平等价值和个人的自由与尊严。</w:t>
      </w:r>
    </w:p>
    <w:p w14:paraId="1EF49F28" w14:textId="77777777" w:rsidR="00C93FAE" w:rsidRDefault="00C93FAE" w:rsidP="00C93FAE">
      <w:pPr>
        <w:pStyle w:val="SingleTxtGC"/>
      </w:pPr>
      <w:r>
        <w:rPr>
          <w:rFonts w:hint="eastAsia"/>
        </w:rPr>
        <w:t>71.</w:t>
      </w:r>
      <w:r>
        <w:rPr>
          <w:rFonts w:hint="eastAsia"/>
        </w:rPr>
        <w:tab/>
      </w:r>
      <w:r>
        <w:rPr>
          <w:rFonts w:hint="eastAsia"/>
        </w:rPr>
        <w:t>《政府法典》载有一系列人权和自由，其中有些被视为“绝对”权利和自由，除非修订基本法，否则这些权利和自由不得受到限制。其他权利和自由可以受其他类型法规的限制，主要是法律规定的限制。绝对权利包括朝拜自由；不受追溯性惩罚；不受公共机构胁迫表明关于政治、宗教、文化或类似问题的意见；</w:t>
      </w:r>
      <w:proofErr w:type="gramStart"/>
      <w:r>
        <w:rPr>
          <w:rFonts w:hint="eastAsia"/>
        </w:rPr>
        <w:t>不</w:t>
      </w:r>
      <w:proofErr w:type="gramEnd"/>
      <w:r>
        <w:rPr>
          <w:rFonts w:hint="eastAsia"/>
        </w:rPr>
        <w:t>被迫参加形成见解的会议、</w:t>
      </w:r>
      <w:proofErr w:type="gramStart"/>
      <w:r>
        <w:rPr>
          <w:rFonts w:hint="eastAsia"/>
        </w:rPr>
        <w:t>不</w:t>
      </w:r>
      <w:proofErr w:type="gramEnd"/>
      <w:r>
        <w:rPr>
          <w:rFonts w:hint="eastAsia"/>
        </w:rPr>
        <w:t>被迫参加政治社团、宗教团体或其他类似社团；以及被拘留后接受法院审讯的权利。《政府法典》还绝对禁止利用死刑、酷刑、体罚和医学干预措施逼取或压制供词。</w:t>
      </w:r>
    </w:p>
    <w:p w14:paraId="298A83C5" w14:textId="77777777" w:rsidR="00C93FAE" w:rsidRDefault="00C93FAE" w:rsidP="00C93FAE">
      <w:pPr>
        <w:pStyle w:val="SingleTxtGC"/>
      </w:pPr>
      <w:r>
        <w:rPr>
          <w:rFonts w:hint="eastAsia"/>
        </w:rPr>
        <w:t>72.</w:t>
      </w:r>
      <w:r>
        <w:rPr>
          <w:rFonts w:hint="eastAsia"/>
        </w:rPr>
        <w:tab/>
      </w:r>
      <w:r>
        <w:rPr>
          <w:rFonts w:hint="eastAsia"/>
        </w:rPr>
        <w:t>除了绝对权利之外，《政府法典》还规定了在某些情形下法律可以加以限制的权利和自由，包括表达自由；信息自由；集会自由；示威自由；结社自由；行动自由以及人身自由免遭剥夺的权利；免遭搜身和其他身体暴力的权利；信件和其他保密通信或电讯免遭审查的权利；免遭监视或系统监控等其他严重侵犯个人隐私行为的权利；以及接受公开审判的权利。但是，这种限制本身也受到限制。</w:t>
      </w:r>
    </w:p>
    <w:p w14:paraId="41EDE5EC" w14:textId="77777777" w:rsidR="00C93FAE" w:rsidRDefault="00C93FAE" w:rsidP="00C93FAE">
      <w:pPr>
        <w:pStyle w:val="SingleTxtGC"/>
      </w:pPr>
      <w:r>
        <w:rPr>
          <w:rFonts w:hint="eastAsia"/>
        </w:rPr>
        <w:t>73.</w:t>
      </w:r>
      <w:r>
        <w:rPr>
          <w:rFonts w:hint="eastAsia"/>
        </w:rPr>
        <w:tab/>
      </w:r>
      <w:r>
        <w:rPr>
          <w:rFonts w:hint="eastAsia"/>
        </w:rPr>
        <w:t>实施限制的目的必须为民主社会所接受，限制程度不得超出目的所需，也不能对形成意见的自由构成威胁，这种自由是民主的基石之一。不能仅仅以政治、宗教、文化或其他类似见解为由施加限制。在限制权利时，立法者还必须铭记《政府法典》禁止基于族裔血统等理由进行歧视。</w:t>
      </w:r>
    </w:p>
    <w:p w14:paraId="5E9A61E7" w14:textId="77777777" w:rsidR="00C93FAE" w:rsidRDefault="00C93FAE" w:rsidP="00C93FAE">
      <w:pPr>
        <w:pStyle w:val="SingleTxtGC"/>
      </w:pPr>
      <w:r>
        <w:rPr>
          <w:rFonts w:hint="eastAsia"/>
        </w:rPr>
        <w:t>74.</w:t>
      </w:r>
      <w:r>
        <w:rPr>
          <w:rFonts w:hint="eastAsia"/>
        </w:rPr>
        <w:tab/>
      </w:r>
      <w:r>
        <w:rPr>
          <w:rFonts w:hint="eastAsia"/>
        </w:rPr>
        <w:t>新闻自由是自由和民主社会的根基。《新闻自由法》是瑞典的四项基本法之一，保障了新闻自由。新闻自由的目的是确保自由交流意见、自由和全面的信息以及艺术创作自由。《新闻自由法》规定，每个人都可以用书面形式表达自己的想法、观点和情感，发布正式文件，并就任何主题广泛传播信息。宪法框架的一个特色是，《新闻自由法》规定的信息自由包括公众查看官方文件的权利。瑞典早在</w:t>
      </w:r>
      <w:r>
        <w:rPr>
          <w:rFonts w:hint="eastAsia"/>
        </w:rPr>
        <w:t>1766</w:t>
      </w:r>
      <w:r>
        <w:rPr>
          <w:rFonts w:hint="eastAsia"/>
        </w:rPr>
        <w:t>年就出台了第一部《新闻自由法》。</w:t>
      </w:r>
    </w:p>
    <w:p w14:paraId="63AACC95" w14:textId="77777777" w:rsidR="00C93FAE" w:rsidRDefault="00C93FAE" w:rsidP="00C93FAE">
      <w:pPr>
        <w:pStyle w:val="SingleTxtGC"/>
      </w:pPr>
      <w:r>
        <w:rPr>
          <w:rFonts w:hint="eastAsia"/>
        </w:rPr>
        <w:t>75.</w:t>
      </w:r>
      <w:r>
        <w:rPr>
          <w:rFonts w:hint="eastAsia"/>
        </w:rPr>
        <w:tab/>
        <w:t>1992</w:t>
      </w:r>
      <w:r>
        <w:rPr>
          <w:rFonts w:hint="eastAsia"/>
        </w:rPr>
        <w:t>年生效的《表达自由基本法》对《新闻自由法》进行了补充。该法的目的是确保人们通过广播电台、电视、电影、视频乃至互联网，自由表达想法和意见，并防止对这些媒体进行审查。该法依据的基本原则与《新闻自由法》相同。</w:t>
      </w:r>
    </w:p>
    <w:p w14:paraId="2A775F06" w14:textId="77777777" w:rsidR="00C93FAE" w:rsidRDefault="00C93FAE" w:rsidP="00C93FAE">
      <w:pPr>
        <w:pStyle w:val="SingleTxtGC"/>
      </w:pPr>
      <w:r>
        <w:rPr>
          <w:rFonts w:hint="eastAsia"/>
        </w:rPr>
        <w:t>76.</w:t>
      </w:r>
      <w:r>
        <w:rPr>
          <w:rFonts w:hint="eastAsia"/>
        </w:rPr>
        <w:tab/>
      </w:r>
      <w:r>
        <w:rPr>
          <w:rFonts w:hint="eastAsia"/>
        </w:rPr>
        <w:t>瑞典采用双轨制，即瑞典批准的公约不会自动成为国家法律的一部分。主要有两种方式可以在瑞典法律中赋予国际公约法律效力，即转化和纳入。通常通过在现行法律或新法律中颁布类似条款，将国际公约转化为瑞典法律。在某些情况下，可通过一般法把公约纳入国内法，规定公约作为法律在瑞典适用，并且可以直接适用。例如，对《欧洲人权公约》就采取了后一种方式，该公约于</w:t>
      </w:r>
      <w:r>
        <w:rPr>
          <w:rFonts w:hint="eastAsia"/>
        </w:rPr>
        <w:t>1995</w:t>
      </w:r>
      <w:r>
        <w:rPr>
          <w:rFonts w:hint="eastAsia"/>
        </w:rPr>
        <w:t>年纳入瑞典法律。</w:t>
      </w:r>
    </w:p>
    <w:p w14:paraId="40853C6D" w14:textId="77777777" w:rsidR="00C93FAE" w:rsidRDefault="00C93FAE" w:rsidP="00C93FAE">
      <w:pPr>
        <w:pStyle w:val="SingleTxtGC"/>
      </w:pPr>
      <w:r>
        <w:rPr>
          <w:rFonts w:hint="eastAsia"/>
        </w:rPr>
        <w:t>77.</w:t>
      </w:r>
      <w:r>
        <w:rPr>
          <w:rFonts w:hint="eastAsia"/>
        </w:rPr>
        <w:tab/>
      </w:r>
      <w:r>
        <w:rPr>
          <w:rFonts w:hint="eastAsia"/>
        </w:rPr>
        <w:t>在某些情况下，欧洲联盟的法律可直接发生效力。例如，欧洲法院在一些涉及歧视的案件中裁定相关条款有直接效力。欧盟的法律由瑞典法院、法庭和行政机关直接适用，从而促进了瑞典的人权保护。自《里斯本条约》生效以来，《欧洲联盟基本权利宪章》具有法律约束力，拥有与条约相同的法律效力。因此，瑞典法院和各机构在适用欧盟法律时必须适用该宪章。</w:t>
      </w:r>
    </w:p>
    <w:p w14:paraId="526BF3DE" w14:textId="77777777" w:rsidR="00C93FAE" w:rsidRDefault="00C93FAE" w:rsidP="00C93FAE">
      <w:pPr>
        <w:pStyle w:val="SingleTxtGC"/>
      </w:pPr>
      <w:r>
        <w:rPr>
          <w:rFonts w:hint="eastAsia"/>
        </w:rPr>
        <w:t>78.</w:t>
      </w:r>
      <w:r>
        <w:rPr>
          <w:rFonts w:hint="eastAsia"/>
        </w:rPr>
        <w:tab/>
      </w:r>
      <w:r>
        <w:rPr>
          <w:rFonts w:hint="eastAsia"/>
        </w:rPr>
        <w:t>在瑞典，行使一切公共权力的根本目标是确保充分尊重人权。中央、地区和地方政府，包括公共行政管理机关，在行使职权时均受瑞典国际人权义务的约束，议会和司法机关也是如此。履行瑞典国际人权义务的责任主要由瑞典政府承担，但地区政府和市政府也共同承担责任。</w:t>
      </w:r>
    </w:p>
    <w:p w14:paraId="1277766D" w14:textId="77777777" w:rsidR="00C93FAE" w:rsidRDefault="00C93FAE" w:rsidP="00C93FAE">
      <w:pPr>
        <w:pStyle w:val="SingleTxtGC"/>
      </w:pPr>
      <w:r>
        <w:rPr>
          <w:rFonts w:hint="eastAsia"/>
        </w:rPr>
        <w:t>79.</w:t>
      </w:r>
      <w:r>
        <w:rPr>
          <w:rFonts w:hint="eastAsia"/>
        </w:rPr>
        <w:tab/>
      </w:r>
      <w:r>
        <w:rPr>
          <w:rFonts w:hint="eastAsia"/>
        </w:rPr>
        <w:t>瑞典有着悠久的地方自治传统，这意味着地区政府和市政府可在议会确定的范围内自行</w:t>
      </w:r>
      <w:proofErr w:type="gramStart"/>
      <w:r>
        <w:rPr>
          <w:rFonts w:hint="eastAsia"/>
        </w:rPr>
        <w:t>作出</w:t>
      </w:r>
      <w:proofErr w:type="gramEnd"/>
      <w:r>
        <w:rPr>
          <w:rFonts w:hint="eastAsia"/>
        </w:rPr>
        <w:t>决定。地区和地方机构负责卫生服务、社会福利事务，以及与义务教育、高级中等教育、学前教育和老年人护理相关的事务。</w:t>
      </w:r>
    </w:p>
    <w:p w14:paraId="0C06E0DC" w14:textId="77777777" w:rsidR="00C93FAE" w:rsidRDefault="00C93FAE" w:rsidP="00C93FAE">
      <w:pPr>
        <w:pStyle w:val="SingleTxtGC"/>
      </w:pPr>
      <w:r>
        <w:rPr>
          <w:rFonts w:hint="eastAsia"/>
        </w:rPr>
        <w:t>80.</w:t>
      </w:r>
      <w:r>
        <w:rPr>
          <w:rFonts w:hint="eastAsia"/>
        </w:rPr>
        <w:tab/>
      </w:r>
      <w:r>
        <w:rPr>
          <w:rFonts w:hint="eastAsia"/>
        </w:rPr>
        <w:t>在瑞典，法院在保护个人权利方面发挥着核心作用。瑞典法院系统规定的救济措施旨在提供保护人权的手段。法律诉讼由普通法院和普通行政法院受理，有时也由行政机关受理。此外，瑞典还设立了专门法院和法庭审理特定类型的案件。与人权相关的此类专门法院和法庭包括瑞典劳动法院、移民法院和移民上诉法院。</w:t>
      </w:r>
    </w:p>
    <w:p w14:paraId="7EED004E" w14:textId="77777777" w:rsidR="00C93FAE" w:rsidRDefault="00C93FAE" w:rsidP="00C93FAE">
      <w:pPr>
        <w:pStyle w:val="SingleTxtGC"/>
      </w:pPr>
      <w:r>
        <w:rPr>
          <w:rFonts w:hint="eastAsia"/>
        </w:rPr>
        <w:t>81.</w:t>
      </w:r>
      <w:r>
        <w:rPr>
          <w:rFonts w:hint="eastAsia"/>
        </w:rPr>
        <w:tab/>
      </w:r>
      <w:r>
        <w:rPr>
          <w:rFonts w:hint="eastAsia"/>
        </w:rPr>
        <w:t>根据《政府法典》，如果某项规定与基本法规则或其他上位法相抵触，或者在制定时忽视了法律所规定程序的任何重要方面，法院、行政机关和其他公共机关有义务不适用这项规定。在这方面应当提及的是，根据《政府法典》，国家不得通过任何违反《欧洲人权与公约》义务的法律或其他规定。在对法律进行上述审查时，应当特别注意议会是人民最重要的代表，基本法优先于其他法律。</w:t>
      </w:r>
    </w:p>
    <w:p w14:paraId="6531ACDD" w14:textId="77777777" w:rsidR="00C93FAE" w:rsidRDefault="00C93FAE" w:rsidP="00D81532">
      <w:pPr>
        <w:pStyle w:val="H23GC"/>
      </w:pPr>
      <w:r>
        <w:rPr>
          <w:rFonts w:hint="eastAsia"/>
        </w:rPr>
        <w:tab/>
      </w:r>
      <w:r>
        <w:rPr>
          <w:rFonts w:hint="eastAsia"/>
        </w:rPr>
        <w:tab/>
      </w:r>
      <w:r>
        <w:rPr>
          <w:rFonts w:hint="eastAsia"/>
        </w:rPr>
        <w:t>救济和损害赔偿</w:t>
      </w:r>
    </w:p>
    <w:p w14:paraId="3DC1964B" w14:textId="77777777" w:rsidR="00C93FAE" w:rsidRDefault="00C93FAE" w:rsidP="00C93FAE">
      <w:pPr>
        <w:pStyle w:val="SingleTxtGC"/>
      </w:pPr>
      <w:r>
        <w:rPr>
          <w:rFonts w:hint="eastAsia"/>
        </w:rPr>
        <w:t>82.</w:t>
      </w:r>
      <w:r>
        <w:rPr>
          <w:rFonts w:hint="eastAsia"/>
        </w:rPr>
        <w:tab/>
      </w:r>
      <w:r>
        <w:rPr>
          <w:rFonts w:hint="eastAsia"/>
        </w:rPr>
        <w:t>瑞典法院和主管部门受理多种案件，人权问题是其中不可分割的一部分。因此，很难详尽无遗地列出有关个人人权的所有可用补救办法。凡是声称遭到非法行为侵害的个人，可就相关案件向公诉人申请调查。根据规定，如果公诉人有合理的理由认为已构成侵害，则应当依职权启动调查。但是，犯罪受害人在以下两种情形下可自行提起刑事诉讼，一是公诉人决定不予起诉，二是受害人受到虚假指控或起诉。如受害人死亡，受害人家属仍可以提出救济请求。</w:t>
      </w:r>
    </w:p>
    <w:p w14:paraId="46AF8653" w14:textId="77777777" w:rsidR="00C93FAE" w:rsidRDefault="00C93FAE" w:rsidP="00C93FAE">
      <w:pPr>
        <w:pStyle w:val="SingleTxtGC"/>
      </w:pPr>
      <w:r>
        <w:rPr>
          <w:rFonts w:hint="eastAsia"/>
        </w:rPr>
        <w:t>83.</w:t>
      </w:r>
      <w:r>
        <w:rPr>
          <w:rFonts w:hint="eastAsia"/>
        </w:rPr>
        <w:tab/>
      </w:r>
      <w:r>
        <w:rPr>
          <w:rFonts w:hint="eastAsia"/>
        </w:rPr>
        <w:t>在刑事诉讼方面，受害人可根据《司法程序法》就犯罪造成的损害提起赔偿诉讼。一般来说，公诉人在接到受害人申请后，有责任与检察机关共同准备和提交受害人的诉讼请求。如果刑事诉讼中没有寻求赔偿，无论是公诉人决定不代表受害人主张赔偿，或是法院决定对赔偿另案处理，个人都可以单独提起民事诉讼。另一方面，如果在刑事诉讼中受害人另行提出民事诉讼，法院可以合并处理。在赔偿方面，受害人可请求公诉人在刑事诉讼期间协助其向法院提起民事赔偿诉讼。但是，如果当事人出于某种原因不想在刑事诉讼中提出民事赔偿主张，也可根据民事诉讼程序提起赔偿诉讼。在这种案件中可提供法律援助。在某些情况下，受害人可获得以法律顾问形式提供的法律援助。</w:t>
      </w:r>
    </w:p>
    <w:p w14:paraId="56C0F824" w14:textId="77777777" w:rsidR="00C93FAE" w:rsidRDefault="00C93FAE" w:rsidP="00C93FAE">
      <w:pPr>
        <w:pStyle w:val="SingleTxtGC"/>
      </w:pPr>
      <w:r>
        <w:rPr>
          <w:rFonts w:hint="eastAsia"/>
        </w:rPr>
        <w:t>84.</w:t>
      </w:r>
      <w:r>
        <w:rPr>
          <w:rFonts w:hint="eastAsia"/>
        </w:rPr>
        <w:tab/>
      </w:r>
      <w:r>
        <w:rPr>
          <w:rFonts w:hint="eastAsia"/>
        </w:rPr>
        <w:t>根据《侵权责任法》</w:t>
      </w:r>
      <w:r>
        <w:rPr>
          <w:rFonts w:hint="eastAsia"/>
        </w:rPr>
        <w:t>(1972:207)</w:t>
      </w:r>
      <w:r>
        <w:rPr>
          <w:rFonts w:hint="eastAsia"/>
        </w:rPr>
        <w:t>，中央政府或市政府有义务就其在行使公共权力过程中或与行使公共权力相关的不当行为或疏忽而造成的损害进行赔偿。如果某人被羁押或拘留但随后未被判处有罪，当事人有权根据《剥夺自由和其他强制措施赔偿法》</w:t>
      </w:r>
      <w:r>
        <w:rPr>
          <w:rFonts w:hint="eastAsia"/>
        </w:rPr>
        <w:t>(1998:714)</w:t>
      </w:r>
      <w:r>
        <w:rPr>
          <w:rFonts w:hint="eastAsia"/>
        </w:rPr>
        <w:t>向中央政府要求赔偿。由于公职人员使用武力导致当事人受到人身伤害或财产损失，当事人亦可依据本条主张权利。</w:t>
      </w:r>
    </w:p>
    <w:p w14:paraId="43FC5CB0" w14:textId="77777777" w:rsidR="00C93FAE" w:rsidRDefault="00C93FAE" w:rsidP="00C93FAE">
      <w:pPr>
        <w:pStyle w:val="SingleTxtGC"/>
      </w:pPr>
      <w:r>
        <w:rPr>
          <w:rFonts w:hint="eastAsia"/>
        </w:rPr>
        <w:t>85.</w:t>
      </w:r>
      <w:r>
        <w:rPr>
          <w:rFonts w:hint="eastAsia"/>
        </w:rPr>
        <w:tab/>
      </w:r>
      <w:r>
        <w:rPr>
          <w:rFonts w:hint="eastAsia"/>
        </w:rPr>
        <w:t>根据《欧洲人权公约》，凡是《公约》规定的权利和自由受到侵害的个人，均有权向国家机构寻求有效救济。在欧洲人权法院针对瑞典的一些裁决中，申请人得到了公正赔偿，也有一些裁决促使瑞典修订了法律，比如扩大了诉诸法院的权利。在某些情况下，即使瑞典法律没有规定赔偿</w:t>
      </w:r>
      <w:r>
        <w:rPr>
          <w:rFonts w:hint="eastAsia"/>
        </w:rPr>
        <w:t>(</w:t>
      </w:r>
      <w:r>
        <w:rPr>
          <w:rFonts w:hint="eastAsia"/>
        </w:rPr>
        <w:t>瑞典法律通常不支持非金钱损害赔偿</w:t>
      </w:r>
      <w:r>
        <w:rPr>
          <w:rFonts w:hint="eastAsia"/>
        </w:rPr>
        <w:t>)</w:t>
      </w:r>
      <w:r>
        <w:rPr>
          <w:rFonts w:hint="eastAsia"/>
        </w:rPr>
        <w:t>，《公约》也要求国家支付赔偿。但是，最高法院认定，如果某人根据《公约》享有的权利遭到国家侵犯，国家也可能有义务</w:t>
      </w:r>
      <w:proofErr w:type="gramStart"/>
      <w:r>
        <w:rPr>
          <w:rFonts w:hint="eastAsia"/>
        </w:rPr>
        <w:t>作出</w:t>
      </w:r>
      <w:proofErr w:type="gramEnd"/>
      <w:r>
        <w:rPr>
          <w:rFonts w:hint="eastAsia"/>
        </w:rPr>
        <w:t>赔偿。</w:t>
      </w:r>
      <w:r>
        <w:rPr>
          <w:rFonts w:hint="eastAsia"/>
        </w:rPr>
        <w:t>2018</w:t>
      </w:r>
      <w:r>
        <w:rPr>
          <w:rFonts w:hint="eastAsia"/>
        </w:rPr>
        <w:t>年，《侵权责任法》新增了一项具体条款，规定国家或市政当局必须对违反《公约》造成的损害提供赔偿。</w:t>
      </w:r>
    </w:p>
    <w:p w14:paraId="437C9D16" w14:textId="77777777" w:rsidR="00C93FAE" w:rsidRDefault="00C93FAE" w:rsidP="00D81532">
      <w:pPr>
        <w:pStyle w:val="H23GC"/>
      </w:pPr>
      <w:r>
        <w:rPr>
          <w:rFonts w:hint="eastAsia"/>
        </w:rPr>
        <w:tab/>
      </w:r>
      <w:r>
        <w:rPr>
          <w:rFonts w:hint="eastAsia"/>
        </w:rPr>
        <w:tab/>
      </w:r>
      <w:r>
        <w:rPr>
          <w:rFonts w:hint="eastAsia"/>
        </w:rPr>
        <w:t>监察员</w:t>
      </w:r>
    </w:p>
    <w:p w14:paraId="1EA323F8" w14:textId="77777777" w:rsidR="00C93FAE" w:rsidRDefault="00C93FAE" w:rsidP="00C93FAE">
      <w:pPr>
        <w:pStyle w:val="SingleTxtGC"/>
      </w:pPr>
      <w:r>
        <w:rPr>
          <w:rFonts w:hint="eastAsia"/>
        </w:rPr>
        <w:t>86.</w:t>
      </w:r>
      <w:r>
        <w:rPr>
          <w:rFonts w:hint="eastAsia"/>
        </w:rPr>
        <w:tab/>
      </w:r>
      <w:r>
        <w:rPr>
          <w:rFonts w:hint="eastAsia"/>
        </w:rPr>
        <w:t>监察员依职权也负责监督人权落实情况。任何人如果认为公共权力机构、公职人员或地方政府雇员对自身或他人待遇不当或不公正，都可以向议会监察员办公室投诉。换言之，当事人不一定要是瑞典公民或达到一定年龄才可投诉。议会监察员办公室设立于</w:t>
      </w:r>
      <w:r>
        <w:rPr>
          <w:rFonts w:hint="eastAsia"/>
        </w:rPr>
        <w:t>1809</w:t>
      </w:r>
      <w:r>
        <w:rPr>
          <w:rFonts w:hint="eastAsia"/>
        </w:rPr>
        <w:t>年，监察员由议会任命。如果公共当局或公职人员采取的措施与现行法律或其他法规相冲突，或者有任何不正确或不妥当之处，议会监察员有权发表声明。监察员有权发表咨询意见，以促进法律的统一和适当适用。监察员作为特别检察官，可对无视自身职责或授权规定的义务而实施刑事犯罪的官员提起法律诉讼。监察员还可以举报公务员玩忽职守行为，建议议会或政府修改法规，并将案件提交常规监督机构采取行动。</w:t>
      </w:r>
    </w:p>
    <w:p w14:paraId="73A7A5CD" w14:textId="77777777" w:rsidR="00C93FAE" w:rsidRDefault="00C93FAE" w:rsidP="00C93FAE">
      <w:pPr>
        <w:pStyle w:val="SingleTxtGC"/>
      </w:pPr>
      <w:r>
        <w:rPr>
          <w:rFonts w:hint="eastAsia"/>
        </w:rPr>
        <w:t>87.</w:t>
      </w:r>
      <w:r>
        <w:rPr>
          <w:rFonts w:hint="eastAsia"/>
        </w:rPr>
        <w:tab/>
      </w:r>
      <w:r>
        <w:rPr>
          <w:rFonts w:hint="eastAsia"/>
        </w:rPr>
        <w:t>大法官也负责执行一部分监督职能。例如，大法官可受理针对国家的投诉和损害索赔，并就此</w:t>
      </w:r>
      <w:proofErr w:type="gramStart"/>
      <w:r>
        <w:rPr>
          <w:rFonts w:hint="eastAsia"/>
        </w:rPr>
        <w:t>类损害</w:t>
      </w:r>
      <w:proofErr w:type="gramEnd"/>
      <w:r>
        <w:rPr>
          <w:rFonts w:hint="eastAsia"/>
        </w:rPr>
        <w:t>的经济赔偿</w:t>
      </w:r>
      <w:proofErr w:type="gramStart"/>
      <w:r>
        <w:rPr>
          <w:rFonts w:hint="eastAsia"/>
        </w:rPr>
        <w:t>作出</w:t>
      </w:r>
      <w:proofErr w:type="gramEnd"/>
      <w:r>
        <w:rPr>
          <w:rFonts w:hint="eastAsia"/>
        </w:rPr>
        <w:t>决定。大法官办公室设立于</w:t>
      </w:r>
      <w:r>
        <w:rPr>
          <w:rFonts w:hint="eastAsia"/>
        </w:rPr>
        <w:t>1713</w:t>
      </w:r>
      <w:r>
        <w:rPr>
          <w:rFonts w:hint="eastAsia"/>
        </w:rPr>
        <w:t>年。大法官是政府任命的非政治类公务员，任期不限。现任大法官于</w:t>
      </w:r>
      <w:r>
        <w:rPr>
          <w:rFonts w:hint="eastAsia"/>
        </w:rPr>
        <w:t>2018</w:t>
      </w:r>
      <w:r>
        <w:rPr>
          <w:rFonts w:hint="eastAsia"/>
        </w:rPr>
        <w:t>年就职。大法官办公室是一个独立的主管机构，大法官严格从法律的角度履行职责。大法官的主要任务是作为政府的监察员，对主管机构和公务员进行监督，在法律纠纷</w:t>
      </w:r>
      <w:r>
        <w:rPr>
          <w:rFonts w:hint="eastAsia"/>
        </w:rPr>
        <w:t>(</w:t>
      </w:r>
      <w:r>
        <w:rPr>
          <w:rFonts w:hint="eastAsia"/>
        </w:rPr>
        <w:t>主要是涉及国家赔偿的诉讼</w:t>
      </w:r>
      <w:r>
        <w:rPr>
          <w:rFonts w:hint="eastAsia"/>
        </w:rPr>
        <w:t>)</w:t>
      </w:r>
      <w:r>
        <w:rPr>
          <w:rFonts w:hint="eastAsia"/>
        </w:rPr>
        <w:t>中代表国家，确保新闻和其他媒体的自由不受侵犯，以及作为唯一的公诉人参与涉及侵犯新闻自由和表达自由的案件。大法官办公室目前有</w:t>
      </w:r>
      <w:r>
        <w:rPr>
          <w:rFonts w:hint="eastAsia"/>
        </w:rPr>
        <w:t>50</w:t>
      </w:r>
      <w:r>
        <w:rPr>
          <w:rFonts w:hint="eastAsia"/>
        </w:rPr>
        <w:t>名工作人员，多数为资深律师。</w:t>
      </w:r>
    </w:p>
    <w:p w14:paraId="019098F8" w14:textId="77777777" w:rsidR="00C93FAE" w:rsidRDefault="00C93FAE" w:rsidP="00C93FAE">
      <w:pPr>
        <w:pStyle w:val="SingleTxtGC"/>
      </w:pPr>
      <w:r>
        <w:rPr>
          <w:rFonts w:hint="eastAsia"/>
        </w:rPr>
        <w:t>88.</w:t>
      </w:r>
      <w:r>
        <w:rPr>
          <w:rFonts w:hint="eastAsia"/>
        </w:rPr>
        <w:tab/>
      </w:r>
      <w:r>
        <w:rPr>
          <w:rFonts w:hint="eastAsia"/>
        </w:rPr>
        <w:t>平等问题监察员设立于</w:t>
      </w:r>
      <w:r>
        <w:rPr>
          <w:rFonts w:hint="eastAsia"/>
        </w:rPr>
        <w:t>2009</w:t>
      </w:r>
      <w:r>
        <w:rPr>
          <w:rFonts w:hint="eastAsia"/>
        </w:rPr>
        <w:t>年，是一个政府机构，致力于打击歧视，促进不同性别、跨性别身份或表达、族裔、宗教或其他信仰、残疾、性取向或年龄的人享有平等权利和机会。平等问题监察员负责监督《反歧视法》的执行情况，以打击歧视，促进平等权利和机会。另一项任务是调查歧视投诉。这可能包括代表歧视行为受害者参与和解程序或最终出庭。平等问题监察员还可以进行独立调查，撰写报告和提出建议。</w:t>
      </w:r>
    </w:p>
    <w:p w14:paraId="2349205C" w14:textId="77777777" w:rsidR="00C93FAE" w:rsidRDefault="00C93FAE" w:rsidP="00C93FAE">
      <w:pPr>
        <w:pStyle w:val="SingleTxtGC"/>
      </w:pPr>
      <w:r>
        <w:rPr>
          <w:rFonts w:hint="eastAsia"/>
        </w:rPr>
        <w:t>89.</w:t>
      </w:r>
      <w:r>
        <w:rPr>
          <w:rFonts w:hint="eastAsia"/>
        </w:rPr>
        <w:tab/>
      </w:r>
      <w:r>
        <w:rPr>
          <w:rFonts w:hint="eastAsia"/>
        </w:rPr>
        <w:t>针对反歧视问题单独设置监察员的目的是确保更有效和更有力地监督《反歧视法》的执行情况。《反歧视法》是一部全面的反歧视法律，尽可能以促进基于各种理由的平等待遇为基础，强调各种歧视理由之间不存在等级关系。该法还规定各种组织和协会，如非政府组织，有权代表投诉人行事。该法还规定了针对违法行为的各种惩罚和赔偿。惩罚的目的一方面是补救侵权造成的后果，另一方面是发挥震慑作用。</w:t>
      </w:r>
    </w:p>
    <w:p w14:paraId="476B4117" w14:textId="77777777" w:rsidR="00C93FAE" w:rsidRDefault="00C93FAE" w:rsidP="00C93FAE">
      <w:pPr>
        <w:pStyle w:val="SingleTxtGC"/>
      </w:pPr>
      <w:r>
        <w:rPr>
          <w:rFonts w:hint="eastAsia"/>
        </w:rPr>
        <w:t>90.</w:t>
      </w:r>
      <w:r>
        <w:rPr>
          <w:rFonts w:hint="eastAsia"/>
        </w:rPr>
        <w:tab/>
      </w:r>
      <w:r>
        <w:rPr>
          <w:rFonts w:hint="eastAsia"/>
        </w:rPr>
        <w:t>瑞典为</w:t>
      </w:r>
      <w:r>
        <w:rPr>
          <w:rFonts w:hint="eastAsia"/>
        </w:rPr>
        <w:t>18</w:t>
      </w:r>
      <w:r>
        <w:rPr>
          <w:rFonts w:hint="eastAsia"/>
        </w:rPr>
        <w:t>岁以下儿童设置了专门的儿童问题监察员。儿童问题监察员的主要职责是促进《儿童权利公约》规定的儿童权利和利益。</w:t>
      </w:r>
      <w:r>
        <w:rPr>
          <w:rFonts w:hint="eastAsia"/>
        </w:rPr>
        <w:t>2018</w:t>
      </w:r>
      <w:r>
        <w:rPr>
          <w:rFonts w:hint="eastAsia"/>
        </w:rPr>
        <w:t>年，瑞典议会批准了政府关于将《儿童权利公约》纳入瑞典法律的提案。《联合国儿童权利公约法》</w:t>
      </w:r>
      <w:r>
        <w:rPr>
          <w:rFonts w:hint="eastAsia"/>
        </w:rPr>
        <w:t>(2018:1197)</w:t>
      </w:r>
      <w:r>
        <w:rPr>
          <w:rFonts w:hint="eastAsia"/>
        </w:rPr>
        <w:t>于</w:t>
      </w:r>
      <w:r>
        <w:rPr>
          <w:rFonts w:hint="eastAsia"/>
        </w:rPr>
        <w:t>2020</w:t>
      </w:r>
      <w:r>
        <w:rPr>
          <w:rFonts w:hint="eastAsia"/>
        </w:rPr>
        <w:t>年</w:t>
      </w:r>
      <w:r>
        <w:rPr>
          <w:rFonts w:hint="eastAsia"/>
        </w:rPr>
        <w:t>1</w:t>
      </w:r>
      <w:r>
        <w:rPr>
          <w:rFonts w:hint="eastAsia"/>
        </w:rPr>
        <w:t>月</w:t>
      </w:r>
      <w:r>
        <w:rPr>
          <w:rFonts w:hint="eastAsia"/>
        </w:rPr>
        <w:t>1</w:t>
      </w:r>
      <w:r>
        <w:rPr>
          <w:rFonts w:hint="eastAsia"/>
        </w:rPr>
        <w:t>日生效。在关于将《儿童权利公约》纳入国内法律的法案中，政府提出了一揽子方案，其中包括一部关于《儿童权利公约》的法律、一份指导文件、一项提高认识倡议和持续的系统性改造工作，以确保《儿童权利公约》在实际应用中发挥影响。监察员负责监督《儿童权利公约》在瑞典的执行情况，所采取的措施包括提交立法修正提案，并鼓励政府机构、市政府和地区政府在工作中适用《儿童权利公约》。然而，儿童问题监察员并不负责监督其他主管机构，也无权对个案进行干预。</w:t>
      </w:r>
    </w:p>
    <w:p w14:paraId="78ACE243" w14:textId="4BF83B13" w:rsidR="00C93FAE" w:rsidRDefault="00C93FAE" w:rsidP="00C93FAE">
      <w:pPr>
        <w:pStyle w:val="SingleTxtGC"/>
      </w:pPr>
      <w:r>
        <w:rPr>
          <w:rFonts w:hint="eastAsia"/>
        </w:rPr>
        <w:t>91.</w:t>
      </w:r>
      <w:r>
        <w:rPr>
          <w:rFonts w:hint="eastAsia"/>
        </w:rPr>
        <w:tab/>
      </w:r>
      <w:r>
        <w:rPr>
          <w:rFonts w:hint="eastAsia"/>
        </w:rPr>
        <w:t>自</w:t>
      </w:r>
      <w:r>
        <w:rPr>
          <w:rFonts w:hint="eastAsia"/>
        </w:rPr>
        <w:t>2011</w:t>
      </w:r>
      <w:r>
        <w:rPr>
          <w:rFonts w:hint="eastAsia"/>
        </w:rPr>
        <w:t>年</w:t>
      </w:r>
      <w:r>
        <w:rPr>
          <w:rFonts w:hint="eastAsia"/>
        </w:rPr>
        <w:t>7</w:t>
      </w:r>
      <w:r>
        <w:rPr>
          <w:rFonts w:hint="eastAsia"/>
        </w:rPr>
        <w:t>月</w:t>
      </w:r>
      <w:r>
        <w:rPr>
          <w:rFonts w:hint="eastAsia"/>
        </w:rPr>
        <w:t>1</w:t>
      </w:r>
      <w:r>
        <w:rPr>
          <w:rFonts w:hint="eastAsia"/>
        </w:rPr>
        <w:t>日起，议会监察员办公室设立了一个特别小组</w:t>
      </w:r>
      <w:r w:rsidR="008A2D9B">
        <w:rPr>
          <w:rFonts w:hint="eastAsia"/>
          <w:spacing w:val="-50"/>
        </w:rPr>
        <w:t>―</w:t>
      </w:r>
      <w:r w:rsidR="008A2D9B">
        <w:rPr>
          <w:rFonts w:hint="eastAsia"/>
        </w:rPr>
        <w:t>―</w:t>
      </w:r>
      <w:r>
        <w:rPr>
          <w:rFonts w:hint="eastAsia"/>
        </w:rPr>
        <w:t>禁止酷刑公约任择议定书小组。该小组负责确保被剥夺自由者不遭受残忍、不人道或其他有辱人格的待遇或处罚。禁止酷刑公约任择议定书小组定期查访瑞典关押被剥夺自由者的设施，根据查访情况编写报告，并参与这一领域的国际合作。</w:t>
      </w:r>
    </w:p>
    <w:p w14:paraId="1B7110D7" w14:textId="77777777" w:rsidR="00C93FAE" w:rsidRDefault="00C93FAE" w:rsidP="00C93FAE">
      <w:pPr>
        <w:pStyle w:val="SingleTxtGC"/>
      </w:pPr>
      <w:r>
        <w:rPr>
          <w:rFonts w:hint="eastAsia"/>
        </w:rPr>
        <w:t>92.</w:t>
      </w:r>
      <w:r>
        <w:rPr>
          <w:rFonts w:hint="eastAsia"/>
        </w:rPr>
        <w:tab/>
      </w:r>
      <w:r>
        <w:rPr>
          <w:rFonts w:hint="eastAsia"/>
        </w:rPr>
        <w:t>另一个与人权有关的监督机构是卫生和社会关怀监察局。瑞典律师协会也有监督职责。另外，瑞典参与署负责监督和分析残疾人政策的执行情况。此外，国家卫生和福利委员会还对卫生系统的表现进行评估，并监督社会服务的提供情况，以确保个人得到所需的援助。</w:t>
      </w:r>
    </w:p>
    <w:p w14:paraId="5B9FBC2E" w14:textId="77777777" w:rsidR="00C93FAE" w:rsidRDefault="00C93FAE" w:rsidP="008A2D9B">
      <w:pPr>
        <w:pStyle w:val="H1GC"/>
      </w:pPr>
      <w:r>
        <w:rPr>
          <w:rFonts w:hint="eastAsia"/>
        </w:rPr>
        <w:tab/>
        <w:t>C.</w:t>
      </w:r>
      <w:r>
        <w:rPr>
          <w:rFonts w:hint="eastAsia"/>
        </w:rPr>
        <w:tab/>
      </w:r>
      <w:r>
        <w:rPr>
          <w:rFonts w:hint="eastAsia"/>
        </w:rPr>
        <w:t>国家一级促进人权的框架</w:t>
      </w:r>
    </w:p>
    <w:p w14:paraId="1A0313C5" w14:textId="77777777" w:rsidR="00C93FAE" w:rsidRDefault="00C93FAE" w:rsidP="00C93FAE">
      <w:pPr>
        <w:pStyle w:val="SingleTxtGC"/>
      </w:pPr>
      <w:r>
        <w:rPr>
          <w:rFonts w:hint="eastAsia"/>
        </w:rPr>
        <w:t>93.</w:t>
      </w:r>
      <w:r>
        <w:rPr>
          <w:rFonts w:hint="eastAsia"/>
        </w:rPr>
        <w:tab/>
        <w:t>2016</w:t>
      </w:r>
      <w:r>
        <w:rPr>
          <w:rFonts w:hint="eastAsia"/>
        </w:rPr>
        <w:t>年通过了国家人权战略，其中包括采取进一步措施，在最高层面制定促进和保护人权的统一框架。这一框架应当包括对人权强有力的法律和制度保护，协调公共部门系统落实人权，加强支持民间社会和企业界开展人权工作。</w:t>
      </w:r>
    </w:p>
    <w:p w14:paraId="031A24FE" w14:textId="77777777" w:rsidR="00C93FAE" w:rsidRDefault="00C93FAE" w:rsidP="00C93FAE">
      <w:pPr>
        <w:pStyle w:val="SingleTxtGC"/>
      </w:pPr>
      <w:r>
        <w:rPr>
          <w:rFonts w:hint="eastAsia"/>
        </w:rPr>
        <w:t>94.</w:t>
      </w:r>
      <w:r>
        <w:rPr>
          <w:rFonts w:hint="eastAsia"/>
        </w:rPr>
        <w:tab/>
      </w:r>
      <w:r>
        <w:rPr>
          <w:rFonts w:hint="eastAsia"/>
        </w:rPr>
        <w:t>瑞典人权政策的目标是确保瑞典全面履行其国际人权承诺。这一目标是国家人权工作的基石，阐明了人权工作与瑞典国际承诺之间的联系。</w:t>
      </w:r>
    </w:p>
    <w:p w14:paraId="1D09CF23" w14:textId="77777777" w:rsidR="00C93FAE" w:rsidRDefault="00C93FAE" w:rsidP="00C93FAE">
      <w:pPr>
        <w:pStyle w:val="SingleTxtGC"/>
      </w:pPr>
      <w:r>
        <w:rPr>
          <w:rFonts w:hint="eastAsia"/>
        </w:rPr>
        <w:t>95.</w:t>
      </w:r>
      <w:r>
        <w:rPr>
          <w:rFonts w:hint="eastAsia"/>
        </w:rPr>
        <w:tab/>
        <w:t>2022</w:t>
      </w:r>
      <w:r>
        <w:rPr>
          <w:rFonts w:hint="eastAsia"/>
        </w:rPr>
        <w:t>年</w:t>
      </w:r>
      <w:r>
        <w:rPr>
          <w:rFonts w:hint="eastAsia"/>
        </w:rPr>
        <w:t>1</w:t>
      </w:r>
      <w:r>
        <w:rPr>
          <w:rFonts w:hint="eastAsia"/>
        </w:rPr>
        <w:t>月</w:t>
      </w:r>
      <w:r>
        <w:rPr>
          <w:rFonts w:hint="eastAsia"/>
        </w:rPr>
        <w:t>1</w:t>
      </w:r>
      <w:r>
        <w:rPr>
          <w:rFonts w:hint="eastAsia"/>
        </w:rPr>
        <w:t>日，瑞典设立了人权研究所。该研究所的任务是鼓励尊重人权，并监测、调查和报告尊重和实现人权的情况。该研究所还可以就保障人权所需的措施向政府提交建议，也可以就扩大瑞典根据国际法在人权领域承担的义务向政府提交建议。该研究所不负责审查关于侵犯人权的个人申诉。为了遵守《巴黎原则》并加强研究所相对于政府的独立性，其任务和管理以及与其组织和工作方式有关的某些基本事项均受《人权研究所法》</w:t>
      </w:r>
      <w:r>
        <w:rPr>
          <w:rFonts w:hint="eastAsia"/>
        </w:rPr>
        <w:t>(2021:642)</w:t>
      </w:r>
      <w:r>
        <w:rPr>
          <w:rFonts w:hint="eastAsia"/>
        </w:rPr>
        <w:t>管辖。</w:t>
      </w:r>
    </w:p>
    <w:p w14:paraId="1C5C214D" w14:textId="77777777" w:rsidR="00C93FAE" w:rsidRDefault="00C93FAE" w:rsidP="00C93FAE">
      <w:pPr>
        <w:pStyle w:val="SingleTxtGC"/>
      </w:pPr>
      <w:r>
        <w:rPr>
          <w:rFonts w:hint="eastAsia"/>
        </w:rPr>
        <w:t>96.</w:t>
      </w:r>
      <w:r>
        <w:rPr>
          <w:rFonts w:hint="eastAsia"/>
        </w:rPr>
        <w:tab/>
      </w:r>
      <w:r>
        <w:rPr>
          <w:rFonts w:hint="eastAsia"/>
        </w:rPr>
        <w:t>根据《人权研究所法》第</w:t>
      </w:r>
      <w:r>
        <w:rPr>
          <w:rFonts w:hint="eastAsia"/>
        </w:rPr>
        <w:t>1</w:t>
      </w:r>
      <w:r>
        <w:rPr>
          <w:rFonts w:hint="eastAsia"/>
        </w:rPr>
        <w:t>条第</w:t>
      </w:r>
      <w:r>
        <w:rPr>
          <w:rFonts w:hint="eastAsia"/>
        </w:rPr>
        <w:t>4</w:t>
      </w:r>
      <w:r>
        <w:rPr>
          <w:rFonts w:hint="eastAsia"/>
        </w:rPr>
        <w:t>款，研究所必须遵循人权领域具有约束力的国际协定，努力促进瑞典的人权保障工作。</w:t>
      </w:r>
    </w:p>
    <w:p w14:paraId="15763834" w14:textId="5D981E27" w:rsidR="00C93FAE" w:rsidRDefault="00C93FAE" w:rsidP="00C93FAE">
      <w:pPr>
        <w:pStyle w:val="SingleTxtGC"/>
      </w:pPr>
      <w:r>
        <w:rPr>
          <w:rFonts w:hint="eastAsia"/>
        </w:rPr>
        <w:t>97.</w:t>
      </w:r>
      <w:r>
        <w:rPr>
          <w:rFonts w:hint="eastAsia"/>
        </w:rPr>
        <w:tab/>
      </w:r>
      <w:r>
        <w:rPr>
          <w:rFonts w:hint="eastAsia"/>
        </w:rPr>
        <w:t>《少数民族和少数民族语言法》</w:t>
      </w:r>
      <w:r>
        <w:rPr>
          <w:rFonts w:hint="eastAsia"/>
        </w:rPr>
        <w:t>(2009:724)</w:t>
      </w:r>
      <w:r>
        <w:rPr>
          <w:rFonts w:hint="eastAsia"/>
        </w:rPr>
        <w:t>于</w:t>
      </w:r>
      <w:r>
        <w:rPr>
          <w:rFonts w:hint="eastAsia"/>
        </w:rPr>
        <w:t>2010</w:t>
      </w:r>
      <w:r>
        <w:rPr>
          <w:rFonts w:hint="eastAsia"/>
        </w:rPr>
        <w:t>年生效</w:t>
      </w:r>
      <w:r>
        <w:rPr>
          <w:rFonts w:hint="eastAsia"/>
        </w:rPr>
        <w:t>(</w:t>
      </w:r>
      <w:r>
        <w:rPr>
          <w:rFonts w:hint="eastAsia"/>
        </w:rPr>
        <w:t>政府法案</w:t>
      </w:r>
      <w:r>
        <w:rPr>
          <w:rFonts w:hint="eastAsia"/>
        </w:rPr>
        <w:t>2008/09:158:</w:t>
      </w:r>
      <w:r>
        <w:rPr>
          <w:rFonts w:hint="eastAsia"/>
        </w:rPr>
        <w:t>“从承认到赋权</w:t>
      </w:r>
      <w:r w:rsidR="00E321EB">
        <w:rPr>
          <w:rFonts w:hint="eastAsia"/>
          <w:spacing w:val="-50"/>
        </w:rPr>
        <w:t>―</w:t>
      </w:r>
      <w:r w:rsidR="00E321EB">
        <w:rPr>
          <w:rFonts w:hint="eastAsia"/>
        </w:rPr>
        <w:t>―</w:t>
      </w:r>
      <w:r>
        <w:rPr>
          <w:rFonts w:hint="eastAsia"/>
        </w:rPr>
        <w:t>瑞典政府少数民族战略”</w:t>
      </w:r>
      <w:r>
        <w:rPr>
          <w:rFonts w:hint="eastAsia"/>
        </w:rPr>
        <w:t>)</w:t>
      </w:r>
      <w:r>
        <w:rPr>
          <w:rFonts w:hint="eastAsia"/>
        </w:rPr>
        <w:t>。</w:t>
      </w:r>
      <w:r>
        <w:rPr>
          <w:rFonts w:hint="eastAsia"/>
        </w:rPr>
        <w:t>2019</w:t>
      </w:r>
      <w:r>
        <w:rPr>
          <w:rFonts w:hint="eastAsia"/>
        </w:rPr>
        <w:t>年，该法案经修订后得到了加强，例如规定了市政府和地区政府有义务制定少数民族政策工作的目标和指导方针，明确了管理机关提供信息的义务和咨询所包括的内容。该法的修订还意味着加强了以少数民族语言获得学前教育和老年人护理的权利。斯德哥尔摩县行政委员会和萨米议会这两个机构负责监督该法的执行情况。这两个机构还必须在主管机关和市政当局执行该法的过程中提供协助和支持。为了宣传少数民族政策，政府于</w:t>
      </w:r>
      <w:r>
        <w:rPr>
          <w:rFonts w:hint="eastAsia"/>
        </w:rPr>
        <w:t>2009</w:t>
      </w:r>
      <w:r>
        <w:rPr>
          <w:rFonts w:hint="eastAsia"/>
        </w:rPr>
        <w:t>年开通了网站</w:t>
      </w:r>
      <w:r w:rsidR="00E321EB">
        <w:fldChar w:fldCharType="begin"/>
      </w:r>
      <w:r w:rsidR="00E321EB">
        <w:rPr>
          <w:rFonts w:hint="eastAsia"/>
        </w:rPr>
        <w:instrText>HYPERLINK "http://www.minoritet.se"</w:instrText>
      </w:r>
      <w:r w:rsidR="00E321EB">
        <w:fldChar w:fldCharType="separate"/>
      </w:r>
      <w:proofErr w:type="spellStart"/>
      <w:r w:rsidR="00E321EB" w:rsidRPr="009E5A67">
        <w:rPr>
          <w:rStyle w:val="af5"/>
          <w:rFonts w:hint="eastAsia"/>
        </w:rPr>
        <w:t>www.minoritet.se</w:t>
      </w:r>
      <w:proofErr w:type="spellEnd"/>
      <w:r w:rsidR="00E321EB">
        <w:fldChar w:fldCharType="end"/>
      </w:r>
      <w:r>
        <w:rPr>
          <w:rFonts w:hint="eastAsia"/>
        </w:rPr>
        <w:t>。网站载有关于少数民族权利和反歧视立法的资料以及关于少数民族的一般资料。</w:t>
      </w:r>
    </w:p>
    <w:p w14:paraId="7356E353" w14:textId="77777777" w:rsidR="00C93FAE" w:rsidRDefault="00C93FAE" w:rsidP="00C93FAE">
      <w:pPr>
        <w:pStyle w:val="SingleTxtGC"/>
      </w:pPr>
      <w:r>
        <w:rPr>
          <w:rFonts w:hint="eastAsia"/>
        </w:rPr>
        <w:t>98.</w:t>
      </w:r>
      <w:r>
        <w:rPr>
          <w:rFonts w:hint="eastAsia"/>
        </w:rPr>
        <w:tab/>
        <w:t>2012</w:t>
      </w:r>
      <w:r>
        <w:rPr>
          <w:rFonts w:hint="eastAsia"/>
        </w:rPr>
        <w:t>年通过了</w:t>
      </w:r>
      <w:r>
        <w:rPr>
          <w:rFonts w:hint="eastAsia"/>
        </w:rPr>
        <w:t>2012-2032</w:t>
      </w:r>
      <w:r>
        <w:rPr>
          <w:rFonts w:hint="eastAsia"/>
        </w:rPr>
        <w:t>年罗</w:t>
      </w:r>
      <w:proofErr w:type="gramStart"/>
      <w:r>
        <w:rPr>
          <w:rFonts w:hint="eastAsia"/>
        </w:rPr>
        <w:t>姆</w:t>
      </w:r>
      <w:proofErr w:type="gramEnd"/>
      <w:r>
        <w:rPr>
          <w:rFonts w:hint="eastAsia"/>
        </w:rPr>
        <w:t>人融入社会的长期协调战略。该战略跨度</w:t>
      </w:r>
      <w:r>
        <w:rPr>
          <w:rFonts w:hint="eastAsia"/>
        </w:rPr>
        <w:t>20</w:t>
      </w:r>
      <w:r>
        <w:rPr>
          <w:rFonts w:hint="eastAsia"/>
        </w:rPr>
        <w:t>年，进一步加强了少数民族政策，适用于五个少数民族。该战略从人权角度出发，重点强调不歧视原则。这项</w:t>
      </w:r>
      <w:r>
        <w:rPr>
          <w:rFonts w:hint="eastAsia"/>
        </w:rPr>
        <w:t>20</w:t>
      </w:r>
      <w:r>
        <w:rPr>
          <w:rFonts w:hint="eastAsia"/>
        </w:rPr>
        <w:t>年战略的总体目标是到</w:t>
      </w:r>
      <w:r>
        <w:rPr>
          <w:rFonts w:hint="eastAsia"/>
        </w:rPr>
        <w:t>2032</w:t>
      </w:r>
      <w:r>
        <w:rPr>
          <w:rFonts w:hint="eastAsia"/>
        </w:rPr>
        <w:t>年，确保年满</w:t>
      </w:r>
      <w:r>
        <w:rPr>
          <w:rFonts w:hint="eastAsia"/>
        </w:rPr>
        <w:t>20</w:t>
      </w:r>
      <w:r>
        <w:rPr>
          <w:rFonts w:hint="eastAsia"/>
        </w:rPr>
        <w:t>岁的罗</w:t>
      </w:r>
      <w:proofErr w:type="gramStart"/>
      <w:r>
        <w:rPr>
          <w:rFonts w:hint="eastAsia"/>
        </w:rPr>
        <w:t>姆</w:t>
      </w:r>
      <w:proofErr w:type="gramEnd"/>
      <w:r>
        <w:rPr>
          <w:rFonts w:hint="eastAsia"/>
        </w:rPr>
        <w:t>人在生活中享有与非罗</w:t>
      </w:r>
      <w:proofErr w:type="gramStart"/>
      <w:r>
        <w:rPr>
          <w:rFonts w:hint="eastAsia"/>
        </w:rPr>
        <w:t>姆</w:t>
      </w:r>
      <w:proofErr w:type="gramEnd"/>
      <w:r>
        <w:rPr>
          <w:rFonts w:hint="eastAsia"/>
        </w:rPr>
        <w:t>人同等的机会。该战略将妇女和儿童列为重点对象。</w:t>
      </w:r>
    </w:p>
    <w:p w14:paraId="675BEF72" w14:textId="77777777" w:rsidR="00C93FAE" w:rsidRDefault="00C93FAE" w:rsidP="00C93FAE">
      <w:pPr>
        <w:pStyle w:val="SingleTxtGC"/>
      </w:pPr>
      <w:r>
        <w:rPr>
          <w:rFonts w:hint="eastAsia"/>
        </w:rPr>
        <w:t>99.</w:t>
      </w:r>
      <w:r>
        <w:rPr>
          <w:rFonts w:hint="eastAsia"/>
        </w:rPr>
        <w:tab/>
        <w:t>2014</w:t>
      </w:r>
      <w:r>
        <w:rPr>
          <w:rFonts w:hint="eastAsia"/>
        </w:rPr>
        <w:t>年通过了一项国家战略，旨在确保平等权利和机会，不论性取向、性别认同或性别表达如何。该战略立足长远，以成果为导向。在此基础上，自</w:t>
      </w:r>
      <w:r>
        <w:rPr>
          <w:rFonts w:hint="eastAsia"/>
        </w:rPr>
        <w:t>2021</w:t>
      </w:r>
      <w:r>
        <w:rPr>
          <w:rFonts w:hint="eastAsia"/>
        </w:rPr>
        <w:t>年起，瑞典制定了一项行动计划，积极促进和</w:t>
      </w:r>
      <w:proofErr w:type="gramStart"/>
      <w:r>
        <w:rPr>
          <w:rFonts w:hint="eastAsia"/>
        </w:rPr>
        <w:t>维护让</w:t>
      </w:r>
      <w:proofErr w:type="gramEnd"/>
      <w:r>
        <w:rPr>
          <w:rFonts w:hint="eastAsia"/>
        </w:rPr>
        <w:t>所有</w:t>
      </w:r>
      <w:r>
        <w:rPr>
          <w:rFonts w:hint="eastAsia"/>
        </w:rPr>
        <w:t>LGBTIQ</w:t>
      </w:r>
      <w:r>
        <w:rPr>
          <w:rFonts w:hint="eastAsia"/>
        </w:rPr>
        <w:t>群体享有平等权利和机会的目标。</w:t>
      </w:r>
    </w:p>
    <w:p w14:paraId="4CFDD1D6" w14:textId="77777777" w:rsidR="00C93FAE" w:rsidRDefault="00C93FAE" w:rsidP="008D23C1">
      <w:pPr>
        <w:pStyle w:val="SingleTxtGC"/>
        <w:tabs>
          <w:tab w:val="clear" w:pos="1565"/>
          <w:tab w:val="clear" w:pos="1996"/>
          <w:tab w:val="clear" w:pos="2427"/>
        </w:tabs>
      </w:pPr>
      <w:r>
        <w:rPr>
          <w:rFonts w:hint="eastAsia"/>
        </w:rPr>
        <w:t>100.</w:t>
      </w:r>
      <w:r>
        <w:rPr>
          <w:rFonts w:hint="eastAsia"/>
        </w:rPr>
        <w:tab/>
        <w:t>2016</w:t>
      </w:r>
      <w:r>
        <w:rPr>
          <w:rFonts w:hint="eastAsia"/>
        </w:rPr>
        <w:t>年通过了一项关于打击种族主义、类似形式的敌意态度和仇恨犯罪的国家计划。这项国家计划的总体目标是通过战略性、有效和协同一致的努力，打击瑞典的种族主义、类似形式的敌意态度和仇恨犯罪。</w:t>
      </w:r>
    </w:p>
    <w:p w14:paraId="4067EE63" w14:textId="77777777" w:rsidR="00C93FAE" w:rsidRDefault="00C93FAE" w:rsidP="00FC6AAA">
      <w:pPr>
        <w:pStyle w:val="H23GC"/>
      </w:pPr>
      <w:r>
        <w:rPr>
          <w:rFonts w:hint="eastAsia"/>
        </w:rPr>
        <w:tab/>
      </w:r>
      <w:r>
        <w:rPr>
          <w:rFonts w:hint="eastAsia"/>
        </w:rPr>
        <w:tab/>
      </w:r>
      <w:r>
        <w:rPr>
          <w:rFonts w:hint="eastAsia"/>
        </w:rPr>
        <w:t>地方层面</w:t>
      </w:r>
    </w:p>
    <w:p w14:paraId="6E31182A" w14:textId="77777777" w:rsidR="00C93FAE" w:rsidRDefault="00C93FAE" w:rsidP="008D23C1">
      <w:pPr>
        <w:pStyle w:val="SingleTxtGC"/>
        <w:tabs>
          <w:tab w:val="clear" w:pos="1565"/>
          <w:tab w:val="clear" w:pos="1996"/>
          <w:tab w:val="clear" w:pos="2427"/>
        </w:tabs>
      </w:pPr>
      <w:r>
        <w:rPr>
          <w:rFonts w:hint="eastAsia"/>
        </w:rPr>
        <w:t>101.</w:t>
      </w:r>
      <w:r>
        <w:rPr>
          <w:rFonts w:hint="eastAsia"/>
        </w:rPr>
        <w:tab/>
      </w:r>
      <w:r>
        <w:rPr>
          <w:rFonts w:hint="eastAsia"/>
        </w:rPr>
        <w:t>目前，由市政府和地区政府直接向公民提供大部分公共服务。其中一些服务对落实人权至关重要，如受教育权、适当住房权、享有能达到的最高标准健康的权利、残疾人权利和少数民族权利。因此，市政府和地区政府的工作常常会影响公民的经济、社会及文化权利。</w:t>
      </w:r>
    </w:p>
    <w:p w14:paraId="6C78F90B" w14:textId="77777777" w:rsidR="00C93FAE" w:rsidRDefault="00C93FAE" w:rsidP="008D23C1">
      <w:pPr>
        <w:pStyle w:val="SingleTxtGC"/>
        <w:tabs>
          <w:tab w:val="clear" w:pos="1565"/>
          <w:tab w:val="clear" w:pos="1996"/>
          <w:tab w:val="clear" w:pos="2427"/>
        </w:tabs>
      </w:pPr>
      <w:r>
        <w:rPr>
          <w:rFonts w:hint="eastAsia"/>
        </w:rPr>
        <w:t>102.</w:t>
      </w:r>
      <w:r>
        <w:rPr>
          <w:rFonts w:hint="eastAsia"/>
        </w:rPr>
        <w:tab/>
      </w:r>
      <w:r>
        <w:rPr>
          <w:rFonts w:hint="eastAsia"/>
        </w:rPr>
        <w:t>根据《政府法典》，市政府和地区政府必须在地方自治的基础上管理涉及公共利益的地方和地区事务。地方自治是指市政府和地区政府享有广泛自治权，可以决定如何安排活动和采取哪些措施，以确保尊重人权。因此，瑞典为确保遵守国际公约所作的努力一定程度上依赖于与市政府和地区政府之间的系统性合作。</w:t>
      </w:r>
    </w:p>
    <w:p w14:paraId="77F70983" w14:textId="77777777" w:rsidR="00C93FAE" w:rsidRDefault="00C93FAE" w:rsidP="008D23C1">
      <w:pPr>
        <w:pStyle w:val="SingleTxtGC"/>
        <w:tabs>
          <w:tab w:val="clear" w:pos="1565"/>
          <w:tab w:val="clear" w:pos="1996"/>
          <w:tab w:val="clear" w:pos="2427"/>
        </w:tabs>
      </w:pPr>
      <w:r>
        <w:rPr>
          <w:rFonts w:hint="eastAsia"/>
        </w:rPr>
        <w:t>103.</w:t>
      </w:r>
      <w:r>
        <w:rPr>
          <w:rFonts w:hint="eastAsia"/>
        </w:rPr>
        <w:tab/>
      </w:r>
      <w:r>
        <w:rPr>
          <w:rFonts w:hint="eastAsia"/>
        </w:rPr>
        <w:t>地区政府和市政府在通过地方税收为卫生保健提供资金方面承担主要责任。中央政府也会提供额外补助。</w:t>
      </w:r>
    </w:p>
    <w:p w14:paraId="5B34E3CB" w14:textId="77777777" w:rsidR="00C93FAE" w:rsidRDefault="00C93FAE" w:rsidP="009A4F4E">
      <w:pPr>
        <w:pStyle w:val="H23GC"/>
      </w:pPr>
      <w:r>
        <w:rPr>
          <w:rFonts w:hint="eastAsia"/>
        </w:rPr>
        <w:tab/>
      </w:r>
      <w:r>
        <w:rPr>
          <w:rFonts w:hint="eastAsia"/>
        </w:rPr>
        <w:tab/>
      </w:r>
      <w:r>
        <w:rPr>
          <w:rFonts w:hint="eastAsia"/>
        </w:rPr>
        <w:t>信息</w:t>
      </w:r>
    </w:p>
    <w:p w14:paraId="1713D0AB" w14:textId="77777777" w:rsidR="00C93FAE" w:rsidRDefault="00C93FAE" w:rsidP="008D23C1">
      <w:pPr>
        <w:pStyle w:val="SingleTxtGC"/>
        <w:tabs>
          <w:tab w:val="clear" w:pos="1565"/>
          <w:tab w:val="clear" w:pos="1996"/>
          <w:tab w:val="clear" w:pos="2427"/>
        </w:tabs>
      </w:pPr>
      <w:r>
        <w:rPr>
          <w:rFonts w:hint="eastAsia"/>
        </w:rPr>
        <w:t>104.</w:t>
      </w:r>
      <w:r>
        <w:rPr>
          <w:rFonts w:hint="eastAsia"/>
        </w:rPr>
        <w:tab/>
      </w:r>
      <w:r>
        <w:rPr>
          <w:rFonts w:hint="eastAsia"/>
        </w:rPr>
        <w:t>政府的官方网站上有一个页面专门介绍国际人权机构向瑞典提出的国际意见和建议。瑞典会持续发布联合国和欧洲理事会的意见和建议。</w:t>
      </w:r>
    </w:p>
    <w:p w14:paraId="6E38F581" w14:textId="77777777" w:rsidR="00C93FAE" w:rsidRDefault="00C93FAE" w:rsidP="008D23C1">
      <w:pPr>
        <w:pStyle w:val="SingleTxtGC"/>
        <w:tabs>
          <w:tab w:val="clear" w:pos="1565"/>
          <w:tab w:val="clear" w:pos="1996"/>
          <w:tab w:val="clear" w:pos="2427"/>
        </w:tabs>
      </w:pPr>
      <w:r>
        <w:rPr>
          <w:rFonts w:hint="eastAsia"/>
        </w:rPr>
        <w:t>105.</w:t>
      </w:r>
      <w:r>
        <w:rPr>
          <w:rFonts w:hint="eastAsia"/>
        </w:rPr>
        <w:tab/>
      </w:r>
      <w:r>
        <w:rPr>
          <w:rFonts w:hint="eastAsia"/>
        </w:rPr>
        <w:t>瑞典缔结的具有约束力的国际协定瑞典语译本发布在《瑞典条约汇编》，</w:t>
      </w:r>
      <w:r>
        <w:rPr>
          <w:rFonts w:hint="eastAsia"/>
        </w:rPr>
        <w:t>1994</w:t>
      </w:r>
      <w:r>
        <w:rPr>
          <w:rFonts w:hint="eastAsia"/>
        </w:rPr>
        <w:t>年以来缔结的协定也发布在瑞典政府的网站。此外，瑞典通过的与缔结国际协定有关的立法已包含在《瑞典法典》中。凡需要修订现行法律或颁布新立法的国际协定，均必须获得瑞典议会批准。属于议会决策权限范围内的协定和其他重要协定也必须获得议会批准。政府法案在议会出版物上发布，供公众查阅。</w:t>
      </w:r>
    </w:p>
    <w:p w14:paraId="1A2F3759" w14:textId="77777777" w:rsidR="00C93FAE" w:rsidRDefault="00C93FAE" w:rsidP="009A4F4E">
      <w:pPr>
        <w:pStyle w:val="H23GC"/>
      </w:pPr>
      <w:r>
        <w:rPr>
          <w:rFonts w:hint="eastAsia"/>
        </w:rPr>
        <w:tab/>
      </w:r>
      <w:r>
        <w:rPr>
          <w:rFonts w:hint="eastAsia"/>
        </w:rPr>
        <w:tab/>
      </w:r>
      <w:r>
        <w:rPr>
          <w:rFonts w:hint="eastAsia"/>
        </w:rPr>
        <w:t>政府机构</w:t>
      </w:r>
    </w:p>
    <w:p w14:paraId="206B10F3" w14:textId="77777777" w:rsidR="00C93FAE" w:rsidRDefault="00C93FAE" w:rsidP="008D23C1">
      <w:pPr>
        <w:pStyle w:val="SingleTxtGC"/>
        <w:tabs>
          <w:tab w:val="clear" w:pos="1565"/>
          <w:tab w:val="clear" w:pos="1996"/>
          <w:tab w:val="clear" w:pos="2427"/>
        </w:tabs>
      </w:pPr>
      <w:r>
        <w:rPr>
          <w:rFonts w:hint="eastAsia"/>
        </w:rPr>
        <w:t>106.</w:t>
      </w:r>
      <w:r>
        <w:rPr>
          <w:rFonts w:hint="eastAsia"/>
        </w:rPr>
        <w:tab/>
      </w:r>
      <w:r>
        <w:rPr>
          <w:rFonts w:hint="eastAsia"/>
        </w:rPr>
        <w:t>国家有责任通过立法、机构管理、知识和信息传播及其他手段来打击侵犯人权的行为。努力使政府机构意识到他们有责任确保人权不受侵犯，并加深对国际义务的理解，是瑞典政府国家人权战略的一部分。必须将尊重人权和人权意识作为公共部门日常工作的一部分。现行措施应当以加强人权知识、人权意识和尊重人权为目标，将其作为瑞典的约束性义务。可以将国际人权公约作为切入点。为促进尊重人权而采取的措施应当被视为对现有或计划内人权工作的补充，如性别平等、反歧视、残疾人权利、儿童权利和少数民族权利等方面的工作。</w:t>
      </w:r>
    </w:p>
    <w:p w14:paraId="4675F5EC" w14:textId="77777777" w:rsidR="00C93FAE" w:rsidRDefault="00C93FAE" w:rsidP="008D23C1">
      <w:pPr>
        <w:pStyle w:val="SingleTxtGC"/>
        <w:tabs>
          <w:tab w:val="clear" w:pos="1565"/>
          <w:tab w:val="clear" w:pos="1996"/>
          <w:tab w:val="clear" w:pos="2427"/>
        </w:tabs>
      </w:pPr>
      <w:r>
        <w:rPr>
          <w:rFonts w:hint="eastAsia"/>
        </w:rPr>
        <w:t>107.</w:t>
      </w:r>
      <w:r>
        <w:rPr>
          <w:rFonts w:hint="eastAsia"/>
        </w:rPr>
        <w:tab/>
      </w:r>
      <w:r>
        <w:rPr>
          <w:rFonts w:hint="eastAsia"/>
        </w:rPr>
        <w:t>自</w:t>
      </w:r>
      <w:r>
        <w:rPr>
          <w:rFonts w:hint="eastAsia"/>
        </w:rPr>
        <w:t>2014</w:t>
      </w:r>
      <w:r>
        <w:rPr>
          <w:rFonts w:hint="eastAsia"/>
        </w:rPr>
        <w:t>年以来，乌普萨拉大学一直负责为中央政府雇员开发和执行有关人权的人力资源开发方案。自</w:t>
      </w:r>
      <w:r>
        <w:rPr>
          <w:rFonts w:hint="eastAsia"/>
        </w:rPr>
        <w:t>2020</w:t>
      </w:r>
      <w:r>
        <w:rPr>
          <w:rFonts w:hint="eastAsia"/>
        </w:rPr>
        <w:t>年起，将市政府和地区政府的相关雇员纳入其中。这项任务的目的是确保政府机构中选定的工作人员充分了解人权知识及其含义，从而能够在其工作中识别涉及人权问题的情况。</w:t>
      </w:r>
    </w:p>
    <w:p w14:paraId="366828B1" w14:textId="77777777" w:rsidR="00C93FAE" w:rsidRDefault="00C93FAE" w:rsidP="00CF422E">
      <w:pPr>
        <w:pStyle w:val="H23GC"/>
      </w:pPr>
      <w:r>
        <w:rPr>
          <w:rFonts w:hint="eastAsia"/>
        </w:rPr>
        <w:tab/>
      </w:r>
      <w:r>
        <w:rPr>
          <w:rFonts w:hint="eastAsia"/>
        </w:rPr>
        <w:tab/>
      </w:r>
      <w:r>
        <w:rPr>
          <w:rFonts w:hint="eastAsia"/>
        </w:rPr>
        <w:t>教育</w:t>
      </w:r>
    </w:p>
    <w:p w14:paraId="54EDCC7E" w14:textId="77777777" w:rsidR="00C93FAE" w:rsidRDefault="00C93FAE" w:rsidP="008D23C1">
      <w:pPr>
        <w:pStyle w:val="SingleTxtGC"/>
        <w:tabs>
          <w:tab w:val="clear" w:pos="1565"/>
          <w:tab w:val="clear" w:pos="1996"/>
          <w:tab w:val="clear" w:pos="2427"/>
        </w:tabs>
      </w:pPr>
      <w:r>
        <w:rPr>
          <w:rFonts w:hint="eastAsia"/>
        </w:rPr>
        <w:t>108.</w:t>
      </w:r>
      <w:r>
        <w:rPr>
          <w:rFonts w:hint="eastAsia"/>
        </w:rPr>
        <w:tab/>
      </w:r>
      <w:r>
        <w:rPr>
          <w:rFonts w:hint="eastAsia"/>
        </w:rPr>
        <w:t>新的《瑞典教育法》于</w:t>
      </w:r>
      <w:r>
        <w:rPr>
          <w:rFonts w:hint="eastAsia"/>
        </w:rPr>
        <w:t>2011</w:t>
      </w:r>
      <w:r>
        <w:rPr>
          <w:rFonts w:hint="eastAsia"/>
        </w:rPr>
        <w:t>年</w:t>
      </w:r>
      <w:r>
        <w:rPr>
          <w:rFonts w:hint="eastAsia"/>
        </w:rPr>
        <w:t>7</w:t>
      </w:r>
      <w:r>
        <w:rPr>
          <w:rFonts w:hint="eastAsia"/>
        </w:rPr>
        <w:t>月</w:t>
      </w:r>
      <w:r>
        <w:rPr>
          <w:rFonts w:hint="eastAsia"/>
        </w:rPr>
        <w:t>1</w:t>
      </w:r>
      <w:r>
        <w:rPr>
          <w:rFonts w:hint="eastAsia"/>
        </w:rPr>
        <w:t>日生效。该法高度重视人权，将其视作教育制度所依据的基本价值观之一。该法和国家教学大纲都规定，每名学前教育或学校教育工作者都必须促进尊重人权，并与违背这一价值观的一切事物划清界限。新《教育法》生效后，人权教育的作用在教学大纲中，特别是在总体目标中得到了更加明确的体现。人权教育成为“公民教育”科目的宗旨、目标和核心内容。自</w:t>
      </w:r>
      <w:r>
        <w:rPr>
          <w:rFonts w:hint="eastAsia"/>
        </w:rPr>
        <w:t>2010</w:t>
      </w:r>
      <w:r>
        <w:rPr>
          <w:rFonts w:hint="eastAsia"/>
        </w:rPr>
        <w:t>年起，新任校长必须接受大学级别的专门入职培训。作为培训的一部分，校长将学习与教育相关的国际协定和公约知识。瑞典国家教育署的指示指出，教育署必须促进性别平等，并在其活动中纳入平等视角和人权视角。教育署还必须促进平等权利和机会，不论性取向、性别认同或性别表达如何。</w:t>
      </w:r>
    </w:p>
    <w:p w14:paraId="41CACE79" w14:textId="77777777" w:rsidR="00C93FAE" w:rsidRDefault="00C93FAE" w:rsidP="00CF422E">
      <w:pPr>
        <w:pStyle w:val="H23GC"/>
      </w:pPr>
      <w:r>
        <w:rPr>
          <w:rFonts w:hint="eastAsia"/>
        </w:rPr>
        <w:tab/>
      </w:r>
      <w:r>
        <w:rPr>
          <w:rFonts w:hint="eastAsia"/>
        </w:rPr>
        <w:tab/>
      </w:r>
      <w:r>
        <w:rPr>
          <w:rFonts w:hint="eastAsia"/>
        </w:rPr>
        <w:t>媒体</w:t>
      </w:r>
    </w:p>
    <w:p w14:paraId="1C5FC37D" w14:textId="77777777" w:rsidR="00C93FAE" w:rsidRDefault="00C93FAE" w:rsidP="008D23C1">
      <w:pPr>
        <w:pStyle w:val="SingleTxtGC"/>
        <w:tabs>
          <w:tab w:val="clear" w:pos="1565"/>
          <w:tab w:val="clear" w:pos="1996"/>
          <w:tab w:val="clear" w:pos="2427"/>
        </w:tabs>
      </w:pPr>
      <w:r>
        <w:rPr>
          <w:rFonts w:hint="eastAsia"/>
        </w:rPr>
        <w:t>109.</w:t>
      </w:r>
      <w:r>
        <w:rPr>
          <w:rFonts w:hint="eastAsia"/>
        </w:rPr>
        <w:tab/>
      </w:r>
      <w:r>
        <w:rPr>
          <w:rFonts w:hint="eastAsia"/>
        </w:rPr>
        <w:t>社会上的一些其他行为体，包括公共和私人行为体，也为促进和享有人权</w:t>
      </w:r>
      <w:proofErr w:type="gramStart"/>
      <w:r>
        <w:rPr>
          <w:rFonts w:hint="eastAsia"/>
        </w:rPr>
        <w:t>作出</w:t>
      </w:r>
      <w:proofErr w:type="gramEnd"/>
      <w:r>
        <w:rPr>
          <w:rFonts w:hint="eastAsia"/>
        </w:rPr>
        <w:t>了贡献。媒体通过向公众提供信息、发起公共辩论和监督公共权力的行使，发挥着至关重要的作用。如上所述，新闻自由是自由和民主社会的根基。</w:t>
      </w:r>
    </w:p>
    <w:p w14:paraId="20DB497C" w14:textId="77777777" w:rsidR="00C93FAE" w:rsidRDefault="00C93FAE" w:rsidP="00CF422E">
      <w:pPr>
        <w:pStyle w:val="H23GC"/>
      </w:pPr>
      <w:r>
        <w:rPr>
          <w:rFonts w:hint="eastAsia"/>
        </w:rPr>
        <w:tab/>
      </w:r>
      <w:r>
        <w:rPr>
          <w:rFonts w:hint="eastAsia"/>
        </w:rPr>
        <w:tab/>
      </w:r>
      <w:r>
        <w:rPr>
          <w:rFonts w:hint="eastAsia"/>
        </w:rPr>
        <w:t>民间社会</w:t>
      </w:r>
    </w:p>
    <w:p w14:paraId="179EE0EF" w14:textId="77777777" w:rsidR="00C93FAE" w:rsidRDefault="00C93FAE" w:rsidP="008D23C1">
      <w:pPr>
        <w:pStyle w:val="SingleTxtGC"/>
        <w:tabs>
          <w:tab w:val="clear" w:pos="1565"/>
          <w:tab w:val="clear" w:pos="1996"/>
          <w:tab w:val="clear" w:pos="2427"/>
        </w:tabs>
      </w:pPr>
      <w:r>
        <w:rPr>
          <w:rFonts w:hint="eastAsia"/>
        </w:rPr>
        <w:t>110.</w:t>
      </w:r>
      <w:r>
        <w:rPr>
          <w:rFonts w:hint="eastAsia"/>
        </w:rPr>
        <w:tab/>
      </w:r>
      <w:r>
        <w:rPr>
          <w:rFonts w:hint="eastAsia"/>
        </w:rPr>
        <w:t>瑞典的公民参与传统由来已久，民间社会活跃，公民参与率高，内部组织民主化程度高。非政府组织在维护和发展民主价值观、尊重人权和公民参与瑞典社会方面发挥着重要作用。</w:t>
      </w:r>
    </w:p>
    <w:p w14:paraId="4527DDDB" w14:textId="77777777" w:rsidR="00C93FAE" w:rsidRDefault="00C93FAE" w:rsidP="00821107">
      <w:pPr>
        <w:pStyle w:val="H23GC"/>
      </w:pPr>
      <w:r>
        <w:rPr>
          <w:rFonts w:hint="eastAsia"/>
        </w:rPr>
        <w:tab/>
      </w:r>
      <w:r>
        <w:rPr>
          <w:rFonts w:hint="eastAsia"/>
        </w:rPr>
        <w:tab/>
      </w:r>
      <w:r>
        <w:rPr>
          <w:rFonts w:hint="eastAsia"/>
        </w:rPr>
        <w:t>财政资源</w:t>
      </w:r>
    </w:p>
    <w:p w14:paraId="2576FAC5" w14:textId="3A133DD7" w:rsidR="00C93FAE" w:rsidRDefault="00C93FAE" w:rsidP="008D23C1">
      <w:pPr>
        <w:pStyle w:val="SingleTxtGC"/>
        <w:tabs>
          <w:tab w:val="clear" w:pos="1565"/>
          <w:tab w:val="clear" w:pos="1996"/>
          <w:tab w:val="clear" w:pos="2427"/>
        </w:tabs>
      </w:pPr>
      <w:r>
        <w:rPr>
          <w:rFonts w:hint="eastAsia"/>
        </w:rPr>
        <w:t>111.</w:t>
      </w:r>
      <w:r>
        <w:rPr>
          <w:rFonts w:hint="eastAsia"/>
        </w:rPr>
        <w:tab/>
      </w:r>
      <w:r>
        <w:rPr>
          <w:rFonts w:hint="eastAsia"/>
        </w:rPr>
        <w:t>自</w:t>
      </w:r>
      <w:r>
        <w:rPr>
          <w:rFonts w:hint="eastAsia"/>
        </w:rPr>
        <w:t>2022</w:t>
      </w:r>
      <w:r>
        <w:rPr>
          <w:rFonts w:hint="eastAsia"/>
        </w:rPr>
        <w:t>年以来，瑞典政府每年拨款</w:t>
      </w:r>
      <w:r>
        <w:rPr>
          <w:rFonts w:hint="eastAsia"/>
        </w:rPr>
        <w:t>1</w:t>
      </w:r>
      <w:r w:rsidR="00F16393">
        <w:t>,</w:t>
      </w:r>
      <w:r>
        <w:rPr>
          <w:rFonts w:hint="eastAsia"/>
        </w:rPr>
        <w:t>250</w:t>
      </w:r>
      <w:proofErr w:type="gramStart"/>
      <w:r>
        <w:rPr>
          <w:rFonts w:hint="eastAsia"/>
        </w:rPr>
        <w:t>万瑞</w:t>
      </w:r>
      <w:proofErr w:type="gramEnd"/>
      <w:r>
        <w:rPr>
          <w:rFonts w:hint="eastAsia"/>
        </w:rPr>
        <w:t>典克朗</w:t>
      </w:r>
      <w:r>
        <w:rPr>
          <w:rFonts w:hint="eastAsia"/>
        </w:rPr>
        <w:t>(</w:t>
      </w:r>
      <w:r>
        <w:rPr>
          <w:rFonts w:hint="eastAsia"/>
        </w:rPr>
        <w:t>约合</w:t>
      </w:r>
      <w:r>
        <w:rPr>
          <w:rFonts w:hint="eastAsia"/>
        </w:rPr>
        <w:t>111</w:t>
      </w:r>
      <w:r>
        <w:rPr>
          <w:rFonts w:hint="eastAsia"/>
        </w:rPr>
        <w:t>万欧元</w:t>
      </w:r>
      <w:r>
        <w:rPr>
          <w:rFonts w:hint="eastAsia"/>
        </w:rPr>
        <w:t>)</w:t>
      </w:r>
      <w:r>
        <w:rPr>
          <w:rFonts w:hint="eastAsia"/>
        </w:rPr>
        <w:t>，用于支持在国家层面促进和确保尊重人权的总体措施。</w:t>
      </w:r>
      <w:r>
        <w:rPr>
          <w:rFonts w:hint="eastAsia"/>
        </w:rPr>
        <w:t>2024</w:t>
      </w:r>
      <w:r>
        <w:rPr>
          <w:rFonts w:hint="eastAsia"/>
        </w:rPr>
        <w:t>年，政府向瑞典人权研究所拨款</w:t>
      </w:r>
      <w:r>
        <w:rPr>
          <w:rFonts w:hint="eastAsia"/>
        </w:rPr>
        <w:t>5</w:t>
      </w:r>
      <w:r w:rsidR="00F16393">
        <w:t>,</w:t>
      </w:r>
      <w:r>
        <w:rPr>
          <w:rFonts w:hint="eastAsia"/>
        </w:rPr>
        <w:t>180</w:t>
      </w:r>
      <w:proofErr w:type="gramStart"/>
      <w:r>
        <w:rPr>
          <w:rFonts w:hint="eastAsia"/>
        </w:rPr>
        <w:t>万瑞</w:t>
      </w:r>
      <w:proofErr w:type="gramEnd"/>
      <w:r>
        <w:rPr>
          <w:rFonts w:hint="eastAsia"/>
        </w:rPr>
        <w:t>典克朗</w:t>
      </w:r>
      <w:r>
        <w:rPr>
          <w:rFonts w:hint="eastAsia"/>
        </w:rPr>
        <w:t>(</w:t>
      </w:r>
      <w:r>
        <w:rPr>
          <w:rFonts w:hint="eastAsia"/>
        </w:rPr>
        <w:t>约合</w:t>
      </w:r>
      <w:r>
        <w:rPr>
          <w:rFonts w:hint="eastAsia"/>
        </w:rPr>
        <w:t>460</w:t>
      </w:r>
      <w:r>
        <w:rPr>
          <w:rFonts w:hint="eastAsia"/>
        </w:rPr>
        <w:t>万欧元</w:t>
      </w:r>
      <w:r>
        <w:rPr>
          <w:rFonts w:hint="eastAsia"/>
        </w:rPr>
        <w:t>)</w:t>
      </w:r>
      <w:r>
        <w:rPr>
          <w:rFonts w:hint="eastAsia"/>
        </w:rPr>
        <w:t>。以下是</w:t>
      </w:r>
      <w:r>
        <w:rPr>
          <w:rFonts w:hint="eastAsia"/>
        </w:rPr>
        <w:t>2024</w:t>
      </w:r>
      <w:r>
        <w:rPr>
          <w:rFonts w:hint="eastAsia"/>
        </w:rPr>
        <w:t>年度各人权领域的预算分配情况：</w:t>
      </w:r>
    </w:p>
    <w:p w14:paraId="607F13BB" w14:textId="5C389874"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为性别</w:t>
      </w:r>
      <w:proofErr w:type="gramStart"/>
      <w:r>
        <w:rPr>
          <w:rFonts w:hint="eastAsia"/>
        </w:rPr>
        <w:t>平等行动</w:t>
      </w:r>
      <w:proofErr w:type="gramEnd"/>
      <w:r>
        <w:rPr>
          <w:rFonts w:hint="eastAsia"/>
        </w:rPr>
        <w:t>拨款</w:t>
      </w:r>
      <w:r>
        <w:rPr>
          <w:rFonts w:hint="eastAsia"/>
        </w:rPr>
        <w:t>7.48</w:t>
      </w:r>
      <w:r>
        <w:rPr>
          <w:rFonts w:hint="eastAsia"/>
        </w:rPr>
        <w:t>亿瑞典克朗</w:t>
      </w:r>
      <w:r>
        <w:rPr>
          <w:rFonts w:hint="eastAsia"/>
        </w:rPr>
        <w:t>(</w:t>
      </w:r>
      <w:r>
        <w:rPr>
          <w:rFonts w:hint="eastAsia"/>
        </w:rPr>
        <w:t>约合</w:t>
      </w:r>
      <w:r>
        <w:rPr>
          <w:rFonts w:hint="eastAsia"/>
        </w:rPr>
        <w:t>6</w:t>
      </w:r>
      <w:r w:rsidR="00602392">
        <w:t>,</w:t>
      </w:r>
      <w:r>
        <w:rPr>
          <w:rFonts w:hint="eastAsia"/>
        </w:rPr>
        <w:t>650</w:t>
      </w:r>
      <w:r>
        <w:rPr>
          <w:rFonts w:hint="eastAsia"/>
        </w:rPr>
        <w:t>万欧元</w:t>
      </w:r>
      <w:r>
        <w:rPr>
          <w:rFonts w:hint="eastAsia"/>
        </w:rPr>
        <w:t>)</w:t>
      </w:r>
      <w:r>
        <w:rPr>
          <w:rFonts w:hint="eastAsia"/>
        </w:rPr>
        <w:t>；</w:t>
      </w:r>
    </w:p>
    <w:p w14:paraId="0624E7AC" w14:textId="023D82F8"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为残疾人政策拨款</w:t>
      </w:r>
      <w:r>
        <w:rPr>
          <w:rFonts w:hint="eastAsia"/>
        </w:rPr>
        <w:t>2.58</w:t>
      </w:r>
      <w:r>
        <w:rPr>
          <w:rFonts w:hint="eastAsia"/>
        </w:rPr>
        <w:t>亿瑞典克朗</w:t>
      </w:r>
      <w:r>
        <w:rPr>
          <w:rFonts w:hint="eastAsia"/>
        </w:rPr>
        <w:t>(</w:t>
      </w:r>
      <w:r>
        <w:rPr>
          <w:rFonts w:hint="eastAsia"/>
        </w:rPr>
        <w:t>约合</w:t>
      </w:r>
      <w:r>
        <w:rPr>
          <w:rFonts w:hint="eastAsia"/>
        </w:rPr>
        <w:t>2</w:t>
      </w:r>
      <w:r w:rsidR="00602392">
        <w:t>,</w:t>
      </w:r>
      <w:r>
        <w:rPr>
          <w:rFonts w:hint="eastAsia"/>
        </w:rPr>
        <w:t>290</w:t>
      </w:r>
      <w:r>
        <w:rPr>
          <w:rFonts w:hint="eastAsia"/>
        </w:rPr>
        <w:t>万欧元</w:t>
      </w:r>
      <w:r>
        <w:rPr>
          <w:rFonts w:hint="eastAsia"/>
        </w:rPr>
        <w:t>)</w:t>
      </w:r>
      <w:r>
        <w:rPr>
          <w:rFonts w:hint="eastAsia"/>
        </w:rPr>
        <w:t>；</w:t>
      </w:r>
    </w:p>
    <w:p w14:paraId="50D852D4" w14:textId="0CD61BFE"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为平等问题监察员和其他打击歧视、种族主义、类似形式的敌意态度</w:t>
      </w:r>
      <w:r>
        <w:rPr>
          <w:rFonts w:hint="eastAsia"/>
        </w:rPr>
        <w:t>(</w:t>
      </w:r>
      <w:r>
        <w:rPr>
          <w:rFonts w:hint="eastAsia"/>
        </w:rPr>
        <w:t>如同性恋恐惧和跨性别恐惧</w:t>
      </w:r>
      <w:r>
        <w:rPr>
          <w:rFonts w:hint="eastAsia"/>
        </w:rPr>
        <w:t>)</w:t>
      </w:r>
      <w:r>
        <w:rPr>
          <w:rFonts w:hint="eastAsia"/>
        </w:rPr>
        <w:t>的行动以及权利和机会</w:t>
      </w:r>
      <w:proofErr w:type="gramStart"/>
      <w:r>
        <w:rPr>
          <w:rFonts w:hint="eastAsia"/>
        </w:rPr>
        <w:t>平等行动</w:t>
      </w:r>
      <w:proofErr w:type="gramEnd"/>
      <w:r>
        <w:rPr>
          <w:rFonts w:hint="eastAsia"/>
        </w:rPr>
        <w:t>拨款</w:t>
      </w:r>
      <w:r>
        <w:rPr>
          <w:rFonts w:hint="eastAsia"/>
        </w:rPr>
        <w:t>2.49</w:t>
      </w:r>
      <w:r>
        <w:rPr>
          <w:rFonts w:hint="eastAsia"/>
        </w:rPr>
        <w:t>亿瑞典克朗</w:t>
      </w:r>
      <w:r>
        <w:rPr>
          <w:rFonts w:hint="eastAsia"/>
        </w:rPr>
        <w:t>(</w:t>
      </w:r>
      <w:r>
        <w:rPr>
          <w:rFonts w:hint="eastAsia"/>
        </w:rPr>
        <w:t>约合</w:t>
      </w:r>
      <w:r>
        <w:rPr>
          <w:rFonts w:hint="eastAsia"/>
        </w:rPr>
        <w:t>2</w:t>
      </w:r>
      <w:r w:rsidR="00602392">
        <w:t>,</w:t>
      </w:r>
      <w:r>
        <w:rPr>
          <w:rFonts w:hint="eastAsia"/>
        </w:rPr>
        <w:t>220</w:t>
      </w:r>
      <w:r>
        <w:rPr>
          <w:rFonts w:hint="eastAsia"/>
        </w:rPr>
        <w:t>万欧元</w:t>
      </w:r>
      <w:r>
        <w:rPr>
          <w:rFonts w:hint="eastAsia"/>
        </w:rPr>
        <w:t>)</w:t>
      </w:r>
      <w:r>
        <w:rPr>
          <w:rFonts w:hint="eastAsia"/>
        </w:rPr>
        <w:t>；</w:t>
      </w:r>
    </w:p>
    <w:p w14:paraId="15EE6257" w14:textId="0CFCA616"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为少数民族措施拨款</w:t>
      </w:r>
      <w:r>
        <w:rPr>
          <w:rFonts w:hint="eastAsia"/>
        </w:rPr>
        <w:t>2.28</w:t>
      </w:r>
      <w:r>
        <w:rPr>
          <w:rFonts w:hint="eastAsia"/>
        </w:rPr>
        <w:t>亿瑞典克朗</w:t>
      </w:r>
      <w:r>
        <w:rPr>
          <w:rFonts w:hint="eastAsia"/>
        </w:rPr>
        <w:t>(</w:t>
      </w:r>
      <w:r>
        <w:rPr>
          <w:rFonts w:hint="eastAsia"/>
        </w:rPr>
        <w:t>约合</w:t>
      </w:r>
      <w:r>
        <w:rPr>
          <w:rFonts w:hint="eastAsia"/>
        </w:rPr>
        <w:t>2</w:t>
      </w:r>
      <w:r w:rsidR="00602392">
        <w:t>,</w:t>
      </w:r>
      <w:r>
        <w:rPr>
          <w:rFonts w:hint="eastAsia"/>
        </w:rPr>
        <w:t>030</w:t>
      </w:r>
      <w:r>
        <w:rPr>
          <w:rFonts w:hint="eastAsia"/>
        </w:rPr>
        <w:t>万欧元</w:t>
      </w:r>
      <w:r>
        <w:rPr>
          <w:rFonts w:hint="eastAsia"/>
        </w:rPr>
        <w:t>)</w:t>
      </w:r>
      <w:r>
        <w:rPr>
          <w:rFonts w:hint="eastAsia"/>
        </w:rPr>
        <w:t>；</w:t>
      </w:r>
    </w:p>
    <w:p w14:paraId="753F567B" w14:textId="537C570C"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为萨米议会拨款</w:t>
      </w:r>
      <w:r>
        <w:rPr>
          <w:rFonts w:hint="eastAsia"/>
        </w:rPr>
        <w:t>6</w:t>
      </w:r>
      <w:r w:rsidR="00602392">
        <w:t>,</w:t>
      </w:r>
      <w:r>
        <w:rPr>
          <w:rFonts w:hint="eastAsia"/>
        </w:rPr>
        <w:t>300</w:t>
      </w:r>
      <w:proofErr w:type="gramStart"/>
      <w:r>
        <w:rPr>
          <w:rFonts w:hint="eastAsia"/>
        </w:rPr>
        <w:t>万瑞</w:t>
      </w:r>
      <w:proofErr w:type="gramEnd"/>
      <w:r>
        <w:rPr>
          <w:rFonts w:hint="eastAsia"/>
        </w:rPr>
        <w:t>典克朗</w:t>
      </w:r>
      <w:r>
        <w:rPr>
          <w:rFonts w:hint="eastAsia"/>
        </w:rPr>
        <w:t>(</w:t>
      </w:r>
      <w:r>
        <w:rPr>
          <w:rFonts w:hint="eastAsia"/>
        </w:rPr>
        <w:t>约合</w:t>
      </w:r>
      <w:r>
        <w:rPr>
          <w:rFonts w:hint="eastAsia"/>
        </w:rPr>
        <w:t>560</w:t>
      </w:r>
      <w:r>
        <w:rPr>
          <w:rFonts w:hint="eastAsia"/>
        </w:rPr>
        <w:t>万欧元</w:t>
      </w:r>
      <w:r>
        <w:rPr>
          <w:rFonts w:hint="eastAsia"/>
        </w:rPr>
        <w:t>)</w:t>
      </w:r>
      <w:r>
        <w:rPr>
          <w:rFonts w:hint="eastAsia"/>
        </w:rPr>
        <w:t>；</w:t>
      </w:r>
    </w:p>
    <w:p w14:paraId="19E59357" w14:textId="745B3736" w:rsidR="00C93FAE" w:rsidRDefault="00C93FAE" w:rsidP="00F65C50">
      <w:pPr>
        <w:pStyle w:val="SingleTxtGC"/>
        <w:tabs>
          <w:tab w:val="clear" w:pos="1565"/>
          <w:tab w:val="clear" w:pos="1996"/>
          <w:tab w:val="clear" w:pos="2427"/>
        </w:tabs>
        <w:ind w:left="1985" w:hanging="431"/>
      </w:pPr>
      <w:r>
        <w:rPr>
          <w:rFonts w:hint="eastAsia"/>
        </w:rPr>
        <w:t>•</w:t>
      </w:r>
      <w:r>
        <w:rPr>
          <w:rFonts w:hint="eastAsia"/>
        </w:rPr>
        <w:tab/>
      </w:r>
      <w:r>
        <w:rPr>
          <w:rFonts w:hint="eastAsia"/>
        </w:rPr>
        <w:t>为儿童权利政策和在瑞典执行《儿童权利公约》的专项资金拨款</w:t>
      </w:r>
      <w:r>
        <w:rPr>
          <w:rFonts w:hint="eastAsia"/>
        </w:rPr>
        <w:t>6</w:t>
      </w:r>
      <w:r w:rsidR="00602392">
        <w:t>,</w:t>
      </w:r>
      <w:r>
        <w:rPr>
          <w:rFonts w:hint="eastAsia"/>
        </w:rPr>
        <w:t>300</w:t>
      </w:r>
      <w:proofErr w:type="gramStart"/>
      <w:r>
        <w:rPr>
          <w:rFonts w:hint="eastAsia"/>
        </w:rPr>
        <w:t>万瑞</w:t>
      </w:r>
      <w:proofErr w:type="gramEnd"/>
      <w:r>
        <w:rPr>
          <w:rFonts w:hint="eastAsia"/>
        </w:rPr>
        <w:t>典克朗</w:t>
      </w:r>
      <w:r>
        <w:rPr>
          <w:rFonts w:hint="eastAsia"/>
        </w:rPr>
        <w:t>(</w:t>
      </w:r>
      <w:r>
        <w:rPr>
          <w:rFonts w:hint="eastAsia"/>
        </w:rPr>
        <w:t>约合</w:t>
      </w:r>
      <w:r>
        <w:rPr>
          <w:rFonts w:hint="eastAsia"/>
        </w:rPr>
        <w:t>560</w:t>
      </w:r>
      <w:r>
        <w:rPr>
          <w:rFonts w:hint="eastAsia"/>
        </w:rPr>
        <w:t>万欧元</w:t>
      </w:r>
      <w:r>
        <w:rPr>
          <w:rFonts w:hint="eastAsia"/>
        </w:rPr>
        <w:t>)</w:t>
      </w:r>
      <w:r>
        <w:rPr>
          <w:rFonts w:hint="eastAsia"/>
        </w:rPr>
        <w:t>。为瑞典儿童事务监察员拨款</w:t>
      </w:r>
      <w:r>
        <w:rPr>
          <w:rFonts w:hint="eastAsia"/>
        </w:rPr>
        <w:t>2</w:t>
      </w:r>
      <w:r w:rsidR="00602392">
        <w:t>,</w:t>
      </w:r>
      <w:r>
        <w:rPr>
          <w:rFonts w:hint="eastAsia"/>
        </w:rPr>
        <w:t>750</w:t>
      </w:r>
      <w:proofErr w:type="gramStart"/>
      <w:r>
        <w:rPr>
          <w:rFonts w:hint="eastAsia"/>
        </w:rPr>
        <w:t>万瑞</w:t>
      </w:r>
      <w:proofErr w:type="gramEnd"/>
      <w:r>
        <w:rPr>
          <w:rFonts w:hint="eastAsia"/>
        </w:rPr>
        <w:t>典克朗</w:t>
      </w:r>
      <w:r>
        <w:rPr>
          <w:rFonts w:hint="eastAsia"/>
        </w:rPr>
        <w:t>(</w:t>
      </w:r>
      <w:r>
        <w:rPr>
          <w:rFonts w:hint="eastAsia"/>
        </w:rPr>
        <w:t>约合</w:t>
      </w:r>
      <w:r>
        <w:rPr>
          <w:rFonts w:hint="eastAsia"/>
        </w:rPr>
        <w:t>240</w:t>
      </w:r>
      <w:r>
        <w:rPr>
          <w:rFonts w:hint="eastAsia"/>
        </w:rPr>
        <w:t>万欧元</w:t>
      </w:r>
      <w:r>
        <w:rPr>
          <w:rFonts w:hint="eastAsia"/>
        </w:rPr>
        <w:t>)</w:t>
      </w:r>
      <w:r>
        <w:rPr>
          <w:rFonts w:hint="eastAsia"/>
        </w:rPr>
        <w:t>。</w:t>
      </w:r>
      <w:r>
        <w:rPr>
          <w:rFonts w:hint="eastAsia"/>
        </w:rPr>
        <w:t>2024</w:t>
      </w:r>
      <w:r>
        <w:rPr>
          <w:rFonts w:hint="eastAsia"/>
        </w:rPr>
        <w:t>年度总预算为</w:t>
      </w:r>
      <w:r>
        <w:rPr>
          <w:rFonts w:hint="eastAsia"/>
        </w:rPr>
        <w:t>17.01</w:t>
      </w:r>
      <w:r>
        <w:rPr>
          <w:rFonts w:hint="eastAsia"/>
        </w:rPr>
        <w:t>亿瑞典克朗</w:t>
      </w:r>
      <w:r>
        <w:rPr>
          <w:rFonts w:hint="eastAsia"/>
        </w:rPr>
        <w:t>(</w:t>
      </w:r>
      <w:r>
        <w:rPr>
          <w:rFonts w:hint="eastAsia"/>
        </w:rPr>
        <w:t>约合</w:t>
      </w:r>
      <w:r>
        <w:rPr>
          <w:rFonts w:hint="eastAsia"/>
        </w:rPr>
        <w:t>1.51</w:t>
      </w:r>
      <w:r>
        <w:rPr>
          <w:rFonts w:hint="eastAsia"/>
        </w:rPr>
        <w:t>亿欧元</w:t>
      </w:r>
      <w:r>
        <w:rPr>
          <w:rFonts w:hint="eastAsia"/>
        </w:rPr>
        <w:t>)</w:t>
      </w:r>
      <w:r>
        <w:rPr>
          <w:rFonts w:hint="eastAsia"/>
        </w:rPr>
        <w:t>。</w:t>
      </w:r>
    </w:p>
    <w:p w14:paraId="17521E64" w14:textId="77777777" w:rsidR="00C93FAE" w:rsidRPr="00D942D8" w:rsidRDefault="00C93FAE" w:rsidP="00D942D8">
      <w:pPr>
        <w:pStyle w:val="SingleTxtGC"/>
        <w:tabs>
          <w:tab w:val="clear" w:pos="1565"/>
          <w:tab w:val="clear" w:pos="1996"/>
          <w:tab w:val="clear" w:pos="2427"/>
        </w:tabs>
        <w:ind w:firstLine="170"/>
        <w:rPr>
          <w:sz w:val="18"/>
          <w:szCs w:val="16"/>
        </w:rPr>
      </w:pPr>
      <w:r w:rsidRPr="00D942D8">
        <w:rPr>
          <w:rFonts w:hint="eastAsia"/>
          <w:sz w:val="18"/>
          <w:szCs w:val="16"/>
        </w:rPr>
        <w:t>[</w:t>
      </w:r>
      <w:r w:rsidRPr="00D942D8">
        <w:rPr>
          <w:rFonts w:ascii="Time New Roman" w:eastAsia="楷体" w:hAnsi="Time New Roman" w:hint="eastAsia"/>
          <w:sz w:val="18"/>
          <w:szCs w:val="16"/>
        </w:rPr>
        <w:t>注</w:t>
      </w:r>
      <w:r w:rsidRPr="00D942D8">
        <w:rPr>
          <w:rFonts w:hint="eastAsia"/>
          <w:sz w:val="18"/>
          <w:szCs w:val="16"/>
        </w:rPr>
        <w:t>：上述汇率为</w:t>
      </w:r>
      <w:r w:rsidRPr="00D942D8">
        <w:rPr>
          <w:rFonts w:hint="eastAsia"/>
          <w:sz w:val="18"/>
          <w:szCs w:val="16"/>
        </w:rPr>
        <w:t>1</w:t>
      </w:r>
      <w:r w:rsidRPr="00D942D8">
        <w:rPr>
          <w:rFonts w:hint="eastAsia"/>
          <w:sz w:val="18"/>
          <w:szCs w:val="16"/>
        </w:rPr>
        <w:t>欧元</w:t>
      </w:r>
      <w:r w:rsidRPr="00D942D8">
        <w:rPr>
          <w:rFonts w:hint="eastAsia"/>
          <w:sz w:val="18"/>
          <w:szCs w:val="16"/>
        </w:rPr>
        <w:t>=11.24</w:t>
      </w:r>
      <w:r w:rsidRPr="00D942D8">
        <w:rPr>
          <w:rFonts w:hint="eastAsia"/>
          <w:sz w:val="18"/>
          <w:szCs w:val="16"/>
        </w:rPr>
        <w:t>瑞典克朗</w:t>
      </w:r>
      <w:r w:rsidRPr="00D942D8">
        <w:rPr>
          <w:rFonts w:hint="eastAsia"/>
          <w:sz w:val="18"/>
          <w:szCs w:val="16"/>
        </w:rPr>
        <w:t>]</w:t>
      </w:r>
    </w:p>
    <w:p w14:paraId="44649521" w14:textId="77777777" w:rsidR="00C93FAE" w:rsidRDefault="00C93FAE" w:rsidP="00D942D8">
      <w:pPr>
        <w:pStyle w:val="H23GC"/>
      </w:pPr>
      <w:r>
        <w:rPr>
          <w:rFonts w:hint="eastAsia"/>
        </w:rPr>
        <w:tab/>
      </w:r>
      <w:r>
        <w:rPr>
          <w:rFonts w:hint="eastAsia"/>
        </w:rPr>
        <w:tab/>
      </w:r>
      <w:r>
        <w:rPr>
          <w:rFonts w:hint="eastAsia"/>
        </w:rPr>
        <w:t>外交政策</w:t>
      </w:r>
    </w:p>
    <w:p w14:paraId="61B9F2AC" w14:textId="77777777" w:rsidR="00C93FAE" w:rsidRDefault="00C93FAE" w:rsidP="008D23C1">
      <w:pPr>
        <w:pStyle w:val="SingleTxtGC"/>
        <w:tabs>
          <w:tab w:val="clear" w:pos="1565"/>
          <w:tab w:val="clear" w:pos="1996"/>
          <w:tab w:val="clear" w:pos="2427"/>
        </w:tabs>
      </w:pPr>
      <w:r>
        <w:rPr>
          <w:rFonts w:hint="eastAsia"/>
        </w:rPr>
        <w:t>112.</w:t>
      </w:r>
      <w:r>
        <w:rPr>
          <w:rFonts w:hint="eastAsia"/>
        </w:rPr>
        <w:tab/>
      </w:r>
      <w:r>
        <w:rPr>
          <w:rFonts w:hint="eastAsia"/>
        </w:rPr>
        <w:t>人权、民主和法治是瑞典外交政策的基石，包括通过与其他国家对话、多边谈判、公共外交、与民间社会对话以及发展合作，在全球促进和保护人权、民主和法治。</w:t>
      </w:r>
    </w:p>
    <w:p w14:paraId="359F889A" w14:textId="643E9474" w:rsidR="00C93FAE" w:rsidRDefault="00C93FAE" w:rsidP="008D23C1">
      <w:pPr>
        <w:pStyle w:val="SingleTxtGC"/>
        <w:tabs>
          <w:tab w:val="clear" w:pos="1565"/>
          <w:tab w:val="clear" w:pos="1996"/>
          <w:tab w:val="clear" w:pos="2427"/>
        </w:tabs>
      </w:pPr>
      <w:r>
        <w:rPr>
          <w:rFonts w:hint="eastAsia"/>
        </w:rPr>
        <w:t>113.</w:t>
      </w:r>
      <w:r>
        <w:rPr>
          <w:rFonts w:hint="eastAsia"/>
        </w:rPr>
        <w:tab/>
        <w:t>2023</w:t>
      </w:r>
      <w:r>
        <w:rPr>
          <w:rFonts w:hint="eastAsia"/>
        </w:rPr>
        <w:t>年</w:t>
      </w:r>
      <w:r>
        <w:rPr>
          <w:rFonts w:hint="eastAsia"/>
        </w:rPr>
        <w:t>12</w:t>
      </w:r>
      <w:r>
        <w:rPr>
          <w:rFonts w:hint="eastAsia"/>
        </w:rPr>
        <w:t>月提出了瑞典发展援助的战略方向</w:t>
      </w:r>
      <w:r>
        <w:rPr>
          <w:rFonts w:hint="eastAsia"/>
        </w:rPr>
        <w:t>(</w:t>
      </w:r>
      <w:r>
        <w:rPr>
          <w:rFonts w:hint="eastAsia"/>
        </w:rPr>
        <w:t>“新时代的发展援助</w:t>
      </w:r>
      <w:r w:rsidR="001B4B8C">
        <w:rPr>
          <w:rFonts w:hint="eastAsia"/>
          <w:spacing w:val="-50"/>
        </w:rPr>
        <w:t>―</w:t>
      </w:r>
      <w:r w:rsidR="001B4B8C">
        <w:rPr>
          <w:rFonts w:hint="eastAsia"/>
        </w:rPr>
        <w:t>―</w:t>
      </w:r>
      <w:r>
        <w:rPr>
          <w:rFonts w:hint="eastAsia"/>
        </w:rPr>
        <w:t>自由、赋能和可持续增长”</w:t>
      </w:r>
      <w:r>
        <w:rPr>
          <w:rFonts w:hint="eastAsia"/>
        </w:rPr>
        <w:t>)</w:t>
      </w:r>
      <w:r>
        <w:rPr>
          <w:rFonts w:hint="eastAsia"/>
        </w:rPr>
        <w:t>。促进自由和反对压迫是首要的优先专题事项之一。该战略包括加强人权和自由，</w:t>
      </w:r>
      <w:proofErr w:type="gramStart"/>
      <w:r>
        <w:rPr>
          <w:rFonts w:hint="eastAsia"/>
        </w:rPr>
        <w:t>如表达</w:t>
      </w:r>
      <w:proofErr w:type="gramEnd"/>
      <w:r>
        <w:rPr>
          <w:rFonts w:hint="eastAsia"/>
        </w:rPr>
        <w:t>自由和宗教或信仰自由、性权利和生殖权利以及妇女和女童、儿童和青年、男女同性恋、双性恋、跨性别者、间性者和性别奇异者以及残疾人的权利。</w:t>
      </w:r>
    </w:p>
    <w:p w14:paraId="444846CC" w14:textId="2FAD0FC4" w:rsidR="00C93FAE" w:rsidRDefault="00C93FAE" w:rsidP="008D23C1">
      <w:pPr>
        <w:pStyle w:val="SingleTxtGC"/>
        <w:tabs>
          <w:tab w:val="clear" w:pos="1565"/>
          <w:tab w:val="clear" w:pos="1996"/>
          <w:tab w:val="clear" w:pos="2427"/>
        </w:tabs>
      </w:pPr>
      <w:r>
        <w:rPr>
          <w:rFonts w:hint="eastAsia"/>
        </w:rPr>
        <w:t>114.</w:t>
      </w:r>
      <w:r>
        <w:rPr>
          <w:rFonts w:hint="eastAsia"/>
        </w:rPr>
        <w:tab/>
        <w:t>2024</w:t>
      </w:r>
      <w:r>
        <w:rPr>
          <w:rFonts w:hint="eastAsia"/>
        </w:rPr>
        <w:t>年通过了</w:t>
      </w:r>
      <w:r>
        <w:rPr>
          <w:rFonts w:hint="eastAsia"/>
        </w:rPr>
        <w:t>2024-2028</w:t>
      </w:r>
      <w:r>
        <w:rPr>
          <w:rFonts w:hint="eastAsia"/>
        </w:rPr>
        <w:t>年人权与自由、民主和法治领域的全球发展合作活动战略。这项五年战略的总体目标是推动建设自由、安全、公平和包容的民主社会，以尊重人权、自由和法治为基石，没有压迫。该战略有三个重点领域：</w:t>
      </w:r>
      <w:r>
        <w:rPr>
          <w:rFonts w:hint="eastAsia"/>
        </w:rPr>
        <w:t>(1)</w:t>
      </w:r>
      <w:r w:rsidR="001B4B8C">
        <w:t xml:space="preserve"> </w:t>
      </w:r>
      <w:r>
        <w:rPr>
          <w:rFonts w:hint="eastAsia"/>
        </w:rPr>
        <w:t>自由；</w:t>
      </w:r>
      <w:r>
        <w:rPr>
          <w:rFonts w:hint="eastAsia"/>
        </w:rPr>
        <w:t>(2)</w:t>
      </w:r>
      <w:r w:rsidR="001B4B8C">
        <w:t xml:space="preserve"> </w:t>
      </w:r>
      <w:r>
        <w:rPr>
          <w:rFonts w:hint="eastAsia"/>
        </w:rPr>
        <w:t>包容和民主的社会；</w:t>
      </w:r>
      <w:r>
        <w:rPr>
          <w:rFonts w:hint="eastAsia"/>
        </w:rPr>
        <w:t>(3)</w:t>
      </w:r>
      <w:r w:rsidR="001B4B8C">
        <w:t xml:space="preserve"> </w:t>
      </w:r>
      <w:r>
        <w:rPr>
          <w:rFonts w:hint="eastAsia"/>
        </w:rPr>
        <w:t>正当程序和问责制。该战略表明政府高度重视支持人权维护者、民主和自由选举以及独立媒体等。</w:t>
      </w:r>
    </w:p>
    <w:p w14:paraId="23D0EB8F" w14:textId="77777777" w:rsidR="00C93FAE" w:rsidRDefault="00C93FAE" w:rsidP="008D23C1">
      <w:pPr>
        <w:pStyle w:val="SingleTxtGC"/>
        <w:tabs>
          <w:tab w:val="clear" w:pos="1565"/>
          <w:tab w:val="clear" w:pos="1996"/>
          <w:tab w:val="clear" w:pos="2427"/>
        </w:tabs>
      </w:pPr>
      <w:r>
        <w:rPr>
          <w:rFonts w:hint="eastAsia"/>
        </w:rPr>
        <w:t>115.</w:t>
      </w:r>
      <w:r>
        <w:rPr>
          <w:rFonts w:hint="eastAsia"/>
        </w:rPr>
        <w:tab/>
        <w:t>2015</w:t>
      </w:r>
      <w:r>
        <w:rPr>
          <w:rFonts w:hint="eastAsia"/>
        </w:rPr>
        <w:t>年，通过了一项工商业与人权国家行动计划。该行动计划的前提是商业活动与尊重人权密不可分，必须成为贸易和发展合作中负责任商业行为的积极政策的一部分。</w:t>
      </w:r>
    </w:p>
    <w:p w14:paraId="20E9928F" w14:textId="0377FEB3" w:rsidR="00C93FAE" w:rsidRDefault="00C93FAE" w:rsidP="008D23C1">
      <w:pPr>
        <w:pStyle w:val="SingleTxtGC"/>
        <w:tabs>
          <w:tab w:val="clear" w:pos="1565"/>
          <w:tab w:val="clear" w:pos="1996"/>
          <w:tab w:val="clear" w:pos="2427"/>
        </w:tabs>
      </w:pPr>
      <w:r>
        <w:rPr>
          <w:rFonts w:hint="eastAsia"/>
        </w:rPr>
        <w:t>116.</w:t>
      </w:r>
      <w:r>
        <w:rPr>
          <w:rFonts w:hint="eastAsia"/>
        </w:rPr>
        <w:tab/>
      </w:r>
      <w:r>
        <w:rPr>
          <w:rFonts w:hint="eastAsia"/>
        </w:rPr>
        <w:t>瑞典在欧盟的优先事项之一是在欧盟内部和外部政策中确保和保护人权、民主和法治。瑞典支持执行欧盟在人权方面的各项准则，并推动联合国和其他多边机构在人权、民主和法治方面的实质性工作。瑞典在国内以及通过欧盟在负责人权事务的联合国机构</w:t>
      </w:r>
      <w:r>
        <w:rPr>
          <w:rFonts w:hint="eastAsia"/>
        </w:rPr>
        <w:t>(</w:t>
      </w:r>
      <w:r>
        <w:rPr>
          <w:rFonts w:hint="eastAsia"/>
        </w:rPr>
        <w:t>如大会和人权理事会</w:t>
      </w:r>
      <w:r>
        <w:rPr>
          <w:rFonts w:hint="eastAsia"/>
        </w:rPr>
        <w:t>)</w:t>
      </w:r>
      <w:r>
        <w:rPr>
          <w:rFonts w:hint="eastAsia"/>
        </w:rPr>
        <w:t>中发挥积极作用。瑞典将继续努力维护这些机构的关键作用，使之成为尊重、保护和实现所有人权、有效解决所有侵犯人权行为和违反国际人道法行为的平台。与人权事务高级专员办事处的合作也特别重要。瑞典还致力于确保人权问题在其他联合国机构得到充分讨论和反映，如劳工组织、儿基会、难民署、开发署、人口基金和教科文组织。</w:t>
      </w:r>
    </w:p>
    <w:p w14:paraId="3BA847F9" w14:textId="77777777" w:rsidR="00C93FAE" w:rsidRDefault="00C93FAE" w:rsidP="000F71BF">
      <w:pPr>
        <w:pStyle w:val="H1GC"/>
      </w:pPr>
      <w:r>
        <w:rPr>
          <w:rFonts w:hint="eastAsia"/>
        </w:rPr>
        <w:tab/>
        <w:t>D.</w:t>
      </w:r>
      <w:r>
        <w:rPr>
          <w:rFonts w:hint="eastAsia"/>
        </w:rPr>
        <w:tab/>
      </w:r>
      <w:r>
        <w:rPr>
          <w:rFonts w:hint="eastAsia"/>
        </w:rPr>
        <w:t>国家一级的报告程序</w:t>
      </w:r>
    </w:p>
    <w:p w14:paraId="41DDF4FF" w14:textId="77777777" w:rsidR="00C93FAE" w:rsidRDefault="00C93FAE" w:rsidP="008D23C1">
      <w:pPr>
        <w:pStyle w:val="SingleTxtGC"/>
        <w:tabs>
          <w:tab w:val="clear" w:pos="1565"/>
          <w:tab w:val="clear" w:pos="1996"/>
          <w:tab w:val="clear" w:pos="2427"/>
        </w:tabs>
      </w:pPr>
      <w:r>
        <w:rPr>
          <w:rFonts w:hint="eastAsia"/>
        </w:rPr>
        <w:t>117.</w:t>
      </w:r>
      <w:r>
        <w:rPr>
          <w:rFonts w:hint="eastAsia"/>
        </w:rPr>
        <w:tab/>
      </w:r>
      <w:r>
        <w:rPr>
          <w:rFonts w:hint="eastAsia"/>
        </w:rPr>
        <w:t>瑞典定期向联合国条约机构报告其履行国际人权义务的情况。政府邀请民间社会组织代表参加会议，讨论瑞典的报告工作以及各监督委员会提出的意见和建议。</w:t>
      </w:r>
    </w:p>
    <w:p w14:paraId="7B0CB6CC" w14:textId="77777777" w:rsidR="00C93FAE" w:rsidRDefault="00C93FAE" w:rsidP="008D23C1">
      <w:pPr>
        <w:pStyle w:val="SingleTxtGC"/>
        <w:tabs>
          <w:tab w:val="clear" w:pos="1565"/>
          <w:tab w:val="clear" w:pos="1996"/>
          <w:tab w:val="clear" w:pos="2427"/>
        </w:tabs>
      </w:pPr>
      <w:r>
        <w:rPr>
          <w:rFonts w:hint="eastAsia"/>
        </w:rPr>
        <w:t>118.</w:t>
      </w:r>
      <w:r>
        <w:rPr>
          <w:rFonts w:hint="eastAsia"/>
        </w:rPr>
        <w:tab/>
      </w:r>
      <w:r>
        <w:rPr>
          <w:rFonts w:hint="eastAsia"/>
        </w:rPr>
        <w:t>设立了一个由就业部和外交部领导的常设部际工作组，负责落实政府的国家人权战略。该工作组还为政府各部门提供了一个平台，用于分享国际人权工作的相关信息并进行讨论。该工作组中有来自政府各部门的代表。工作组成员是各部门在人权问题上的联络人。工作组发挥协调作用，不接管各部门本身在各自专门领域中承担的人权责任。</w:t>
      </w:r>
    </w:p>
    <w:p w14:paraId="31CD99FC" w14:textId="77777777" w:rsidR="00C93FAE" w:rsidRDefault="00C93FAE" w:rsidP="008D23C1">
      <w:pPr>
        <w:pStyle w:val="SingleTxtGC"/>
        <w:tabs>
          <w:tab w:val="clear" w:pos="1565"/>
          <w:tab w:val="clear" w:pos="1996"/>
          <w:tab w:val="clear" w:pos="2427"/>
        </w:tabs>
      </w:pPr>
      <w:r>
        <w:rPr>
          <w:rFonts w:hint="eastAsia"/>
        </w:rPr>
        <w:t>119.</w:t>
      </w:r>
      <w:r>
        <w:rPr>
          <w:rFonts w:hint="eastAsia"/>
        </w:rPr>
        <w:tab/>
      </w:r>
      <w:r>
        <w:rPr>
          <w:rFonts w:hint="eastAsia"/>
        </w:rPr>
        <w:t>根据联合国各项人权公约需要提交的报告，按所涉议题的性质分别交给政府各部门负责。由于报告涉及多种议题，参与报告编写工作的包括多个专业部门。各部门都确立了相应程序，用于编写报告和对国际机构就遵守人权情况所提意见和建议采取后续行动。这些程序旨在为报告和跟进工作提供支持。</w:t>
      </w:r>
    </w:p>
    <w:p w14:paraId="37992559" w14:textId="77777777" w:rsidR="00C93FAE" w:rsidRDefault="00C93FAE" w:rsidP="00566CE3">
      <w:pPr>
        <w:pStyle w:val="H1GC"/>
      </w:pPr>
      <w:r>
        <w:rPr>
          <w:rFonts w:hint="eastAsia"/>
        </w:rPr>
        <w:tab/>
        <w:t>E.</w:t>
      </w:r>
      <w:r>
        <w:rPr>
          <w:rFonts w:hint="eastAsia"/>
        </w:rPr>
        <w:tab/>
      </w:r>
      <w:r>
        <w:rPr>
          <w:rFonts w:hint="eastAsia"/>
        </w:rPr>
        <w:t>国际会议的后续行动</w:t>
      </w:r>
    </w:p>
    <w:p w14:paraId="093AA825" w14:textId="77777777" w:rsidR="00C93FAE" w:rsidRDefault="00C93FAE" w:rsidP="008D23C1">
      <w:pPr>
        <w:pStyle w:val="SingleTxtGC"/>
        <w:tabs>
          <w:tab w:val="clear" w:pos="1565"/>
          <w:tab w:val="clear" w:pos="1996"/>
          <w:tab w:val="clear" w:pos="2427"/>
        </w:tabs>
      </w:pPr>
      <w:r>
        <w:rPr>
          <w:rFonts w:hint="eastAsia"/>
        </w:rPr>
        <w:t>120.</w:t>
      </w:r>
      <w:r>
        <w:rPr>
          <w:rFonts w:hint="eastAsia"/>
        </w:rPr>
        <w:tab/>
      </w:r>
      <w:r>
        <w:rPr>
          <w:rFonts w:hint="eastAsia"/>
        </w:rPr>
        <w:t>为落实</w:t>
      </w:r>
      <w:r>
        <w:rPr>
          <w:rFonts w:hint="eastAsia"/>
        </w:rPr>
        <w:t>1993</w:t>
      </w:r>
      <w:r>
        <w:rPr>
          <w:rFonts w:hint="eastAsia"/>
        </w:rPr>
        <w:t>年世界人权会议通过的《维也纳宣言和行动纲领》，瑞典通过了两项国家人权行动计划，目前正在执行第三个行动计划，其形式为国家人权战略</w:t>
      </w:r>
      <w:r>
        <w:rPr>
          <w:rFonts w:hint="eastAsia"/>
        </w:rPr>
        <w:t>(</w:t>
      </w:r>
      <w:r>
        <w:rPr>
          <w:rFonts w:hint="eastAsia"/>
        </w:rPr>
        <w:t>详情见第</w:t>
      </w:r>
      <w:r>
        <w:rPr>
          <w:rFonts w:hint="eastAsia"/>
        </w:rPr>
        <w:t>93</w:t>
      </w:r>
      <w:r>
        <w:rPr>
          <w:rFonts w:hint="eastAsia"/>
        </w:rPr>
        <w:t>段</w:t>
      </w:r>
      <w:r>
        <w:rPr>
          <w:rFonts w:hint="eastAsia"/>
        </w:rPr>
        <w:t>)</w:t>
      </w:r>
      <w:r>
        <w:rPr>
          <w:rFonts w:hint="eastAsia"/>
        </w:rPr>
        <w:t>。瑞典已经将履行在</w:t>
      </w:r>
      <w:r>
        <w:rPr>
          <w:rFonts w:hint="eastAsia"/>
        </w:rPr>
        <w:t>2001</w:t>
      </w:r>
      <w:r>
        <w:rPr>
          <w:rFonts w:hint="eastAsia"/>
        </w:rPr>
        <w:t>年反对种族主义、种族歧视、仇外心理和相关不容忍行为世界会议上所作承诺纳入国家总体人权工作，这在历次国家行动计划中有所体现。此外，瑞典正在积极努力帮助实现可持续发展目标。</w:t>
      </w:r>
    </w:p>
    <w:p w14:paraId="2A513AA1" w14:textId="77777777" w:rsidR="00C93FAE" w:rsidRDefault="00C93FAE" w:rsidP="00566CE3">
      <w:pPr>
        <w:pStyle w:val="HChGC"/>
      </w:pPr>
      <w:r>
        <w:rPr>
          <w:rFonts w:hint="eastAsia"/>
        </w:rPr>
        <w:tab/>
      </w:r>
      <w:r>
        <w:rPr>
          <w:rFonts w:hint="eastAsia"/>
        </w:rPr>
        <w:t>三</w:t>
      </w:r>
      <w:r>
        <w:rPr>
          <w:rFonts w:hint="eastAsia"/>
        </w:rPr>
        <w:t>.</w:t>
      </w:r>
      <w:r>
        <w:rPr>
          <w:rFonts w:hint="eastAsia"/>
        </w:rPr>
        <w:tab/>
      </w:r>
      <w:r>
        <w:rPr>
          <w:rFonts w:hint="eastAsia"/>
        </w:rPr>
        <w:t>关于不歧视、平等和有效补救措施的资料</w:t>
      </w:r>
    </w:p>
    <w:p w14:paraId="09430C42" w14:textId="77777777" w:rsidR="00C93FAE" w:rsidRDefault="00C93FAE" w:rsidP="008D23C1">
      <w:pPr>
        <w:pStyle w:val="SingleTxtGC"/>
        <w:tabs>
          <w:tab w:val="clear" w:pos="1565"/>
          <w:tab w:val="clear" w:pos="1996"/>
          <w:tab w:val="clear" w:pos="2427"/>
        </w:tabs>
      </w:pPr>
      <w:r>
        <w:rPr>
          <w:rFonts w:hint="eastAsia"/>
        </w:rPr>
        <w:t>121.</w:t>
      </w:r>
      <w:r>
        <w:rPr>
          <w:rFonts w:hint="eastAsia"/>
        </w:rPr>
        <w:tab/>
      </w:r>
      <w:r>
        <w:rPr>
          <w:rFonts w:hint="eastAsia"/>
        </w:rPr>
        <w:t>通过社会各界采取的多种不同措施，落实了加强反歧视保护和以其他方式促进平等权利和机会的任务。瑞典反歧视政策的目标是建设一个没有歧视的社会。这包括采取措施，防止基于性别、族裔、宗教或其他信仰、残疾、性取向、跨性别身份或表达以及年龄的歧视。与该领域相关的其他问题包括打击种族主义和类似形式的敌意态度以及促进平等权利和机会，不论性取向、性别认同或性别表达如何。根据《政府法典》，法院、行政机关和其他履行公共行政职能的主管部门应当在工作中</w:t>
      </w:r>
      <w:proofErr w:type="gramStart"/>
      <w:r>
        <w:rPr>
          <w:rFonts w:hint="eastAsia"/>
        </w:rPr>
        <w:t>践行</w:t>
      </w:r>
      <w:proofErr w:type="gramEnd"/>
      <w:r>
        <w:rPr>
          <w:rFonts w:hint="eastAsia"/>
        </w:rPr>
        <w:t>法律面前人人平等，秉承客观、公正的态度。《宪法》规定的这一原则适用于所有行使公共权力者，无论是行政机关、法院还是被授权行使公共权力的私人实体。</w:t>
      </w:r>
    </w:p>
    <w:p w14:paraId="6C39E450" w14:textId="77777777" w:rsidR="00C93FAE" w:rsidRDefault="00C93FAE" w:rsidP="008D23C1">
      <w:pPr>
        <w:pStyle w:val="SingleTxtGC"/>
        <w:tabs>
          <w:tab w:val="clear" w:pos="1565"/>
          <w:tab w:val="clear" w:pos="1996"/>
          <w:tab w:val="clear" w:pos="2427"/>
        </w:tabs>
      </w:pPr>
      <w:r>
        <w:rPr>
          <w:rFonts w:hint="eastAsia"/>
        </w:rPr>
        <w:t>122.</w:t>
      </w:r>
      <w:r>
        <w:rPr>
          <w:rFonts w:hint="eastAsia"/>
        </w:rPr>
        <w:tab/>
      </w:r>
      <w:r>
        <w:rPr>
          <w:rFonts w:hint="eastAsia"/>
        </w:rPr>
        <w:t>瑞典的反歧视法律以瑞典加入的若干国际法律文书为基础，包括联合国《消除对妇女一切形式歧视公约》、《消除一切形式种族歧视国际公约》、《残疾人权利公约》，以及欧盟《关于不分种族或族裔人人待遇平等原则的指令》</w:t>
      </w:r>
      <w:r>
        <w:rPr>
          <w:rFonts w:hint="eastAsia"/>
        </w:rPr>
        <w:t>(</w:t>
      </w:r>
      <w:r>
        <w:rPr>
          <w:rFonts w:hint="eastAsia"/>
        </w:rPr>
        <w:t>第</w:t>
      </w:r>
      <w:r>
        <w:rPr>
          <w:rFonts w:hint="eastAsia"/>
        </w:rPr>
        <w:t>2000/43/EC</w:t>
      </w:r>
      <w:r>
        <w:rPr>
          <w:rFonts w:hint="eastAsia"/>
        </w:rPr>
        <w:t>号指令</w:t>
      </w:r>
      <w:r>
        <w:rPr>
          <w:rFonts w:hint="eastAsia"/>
        </w:rPr>
        <w:t>)</w:t>
      </w:r>
      <w:r>
        <w:rPr>
          <w:rFonts w:hint="eastAsia"/>
        </w:rPr>
        <w:t>和《关于建立就业和职业平等待遇一般性框架的指令》</w:t>
      </w:r>
      <w:r>
        <w:rPr>
          <w:rFonts w:hint="eastAsia"/>
        </w:rPr>
        <w:t>(</w:t>
      </w:r>
      <w:r>
        <w:rPr>
          <w:rFonts w:hint="eastAsia"/>
        </w:rPr>
        <w:t>第</w:t>
      </w:r>
      <w:r>
        <w:rPr>
          <w:rFonts w:hint="eastAsia"/>
        </w:rPr>
        <w:t>2000/78/EC</w:t>
      </w:r>
      <w:r>
        <w:rPr>
          <w:rFonts w:hint="eastAsia"/>
        </w:rPr>
        <w:t>号指令</w:t>
      </w:r>
      <w:r>
        <w:rPr>
          <w:rFonts w:hint="eastAsia"/>
        </w:rPr>
        <w:t>)</w:t>
      </w:r>
      <w:r>
        <w:rPr>
          <w:rFonts w:hint="eastAsia"/>
        </w:rPr>
        <w:t>。</w:t>
      </w:r>
    </w:p>
    <w:p w14:paraId="03F8D4F1" w14:textId="77777777" w:rsidR="00C93FAE" w:rsidRDefault="00C93FAE" w:rsidP="008D23C1">
      <w:pPr>
        <w:pStyle w:val="SingleTxtGC"/>
        <w:tabs>
          <w:tab w:val="clear" w:pos="1565"/>
          <w:tab w:val="clear" w:pos="1996"/>
          <w:tab w:val="clear" w:pos="2427"/>
        </w:tabs>
      </w:pPr>
      <w:r>
        <w:rPr>
          <w:rFonts w:hint="eastAsia"/>
        </w:rPr>
        <w:t>123.</w:t>
      </w:r>
      <w:r>
        <w:rPr>
          <w:rFonts w:hint="eastAsia"/>
        </w:rPr>
        <w:tab/>
      </w:r>
      <w:r>
        <w:rPr>
          <w:rFonts w:hint="eastAsia"/>
        </w:rPr>
        <w:t>根据《反歧视法》</w:t>
      </w:r>
      <w:r>
        <w:rPr>
          <w:rFonts w:hint="eastAsia"/>
        </w:rPr>
        <w:t>(2008:567)</w:t>
      </w:r>
      <w:r>
        <w:rPr>
          <w:rFonts w:hint="eastAsia"/>
        </w:rPr>
        <w:t>，原则上禁止社会所有领域基于性别、族裔、宗教或其他信仰、残疾、性取向、跨性别身份或表达以及年龄的歧视行为。根据《反歧视法》，禁止歧视并不妨碍采取有助于促进男女平等的措施，也不妨碍采取涉及薪酬或其他雇佣条款以外事项的措施。如果雇主的行为有助于促进职场中的性别平等，则不适用禁止歧视原则。</w:t>
      </w:r>
    </w:p>
    <w:p w14:paraId="7C0DC909" w14:textId="77777777" w:rsidR="00C93FAE" w:rsidRDefault="00C93FAE" w:rsidP="008D23C1">
      <w:pPr>
        <w:pStyle w:val="SingleTxtGC"/>
        <w:tabs>
          <w:tab w:val="clear" w:pos="1565"/>
          <w:tab w:val="clear" w:pos="1996"/>
          <w:tab w:val="clear" w:pos="2427"/>
        </w:tabs>
      </w:pPr>
      <w:r>
        <w:rPr>
          <w:rFonts w:hint="eastAsia"/>
        </w:rPr>
        <w:t>124.</w:t>
      </w:r>
      <w:r>
        <w:rPr>
          <w:rFonts w:hint="eastAsia"/>
        </w:rPr>
        <w:tab/>
      </w:r>
      <w:r>
        <w:rPr>
          <w:rFonts w:hint="eastAsia"/>
        </w:rPr>
        <w:t>除了禁止歧视，《反歧视法》中还规定了积极措施。简单来说，积极措施是针对雇员和其他人群集体采取的措施，并非针对个案。积极措施旨在形成一种推动力，鼓励采取进一步行动打击歧视。所有雇主和教育机构都有义务采取积极措施。如果某个工种或机构中某</w:t>
      </w:r>
      <w:proofErr w:type="gramStart"/>
      <w:r>
        <w:rPr>
          <w:rFonts w:hint="eastAsia"/>
        </w:rPr>
        <w:t>一类员工</w:t>
      </w:r>
      <w:proofErr w:type="gramEnd"/>
      <w:r>
        <w:rPr>
          <w:rFonts w:hint="eastAsia"/>
        </w:rPr>
        <w:t>的男女比例失衡，雇主就要在招聘新员工时特别努力吸引性别比例较低的申请人。雇主应当努力确保性别比例较低的雇员人数逐渐增加。对雇主而言，采取积极措施包括开展薪酬调查，以发现、纠正和防止</w:t>
      </w:r>
      <w:proofErr w:type="gramStart"/>
      <w:r>
        <w:rPr>
          <w:rFonts w:hint="eastAsia"/>
        </w:rPr>
        <w:t>薪</w:t>
      </w:r>
      <w:proofErr w:type="gramEnd"/>
      <w:r>
        <w:rPr>
          <w:rFonts w:hint="eastAsia"/>
        </w:rPr>
        <w:t>酬和其他就业条件方面不公平的性别差异。</w:t>
      </w:r>
    </w:p>
    <w:p w14:paraId="37E653E8" w14:textId="77777777" w:rsidR="00C93FAE" w:rsidRDefault="00C93FAE" w:rsidP="008D23C1">
      <w:pPr>
        <w:pStyle w:val="SingleTxtGC"/>
        <w:tabs>
          <w:tab w:val="clear" w:pos="1565"/>
          <w:tab w:val="clear" w:pos="1996"/>
          <w:tab w:val="clear" w:pos="2427"/>
        </w:tabs>
      </w:pPr>
      <w:r>
        <w:rPr>
          <w:rFonts w:hint="eastAsia"/>
        </w:rPr>
        <w:t>125.</w:t>
      </w:r>
      <w:r>
        <w:rPr>
          <w:rFonts w:hint="eastAsia"/>
        </w:rPr>
        <w:tab/>
      </w:r>
      <w:r>
        <w:rPr>
          <w:rFonts w:hint="eastAsia"/>
        </w:rPr>
        <w:t>政府对非政府组织的财政补助也是打击歧视的一种做法。瑞典青年和民间社会署是一个政府机构，依据四项条例管理政府补贴申请，这四项条例都以促进平等权利和机会为宗旨。例如，各个反歧视办公室在地方开展打击歧视活动可获得补贴。全国大约有</w:t>
      </w:r>
      <w:r>
        <w:rPr>
          <w:rFonts w:hint="eastAsia"/>
        </w:rPr>
        <w:t>18</w:t>
      </w:r>
      <w:r>
        <w:rPr>
          <w:rFonts w:hint="eastAsia"/>
        </w:rPr>
        <w:t>个反歧视办公室</w:t>
      </w:r>
      <w:proofErr w:type="gramStart"/>
      <w:r>
        <w:rPr>
          <w:rFonts w:hint="eastAsia"/>
        </w:rPr>
        <w:t>向认为</w:t>
      </w:r>
      <w:proofErr w:type="gramEnd"/>
      <w:r>
        <w:rPr>
          <w:rFonts w:hint="eastAsia"/>
        </w:rPr>
        <w:t>自己受到《禁止歧视法》所列举理由歧视的个人提供援助。</w:t>
      </w:r>
    </w:p>
    <w:p w14:paraId="1A2DCC04" w14:textId="77777777" w:rsidR="00C93FAE" w:rsidRDefault="00C93FAE" w:rsidP="008D23C1">
      <w:pPr>
        <w:pStyle w:val="SingleTxtGC"/>
        <w:tabs>
          <w:tab w:val="clear" w:pos="1565"/>
          <w:tab w:val="clear" w:pos="1996"/>
          <w:tab w:val="clear" w:pos="2427"/>
        </w:tabs>
      </w:pPr>
      <w:r>
        <w:rPr>
          <w:rFonts w:hint="eastAsia"/>
        </w:rPr>
        <w:t>126.</w:t>
      </w:r>
      <w:r>
        <w:rPr>
          <w:rFonts w:hint="eastAsia"/>
        </w:rPr>
        <w:tab/>
        <w:t>2008</w:t>
      </w:r>
      <w:r>
        <w:rPr>
          <w:rFonts w:hint="eastAsia"/>
        </w:rPr>
        <w:t>年，瑞典批准了《残疾人权利公约》。瑞典参与</w:t>
      </w:r>
      <w:proofErr w:type="gramStart"/>
      <w:r>
        <w:rPr>
          <w:rFonts w:hint="eastAsia"/>
        </w:rPr>
        <w:t>署促进</w:t>
      </w:r>
      <w:proofErr w:type="gramEnd"/>
      <w:r>
        <w:rPr>
          <w:rFonts w:hint="eastAsia"/>
        </w:rPr>
        <w:t>在社会各个层面系统和有效地执行残疾人政策，并监测、评估和分析政府机构、市政当局、地区政府和其他行为体为实现国家残疾人政策目标所作的努力。</w:t>
      </w:r>
    </w:p>
    <w:p w14:paraId="69F87C09" w14:textId="77777777" w:rsidR="00C93FAE" w:rsidRDefault="00C93FAE" w:rsidP="008D23C1">
      <w:pPr>
        <w:pStyle w:val="SingleTxtGC"/>
        <w:tabs>
          <w:tab w:val="clear" w:pos="1565"/>
          <w:tab w:val="clear" w:pos="1996"/>
          <w:tab w:val="clear" w:pos="2427"/>
        </w:tabs>
      </w:pPr>
      <w:r>
        <w:rPr>
          <w:rFonts w:hint="eastAsia"/>
        </w:rPr>
        <w:t>127.</w:t>
      </w:r>
      <w:r>
        <w:rPr>
          <w:rFonts w:hint="eastAsia"/>
        </w:rPr>
        <w:tab/>
      </w:r>
      <w:r>
        <w:rPr>
          <w:rFonts w:hint="eastAsia"/>
        </w:rPr>
        <w:t>瑞典政府和政府机构就各种事项征求残疾人组织的意见。政府还设有残疾人代表团，作为政府与残疾人运动进行磋商和对话的主要渠道。政府通过关于中央政府为残疾人组织提供补助的条例</w:t>
      </w:r>
      <w:r>
        <w:rPr>
          <w:rFonts w:hint="eastAsia"/>
        </w:rPr>
        <w:t>(2007:7)</w:t>
      </w:r>
      <w:r>
        <w:rPr>
          <w:rFonts w:hint="eastAsia"/>
        </w:rPr>
        <w:t>，向残疾人组织提供财政支助。</w:t>
      </w:r>
    </w:p>
    <w:p w14:paraId="7CBB4327" w14:textId="77777777" w:rsidR="00C93FAE" w:rsidRDefault="00C93FAE" w:rsidP="008D23C1">
      <w:pPr>
        <w:pStyle w:val="SingleTxtGC"/>
        <w:tabs>
          <w:tab w:val="clear" w:pos="1565"/>
          <w:tab w:val="clear" w:pos="1996"/>
          <w:tab w:val="clear" w:pos="2427"/>
        </w:tabs>
      </w:pPr>
      <w:r>
        <w:rPr>
          <w:rFonts w:hint="eastAsia"/>
        </w:rPr>
        <w:t>128.</w:t>
      </w:r>
      <w:r>
        <w:rPr>
          <w:rFonts w:hint="eastAsia"/>
        </w:rPr>
        <w:tab/>
      </w:r>
      <w:r>
        <w:rPr>
          <w:rFonts w:hint="eastAsia"/>
        </w:rPr>
        <w:t>残疾人政策的国家目标以联合国《残疾人权利公约》为出发点，旨在实现残疾人在以多样性为基础的社会中平等的生活条件和充分的社会参与。这一目标将有助于促进性别平等，更加关注儿童权利视角。为了实现这一目标，残疾人政策的落实工作着眼于四个领域：通用设计原则、无障碍方面存在的缺陷、个人支持和个人独立解决方案，以及预防和打击歧视。这四个领域相互依存，目标是共同推动建立一个无论个人功能能力如何，都能获得平等机会的无障碍社会。</w:t>
      </w:r>
    </w:p>
    <w:p w14:paraId="370C1FDC" w14:textId="77777777" w:rsidR="00C93FAE" w:rsidRDefault="00C93FAE" w:rsidP="008D23C1">
      <w:pPr>
        <w:pStyle w:val="SingleTxtGC"/>
        <w:tabs>
          <w:tab w:val="clear" w:pos="1565"/>
          <w:tab w:val="clear" w:pos="1996"/>
          <w:tab w:val="clear" w:pos="2427"/>
        </w:tabs>
      </w:pPr>
      <w:r>
        <w:rPr>
          <w:rFonts w:hint="eastAsia"/>
        </w:rPr>
        <w:t>129.</w:t>
      </w:r>
      <w:r>
        <w:rPr>
          <w:rFonts w:hint="eastAsia"/>
        </w:rPr>
        <w:tab/>
        <w:t>2021</w:t>
      </w:r>
      <w:r>
        <w:rPr>
          <w:rFonts w:hint="eastAsia"/>
        </w:rPr>
        <w:t>年</w:t>
      </w:r>
      <w:r>
        <w:rPr>
          <w:rFonts w:hint="eastAsia"/>
        </w:rPr>
        <w:t>9</w:t>
      </w:r>
      <w:r>
        <w:rPr>
          <w:rFonts w:hint="eastAsia"/>
        </w:rPr>
        <w:t>月，通过了</w:t>
      </w:r>
      <w:r>
        <w:rPr>
          <w:rFonts w:hint="eastAsia"/>
        </w:rPr>
        <w:t>2021</w:t>
      </w:r>
      <w:r>
        <w:rPr>
          <w:rFonts w:hint="eastAsia"/>
        </w:rPr>
        <w:t>至</w:t>
      </w:r>
      <w:r>
        <w:rPr>
          <w:rFonts w:hint="eastAsia"/>
        </w:rPr>
        <w:t>2031</w:t>
      </w:r>
      <w:r>
        <w:rPr>
          <w:rFonts w:hint="eastAsia"/>
        </w:rPr>
        <w:t>年残疾人政策系统性监督战略。该战略规定，残疾政策必须受到若干指定政府机构的监督，参与署必须支持这些机构开展监督工作。该战略的目的是根据国家目标贯彻残疾人政策。</w:t>
      </w:r>
    </w:p>
    <w:p w14:paraId="672F1BF4" w14:textId="77777777" w:rsidR="00C93FAE" w:rsidRDefault="00C93FAE" w:rsidP="008D23C1">
      <w:pPr>
        <w:pStyle w:val="SingleTxtGC"/>
        <w:tabs>
          <w:tab w:val="clear" w:pos="1565"/>
          <w:tab w:val="clear" w:pos="1996"/>
          <w:tab w:val="clear" w:pos="2427"/>
        </w:tabs>
      </w:pPr>
      <w:r>
        <w:rPr>
          <w:rFonts w:hint="eastAsia"/>
        </w:rPr>
        <w:t>130.</w:t>
      </w:r>
      <w:r>
        <w:rPr>
          <w:rFonts w:hint="eastAsia"/>
        </w:rPr>
        <w:tab/>
      </w:r>
      <w:r>
        <w:rPr>
          <w:rFonts w:hint="eastAsia"/>
        </w:rPr>
        <w:t>《政府法典》规定公共权力的行使必须尊重所有人的平等价值和个人的自由与尊严。《政府法典》中关于禁止歧视的规定指出，任何法律或其他规定均不得因为某人属于少数群体，包括族裔、肤色或其他类似情况的少数，或因其性取向，而暗示对该人的不利待遇。“其他类似情况”这一短语包括根据种族进行区分和分类的情况。此外，根据《政府法典》，任何法律或其他规定均不得暗示以性别为由，对任何人采取不利待遇，除非该规定是为了促进男女平等，或涉及义务兵役或其他类似公务。</w:t>
      </w:r>
    </w:p>
    <w:p w14:paraId="15504219" w14:textId="77777777" w:rsidR="00C93FAE" w:rsidRDefault="00C93FAE" w:rsidP="008D23C1">
      <w:pPr>
        <w:pStyle w:val="SingleTxtGC"/>
        <w:tabs>
          <w:tab w:val="clear" w:pos="1565"/>
          <w:tab w:val="clear" w:pos="1996"/>
          <w:tab w:val="clear" w:pos="2427"/>
        </w:tabs>
      </w:pPr>
      <w:r>
        <w:rPr>
          <w:rFonts w:hint="eastAsia"/>
        </w:rPr>
        <w:t>131.</w:t>
      </w:r>
      <w:r>
        <w:rPr>
          <w:rFonts w:hint="eastAsia"/>
        </w:rPr>
        <w:tab/>
      </w:r>
      <w:r>
        <w:rPr>
          <w:rFonts w:hint="eastAsia"/>
        </w:rPr>
        <w:t>如前文所述，《欧洲人权公约》于</w:t>
      </w:r>
      <w:r>
        <w:rPr>
          <w:rFonts w:hint="eastAsia"/>
        </w:rPr>
        <w:t>1995</w:t>
      </w:r>
      <w:r>
        <w:rPr>
          <w:rFonts w:hint="eastAsia"/>
        </w:rPr>
        <w:t>年被纳入瑞典法律。根据该《公约》第</w:t>
      </w:r>
      <w:r>
        <w:rPr>
          <w:rFonts w:hint="eastAsia"/>
        </w:rPr>
        <w:t>14</w:t>
      </w:r>
      <w:r>
        <w:rPr>
          <w:rFonts w:hint="eastAsia"/>
        </w:rPr>
        <w:t>条，必须确保人民不受歧视地享有《公约》规定的权利和自由，不受性别、种族、肤色、语言、宗教、政治或其他见解、民族或社会出身、少数民族身份、财产状况、出生或其他地位的影响。瑞典尚未加入该《公约》关于普遍禁止歧视的第</w:t>
      </w:r>
      <w:r>
        <w:rPr>
          <w:rFonts w:hint="eastAsia"/>
        </w:rPr>
        <w:t>12</w:t>
      </w:r>
      <w:r>
        <w:rPr>
          <w:rFonts w:hint="eastAsia"/>
        </w:rPr>
        <w:t>项议定书。因此，该议定书没有被纳入瑞典法律。</w:t>
      </w:r>
    </w:p>
    <w:p w14:paraId="4304867C" w14:textId="77777777" w:rsidR="00C93FAE" w:rsidRDefault="00C93FAE" w:rsidP="008D23C1">
      <w:pPr>
        <w:pStyle w:val="SingleTxtGC"/>
        <w:tabs>
          <w:tab w:val="clear" w:pos="1565"/>
          <w:tab w:val="clear" w:pos="1996"/>
          <w:tab w:val="clear" w:pos="2427"/>
        </w:tabs>
      </w:pPr>
      <w:r>
        <w:rPr>
          <w:rFonts w:hint="eastAsia"/>
        </w:rPr>
        <w:t>132.</w:t>
      </w:r>
      <w:r>
        <w:rPr>
          <w:rFonts w:hint="eastAsia"/>
        </w:rPr>
        <w:tab/>
      </w:r>
      <w:r>
        <w:rPr>
          <w:rFonts w:hint="eastAsia"/>
        </w:rPr>
        <w:t>《瑞典刑法》中有两项条款与基于种族、肤色、民族或族裔出身、宗教信仰、性取向或跨性别身份或表达的藐视或歧视直接相关。其中一条涉及鼓动对某个群体的仇恨，另一条涉及非法歧视。《刑法》还有一条具体条款，规定在对犯罪行为量刑时，如果犯罪动机是以种族、肤色、民族或族裔出身、宗教信仰、性取向、跨性别身份或表达或其他类似情况为由而侮辱某个个人或群体，则视为加重情节。这一条款适用于所有类型的犯罪。</w:t>
      </w:r>
    </w:p>
    <w:p w14:paraId="1FA80EE0" w14:textId="77777777" w:rsidR="00C93FAE" w:rsidRDefault="00C93FAE" w:rsidP="008D23C1">
      <w:pPr>
        <w:pStyle w:val="SingleTxtGC"/>
        <w:tabs>
          <w:tab w:val="clear" w:pos="1565"/>
          <w:tab w:val="clear" w:pos="1996"/>
          <w:tab w:val="clear" w:pos="2427"/>
        </w:tabs>
      </w:pPr>
      <w:r>
        <w:rPr>
          <w:rFonts w:hint="eastAsia"/>
        </w:rPr>
        <w:t>133.</w:t>
      </w:r>
      <w:r>
        <w:rPr>
          <w:rFonts w:hint="eastAsia"/>
        </w:rPr>
        <w:tab/>
      </w:r>
      <w:r>
        <w:rPr>
          <w:rFonts w:hint="eastAsia"/>
        </w:rPr>
        <w:t>保护犹太人、罗</w:t>
      </w:r>
      <w:proofErr w:type="gramStart"/>
      <w:r>
        <w:rPr>
          <w:rFonts w:hint="eastAsia"/>
        </w:rPr>
        <w:t>姆</w:t>
      </w:r>
      <w:proofErr w:type="gramEnd"/>
      <w:r>
        <w:rPr>
          <w:rFonts w:hint="eastAsia"/>
        </w:rPr>
        <w:t>人、瑞典芬兰人、托内达里亚人和萨米人</w:t>
      </w:r>
      <w:r>
        <w:rPr>
          <w:rFonts w:hint="eastAsia"/>
        </w:rPr>
        <w:t>(</w:t>
      </w:r>
      <w:r>
        <w:rPr>
          <w:rFonts w:hint="eastAsia"/>
        </w:rPr>
        <w:t>也被承认为土著人民</w:t>
      </w:r>
      <w:r>
        <w:rPr>
          <w:rFonts w:hint="eastAsia"/>
        </w:rPr>
        <w:t>)</w:t>
      </w:r>
      <w:r>
        <w:rPr>
          <w:rFonts w:hint="eastAsia"/>
        </w:rPr>
        <w:t>等少数民族的权利以及移民、难民和寻求庇护者等其他少数群体的权利，是一项持续性义务。政府的少数民族政策包括与保护和支持少数民族有关的问题，旨在增强少数民族的实力，并提供所需支持以保持少数民族语言的活力。</w:t>
      </w:r>
    </w:p>
    <w:p w14:paraId="0D4F7A53" w14:textId="77777777" w:rsidR="00C93FAE" w:rsidRDefault="00C93FAE" w:rsidP="008D23C1">
      <w:pPr>
        <w:pStyle w:val="SingleTxtGC"/>
        <w:tabs>
          <w:tab w:val="clear" w:pos="1565"/>
          <w:tab w:val="clear" w:pos="1996"/>
          <w:tab w:val="clear" w:pos="2427"/>
        </w:tabs>
      </w:pPr>
      <w:r>
        <w:rPr>
          <w:rFonts w:hint="eastAsia"/>
        </w:rPr>
        <w:t>134.</w:t>
      </w:r>
      <w:r>
        <w:rPr>
          <w:rFonts w:hint="eastAsia"/>
        </w:rPr>
        <w:tab/>
      </w:r>
      <w:r>
        <w:rPr>
          <w:rFonts w:hint="eastAsia"/>
        </w:rPr>
        <w:t>萨米人于</w:t>
      </w:r>
      <w:r>
        <w:rPr>
          <w:rFonts w:hint="eastAsia"/>
        </w:rPr>
        <w:t>1977</w:t>
      </w:r>
      <w:r>
        <w:rPr>
          <w:rFonts w:hint="eastAsia"/>
        </w:rPr>
        <w:t>年首次被瑞典议会承认为土著人民，随着</w:t>
      </w:r>
      <w:r>
        <w:rPr>
          <w:rFonts w:hint="eastAsia"/>
        </w:rPr>
        <w:t>2000</w:t>
      </w:r>
      <w:r>
        <w:rPr>
          <w:rFonts w:hint="eastAsia"/>
        </w:rPr>
        <w:t>年《少数民族法》的出台，萨米人也被承认为少数民族。</w:t>
      </w:r>
      <w:r>
        <w:rPr>
          <w:rFonts w:hint="eastAsia"/>
        </w:rPr>
        <w:t>2007</w:t>
      </w:r>
      <w:r>
        <w:rPr>
          <w:rFonts w:hint="eastAsia"/>
        </w:rPr>
        <w:t>年，瑞典支持通过《联合国土著人民权利宣言》。自</w:t>
      </w:r>
      <w:r>
        <w:rPr>
          <w:rFonts w:hint="eastAsia"/>
        </w:rPr>
        <w:t>2011</w:t>
      </w:r>
      <w:r>
        <w:rPr>
          <w:rFonts w:hint="eastAsia"/>
        </w:rPr>
        <w:t>年以来，萨米人还获得了《宪法》承认，《宪法》规定政府有义务促进萨米人保护和发展其文化和社区的机会。</w:t>
      </w:r>
      <w:r>
        <w:rPr>
          <w:rFonts w:hint="eastAsia"/>
        </w:rPr>
        <w:t>1993</w:t>
      </w:r>
      <w:r>
        <w:rPr>
          <w:rFonts w:hint="eastAsia"/>
        </w:rPr>
        <w:t>年成立的萨米议会在落实萨米人自决权方面发挥着关键作用。萨米议会既是萨米人的代表机构，也是负责萨米人事务的国家政府机构，其任务是参与社区规划和监督对萨米人需求的关注情况。新的《萨米人事务协商法》于</w:t>
      </w:r>
      <w:r>
        <w:rPr>
          <w:rFonts w:hint="eastAsia"/>
        </w:rPr>
        <w:t>2022</w:t>
      </w:r>
      <w:r>
        <w:rPr>
          <w:rFonts w:hint="eastAsia"/>
        </w:rPr>
        <w:t>年</w:t>
      </w:r>
      <w:r>
        <w:rPr>
          <w:rFonts w:hint="eastAsia"/>
        </w:rPr>
        <w:t>3</w:t>
      </w:r>
      <w:r>
        <w:rPr>
          <w:rFonts w:hint="eastAsia"/>
        </w:rPr>
        <w:t>月生效。该法要求瑞典政府和政府机构以及自</w:t>
      </w:r>
      <w:r>
        <w:rPr>
          <w:rFonts w:hint="eastAsia"/>
        </w:rPr>
        <w:t>2024</w:t>
      </w:r>
      <w:r>
        <w:rPr>
          <w:rFonts w:hint="eastAsia"/>
        </w:rPr>
        <w:t>年</w:t>
      </w:r>
      <w:r>
        <w:rPr>
          <w:rFonts w:hint="eastAsia"/>
        </w:rPr>
        <w:t>3</w:t>
      </w:r>
      <w:r>
        <w:rPr>
          <w:rFonts w:hint="eastAsia"/>
        </w:rPr>
        <w:t>月起各市政府和地区政府就涉及萨米人的某些问题与萨米议会和</w:t>
      </w:r>
      <w:r>
        <w:rPr>
          <w:rFonts w:hint="eastAsia"/>
        </w:rPr>
        <w:t>(</w:t>
      </w:r>
      <w:r>
        <w:rPr>
          <w:rFonts w:hint="eastAsia"/>
        </w:rPr>
        <w:t>或</w:t>
      </w:r>
      <w:r>
        <w:rPr>
          <w:rFonts w:hint="eastAsia"/>
        </w:rPr>
        <w:t>)</w:t>
      </w:r>
      <w:r>
        <w:rPr>
          <w:rFonts w:hint="eastAsia"/>
        </w:rPr>
        <w:t>其他萨米人组织进行协商。</w:t>
      </w:r>
    </w:p>
    <w:p w14:paraId="3D14788D" w14:textId="77777777" w:rsidR="00C93FAE" w:rsidRDefault="00C93FAE" w:rsidP="008D23C1">
      <w:pPr>
        <w:pStyle w:val="SingleTxtGC"/>
        <w:tabs>
          <w:tab w:val="clear" w:pos="1565"/>
          <w:tab w:val="clear" w:pos="1996"/>
          <w:tab w:val="clear" w:pos="2427"/>
        </w:tabs>
      </w:pPr>
      <w:r>
        <w:rPr>
          <w:rFonts w:hint="eastAsia"/>
        </w:rPr>
        <w:t>135.</w:t>
      </w:r>
      <w:r>
        <w:rPr>
          <w:rFonts w:hint="eastAsia"/>
        </w:rPr>
        <w:tab/>
      </w:r>
      <w:r>
        <w:rPr>
          <w:rFonts w:hint="eastAsia"/>
        </w:rPr>
        <w:t>性别平等应当成为所有相关政策领域的组成部分。男性对妇女的暴力问题既是性别平等问题，也是妇女和女童充分享有人权的问题。瑞典在联合国、欧盟和欧洲委员会工作框架下所作的承诺是政府工作的一个重要基石。政府将继续把打击男性对妇女的暴力、亲密伴侣间暴力和家庭暴力，包括以“名誉”为由的暴力和压迫以及同性关系中的暴力，以及卖淫和为性目的贩运人口等行为作为优先事项。</w:t>
      </w:r>
    </w:p>
    <w:p w14:paraId="55618E1E" w14:textId="77777777" w:rsidR="00C93FAE" w:rsidRDefault="00C93FAE" w:rsidP="008D23C1">
      <w:pPr>
        <w:pStyle w:val="SingleTxtGC"/>
        <w:tabs>
          <w:tab w:val="clear" w:pos="1565"/>
          <w:tab w:val="clear" w:pos="1996"/>
          <w:tab w:val="clear" w:pos="2427"/>
        </w:tabs>
      </w:pPr>
      <w:r>
        <w:rPr>
          <w:rFonts w:hint="eastAsia"/>
        </w:rPr>
        <w:t>136.</w:t>
      </w:r>
      <w:r>
        <w:rPr>
          <w:rFonts w:hint="eastAsia"/>
        </w:rPr>
        <w:tab/>
        <w:t>2014</w:t>
      </w:r>
      <w:r>
        <w:rPr>
          <w:rFonts w:hint="eastAsia"/>
        </w:rPr>
        <w:t>年，瑞典批准了《欧洲委员会预防和打击暴力侵害妇女行为及家庭暴力公约》</w:t>
      </w:r>
      <w:r>
        <w:rPr>
          <w:rFonts w:hint="eastAsia"/>
        </w:rPr>
        <w:t>(</w:t>
      </w:r>
      <w:r>
        <w:rPr>
          <w:rFonts w:hint="eastAsia"/>
        </w:rPr>
        <w:t>《伊斯坦布尔公约》</w:t>
      </w:r>
      <w:r>
        <w:rPr>
          <w:rFonts w:hint="eastAsia"/>
        </w:rPr>
        <w:t>)</w:t>
      </w:r>
      <w:r>
        <w:rPr>
          <w:rFonts w:hint="eastAsia"/>
        </w:rPr>
        <w:t>。</w:t>
      </w:r>
      <w:r>
        <w:rPr>
          <w:rFonts w:hint="eastAsia"/>
        </w:rPr>
        <w:t>2016</w:t>
      </w:r>
      <w:r>
        <w:rPr>
          <w:rFonts w:hint="eastAsia"/>
        </w:rPr>
        <w:t>年</w:t>
      </w:r>
      <w:r>
        <w:rPr>
          <w:rFonts w:hint="eastAsia"/>
        </w:rPr>
        <w:t>11</w:t>
      </w:r>
      <w:r>
        <w:rPr>
          <w:rFonts w:hint="eastAsia"/>
        </w:rPr>
        <w:t>月，通过了</w:t>
      </w:r>
      <w:r>
        <w:rPr>
          <w:rFonts w:hint="eastAsia"/>
        </w:rPr>
        <w:t>2017-2026</w:t>
      </w:r>
      <w:r>
        <w:rPr>
          <w:rFonts w:hint="eastAsia"/>
        </w:rPr>
        <w:t>年预防和打击男性暴力侵害妇女行为的国家战略。就其适用范围和具体措施而言，这项国家战略基本上与《伊斯坦布尔公约》一致。</w:t>
      </w:r>
      <w:r>
        <w:rPr>
          <w:rFonts w:hint="eastAsia"/>
        </w:rPr>
        <w:t>2018</w:t>
      </w:r>
      <w:r>
        <w:rPr>
          <w:rFonts w:hint="eastAsia"/>
        </w:rPr>
        <w:t>年</w:t>
      </w:r>
      <w:r>
        <w:rPr>
          <w:rFonts w:hint="eastAsia"/>
        </w:rPr>
        <w:t>1</w:t>
      </w:r>
      <w:r>
        <w:rPr>
          <w:rFonts w:hint="eastAsia"/>
        </w:rPr>
        <w:t>月设立了瑞典性别平等署，负责根据性别平等政策目标，包括防止和打击男性暴力侵害妇女、与维护“名誉”有关的暴力和压迫，以及卖淫和贩运人口等目标，开展后续行动、分析、协调、知识和支持等方面的工作。性别平等署根据三项旨在促进性别平等的条例管理政府补助申请。为地方举措提供补助，以促进妇女和女童参与民主进程和社区生活，特别是在面临社会经济挑战的地区。</w:t>
      </w:r>
    </w:p>
    <w:p w14:paraId="1A95E706" w14:textId="77777777" w:rsidR="00C93FAE" w:rsidRDefault="00C93FAE" w:rsidP="008D23C1">
      <w:pPr>
        <w:pStyle w:val="SingleTxtGC"/>
        <w:tabs>
          <w:tab w:val="clear" w:pos="1565"/>
          <w:tab w:val="clear" w:pos="1996"/>
          <w:tab w:val="clear" w:pos="2427"/>
        </w:tabs>
      </w:pPr>
      <w:r>
        <w:rPr>
          <w:rFonts w:hint="eastAsia"/>
        </w:rPr>
        <w:t>137.</w:t>
      </w:r>
      <w:r>
        <w:rPr>
          <w:rFonts w:hint="eastAsia"/>
        </w:rPr>
        <w:tab/>
      </w:r>
      <w:r>
        <w:rPr>
          <w:rFonts w:hint="eastAsia"/>
        </w:rPr>
        <w:t>政府政策的目标是让老年人安享晚年并保持独立，能够过上积极的生活，对社会及其自身日常生活产生影响，受到尊重，并获得良好、平等和公平的卫生保健和社会关怀。政府将继续把确保老年人权利作为一项优先事项。</w:t>
      </w:r>
    </w:p>
    <w:p w14:paraId="03CC87A8" w14:textId="77777777" w:rsidR="00C93FAE" w:rsidRDefault="00C93FAE" w:rsidP="008D23C1">
      <w:pPr>
        <w:pStyle w:val="SingleTxtGC"/>
        <w:tabs>
          <w:tab w:val="clear" w:pos="1565"/>
          <w:tab w:val="clear" w:pos="1996"/>
          <w:tab w:val="clear" w:pos="2427"/>
        </w:tabs>
      </w:pPr>
      <w:r>
        <w:rPr>
          <w:rFonts w:hint="eastAsia"/>
        </w:rPr>
        <w:t>138.</w:t>
      </w:r>
      <w:r>
        <w:rPr>
          <w:rFonts w:hint="eastAsia"/>
        </w:rPr>
        <w:tab/>
      </w:r>
      <w:r>
        <w:rPr>
          <w:rFonts w:hint="eastAsia"/>
        </w:rPr>
        <w:t>政府移民政策的目标是实行一项负责任的限制性政策，为需要保护的人提供临时保护，确保符合欧盟法律和瑞典承诺遵守的具有约束力的国际规则规定的最低标准，包括保障庇护权。此外，政策的目标是维持对移民的管控，减少进入瑞典和欧盟的非正常移民，帮助缺乏保护理由或因其他原因无权在瑞典合法居留的人回国，确保有效的劳工移民以提高瑞典的竞争力，防止、发现和纠正欺诈和虐待行为，并促进遣返工作。瑞典的《外国人法》规定了有双方参与的程序和上诉制度。该制度旨在提高透明度并提供口头听证的机会。瑞典移民局是审理居留许可申请和庇护申请的一审机关。申请人可就瑞典移民局的决定向四个移民法院</w:t>
      </w:r>
      <w:proofErr w:type="gramStart"/>
      <w:r>
        <w:rPr>
          <w:rFonts w:hint="eastAsia"/>
        </w:rPr>
        <w:t>之一提出</w:t>
      </w:r>
      <w:proofErr w:type="gramEnd"/>
      <w:r>
        <w:rPr>
          <w:rFonts w:hint="eastAsia"/>
        </w:rPr>
        <w:t>上诉。如果当事方进一步上诉，移民上诉法院可以准许上诉。一般在移民上诉法院认为案件能够为《外国人法》的适用提供指导</w:t>
      </w:r>
      <w:r>
        <w:rPr>
          <w:rFonts w:hint="eastAsia"/>
        </w:rPr>
        <w:t>(</w:t>
      </w:r>
      <w:r>
        <w:rPr>
          <w:rFonts w:hint="eastAsia"/>
        </w:rPr>
        <w:t>确立先例</w:t>
      </w:r>
      <w:r>
        <w:rPr>
          <w:rFonts w:hint="eastAsia"/>
        </w:rPr>
        <w:t>)</w:t>
      </w:r>
      <w:r>
        <w:rPr>
          <w:rFonts w:hint="eastAsia"/>
        </w:rPr>
        <w:t>的情况下，才会准许上诉。如果准许上诉，移民上诉法院将审查上诉案件的实质问题。《外国人法》的有些规定可确保移民局的决定符合有权审查个人申诉的国际机构</w:t>
      </w:r>
      <w:proofErr w:type="gramStart"/>
      <w:r>
        <w:rPr>
          <w:rFonts w:hint="eastAsia"/>
        </w:rPr>
        <w:t>作出</w:t>
      </w:r>
      <w:proofErr w:type="gramEnd"/>
      <w:r>
        <w:rPr>
          <w:rFonts w:hint="eastAsia"/>
        </w:rPr>
        <w:t>的要求、决定和判决。关于承认难民地位的理由，《外国人法》规定了有正当理由畏惧因种族、民族、宗教或政治信仰、性别、性取向或特定社会群体成员身份而遭受迫害这一理由。在所有庇护申请中，都会根据个案情况对庇护理由进行评估。</w:t>
      </w:r>
    </w:p>
    <w:p w14:paraId="587CED87" w14:textId="77777777" w:rsidR="00C93FAE" w:rsidRDefault="00C93FAE" w:rsidP="008D23C1">
      <w:pPr>
        <w:pStyle w:val="SingleTxtGC"/>
        <w:tabs>
          <w:tab w:val="clear" w:pos="1565"/>
          <w:tab w:val="clear" w:pos="1996"/>
          <w:tab w:val="clear" w:pos="2427"/>
        </w:tabs>
      </w:pPr>
      <w:r>
        <w:rPr>
          <w:rFonts w:hint="eastAsia"/>
        </w:rPr>
        <w:t>139.</w:t>
      </w:r>
      <w:r>
        <w:rPr>
          <w:rFonts w:hint="eastAsia"/>
        </w:rPr>
        <w:tab/>
      </w:r>
      <w:r>
        <w:rPr>
          <w:rFonts w:hint="eastAsia"/>
        </w:rPr>
        <w:t>自</w:t>
      </w:r>
      <w:r>
        <w:rPr>
          <w:rFonts w:hint="eastAsia"/>
        </w:rPr>
        <w:t>2008</w:t>
      </w:r>
      <w:r>
        <w:rPr>
          <w:rFonts w:hint="eastAsia"/>
        </w:rPr>
        <w:t>年以来，县议会有义务在一定程度上为成年寻求庇护者提供有补贴的卫生保健服务。这包括免费的体检、紧急医疗和牙科护理</w:t>
      </w:r>
      <w:r>
        <w:rPr>
          <w:rFonts w:hint="eastAsia"/>
        </w:rPr>
        <w:t>(</w:t>
      </w:r>
      <w:r>
        <w:rPr>
          <w:rFonts w:hint="eastAsia"/>
        </w:rPr>
        <w:t>包括急救</w:t>
      </w:r>
      <w:r>
        <w:rPr>
          <w:rFonts w:hint="eastAsia"/>
        </w:rPr>
        <w:t>)</w:t>
      </w:r>
      <w:r>
        <w:rPr>
          <w:rFonts w:hint="eastAsia"/>
        </w:rPr>
        <w:t>、妇科护理以及</w:t>
      </w:r>
      <w:proofErr w:type="gramStart"/>
      <w:r>
        <w:rPr>
          <w:rFonts w:hint="eastAsia"/>
        </w:rPr>
        <w:t>孕</w:t>
      </w:r>
      <w:proofErr w:type="gramEnd"/>
      <w:r>
        <w:rPr>
          <w:rFonts w:hint="eastAsia"/>
        </w:rPr>
        <w:t>产妇和产前护理。根据瑞典《传染病法》提供的护理是免费的。</w:t>
      </w:r>
      <w:r>
        <w:rPr>
          <w:rFonts w:hint="eastAsia"/>
        </w:rPr>
        <w:t>2013</w:t>
      </w:r>
      <w:r>
        <w:rPr>
          <w:rFonts w:hint="eastAsia"/>
        </w:rPr>
        <w:t>年，这一权利也扩大到没有获得必要许可或法律支持而居住在瑞典的成年人。县议会有权向这些成年人提供与瑞典居民和公民同等水平的保健服务。</w:t>
      </w:r>
      <w:r>
        <w:rPr>
          <w:rFonts w:hint="eastAsia"/>
        </w:rPr>
        <w:t>18</w:t>
      </w:r>
      <w:r>
        <w:rPr>
          <w:rFonts w:hint="eastAsia"/>
        </w:rPr>
        <w:t>岁以下的儿童和青少年，不论其移民身份如何，都可以获得全面的医疗保健服务</w:t>
      </w:r>
      <w:r>
        <w:rPr>
          <w:rFonts w:hint="eastAsia"/>
        </w:rPr>
        <w:t>(</w:t>
      </w:r>
      <w:r>
        <w:rPr>
          <w:rFonts w:hint="eastAsia"/>
        </w:rPr>
        <w:t>有补贴且通常免费</w:t>
      </w:r>
      <w:r>
        <w:rPr>
          <w:rFonts w:hint="eastAsia"/>
        </w:rPr>
        <w:t>)</w:t>
      </w:r>
      <w:r>
        <w:rPr>
          <w:rFonts w:hint="eastAsia"/>
        </w:rPr>
        <w:t>，包括定期牙科护理。</w:t>
      </w:r>
    </w:p>
    <w:p w14:paraId="4BB14868" w14:textId="77777777" w:rsidR="00C93FAE" w:rsidRDefault="00C93FAE" w:rsidP="008D23C1">
      <w:pPr>
        <w:pStyle w:val="SingleTxtGC"/>
        <w:tabs>
          <w:tab w:val="clear" w:pos="1565"/>
          <w:tab w:val="clear" w:pos="1996"/>
          <w:tab w:val="clear" w:pos="2427"/>
        </w:tabs>
      </w:pPr>
      <w:r>
        <w:rPr>
          <w:rFonts w:hint="eastAsia"/>
        </w:rPr>
        <w:t>140.</w:t>
      </w:r>
      <w:r>
        <w:rPr>
          <w:rFonts w:hint="eastAsia"/>
        </w:rPr>
        <w:tab/>
      </w:r>
      <w:r>
        <w:rPr>
          <w:rFonts w:hint="eastAsia"/>
        </w:rPr>
        <w:t>劳工移民制度由雇主主导，受需求驱动。获准入境的移民可享有一系列广泛的权利，而且家人可以立即陪同入境。立法规定，在工作许可证有效期内，如果移民失业或对雇主不满意，可以获得三个月的过渡期。在此期间，移民可以留在瑞典寻找新工作。自</w:t>
      </w:r>
      <w:r>
        <w:rPr>
          <w:rFonts w:hint="eastAsia"/>
        </w:rPr>
        <w:t>2008</w:t>
      </w:r>
      <w:r>
        <w:rPr>
          <w:rFonts w:hint="eastAsia"/>
        </w:rPr>
        <w:t>年开始实行现行劳工移民制度以来，政府采取了一系列措施，来防止劳工移民遭受剥削。</w:t>
      </w:r>
    </w:p>
    <w:p w14:paraId="6B339AFD" w14:textId="77777777" w:rsidR="00C93FAE" w:rsidRDefault="00C93FAE" w:rsidP="008D23C1">
      <w:pPr>
        <w:pStyle w:val="SingleTxtGC"/>
        <w:tabs>
          <w:tab w:val="clear" w:pos="1565"/>
          <w:tab w:val="clear" w:pos="1996"/>
          <w:tab w:val="clear" w:pos="2427"/>
        </w:tabs>
      </w:pPr>
      <w:r>
        <w:rPr>
          <w:rFonts w:hint="eastAsia"/>
        </w:rPr>
        <w:t>141.</w:t>
      </w:r>
      <w:r>
        <w:rPr>
          <w:rFonts w:hint="eastAsia"/>
        </w:rPr>
        <w:tab/>
      </w:r>
      <w:r>
        <w:rPr>
          <w:rFonts w:hint="eastAsia"/>
        </w:rPr>
        <w:t>市政府负责接收孤身未成年人，为其指定法定监护人并安排住宿、学校教育和照顾。中央政府为市政机构开展这项工作提供财政补偿。孤身未成年人抵达瑞典后，会被临时安置在附近的一个城市，但不久后会被重新安置到移民局指定的城市。</w:t>
      </w:r>
    </w:p>
    <w:p w14:paraId="35CDDA9D" w14:textId="77777777" w:rsidR="00C93FAE" w:rsidRDefault="00C93FAE" w:rsidP="008D23C1">
      <w:pPr>
        <w:pStyle w:val="SingleTxtGC"/>
        <w:tabs>
          <w:tab w:val="clear" w:pos="1565"/>
          <w:tab w:val="clear" w:pos="1996"/>
          <w:tab w:val="clear" w:pos="2427"/>
        </w:tabs>
      </w:pPr>
      <w:r>
        <w:rPr>
          <w:rFonts w:hint="eastAsia"/>
        </w:rPr>
        <w:t>142.</w:t>
      </w:r>
      <w:r>
        <w:rPr>
          <w:rFonts w:hint="eastAsia"/>
        </w:rPr>
        <w:tab/>
      </w:r>
      <w:r>
        <w:rPr>
          <w:rFonts w:hint="eastAsia"/>
        </w:rPr>
        <w:t>融合政策包括引导新移民进入社会、向市政府提供接收难民的补偿和促进融合措施。</w:t>
      </w:r>
    </w:p>
    <w:p w14:paraId="354898DF" w14:textId="048B234C" w:rsidR="00C93FAE" w:rsidRDefault="00C93FAE" w:rsidP="008D23C1">
      <w:pPr>
        <w:pStyle w:val="SingleTxtGC"/>
        <w:tabs>
          <w:tab w:val="clear" w:pos="1565"/>
          <w:tab w:val="clear" w:pos="1996"/>
          <w:tab w:val="clear" w:pos="2427"/>
        </w:tabs>
      </w:pPr>
      <w:r>
        <w:rPr>
          <w:rFonts w:hint="eastAsia"/>
        </w:rPr>
        <w:t>143.</w:t>
      </w:r>
      <w:r>
        <w:rPr>
          <w:rFonts w:hint="eastAsia"/>
        </w:rPr>
        <w:tab/>
      </w:r>
      <w:r>
        <w:rPr>
          <w:rFonts w:hint="eastAsia"/>
        </w:rPr>
        <w:t>瑞典融合政策的目标是确保所有人的权利、义务和机会平等，不论其民族和文化背景如何。这一目标将主要通过针对全体人口的一般政策措施来实现，并且有针对性地支持持有居留许可的新移民</w:t>
      </w:r>
      <w:r>
        <w:rPr>
          <w:rStyle w:val="a8"/>
          <w:rFonts w:eastAsia="宋体"/>
        </w:rPr>
        <w:footnoteReference w:id="4"/>
      </w:r>
      <w:r>
        <w:rPr>
          <w:rFonts w:hint="eastAsia"/>
        </w:rPr>
        <w:t xml:space="preserve"> (</w:t>
      </w:r>
      <w:r>
        <w:rPr>
          <w:rFonts w:hint="eastAsia"/>
        </w:rPr>
        <w:t>及其家人</w:t>
      </w:r>
      <w:r>
        <w:rPr>
          <w:rFonts w:hint="eastAsia"/>
        </w:rPr>
        <w:t>)</w:t>
      </w:r>
      <w:r>
        <w:rPr>
          <w:rFonts w:hint="eastAsia"/>
        </w:rPr>
        <w:t>在初到瑞典的头几年进入社会。接收新移民是国家、地区和地方各级政府的共同责任。</w:t>
      </w:r>
      <w:r>
        <w:rPr>
          <w:rFonts w:hint="eastAsia"/>
        </w:rPr>
        <w:t>2024</w:t>
      </w:r>
      <w:r>
        <w:rPr>
          <w:rFonts w:hint="eastAsia"/>
        </w:rPr>
        <w:t>年</w:t>
      </w:r>
      <w:r>
        <w:rPr>
          <w:rFonts w:hint="eastAsia"/>
        </w:rPr>
        <w:t>4</w:t>
      </w:r>
      <w:r>
        <w:rPr>
          <w:rFonts w:hint="eastAsia"/>
        </w:rPr>
        <w:t>月，瑞典为融合政策提出了一个新目标，目前正在等待议会程序批准。</w:t>
      </w:r>
    </w:p>
    <w:p w14:paraId="3D1D62B4" w14:textId="77777777" w:rsidR="00C93FAE" w:rsidRDefault="00C93FAE" w:rsidP="008D23C1">
      <w:pPr>
        <w:pStyle w:val="SingleTxtGC"/>
        <w:tabs>
          <w:tab w:val="clear" w:pos="1565"/>
          <w:tab w:val="clear" w:pos="1996"/>
          <w:tab w:val="clear" w:pos="2427"/>
        </w:tabs>
      </w:pPr>
      <w:r>
        <w:rPr>
          <w:rFonts w:hint="eastAsia"/>
        </w:rPr>
        <w:t>144.</w:t>
      </w:r>
      <w:r>
        <w:rPr>
          <w:rFonts w:hint="eastAsia"/>
        </w:rPr>
        <w:tab/>
      </w:r>
      <w:r>
        <w:rPr>
          <w:rFonts w:hint="eastAsia"/>
        </w:rPr>
        <w:t>融入计划的主要目标是加快新移民</w:t>
      </w:r>
      <w:proofErr w:type="gramStart"/>
      <w:r>
        <w:rPr>
          <w:rFonts w:hint="eastAsia"/>
        </w:rPr>
        <w:t>融入职场和</w:t>
      </w:r>
      <w:proofErr w:type="gramEnd"/>
      <w:r>
        <w:rPr>
          <w:rFonts w:hint="eastAsia"/>
        </w:rPr>
        <w:t>社区的速度。通过融入计划，所有新移民都能获得专业支助，帮助他们学习瑞典语，找到工作，自食其力，并尽快熟悉在瑞典适用的权利和义务。公共就业服务机构</w:t>
      </w:r>
      <w:proofErr w:type="spellStart"/>
      <w:r>
        <w:rPr>
          <w:rFonts w:hint="eastAsia"/>
        </w:rPr>
        <w:t>Arbetsförmedlingen</w:t>
      </w:r>
      <w:proofErr w:type="spellEnd"/>
      <w:r>
        <w:rPr>
          <w:rFonts w:hint="eastAsia"/>
        </w:rPr>
        <w:t>是协调落实融入计划的机构。公共就业服务机构通过与新移民沟通，根据他们的教育背景、工作经验以及培训和其他需求制定融入计划。积极参与融入计划的新移民最长可获得</w:t>
      </w:r>
      <w:r>
        <w:rPr>
          <w:rFonts w:hint="eastAsia"/>
        </w:rPr>
        <w:t>24</w:t>
      </w:r>
      <w:r>
        <w:rPr>
          <w:rFonts w:hint="eastAsia"/>
        </w:rPr>
        <w:t>个月的融入服务。融入计划是个性化的，通常包括为就业做准备的活动、瑞典语课程和旨在促进对瑞典社会基本了解的公民概况课程。市政当局负责提供瑞典语课程和公民概况课程。市政当局还负责为新移民提供住房，并在学校和学前教育机构为新移民儿童提供融入服务。</w:t>
      </w:r>
    </w:p>
    <w:p w14:paraId="2B605601" w14:textId="77777777" w:rsidR="00C93FAE" w:rsidRDefault="00C93FAE" w:rsidP="008D23C1">
      <w:pPr>
        <w:pStyle w:val="SingleTxtGC"/>
        <w:tabs>
          <w:tab w:val="clear" w:pos="1565"/>
          <w:tab w:val="clear" w:pos="1996"/>
          <w:tab w:val="clear" w:pos="2427"/>
        </w:tabs>
      </w:pPr>
      <w:r>
        <w:rPr>
          <w:rFonts w:hint="eastAsia"/>
        </w:rPr>
        <w:t>145.</w:t>
      </w:r>
      <w:r>
        <w:rPr>
          <w:rFonts w:hint="eastAsia"/>
        </w:rPr>
        <w:tab/>
      </w:r>
      <w:r>
        <w:rPr>
          <w:rFonts w:hint="eastAsia"/>
        </w:rPr>
        <w:t>瑞典区域发展政策的目标是实现充满活力的发展，增强各地方和地区的竞争力，以促进全国所有地区的可持续发展。该政策基本依靠各地区采取行动，但中央政府也有义务。区域发展的一个基本前提条件是妇女和男性不论族裔和文化背景或性取向如何，都拥有在国家所有地区发展的平等机会。为了加强区域可持续发展，需要采取政治措施，在全国各地促进住房、就业和福利方面的平等机会，在全国各地提供和发展技能，在全国各地促进创新、复兴、创业和商业发展，并通过数字通信和交通系统实现全国各地的可达性。应当因地制宜地采取相关措施。对于被认为需要特别措施的特定地区，需要继续采取有针对性的举措，以加强这些地区可持续发展的潜力。</w:t>
      </w:r>
    </w:p>
    <w:p w14:paraId="29D02A33" w14:textId="77777777" w:rsidR="00C93FAE" w:rsidRDefault="00C93FAE" w:rsidP="008D23C1">
      <w:pPr>
        <w:pStyle w:val="SingleTxtGC"/>
        <w:tabs>
          <w:tab w:val="clear" w:pos="1565"/>
          <w:tab w:val="clear" w:pos="1996"/>
          <w:tab w:val="clear" w:pos="2427"/>
        </w:tabs>
      </w:pPr>
      <w:r>
        <w:rPr>
          <w:rFonts w:hint="eastAsia"/>
        </w:rPr>
        <w:t>146.</w:t>
      </w:r>
      <w:r>
        <w:rPr>
          <w:rFonts w:hint="eastAsia"/>
        </w:rPr>
        <w:tab/>
      </w:r>
      <w:r>
        <w:rPr>
          <w:rFonts w:hint="eastAsia"/>
        </w:rPr>
        <w:t>已经确定了反排斥政策领域的一个新目标：减少遭受排斥的人数，消除平行社会结构，强调个人参与社会的责任，以及增强人们的安全感和增加生活机会。为了打击排斥现象，已经确定了需要解决的三个关键领域：学习瑞典语、就业和自力更生以及充分参与瑞典社会。</w:t>
      </w:r>
    </w:p>
    <w:p w14:paraId="31EFA518" w14:textId="3EE2DDEB" w:rsidR="00C93FAE" w:rsidRDefault="00C93FAE" w:rsidP="008D23C1">
      <w:pPr>
        <w:pStyle w:val="SingleTxtGC"/>
        <w:tabs>
          <w:tab w:val="clear" w:pos="1565"/>
          <w:tab w:val="clear" w:pos="1996"/>
          <w:tab w:val="clear" w:pos="2427"/>
        </w:tabs>
      </w:pPr>
      <w:r>
        <w:rPr>
          <w:rFonts w:hint="eastAsia"/>
        </w:rPr>
        <w:t>147.</w:t>
      </w:r>
      <w:r>
        <w:rPr>
          <w:rFonts w:hint="eastAsia"/>
        </w:rPr>
        <w:tab/>
      </w:r>
      <w:r>
        <w:rPr>
          <w:rFonts w:hint="eastAsia"/>
        </w:rPr>
        <w:t>平等问题监察员</w:t>
      </w:r>
      <w:r>
        <w:rPr>
          <w:rFonts w:hint="eastAsia"/>
        </w:rPr>
        <w:t>(</w:t>
      </w:r>
      <w:proofErr w:type="spellStart"/>
      <w:r w:rsidR="00BE4910">
        <w:fldChar w:fldCharType="begin"/>
      </w:r>
      <w:r w:rsidR="00BE4910">
        <w:rPr>
          <w:rFonts w:hint="eastAsia"/>
        </w:rPr>
        <w:instrText>HYPERLINK "http://www.do.se"</w:instrText>
      </w:r>
      <w:r w:rsidR="00BE4910">
        <w:fldChar w:fldCharType="separate"/>
      </w:r>
      <w:r w:rsidR="00BE4910" w:rsidRPr="009E5A67">
        <w:rPr>
          <w:rStyle w:val="af5"/>
          <w:rFonts w:hint="eastAsia"/>
        </w:rPr>
        <w:t>www.do.se</w:t>
      </w:r>
      <w:proofErr w:type="spellEnd"/>
      <w:r w:rsidR="00BE4910">
        <w:fldChar w:fldCharType="end"/>
      </w:r>
      <w:r>
        <w:rPr>
          <w:rFonts w:hint="eastAsia"/>
        </w:rPr>
        <w:t>)</w:t>
      </w:r>
      <w:r>
        <w:rPr>
          <w:rFonts w:hint="eastAsia"/>
        </w:rPr>
        <w:t>还负责面向有可能歧视他人和有可能遭受歧视的人做好宣传教育工作，传播关于歧视和禁止歧视的知识和信息。监察员向雇主、高等教育机构、学校和其他各方提供指导，并帮助他们制定有用的方法。另一项任务是通过提高认识的举措，确保每个人都了解自己的权利。此外，监察员还要引导人们关注人权问题并鼓励围绕人权问题展开辩论。监察员还承担一项特殊责任，即报告人权和歧视领域的最新研究和国际动态。</w:t>
      </w:r>
    </w:p>
    <w:p w14:paraId="519D56E5" w14:textId="3DD65973" w:rsidR="00C93FAE" w:rsidRDefault="00C93FAE" w:rsidP="008D23C1">
      <w:pPr>
        <w:pStyle w:val="SingleTxtGC"/>
        <w:tabs>
          <w:tab w:val="clear" w:pos="1565"/>
          <w:tab w:val="clear" w:pos="1996"/>
          <w:tab w:val="clear" w:pos="2427"/>
        </w:tabs>
      </w:pPr>
      <w:r>
        <w:rPr>
          <w:rFonts w:hint="eastAsia"/>
        </w:rPr>
        <w:t>148.</w:t>
      </w:r>
      <w:r>
        <w:rPr>
          <w:rFonts w:hint="eastAsia"/>
        </w:rPr>
        <w:tab/>
      </w:r>
      <w:r>
        <w:rPr>
          <w:rFonts w:hint="eastAsia"/>
        </w:rPr>
        <w:t>瑞典儿童问题监察员</w:t>
      </w:r>
      <w:r>
        <w:rPr>
          <w:rFonts w:hint="eastAsia"/>
        </w:rPr>
        <w:t>(</w:t>
      </w:r>
      <w:proofErr w:type="spellStart"/>
      <w:r w:rsidR="00BE4910">
        <w:fldChar w:fldCharType="begin"/>
      </w:r>
      <w:r w:rsidR="00BE4910">
        <w:rPr>
          <w:rFonts w:hint="eastAsia"/>
        </w:rPr>
        <w:instrText>HYPERLINK "http://www.barnombudsmannen.se"</w:instrText>
      </w:r>
      <w:r w:rsidR="00BE4910">
        <w:fldChar w:fldCharType="separate"/>
      </w:r>
      <w:r w:rsidR="00BE4910" w:rsidRPr="009E5A67">
        <w:rPr>
          <w:rStyle w:val="af5"/>
          <w:rFonts w:hint="eastAsia"/>
        </w:rPr>
        <w:t>www.barnombudsmannen.se</w:t>
      </w:r>
      <w:proofErr w:type="spellEnd"/>
      <w:r w:rsidR="00BE4910">
        <w:fldChar w:fldCharType="end"/>
      </w:r>
      <w:r>
        <w:rPr>
          <w:rFonts w:hint="eastAsia"/>
        </w:rPr>
        <w:t>)</w:t>
      </w:r>
      <w:r>
        <w:rPr>
          <w:rFonts w:hint="eastAsia"/>
        </w:rPr>
        <w:t>也负责传播有关《儿童权利公约》的信息。监察员的重要职责包括参加公共辩论，增强公众对关键问题的兴趣，以及影响决策者和公众的态度。监察员与儿童和青年保持定期联系。监察员每年向政府提交一份报告，阐述瑞典儿童和青年的状况。</w:t>
      </w:r>
    </w:p>
    <w:p w14:paraId="3AC3D0D5" w14:textId="77A20155" w:rsidR="002C2E5E" w:rsidRDefault="00C93FAE" w:rsidP="008D23C1">
      <w:pPr>
        <w:pStyle w:val="SingleTxtGC"/>
        <w:tabs>
          <w:tab w:val="clear" w:pos="1565"/>
          <w:tab w:val="clear" w:pos="1996"/>
          <w:tab w:val="clear" w:pos="2427"/>
        </w:tabs>
      </w:pPr>
      <w:r>
        <w:rPr>
          <w:rFonts w:hint="eastAsia"/>
        </w:rPr>
        <w:t>149.</w:t>
      </w:r>
      <w:r>
        <w:rPr>
          <w:rFonts w:hint="eastAsia"/>
        </w:rPr>
        <w:tab/>
      </w:r>
      <w:r>
        <w:rPr>
          <w:rFonts w:hint="eastAsia"/>
        </w:rPr>
        <w:t>“鲜活历史论坛”是瑞典的一个政府机构，以大屠杀和其他危害人类罪为切入点，从国家和国际视角处理与容忍、民主和人权有关的问题。它专门负责增加和加深对反犹太主义、反吉普赛主义和其他形式种族主义和不容忍行为的了解，重点关注历史与现实之间的联系。“鲜活历史论坛”通过展览、讲习班和教材等方法和手段影响青少年目标群体，意在让他们掌握未来所需的知识，增强他们努力促进民主以及所有人的平等权利和价值的意愿。“鲜活历史论坛”还对学校和社会中与不同形式的不容忍行为有关的态度进行调查，促进对不容忍的原因、程度和地理分布的了解，从而推动为改变这些态度所作的努力。“鲜活历史论坛”与其他领域的研究人员密切合作，包括研究瑞典社会中反犹太主义、反吉普赛主义和其他形式种族主义等问题的研究人员。该论坛还发布其他各</w:t>
      </w:r>
      <w:proofErr w:type="gramStart"/>
      <w:r>
        <w:rPr>
          <w:rFonts w:hint="eastAsia"/>
        </w:rPr>
        <w:t>类报告</w:t>
      </w:r>
      <w:proofErr w:type="gramEnd"/>
      <w:r>
        <w:rPr>
          <w:rFonts w:hint="eastAsia"/>
        </w:rPr>
        <w:t>和资料，详情请见其网站：</w:t>
      </w:r>
      <w:r w:rsidR="00BE4910">
        <w:fldChar w:fldCharType="begin"/>
      </w:r>
      <w:r w:rsidR="00BE4910">
        <w:rPr>
          <w:rFonts w:hint="eastAsia"/>
        </w:rPr>
        <w:instrText>HYPERLINK "http://www.levandehistoria.se"</w:instrText>
      </w:r>
      <w:r w:rsidR="00BE4910">
        <w:fldChar w:fldCharType="separate"/>
      </w:r>
      <w:proofErr w:type="spellStart"/>
      <w:r w:rsidR="00BE4910" w:rsidRPr="009E5A67">
        <w:rPr>
          <w:rStyle w:val="af5"/>
          <w:rFonts w:hint="eastAsia"/>
        </w:rPr>
        <w:t>www.levandehistoria.se</w:t>
      </w:r>
      <w:proofErr w:type="spellEnd"/>
      <w:r w:rsidR="00BE4910">
        <w:fldChar w:fldCharType="end"/>
      </w:r>
      <w:r>
        <w:rPr>
          <w:rFonts w:hint="eastAsia"/>
        </w:rPr>
        <w:t>。</w:t>
      </w:r>
    </w:p>
    <w:p w14:paraId="6E8B1346" w14:textId="77777777" w:rsidR="000D6394" w:rsidRDefault="000D6394" w:rsidP="000D6394">
      <w:pPr>
        <w:pStyle w:val="SingleTxtGC"/>
      </w:pPr>
    </w:p>
    <w:p w14:paraId="5612F215" w14:textId="77777777" w:rsidR="00C93FAE" w:rsidRPr="002D6A9C" w:rsidRDefault="00C93F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D9024D7" w14:textId="77777777" w:rsidR="00B02D5E" w:rsidRPr="00F518CA" w:rsidRDefault="00B02D5E" w:rsidP="00B02D5E">
      <w:pPr>
        <w:pStyle w:val="SingleTxtGC"/>
      </w:pPr>
    </w:p>
    <w:sectPr w:rsidR="00B02D5E" w:rsidRPr="00F518CA" w:rsidSect="0045772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CA901" w14:textId="77777777" w:rsidR="004B131E" w:rsidRPr="000D319F" w:rsidRDefault="004B131E" w:rsidP="000D319F">
      <w:pPr>
        <w:pStyle w:val="af0"/>
        <w:spacing w:after="240"/>
        <w:ind w:left="907"/>
        <w:rPr>
          <w:rFonts w:asciiTheme="majorBidi" w:eastAsia="宋体" w:hAnsiTheme="majorBidi" w:cstheme="majorBidi"/>
          <w:sz w:val="21"/>
          <w:szCs w:val="21"/>
          <w:lang w:val="en-US"/>
        </w:rPr>
      </w:pPr>
    </w:p>
    <w:p w14:paraId="5EAC364C" w14:textId="77777777" w:rsidR="004B131E" w:rsidRPr="000D319F" w:rsidRDefault="004B131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847725" w14:textId="77777777" w:rsidR="004B131E" w:rsidRPr="000D319F" w:rsidRDefault="004B131E" w:rsidP="000D319F">
      <w:pPr>
        <w:pStyle w:val="af0"/>
      </w:pPr>
    </w:p>
  </w:endnote>
  <w:endnote w:type="continuationNotice" w:id="1">
    <w:p w14:paraId="32FC3529" w14:textId="77777777" w:rsidR="004B131E" w:rsidRDefault="004B13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98352" w14:textId="77777777" w:rsidR="00FF5C47" w:rsidRPr="00AD0014" w:rsidRDefault="00AD0014" w:rsidP="00AD001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D0014">
      <w:rPr>
        <w:rStyle w:val="af2"/>
        <w:b w:val="0"/>
        <w:snapToGrid w:val="0"/>
        <w:sz w:val="16"/>
      </w:rPr>
      <w:t>GE.24</w:t>
    </w:r>
    <w:proofErr w:type="spellEnd"/>
    <w:r w:rsidRPr="00AD0014">
      <w:rPr>
        <w:rStyle w:val="af2"/>
        <w:b w:val="0"/>
        <w:snapToGrid w:val="0"/>
        <w:sz w:val="16"/>
      </w:rPr>
      <w:t>-14508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629FC" w14:textId="77777777" w:rsidR="00FF5C47" w:rsidRPr="00AD0014" w:rsidRDefault="00AD0014" w:rsidP="00AD0014">
    <w:pPr>
      <w:pStyle w:val="af0"/>
      <w:tabs>
        <w:tab w:val="clear" w:pos="431"/>
        <w:tab w:val="right" w:pos="9638"/>
      </w:tabs>
      <w:rPr>
        <w:rStyle w:val="af2"/>
      </w:rPr>
    </w:pPr>
    <w:proofErr w:type="spellStart"/>
    <w:r>
      <w:t>GE.24</w:t>
    </w:r>
    <w:proofErr w:type="spellEnd"/>
    <w:r>
      <w:t>-14508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28F9E" w14:textId="0CA2D388" w:rsidR="00FF5C47" w:rsidRPr="00487939" w:rsidRDefault="00AD0014"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07D06EA" wp14:editId="777F0F8D">
          <wp:simplePos x="0" y="0"/>
          <wp:positionH relativeFrom="column">
            <wp:align>right</wp:align>
          </wp:positionH>
          <wp:positionV relativeFrom="paragraph">
            <wp:posOffset>-69850</wp:posOffset>
          </wp:positionV>
          <wp:extent cx="571500" cy="571500"/>
          <wp:effectExtent l="0" t="0" r="0" b="0"/>
          <wp:wrapNone/>
          <wp:docPr id="11683715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-14508</w:t>
    </w:r>
    <w:r w:rsidR="00731A42" w:rsidRPr="00EE277A">
      <w:rPr>
        <w:sz w:val="20"/>
        <w:lang w:eastAsia="zh-CN"/>
      </w:rPr>
      <w:t xml:space="preserve"> (C)</w:t>
    </w:r>
    <w:r w:rsidR="0013023B">
      <w:rPr>
        <w:sz w:val="20"/>
        <w:lang w:eastAsia="zh-CN"/>
      </w:rPr>
      <w:tab/>
    </w:r>
    <w:r w:rsidR="00432EA7">
      <w:rPr>
        <w:sz w:val="20"/>
        <w:lang w:eastAsia="zh-CN"/>
      </w:rPr>
      <w:t>141</w:t>
    </w:r>
    <w:r w:rsidR="0013023B">
      <w:rPr>
        <w:sz w:val="20"/>
        <w:lang w:eastAsia="zh-CN"/>
      </w:rPr>
      <w:t>0</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432EA7">
      <w:rPr>
        <w:sz w:val="20"/>
        <w:lang w:eastAsia="zh-CN"/>
      </w:rPr>
      <w:t>231</w:t>
    </w:r>
    <w:r w:rsidR="00731A42">
      <w:rPr>
        <w:sz w:val="20"/>
        <w:lang w:eastAsia="zh-CN"/>
      </w:rPr>
      <w:t>0</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60849E8A" wp14:editId="5AC2F9F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55923" w14:textId="77777777" w:rsidR="004B131E" w:rsidRPr="000157B1" w:rsidRDefault="004B131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2169B80" w14:textId="77777777" w:rsidR="004B131E" w:rsidRPr="000157B1" w:rsidRDefault="004B131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D4730F" w14:textId="77777777" w:rsidR="004B131E" w:rsidRDefault="004B131E"/>
  </w:footnote>
  <w:footnote w:id="2">
    <w:p w14:paraId="52142AE3" w14:textId="2FFE5892" w:rsidR="00164236" w:rsidRPr="00B723D0" w:rsidRDefault="00164236" w:rsidP="00A45C48">
      <w:pPr>
        <w:pStyle w:val="ac"/>
        <w:spacing w:after="120"/>
      </w:pPr>
      <w:r>
        <w:rPr>
          <w:rFonts w:hint="eastAsia"/>
        </w:rPr>
        <w:tab/>
      </w:r>
      <w:r w:rsidRPr="00164236">
        <w:rPr>
          <w:rStyle w:val="a8"/>
          <w:rFonts w:eastAsia="宋体"/>
          <w:vertAlign w:val="baseline"/>
        </w:rPr>
        <w:t>*</w:t>
      </w:r>
      <w:r>
        <w:rPr>
          <w:rFonts w:hint="eastAsia"/>
        </w:rPr>
        <w:tab/>
      </w:r>
      <w:r w:rsidR="00A45C48" w:rsidRPr="00A45C48">
        <w:rPr>
          <w:rFonts w:hint="eastAsia"/>
        </w:rPr>
        <w:t>本文件印发前未经正式编辑。</w:t>
      </w:r>
    </w:p>
  </w:footnote>
  <w:footnote w:id="3">
    <w:p w14:paraId="7B9523B4" w14:textId="64D3CFD9" w:rsidR="00A45C48" w:rsidRDefault="00A45C48" w:rsidP="00A45C48">
      <w:pPr>
        <w:pStyle w:val="a6"/>
        <w:tabs>
          <w:tab w:val="clear" w:pos="1021"/>
          <w:tab w:val="right" w:pos="1020"/>
        </w:tabs>
      </w:pPr>
      <w:r w:rsidRPr="00A45C48">
        <w:rPr>
          <w:rStyle w:val="a8"/>
          <w:rFonts w:eastAsia="宋体"/>
          <w:vertAlign w:val="baseline"/>
        </w:rPr>
        <w:tab/>
        <w:t>**</w:t>
      </w:r>
      <w:r>
        <w:tab/>
      </w:r>
      <w:r w:rsidRPr="00A45C48">
        <w:rPr>
          <w:rFonts w:hint="eastAsia"/>
        </w:rPr>
        <w:t>本文件附件可在联合国人权事务高级专员办事处的网站上查阅。</w:t>
      </w:r>
    </w:p>
  </w:footnote>
  <w:footnote w:id="4">
    <w:p w14:paraId="68D5C085" w14:textId="53E22448" w:rsidR="00C93FAE" w:rsidRDefault="00C93FAE">
      <w:pPr>
        <w:pStyle w:val="a6"/>
      </w:pPr>
      <w:r>
        <w:tab/>
      </w:r>
      <w:r>
        <w:rPr>
          <w:rStyle w:val="a8"/>
          <w:rFonts w:eastAsia="宋体"/>
        </w:rPr>
        <w:footnoteRef/>
      </w:r>
      <w:r>
        <w:tab/>
      </w:r>
      <w:r w:rsidRPr="00C93FAE">
        <w:rPr>
          <w:rFonts w:hint="eastAsia"/>
        </w:rPr>
        <w:t>在瑞典，“新移民”一词用于描述获得人道主义、国际或辅助保护的人。新移民通常在获得居留许可后的两到三年内有权参加融入计划。</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949A3" w14:textId="77777777" w:rsidR="00FF5C47" w:rsidRDefault="00AD0014" w:rsidP="00AD0014">
    <w:pPr>
      <w:pStyle w:val="af3"/>
    </w:pPr>
    <w:r>
      <w:t>HRI/CORE/SWE/2024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45CB0" w14:textId="77777777" w:rsidR="00FF5C47" w:rsidRPr="00202A30" w:rsidRDefault="00AD0014" w:rsidP="00AD0014">
    <w:pPr>
      <w:pStyle w:val="af3"/>
      <w:jc w:val="right"/>
    </w:pPr>
    <w:r>
      <w:t>HRI/CORE/SWE/2024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31E"/>
    <w:rsid w:val="00011483"/>
    <w:rsid w:val="00050EA0"/>
    <w:rsid w:val="000853A6"/>
    <w:rsid w:val="00085675"/>
    <w:rsid w:val="00090B89"/>
    <w:rsid w:val="00092E76"/>
    <w:rsid w:val="000B1857"/>
    <w:rsid w:val="000C4D20"/>
    <w:rsid w:val="000D319F"/>
    <w:rsid w:val="000D6394"/>
    <w:rsid w:val="000E4D0E"/>
    <w:rsid w:val="000F71BF"/>
    <w:rsid w:val="00125AC6"/>
    <w:rsid w:val="0013023B"/>
    <w:rsid w:val="00144B69"/>
    <w:rsid w:val="00153E86"/>
    <w:rsid w:val="00164236"/>
    <w:rsid w:val="00186E56"/>
    <w:rsid w:val="00190546"/>
    <w:rsid w:val="00197F40"/>
    <w:rsid w:val="001A4E58"/>
    <w:rsid w:val="001B1BD1"/>
    <w:rsid w:val="001B4B8C"/>
    <w:rsid w:val="001C3EF2"/>
    <w:rsid w:val="001D17F6"/>
    <w:rsid w:val="001D2C3F"/>
    <w:rsid w:val="00204B42"/>
    <w:rsid w:val="00205001"/>
    <w:rsid w:val="002061AA"/>
    <w:rsid w:val="002162D7"/>
    <w:rsid w:val="00220A9B"/>
    <w:rsid w:val="002231C3"/>
    <w:rsid w:val="0023114C"/>
    <w:rsid w:val="0024417F"/>
    <w:rsid w:val="00250F8D"/>
    <w:rsid w:val="002C2E5E"/>
    <w:rsid w:val="002E0877"/>
    <w:rsid w:val="002E1C97"/>
    <w:rsid w:val="002F5358"/>
    <w:rsid w:val="002F5834"/>
    <w:rsid w:val="00322F05"/>
    <w:rsid w:val="00326EBF"/>
    <w:rsid w:val="00327FE4"/>
    <w:rsid w:val="00392F6C"/>
    <w:rsid w:val="003A043F"/>
    <w:rsid w:val="003B6D9A"/>
    <w:rsid w:val="003D7D4D"/>
    <w:rsid w:val="00410055"/>
    <w:rsid w:val="00413D23"/>
    <w:rsid w:val="00427F63"/>
    <w:rsid w:val="00432EA7"/>
    <w:rsid w:val="00446645"/>
    <w:rsid w:val="00455DF3"/>
    <w:rsid w:val="00457728"/>
    <w:rsid w:val="00475113"/>
    <w:rsid w:val="004A17D1"/>
    <w:rsid w:val="004A7FCE"/>
    <w:rsid w:val="004B0641"/>
    <w:rsid w:val="004B131E"/>
    <w:rsid w:val="004C4A0A"/>
    <w:rsid w:val="00501465"/>
    <w:rsid w:val="00543EBA"/>
    <w:rsid w:val="005613A0"/>
    <w:rsid w:val="00566CE3"/>
    <w:rsid w:val="00583B31"/>
    <w:rsid w:val="005D10F1"/>
    <w:rsid w:val="005D41C0"/>
    <w:rsid w:val="005E403A"/>
    <w:rsid w:val="005F3A74"/>
    <w:rsid w:val="00602392"/>
    <w:rsid w:val="00626832"/>
    <w:rsid w:val="00631A5A"/>
    <w:rsid w:val="006609D0"/>
    <w:rsid w:val="00680656"/>
    <w:rsid w:val="006B1119"/>
    <w:rsid w:val="006B2F24"/>
    <w:rsid w:val="006E3E46"/>
    <w:rsid w:val="006E71B1"/>
    <w:rsid w:val="006F49C1"/>
    <w:rsid w:val="00705D89"/>
    <w:rsid w:val="0073199E"/>
    <w:rsid w:val="00731A42"/>
    <w:rsid w:val="0075474C"/>
    <w:rsid w:val="00767E69"/>
    <w:rsid w:val="0077079A"/>
    <w:rsid w:val="007A5599"/>
    <w:rsid w:val="007C4C25"/>
    <w:rsid w:val="007D0100"/>
    <w:rsid w:val="007E0171"/>
    <w:rsid w:val="007F04A8"/>
    <w:rsid w:val="007F78F2"/>
    <w:rsid w:val="00813694"/>
    <w:rsid w:val="00816936"/>
    <w:rsid w:val="00821107"/>
    <w:rsid w:val="00821D87"/>
    <w:rsid w:val="00853DE4"/>
    <w:rsid w:val="008550EA"/>
    <w:rsid w:val="00856233"/>
    <w:rsid w:val="00860F27"/>
    <w:rsid w:val="00865ED3"/>
    <w:rsid w:val="00893477"/>
    <w:rsid w:val="008A2D9B"/>
    <w:rsid w:val="008B0560"/>
    <w:rsid w:val="008B2BFA"/>
    <w:rsid w:val="008D23C1"/>
    <w:rsid w:val="008F567A"/>
    <w:rsid w:val="00900E41"/>
    <w:rsid w:val="00902271"/>
    <w:rsid w:val="0090460E"/>
    <w:rsid w:val="00936F03"/>
    <w:rsid w:val="00943B69"/>
    <w:rsid w:val="00944CB3"/>
    <w:rsid w:val="00992BB2"/>
    <w:rsid w:val="009A4F4E"/>
    <w:rsid w:val="009B09D7"/>
    <w:rsid w:val="009D35ED"/>
    <w:rsid w:val="009E6C86"/>
    <w:rsid w:val="00A03CB6"/>
    <w:rsid w:val="00A1364C"/>
    <w:rsid w:val="00A21076"/>
    <w:rsid w:val="00A3739A"/>
    <w:rsid w:val="00A45C48"/>
    <w:rsid w:val="00A475EC"/>
    <w:rsid w:val="00A52DAF"/>
    <w:rsid w:val="00A84072"/>
    <w:rsid w:val="00A909A2"/>
    <w:rsid w:val="00AD0014"/>
    <w:rsid w:val="00AD5497"/>
    <w:rsid w:val="00AE11DC"/>
    <w:rsid w:val="00AE2B0B"/>
    <w:rsid w:val="00B02D5E"/>
    <w:rsid w:val="00B16570"/>
    <w:rsid w:val="00B53320"/>
    <w:rsid w:val="00B64D53"/>
    <w:rsid w:val="00B90A77"/>
    <w:rsid w:val="00BC6522"/>
    <w:rsid w:val="00BE4910"/>
    <w:rsid w:val="00C121D5"/>
    <w:rsid w:val="00C17349"/>
    <w:rsid w:val="00C351AA"/>
    <w:rsid w:val="00C5478E"/>
    <w:rsid w:val="00C7253F"/>
    <w:rsid w:val="00C74C3E"/>
    <w:rsid w:val="00C93FAE"/>
    <w:rsid w:val="00CA51AF"/>
    <w:rsid w:val="00CD7ACE"/>
    <w:rsid w:val="00CE2C4C"/>
    <w:rsid w:val="00CF422E"/>
    <w:rsid w:val="00D26A05"/>
    <w:rsid w:val="00D412EC"/>
    <w:rsid w:val="00D81532"/>
    <w:rsid w:val="00D845B7"/>
    <w:rsid w:val="00D90FFC"/>
    <w:rsid w:val="00D942D8"/>
    <w:rsid w:val="00D97B98"/>
    <w:rsid w:val="00DC58F5"/>
    <w:rsid w:val="00DC671F"/>
    <w:rsid w:val="00DC68EC"/>
    <w:rsid w:val="00DE4DA7"/>
    <w:rsid w:val="00E03516"/>
    <w:rsid w:val="00E321EB"/>
    <w:rsid w:val="00E33B38"/>
    <w:rsid w:val="00E47FE5"/>
    <w:rsid w:val="00E574AF"/>
    <w:rsid w:val="00E71E87"/>
    <w:rsid w:val="00E773A5"/>
    <w:rsid w:val="00ED521A"/>
    <w:rsid w:val="00F00DC4"/>
    <w:rsid w:val="00F16393"/>
    <w:rsid w:val="00F518CA"/>
    <w:rsid w:val="00F56024"/>
    <w:rsid w:val="00F65C50"/>
    <w:rsid w:val="00F714DA"/>
    <w:rsid w:val="00F90004"/>
    <w:rsid w:val="00FB456B"/>
    <w:rsid w:val="00FC6AAA"/>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C2671"/>
  <w15:docId w15:val="{516800AA-31C1-4540-8B38-36DF9DB14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rsid w:val="00893477"/>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1A4E58"/>
    <w:rPr>
      <w:color w:val="0000FF" w:themeColor="hyperlink"/>
      <w:u w:val="none"/>
    </w:rPr>
  </w:style>
  <w:style w:type="character" w:styleId="af6">
    <w:name w:val="Unresolved Mention"/>
    <w:basedOn w:val="a0"/>
    <w:uiPriority w:val="99"/>
    <w:semiHidden/>
    <w:unhideWhenUsed/>
    <w:rsid w:val="00C54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tatistikdatabasen.scb.se/sq/31157" TargetMode="External"/><Relationship Id="rId4" Type="http://schemas.openxmlformats.org/officeDocument/2006/relationships/settings" Target="settings.xml"/><Relationship Id="rId9" Type="http://schemas.openxmlformats.org/officeDocument/2006/relationships/hyperlink" Target="http://www.statistikdatabasen.scb.se/sq/3115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25</Pages>
  <Words>26351</Words>
  <Characters>29395</Characters>
  <Application>Microsoft Office Word</Application>
  <DocSecurity>0</DocSecurity>
  <Lines>1235</Lines>
  <Paragraphs>565</Paragraphs>
  <ScaleCrop>false</ScaleCrop>
  <Company>DCM</Company>
  <LinksUpToDate>false</LinksUpToDate>
  <CharactersWithSpaces>29885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HRI/CORE/SWE/2024</dc:title>
  <dc:subject>2414508</dc:subject>
  <dc:creator>Xin</dc:creator>
  <cp:keywords/>
  <dc:description/>
  <cp:lastModifiedBy>Xin Wang</cp:lastModifiedBy>
  <cp:revision>2</cp:revision>
  <cp:lastPrinted>2014-05-09T11:28:00Z</cp:lastPrinted>
  <dcterms:created xsi:type="dcterms:W3CDTF">2024-10-22T08:54:00Z</dcterms:created>
  <dcterms:modified xsi:type="dcterms:W3CDTF">2024-10-22T08:54:00Z</dcterms:modified>
</cp:coreProperties>
</file>