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rPr>
          <w:lang w:val="en-US"/>
        </w:rPr>
        <w:br/>
      </w:r>
      <w:r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477-м заседании,</w:t>
      </w:r>
    </w:p>
    <w:p w:rsidR="00000000" w:rsidRDefault="00000000">
      <w:r>
        <w:t>состоявшемся в Центральных учреждениях, Нью-Йорк, во вторник, 20 июня 2000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государствами-участниками,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Первоначальный доклад Камеруна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  <w:r>
        <w:tab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</w:t>
      </w:r>
      <w:r>
        <w:rPr>
          <w:b w:val="0"/>
          <w:i/>
        </w:rPr>
        <w:t>л</w:t>
      </w:r>
      <w:r>
        <w:rPr>
          <w:b w:val="0"/>
          <w:i/>
        </w:rPr>
        <w:t>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Первоначальный доклад Камеруна (продолжение) </w:t>
      </w:r>
      <w:r>
        <w:rPr>
          <w:i w:val="0"/>
        </w:rPr>
        <w:t>(CEDAW/C/C</w:t>
      </w:r>
      <w:r>
        <w:rPr>
          <w:i w:val="0"/>
          <w:lang w:val="en-US"/>
        </w:rPr>
        <w:t>M</w:t>
      </w:r>
      <w:r>
        <w:rPr>
          <w:i w:val="0"/>
        </w:rPr>
        <w:t>R/1)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К</w:t>
      </w:r>
      <w:r>
        <w:rPr>
          <w:i/>
        </w:rPr>
        <w:t>а</w:t>
      </w:r>
      <w:r>
        <w:rPr>
          <w:i/>
        </w:rPr>
        <w:t>меруна занимает м</w:t>
      </w:r>
      <w:r>
        <w:rPr>
          <w:i/>
        </w:rPr>
        <w:t>е</w:t>
      </w:r>
      <w:r>
        <w:rPr>
          <w:i/>
        </w:rPr>
        <w:t>сто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>, продолжая задавать вопр</w:t>
      </w:r>
      <w:r>
        <w:t>о</w:t>
      </w:r>
      <w:r>
        <w:t>сы, которые она ставила в ходе предыдущего зас</w:t>
      </w:r>
      <w:r>
        <w:t>е</w:t>
      </w:r>
      <w:r>
        <w:t>дания, отмечает, что в докладе не представлены статистические данные относительно взаимосвязи между высоким уровнем материнской смертности в стране и незаконными абортами. Касаясь вопроса об исключениях, допускаемых в отношении прим</w:t>
      </w:r>
      <w:r>
        <w:t>е</w:t>
      </w:r>
      <w:r>
        <w:t>нения весьма строгого законодательства об абортах в соответствии со статьей 339 Уголовного кодекса, она спрашивает, являются ли «имеющие на это пр</w:t>
      </w:r>
      <w:r>
        <w:t>а</w:t>
      </w:r>
      <w:r>
        <w:t>во лица», которые проводят аборты, професси</w:t>
      </w:r>
      <w:r>
        <w:t>о</w:t>
      </w:r>
      <w:r>
        <w:t>нальными врачами или же средним медицинским персоналом, и просит дать более конкретное толк</w:t>
      </w:r>
      <w:r>
        <w:t>о</w:t>
      </w:r>
      <w:r>
        <w:t>вание формулировки «необходимость спасти жизнь матери». Кроме того, она была бы признательна за предоставление дополнительной информации об абортах, совершенных в случаях беременности в результате изнасилования, после того, как госуда</w:t>
      </w:r>
      <w:r>
        <w:t>р</w:t>
      </w:r>
      <w:r>
        <w:t>ственный обвинитель подтвердил существенность фа</w:t>
      </w:r>
      <w:r>
        <w:t>к</w:t>
      </w:r>
      <w:r>
        <w:t>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 Уэдраого</w:t>
      </w:r>
      <w:r>
        <w:t xml:space="preserve"> искренне благодарит делег</w:t>
      </w:r>
      <w:r>
        <w:t>а</w:t>
      </w:r>
      <w:r>
        <w:t>цию за включение в таблицу 16 данных о процен</w:t>
      </w:r>
      <w:r>
        <w:t>т</w:t>
      </w:r>
      <w:r>
        <w:t>ной доле сельских хозяйств, возглавляемых мужч</w:t>
      </w:r>
      <w:r>
        <w:t>и</w:t>
      </w:r>
      <w:r>
        <w:t>нами и женщинами, в таблицу 17 — данных, хара</w:t>
      </w:r>
      <w:r>
        <w:t>к</w:t>
      </w:r>
      <w:r>
        <w:t>теризующих строительство жилья в сельских ра</w:t>
      </w:r>
      <w:r>
        <w:t>й</w:t>
      </w:r>
      <w:r>
        <w:t>онах, и в таблицу 18 — методов снабжения пить</w:t>
      </w:r>
      <w:r>
        <w:t>е</w:t>
      </w:r>
      <w:r>
        <w:t>вой водой жилых районов в сельской местности, а именно такого рода данные необходимы Комитету для того, чтобы он мог выработать рекомендации. Отмечая широкое использование «маригот» (резе</w:t>
      </w:r>
      <w:r>
        <w:t>р</w:t>
      </w:r>
      <w:r>
        <w:t>вы непроточных вод) для использования в качестве питьевой воды (таблица 18), она особо подчеркив</w:t>
      </w:r>
      <w:r>
        <w:t>а</w:t>
      </w:r>
      <w:r>
        <w:t>ет необходимость обеспечения надлежащего сна</w:t>
      </w:r>
      <w:r>
        <w:t>б</w:t>
      </w:r>
      <w:r>
        <w:t>жения питьевой водой и водой для бытовых нужд в сельских районах. Она была бы признательна за предоставление более подробной информации о доступе женщин к кредитам и о планах государства по оказанию им помощи. Она хотела бы знать, б</w:t>
      </w:r>
      <w:r>
        <w:t>у</w:t>
      </w:r>
      <w:r>
        <w:t>дут ли общественные кухни неформальным мех</w:t>
      </w:r>
      <w:r>
        <w:t>а</w:t>
      </w:r>
      <w:r>
        <w:t>низмом накопления средств для женщин. Было бы полезно получить больше информации об охране здоровья сельских женщин, особенно это касается усилий, направленных на сокращение уровня мат</w:t>
      </w:r>
      <w:r>
        <w:t>е</w:t>
      </w:r>
      <w:r>
        <w:t>ринской смертности. В частности, г</w:t>
      </w:r>
      <w:r>
        <w:t>о</w:t>
      </w:r>
      <w:r>
        <w:t>сударство-участник должно дать определенное представление о пропорции деторождений без оказания акуше</w:t>
      </w:r>
      <w:r>
        <w:t>р</w:t>
      </w:r>
      <w:r>
        <w:t>ской помощи в сельских районах и о мерах по ус</w:t>
      </w:r>
      <w:r>
        <w:t>т</w:t>
      </w:r>
      <w:r>
        <w:t>ранению такого положения, таких, как программа Фонда Организации Объединенных Наций для де</w:t>
      </w:r>
      <w:r>
        <w:t>я</w:t>
      </w:r>
      <w:r>
        <w:t>тельности в области народонаселения, путем пр</w:t>
      </w:r>
      <w:r>
        <w:t>е</w:t>
      </w:r>
      <w:r>
        <w:t>доставления услуг традиционных акушерок, осн</w:t>
      </w:r>
      <w:r>
        <w:t>а</w:t>
      </w:r>
      <w:r>
        <w:t>щенных современным оборудованием, и их обуч</w:t>
      </w:r>
      <w:r>
        <w:t>е</w:t>
      </w:r>
      <w:r>
        <w:t>ния современной метод</w:t>
      </w:r>
      <w:r>
        <w:t>и</w:t>
      </w:r>
      <w:r>
        <w:t>ке.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заявляет о своей искренней по</w:t>
      </w:r>
      <w:r>
        <w:t>д</w:t>
      </w:r>
      <w:r>
        <w:t>держке замечаний г</w:t>
      </w:r>
      <w:r>
        <w:noBreakHyphen/>
        <w:t>жи Уэдраого. Она особо озаб</w:t>
      </w:r>
      <w:r>
        <w:t>о</w:t>
      </w:r>
      <w:r>
        <w:t>чена в связи с недостаточным распространением системы социального обеспечения в сельских ра</w:t>
      </w:r>
      <w:r>
        <w:t>й</w:t>
      </w:r>
      <w:r>
        <w:t>онах, уровнем отсева учащихся из школ среди сел</w:t>
      </w:r>
      <w:r>
        <w:t>ь</w:t>
      </w:r>
      <w:r>
        <w:t>ских девочек и проблемами, касающимися доступа к питьевой воде и физической нагрузки для же</w:t>
      </w:r>
      <w:r>
        <w:t>н</w:t>
      </w:r>
      <w:r>
        <w:t>щин, которым приходится ее носить. В этой связи она хотела бы знать, рассматривал ли Камерун во</w:t>
      </w:r>
      <w:r>
        <w:t>з</w:t>
      </w:r>
      <w:r>
        <w:t>можности для оказания помощи со стороны непр</w:t>
      </w:r>
      <w:r>
        <w:t>а</w:t>
      </w:r>
      <w:r>
        <w:t>вительственных организаций европейских и других развитых стран, которые имеют специальный опыт и знания в деле обеспечения женщин питьевой в</w:t>
      </w:r>
      <w:r>
        <w:t>о</w:t>
      </w:r>
      <w:r>
        <w:t>дой.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 Мьякаяка-Манзини</w:t>
      </w:r>
      <w:r>
        <w:t xml:space="preserve"> выражает озаб</w:t>
      </w:r>
      <w:r>
        <w:t>о</w:t>
      </w:r>
      <w:r>
        <w:t>ченность по поводу существования как статутного, так и обычного права в Камеруне, особенно в связи с тем, что обе эти системы имеют практически ра</w:t>
      </w:r>
      <w:r>
        <w:t>в</w:t>
      </w:r>
      <w:r>
        <w:t>ную значимость в таких вопросах, как брак, отн</w:t>
      </w:r>
      <w:r>
        <w:t>о</w:t>
      </w:r>
      <w:r>
        <w:t>шения родства и наследование. К сожалению, же</w:t>
      </w:r>
      <w:r>
        <w:t>н</w:t>
      </w:r>
      <w:r>
        <w:t>щины зачастую не знакомы с законодательством и не знают, на какую систему следует опираться. Она хотела бы знать, рассматривались ли вопросы отн</w:t>
      </w:r>
      <w:r>
        <w:t>о</w:t>
      </w:r>
      <w:r>
        <w:t>сительно согласования этих двух систем с точки зрения устранения негативных и дискриминацио</w:t>
      </w:r>
      <w:r>
        <w:t>н</w:t>
      </w:r>
      <w:r>
        <w:t>ных положений, таких, как проведение семейных советов, которые можно использовать для аннул</w:t>
      </w:r>
      <w:r>
        <w:t>и</w:t>
      </w:r>
      <w:r>
        <w:t>рования права вдовы на наследование имущества ее супруга согласно статье 77 Гражданского кодекса. В целом, она хотела бы получить более подробную информацию о проведении семейных советов, н</w:t>
      </w:r>
      <w:r>
        <w:t>а</w:t>
      </w:r>
      <w:r>
        <w:t>пример, о том, кто готовит документ о результатах их проведения, и когда и в какой степени муж и ж</w:t>
      </w:r>
      <w:r>
        <w:t>е</w:t>
      </w:r>
      <w:r>
        <w:t>на участвуют в этом процессе. И наконец, она гов</w:t>
      </w:r>
      <w:r>
        <w:t>о</w:t>
      </w:r>
      <w:r>
        <w:t>рит, что минимальный возраст вступления в брак для девочек (15 лет) весьма вероятно является о</w:t>
      </w:r>
      <w:r>
        <w:t>д</w:t>
      </w:r>
      <w:r>
        <w:t>ним из факторов, которым руководствуются родит</w:t>
      </w:r>
      <w:r>
        <w:t>е</w:t>
      </w:r>
      <w:r>
        <w:t>ли при принятии решения не записывать девочек в школы, и она настоятельно призывает государство-участника рассмотреть этот в</w:t>
      </w:r>
      <w:r>
        <w:t>о</w:t>
      </w:r>
      <w:r>
        <w:t>прос.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особо отмечает необход</w:t>
      </w:r>
      <w:r>
        <w:t>и</w:t>
      </w:r>
      <w:r>
        <w:t>мость установления временных рамок для реформы Семейного кодекса и, кроме того, указывает, что о</w:t>
      </w:r>
      <w:r>
        <w:t>г</w:t>
      </w:r>
      <w:r>
        <w:t>раничения, связанные с возможностями женщин в деле заключения договоров и правом на управление собственностью, можно легко устранить путем вн</w:t>
      </w:r>
      <w:r>
        <w:t>е</w:t>
      </w:r>
      <w:r>
        <w:t>сения изменений в Гражданский кодекс и в Комме</w:t>
      </w:r>
      <w:r>
        <w:t>р</w:t>
      </w:r>
      <w:r>
        <w:t>ческий кодекс. Она н</w:t>
      </w:r>
      <w:r>
        <w:t>а</w:t>
      </w:r>
      <w:r>
        <w:t>деется, что государство-участник предпримет такие действия.</w:t>
      </w:r>
    </w:p>
    <w:p w:rsidR="00000000" w:rsidRDefault="00000000">
      <w:pPr>
        <w:pStyle w:val="DualTxt"/>
      </w:pPr>
      <w:r>
        <w:t>7.</w:t>
      </w:r>
      <w:r>
        <w:tab/>
        <w:t>Она хотела бы знать, вытекает ли непризнание совместного проживания и концепции незаконных детей из обычного права государства-участника или его статутного права, которое является следствием французского колониализма, и спрашивает, сущес</w:t>
      </w:r>
      <w:r>
        <w:t>т</w:t>
      </w:r>
      <w:r>
        <w:t>вует ли какая-либо принудительная система регис</w:t>
      </w:r>
      <w:r>
        <w:t>т</w:t>
      </w:r>
      <w:r>
        <w:t>рации, предназначенная для проведения различий между браком и совместным пр</w:t>
      </w:r>
      <w:r>
        <w:t>о</w:t>
      </w:r>
      <w:r>
        <w:t>живанием.</w:t>
      </w:r>
    </w:p>
    <w:p w:rsidR="00000000" w:rsidRDefault="00000000">
      <w:pPr>
        <w:pStyle w:val="DualTxt"/>
      </w:pPr>
      <w:r>
        <w:t>8.</w:t>
      </w:r>
      <w:r>
        <w:tab/>
        <w:t>И наконец, она выражает озабоченность по поводу устаревшего и нереального положения ст</w:t>
      </w:r>
      <w:r>
        <w:t>а</w:t>
      </w:r>
      <w:r>
        <w:t>тьи 77 Гражданского кодекса, согласно которой вд</w:t>
      </w:r>
      <w:r>
        <w:t>о</w:t>
      </w:r>
      <w:r>
        <w:t>ва не может повторно выйти замуж, пока не истечет 180 дней после смерти ее мужа, и отмечает, что это фактически укрепляет традиционную практику л</w:t>
      </w:r>
      <w:r>
        <w:t>е</w:t>
      </w:r>
      <w:r>
        <w:t>вирата.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Картрайт </w:t>
      </w:r>
      <w:r>
        <w:t>согласна с предыдущими ор</w:t>
      </w:r>
      <w:r>
        <w:t>а</w:t>
      </w:r>
      <w:r>
        <w:t>торами в том, что простые и добавочные изменения в семейном кодексе могут быть сделаны до заве</w:t>
      </w:r>
      <w:r>
        <w:t>р</w:t>
      </w:r>
      <w:r>
        <w:t>шения работы над новым Семейным кодексом. Пр</w:t>
      </w:r>
      <w:r>
        <w:t>а</w:t>
      </w:r>
      <w:r>
        <w:t>вительство должно следить за тем, чтобы в новый Семейный кодекс были включены только те аспекты обычного права, которые отвечают интересам же</w:t>
      </w:r>
      <w:r>
        <w:t>н</w:t>
      </w:r>
      <w:r>
        <w:t>щин. В соответствии с новым Семейным кодексом, полигамия должна быть запрещена и для ее прес</w:t>
      </w:r>
      <w:r>
        <w:t>е</w:t>
      </w:r>
      <w:r>
        <w:t>чения должны быть введены строгие сан</w:t>
      </w:r>
      <w:r>
        <w:t>к</w:t>
      </w:r>
      <w:r>
        <w:t>ции.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Ауидж </w:t>
      </w:r>
      <w:r>
        <w:t xml:space="preserve"> отмечает, что законы, предпол</w:t>
      </w:r>
      <w:r>
        <w:t>а</w:t>
      </w:r>
      <w:r>
        <w:t>гающие дискриминацию в отношении женщин, продолжают существовать, и призывает к конкре</w:t>
      </w:r>
      <w:r>
        <w:t>т</w:t>
      </w:r>
      <w:r>
        <w:t>ным действиям для исправления такого положения. Она хотела бы знать, может ли государство-участник предоставить статистические данные о</w:t>
      </w:r>
      <w:r>
        <w:t>т</w:t>
      </w:r>
      <w:r>
        <w:t>носительно того, как часто мужчины прибегают к праву не разрешать своим женам поступать на р</w:t>
      </w:r>
      <w:r>
        <w:t>а</w:t>
      </w:r>
      <w:r>
        <w:t>боту. Необходимо ликвидировать дискриминацию в отношении женщин, связанную с управлением имуществом и выбором места проживания в браке, а также продолжающуюся практику полигамии и обрезания у женщин; действительно, многие другие африканские страны уже добились значительного прогресса в этой связи. Власти не должны иметь полномочий для выбора положений обычного или статутного права в плане их применения в завис</w:t>
      </w:r>
      <w:r>
        <w:t>и</w:t>
      </w:r>
      <w:r>
        <w:t>мости от обстоятельств. Необходимо приложить все усилия для того, чтобы сохранить и включить тол</w:t>
      </w:r>
      <w:r>
        <w:t>ь</w:t>
      </w:r>
      <w:r>
        <w:t>ко самые позитивные аспекты обычного права при составлении нового Семейного кодекса. Она отм</w:t>
      </w:r>
      <w:r>
        <w:t>е</w:t>
      </w:r>
      <w:r>
        <w:t>чает, что, хотя Камерун безоговорочно ратифицир</w:t>
      </w:r>
      <w:r>
        <w:t>о</w:t>
      </w:r>
      <w:r>
        <w:t>вал Конвенцию в 1994 году, он пока еще не отменил ни одного дискриминационного закона и не внес поправок ни в один из таких законов. Она насто</w:t>
      </w:r>
      <w:r>
        <w:t>я</w:t>
      </w:r>
      <w:r>
        <w:t>тельно призывает правительство проявить добрую волю и отмечает, что министерство по делам же</w:t>
      </w:r>
      <w:r>
        <w:t>н</w:t>
      </w:r>
      <w:r>
        <w:t>щин могло бы начать работу по составлению списка законов, которые должны быть отменены или в к</w:t>
      </w:r>
      <w:r>
        <w:t>о</w:t>
      </w:r>
      <w:r>
        <w:t>торые должны быть вн</w:t>
      </w:r>
      <w:r>
        <w:t>е</w:t>
      </w:r>
      <w:r>
        <w:t>сены поправки.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говорит, что необходимо предст</w:t>
      </w:r>
      <w:r>
        <w:t>а</w:t>
      </w:r>
      <w:r>
        <w:t>вить дополнительные статистические данные, к</w:t>
      </w:r>
      <w:r>
        <w:t>а</w:t>
      </w:r>
      <w:r>
        <w:t>сающиеся вопросов, предусмотренных статьей 16 Конвенции. Например, было представлено мало к</w:t>
      </w:r>
      <w:r>
        <w:t>о</w:t>
      </w:r>
      <w:r>
        <w:t>личественных данных о процентной доле полига</w:t>
      </w:r>
      <w:r>
        <w:t>м</w:t>
      </w:r>
      <w:r>
        <w:t>ных браков. Кроме того, она была бы признательна за предоставление статистических данных относ</w:t>
      </w:r>
      <w:r>
        <w:t>и</w:t>
      </w:r>
      <w:r>
        <w:t>тельно существования двух видов приданого. В н</w:t>
      </w:r>
      <w:r>
        <w:t>е</w:t>
      </w:r>
      <w:r>
        <w:t>которых странах есть система, при которой жених уплачивает определенную сумму семье своей буд</w:t>
      </w:r>
      <w:r>
        <w:t>у</w:t>
      </w:r>
      <w:r>
        <w:t>щей невесты, известную под названием «выкуп за невесту», и она хотела бы знать, насколько распр</w:t>
      </w:r>
      <w:r>
        <w:t>о</w:t>
      </w:r>
      <w:r>
        <w:t>странена эта система в Камеруне и существуют ли у правительства какие-либо планы для рассмотрения негативных последствий обоих видов обычаев, св</w:t>
      </w:r>
      <w:r>
        <w:t>я</w:t>
      </w:r>
      <w:r>
        <w:t>занных с прид</w:t>
      </w:r>
      <w:r>
        <w:t>а</w:t>
      </w:r>
      <w:r>
        <w:t>ным.</w:t>
      </w:r>
    </w:p>
    <w:p w:rsidR="00000000" w:rsidRDefault="00000000">
      <w:pPr>
        <w:pStyle w:val="DualTxt"/>
      </w:pPr>
      <w:r>
        <w:t>12.</w:t>
      </w:r>
      <w:r>
        <w:tab/>
        <w:t>В последнем пункте на странице 96 англи</w:t>
      </w:r>
      <w:r>
        <w:t>й</w:t>
      </w:r>
      <w:r>
        <w:t>ского текста доклада отмечается, что женщина «считается наследуемым имуществом». Следует представить более подробную информацию об этом нарушении прав человека женщин, о том, в какой степени применяется эта практика и планирует ли правительство внести поправки в законодательство в связи с такими вопрос</w:t>
      </w:r>
      <w:r>
        <w:t>а</w:t>
      </w:r>
      <w:r>
        <w:t>ми.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Председатель</w:t>
      </w:r>
      <w:r>
        <w:t xml:space="preserve"> напоминает, что на заседании, запланированном на утро 26 июня 2000 года, дел</w:t>
      </w:r>
      <w:r>
        <w:t>е</w:t>
      </w:r>
      <w:r>
        <w:t>гация Камеруна получит возможность ответить на вопросы и замечания членов Комитета.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Нго Сом</w:t>
      </w:r>
      <w:r>
        <w:t xml:space="preserve"> (Камерун) говорит, что в до</w:t>
      </w:r>
      <w:r>
        <w:t>к</w:t>
      </w:r>
      <w:r>
        <w:t>ладе действительно содержится мало статистич</w:t>
      </w:r>
      <w:r>
        <w:t>е</w:t>
      </w:r>
      <w:r>
        <w:t>ских данных, однако, прежде всего этот доклад я</w:t>
      </w:r>
      <w:r>
        <w:t>в</w:t>
      </w:r>
      <w:r>
        <w:t>ляется всего лишь первоначальным. Ее правител</w:t>
      </w:r>
      <w:r>
        <w:t>ь</w:t>
      </w:r>
      <w:r>
        <w:t>ство планирует организовать сбор данных с разби</w:t>
      </w:r>
      <w:r>
        <w:t>в</w:t>
      </w:r>
      <w:r>
        <w:t>кой по признаку пола во всех областях жизни стр</w:t>
      </w:r>
      <w:r>
        <w:t>а</w:t>
      </w:r>
      <w:r>
        <w:t>ны и уже утвердило трехгодичный план действий в интересах женщин; таким образом, оно вскоре см</w:t>
      </w:r>
      <w:r>
        <w:t>о</w:t>
      </w:r>
      <w:r>
        <w:t>жет представить ответы на многие замечания чл</w:t>
      </w:r>
      <w:r>
        <w:t>е</w:t>
      </w:r>
      <w:r>
        <w:t>нов Комитета.</w:t>
      </w:r>
    </w:p>
    <w:p w:rsidR="00000000" w:rsidRDefault="00000000">
      <w:pPr>
        <w:pStyle w:val="DualTxt"/>
      </w:pPr>
      <w:r>
        <w:t>15.</w:t>
      </w:r>
      <w:r>
        <w:tab/>
        <w:t>Камерун прилагает усилия к тому, чтобы р</w:t>
      </w:r>
      <w:r>
        <w:t>е</w:t>
      </w:r>
      <w:r>
        <w:t>шить целый ряд проблем в области прав женщин и развития. Одной из таких проблем является вопрос о людских ресурсах, например, те лица, которые н</w:t>
      </w:r>
      <w:r>
        <w:t>е</w:t>
      </w:r>
      <w:r>
        <w:t>сут ответственность за осуществление программ по охране здоровья женщин, зачастую не обладают н</w:t>
      </w:r>
      <w:r>
        <w:t>е</w:t>
      </w:r>
      <w:r>
        <w:t>обходимыми техническими знаниями. Другая пр</w:t>
      </w:r>
      <w:r>
        <w:t>о</w:t>
      </w:r>
      <w:r>
        <w:t>блема, затрагивающая социально-экономическое положение женщин, касается финансовых ресурсов: хотя Камерун обладает значительными природными ресурсами, у него не хватает финансовых средств, необходимых для разработки этих ресурсов. К чи</w:t>
      </w:r>
      <w:r>
        <w:t>с</w:t>
      </w:r>
      <w:r>
        <w:t>лу других важных проблем относятся образование, водные ресурсы, энергетика, транспорт и система учреждений по уходу за детьми, обеспечивающая условия для работы матерей. Чрезвычайно важно понять социальное, этническое, культурное и эк</w:t>
      </w:r>
      <w:r>
        <w:t>о</w:t>
      </w:r>
      <w:r>
        <w:t>номическое многообразие Камеруна, с тем чтобы успешно обеспечивать устойчивое развитие и с</w:t>
      </w:r>
      <w:r>
        <w:t>о</w:t>
      </w:r>
      <w:r>
        <w:t>действовать улучшению положения женщин. Ее правительство прилагает усилия для сбора необх</w:t>
      </w:r>
      <w:r>
        <w:t>о</w:t>
      </w:r>
      <w:r>
        <w:t>димой информации, повышения информированн</w:t>
      </w:r>
      <w:r>
        <w:t>о</w:t>
      </w:r>
      <w:r>
        <w:t>сти населения и налаживания диалога с традицио</w:t>
      </w:r>
      <w:r>
        <w:t>н</w:t>
      </w:r>
      <w:r>
        <w:t>ными лидерами, без сотрудничества с которыми осуществить какие-либо новые меры представляе</w:t>
      </w:r>
      <w:r>
        <w:t>т</w:t>
      </w:r>
      <w:r>
        <w:t>ся маловероя</w:t>
      </w:r>
      <w:r>
        <w:t>т</w:t>
      </w:r>
      <w:r>
        <w:t>ным.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i/>
        </w:rPr>
        <w:t>Делегация К</w:t>
      </w:r>
      <w:r>
        <w:rPr>
          <w:i/>
        </w:rPr>
        <w:t>а</w:t>
      </w:r>
      <w:r>
        <w:rPr>
          <w:i/>
        </w:rPr>
        <w:t>меруна покидает зал заседаний.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</w:pPr>
      <w:r>
        <w:tab/>
        <w:t>Заседание закрывается в 16 ч. 15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NO&gt;&gt;N0049011R&lt;&lt;ODS JOB NO&gt;&gt;</w:t>
      </w:r>
    </w:p>
    <w:p w:rsidR="00000000" w:rsidRDefault="00000000">
      <w:pPr>
        <w:pStyle w:val="CommentText"/>
      </w:pPr>
      <w:r>
        <w:t>&lt;&lt;ODS DOC SYMBOL1&gt;&gt;CEDAW/C/SR.477&lt;&lt;ODS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  <w:p w:rsidR="00000000" w:rsidRDefault="00000000">
      <w:pPr>
        <w:pStyle w:val="CommentText"/>
      </w:pP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к настоящему отчету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00-49011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*0049011*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8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/C/SR.477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/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10 O</w:t>
          </w:r>
          <w:r>
            <w:t>ctober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10/2001 2:17: PM"/>
    <w:docVar w:name="DocCategory" w:val="SROthers"/>
    <w:docVar w:name="DocType" w:val="Final"/>
    <w:docVar w:name="JobNo" w:val="0049011R"/>
    <w:docVar w:name="OandT" w:val="Botcharova"/>
    <w:docVar w:name="Symbol1" w:val="CEDAW/C/SR.47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1571</Words>
  <Characters>8956</Characters>
  <Application>Microsoft Office Word</Application>
  <DocSecurity>4</DocSecurity>
  <Lines>74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10998</CharactersWithSpaces>
  <SharedDoc>false</SharedDoc>
  <HLinks>
    <vt:vector size="6" baseType="variant">
      <vt:variant>
        <vt:i4>4522087</vt:i4>
      </vt:variant>
      <vt:variant>
        <vt:i4>22982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2</cp:revision>
  <cp:lastPrinted>2001-10-09T09:58:00Z</cp:lastPrinted>
  <dcterms:created xsi:type="dcterms:W3CDTF">2001-10-10T08:38:00Z</dcterms:created>
  <dcterms:modified xsi:type="dcterms:W3CDTF">2001-10-10T08:38:00Z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or">
    <vt:lpwstr/>
  </property>
  <property fmtid="{D5CDD505-2E9C-101B-9397-08002B2CF9AE}" pid="3" name="JobNo">
    <vt:lpwstr>0049011R</vt:lpwstr>
  </property>
  <property fmtid="{D5CDD505-2E9C-101B-9397-08002B2CF9AE}" pid="4" name="Symbol1">
    <vt:lpwstr>CEDAW/C/SR.477</vt:lpwstr>
  </property>
  <property fmtid="{D5CDD505-2E9C-101B-9397-08002B2CF9AE}" pid="5" name="Symbol2">
    <vt:lpwstr>-</vt:lpwstr>
  </property>
  <property fmtid="{D5CDD505-2E9C-101B-9397-08002B2CF9AE}" pid="6" name="Comment">
    <vt:lpwstr/>
  </property>
  <property fmtid="{D5CDD505-2E9C-101B-9397-08002B2CF9AE}" pid="7" name="DraftPages">
    <vt:lpwstr>4 </vt:lpwstr>
  </property>
  <property fmtid="{D5CDD505-2E9C-101B-9397-08002B2CF9AE}" pid="8" name="Operator">
    <vt:lpwstr>Feoktistova</vt:lpwstr>
  </property>
</Properties>
</file>