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000000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/>
              <w:jc w:val="right"/>
              <w:rPr>
                <w:lang w:val="en-US"/>
              </w:rPr>
            </w:pPr>
            <w:proofErr w:type="spellStart"/>
            <w:r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>
              <w:t>C</w:t>
            </w:r>
            <w:proofErr w:type="spellEnd"/>
            <w:r>
              <w:t>/</w:t>
            </w:r>
            <w:proofErr w:type="spellStart"/>
            <w:r>
              <w:t>NOR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/6</w:t>
            </w:r>
            <w:r>
              <w:fldChar w:fldCharType="end"/>
            </w:r>
          </w:p>
        </w:tc>
      </w:tr>
      <w:tr w:rsidR="00000000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18 November 2011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r>
              <w:rPr>
                <w:lang w:val="en-US"/>
              </w:rPr>
              <w:t>Russian</w:t>
            </w:r>
          </w:p>
          <w:p w:rsidR="00000000" w:rsidRDefault="0000000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человека</w:t>
      </w:r>
    </w:p>
    <w:p w:rsidR="00000000" w:rsidRDefault="00000000">
      <w:r>
        <w:rPr>
          <w:b/>
        </w:rPr>
        <w:t>Сто третья сессия</w:t>
      </w:r>
    </w:p>
    <w:p w:rsidR="00000000" w:rsidRDefault="00000000">
      <w:r>
        <w:t>17 октября − 4 ноября 2011 года</w:t>
      </w:r>
    </w:p>
    <w:p w:rsidR="00000000" w:rsidRDefault="00000000">
      <w:pPr>
        <w:pStyle w:val="HChGR"/>
      </w:pPr>
      <w:r>
        <w:tab/>
      </w:r>
      <w:r>
        <w:tab/>
        <w:t>Рассмотрение докладов, представленных государствами-участниками в соответствии со</w:t>
      </w:r>
      <w:r>
        <w:rPr>
          <w:lang w:val="en-US"/>
        </w:rPr>
        <w:t> </w:t>
      </w:r>
      <w:r>
        <w:t>статьей 40 Пакта</w:t>
      </w:r>
    </w:p>
    <w:p w:rsidR="00000000" w:rsidRDefault="00000000">
      <w:pPr>
        <w:pStyle w:val="H1GR"/>
      </w:pPr>
      <w:r>
        <w:tab/>
      </w:r>
      <w:r>
        <w:tab/>
        <w:t>Заключительные замечания Комитета по правам человека</w:t>
      </w:r>
    </w:p>
    <w:p w:rsidR="00000000" w:rsidRDefault="00000000">
      <w:pPr>
        <w:pStyle w:val="HChGR"/>
      </w:pPr>
      <w:r>
        <w:tab/>
      </w:r>
      <w:r>
        <w:tab/>
        <w:t>Норвегия</w:t>
      </w:r>
    </w:p>
    <w:p w:rsidR="00000000" w:rsidRDefault="00000000">
      <w:pPr>
        <w:pStyle w:val="SingleTxtGR"/>
      </w:pPr>
      <w:r>
        <w:t>1.</w:t>
      </w:r>
      <w:r>
        <w:tab/>
        <w:t>Комитет рассмотрел шестой периодический доклад, представленный Норвегией, (CCPR/C/</w:t>
      </w:r>
      <w:r>
        <w:rPr>
          <w:lang w:val="en-US"/>
        </w:rPr>
        <w:t>NOR</w:t>
      </w:r>
      <w:r>
        <w:t xml:space="preserve">/6) на своих на 2844-м и 2845-м заседаниях (CCPR/C/SR.2844 и </w:t>
      </w:r>
      <w:proofErr w:type="spellStart"/>
      <w:r>
        <w:t>CCPR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SR.2845</w:t>
      </w:r>
      <w:proofErr w:type="spellEnd"/>
      <w:r>
        <w:t>), состоявшихся 24 и 25 октября 2011 года. На своем 2858-м заседании (CCPR/C/SR.2858), состоявшемся 2 ноября 2011 г</w:t>
      </w:r>
      <w:r>
        <w:t>о</w:t>
      </w:r>
      <w:r>
        <w:t>да, он принял следующие закл</w:t>
      </w:r>
      <w:r>
        <w:t>ю</w:t>
      </w:r>
      <w:r>
        <w:t>чительные замечания.</w:t>
      </w:r>
    </w:p>
    <w:p w:rsidR="00000000" w:rsidRDefault="00000000">
      <w:pPr>
        <w:pStyle w:val="H1GR"/>
      </w:pPr>
      <w:r>
        <w:tab/>
      </w:r>
      <w:r>
        <w:rPr>
          <w:lang w:val="en-US"/>
        </w:rPr>
        <w:t>A</w:t>
      </w:r>
      <w:r>
        <w:t>.</w:t>
      </w:r>
      <w:r>
        <w:tab/>
        <w:t>Введение</w:t>
      </w:r>
    </w:p>
    <w:p w:rsidR="00000000" w:rsidRDefault="00000000">
      <w:pPr>
        <w:pStyle w:val="SingleTxtGR"/>
      </w:pPr>
      <w:r>
        <w:t>2.</w:t>
      </w:r>
      <w:r>
        <w:tab/>
        <w:t>Комитет приветствует своевременное представление шестого периодич</w:t>
      </w:r>
      <w:r>
        <w:t>е</w:t>
      </w:r>
      <w:r>
        <w:t>ского доклада Норвегии. Комитет также выражает свою признательность за представление информации, содержащейся в докладе, и за возможность возо</w:t>
      </w:r>
      <w:r>
        <w:t>б</w:t>
      </w:r>
      <w:r>
        <w:t>новить конструктивный диалог с государством-участником. Комитет также в</w:t>
      </w:r>
      <w:r>
        <w:t>ы</w:t>
      </w:r>
      <w:r>
        <w:t>ражает признательность государству-участнику за его письменные ответы (</w:t>
      </w:r>
      <w:r>
        <w:rPr>
          <w:lang w:val="en-GB"/>
        </w:rPr>
        <w:t>CCPR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NOR</w:t>
      </w:r>
      <w:r>
        <w:t>/</w:t>
      </w:r>
      <w:r>
        <w:rPr>
          <w:lang w:val="en-GB"/>
        </w:rPr>
        <w:t>Q</w:t>
      </w:r>
      <w:r>
        <w:t>/6/</w:t>
      </w:r>
      <w:r>
        <w:rPr>
          <w:lang w:val="en-GB"/>
        </w:rPr>
        <w:t>Add</w:t>
      </w:r>
      <w:r>
        <w:t>.1) на перечень вопросов, которые были дополнены ус</w:t>
      </w:r>
      <w:r>
        <w:t>т</w:t>
      </w:r>
      <w:r>
        <w:t>ными пояснениями со стороны делегации, и за дополнительную информацию, представленную ему в письменном виде. Комитет также благодарит государс</w:t>
      </w:r>
      <w:r>
        <w:t>т</w:t>
      </w:r>
      <w:r>
        <w:t>во-участник за постоянное обновление его базового д</w:t>
      </w:r>
      <w:r>
        <w:t>о</w:t>
      </w:r>
      <w:r>
        <w:t>кумента. (</w:t>
      </w:r>
      <w:r>
        <w:rPr>
          <w:lang w:val="en-GB"/>
        </w:rPr>
        <w:t>HRI</w:t>
      </w:r>
      <w:r>
        <w:t>/</w:t>
      </w:r>
      <w:r>
        <w:rPr>
          <w:lang w:val="en-GB"/>
        </w:rPr>
        <w:t>CORE</w:t>
      </w:r>
      <w:r>
        <w:t>/</w:t>
      </w:r>
      <w:r>
        <w:rPr>
          <w:lang w:val="en-GB"/>
        </w:rPr>
        <w:t>NOR</w:t>
      </w:r>
      <w:r>
        <w:t>/2009).</w:t>
      </w:r>
    </w:p>
    <w:p w:rsidR="00000000" w:rsidRDefault="00000000">
      <w:pPr>
        <w:pStyle w:val="H1GR"/>
      </w:pPr>
      <w:r>
        <w:tab/>
        <w:t>В.</w:t>
      </w:r>
      <w:r>
        <w:tab/>
        <w:t>Позитивные аспекты</w:t>
      </w:r>
    </w:p>
    <w:p w:rsidR="00000000" w:rsidRDefault="00000000">
      <w:pPr>
        <w:pStyle w:val="SingleTxtGR"/>
      </w:pPr>
      <w:r>
        <w:t>3.</w:t>
      </w:r>
      <w:r>
        <w:tab/>
        <w:t>Комитет приветствует следующие законодательные и институциональные меры, принятые гос</w:t>
      </w:r>
      <w:r>
        <w:t>у</w:t>
      </w:r>
      <w:r>
        <w:t>дарством-участником:</w:t>
      </w:r>
    </w:p>
    <w:p w:rsidR="00000000" w:rsidRDefault="00000000">
      <w:pPr>
        <w:pStyle w:val="SingleTxtGR"/>
      </w:pPr>
      <w:r>
        <w:tab/>
        <w:t>а)</w:t>
      </w:r>
      <w:r>
        <w:tab/>
        <w:t>принятие в 2010 году поправок к Закону о детях с целью запрещ</w:t>
      </w:r>
      <w:r>
        <w:t>е</w:t>
      </w:r>
      <w:r>
        <w:t>ния легких форм телесных наказаний;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введение в действие Закона о владении средствами массовой и</w:t>
      </w:r>
      <w:r>
        <w:t>н</w:t>
      </w:r>
      <w:r>
        <w:t>формации в 2004 году;</w:t>
      </w:r>
    </w:p>
    <w:p w:rsidR="00000000" w:rsidRDefault="00000000">
      <w:pPr>
        <w:pStyle w:val="SingleTxtGR"/>
      </w:pPr>
      <w:r>
        <w:tab/>
        <w:t>с)</w:t>
      </w:r>
      <w:r>
        <w:tab/>
        <w:t>введение в действие Закона № 41 2008 года о редакционной своб</w:t>
      </w:r>
      <w:r>
        <w:t>о</w:t>
      </w:r>
      <w:r>
        <w:t>де в средствах массовой информации;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принятие Плана действий по обеспечению равенства и предотвр</w:t>
      </w:r>
      <w:r>
        <w:t>а</w:t>
      </w:r>
      <w:r>
        <w:t>щению этнической ди</w:t>
      </w:r>
      <w:r>
        <w:t>с</w:t>
      </w:r>
      <w:r>
        <w:t>криминации на 2009−2012 годы;</w:t>
      </w:r>
    </w:p>
    <w:p w:rsidR="00000000" w:rsidRDefault="00000000">
      <w:pPr>
        <w:pStyle w:val="SingleTxtGR"/>
      </w:pPr>
      <w:r>
        <w:tab/>
        <w:t>е)</w:t>
      </w:r>
      <w:r>
        <w:tab/>
        <w:t xml:space="preserve">План действий по борьбе с калечащими операциями на женских половых органах на 2008−2011 годы; и 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План действий по борьбе с принудительными браками на 2008−2011 годы.</w:t>
      </w:r>
    </w:p>
    <w:p w:rsidR="00000000" w:rsidRDefault="00000000">
      <w:pPr>
        <w:pStyle w:val="H1GR"/>
      </w:pPr>
      <w:r>
        <w:tab/>
        <w:t>С.</w:t>
      </w:r>
      <w:r>
        <w:tab/>
        <w:t>Основные вопросы, вызывающие озабоченность, и</w:t>
      </w:r>
      <w:r>
        <w:rPr>
          <w:lang w:val="en-US"/>
        </w:rPr>
        <w:t> </w:t>
      </w:r>
      <w:r>
        <w:t>рекомендации</w:t>
      </w:r>
    </w:p>
    <w:p w:rsidR="00000000" w:rsidRDefault="00000000">
      <w:pPr>
        <w:pStyle w:val="SingleTxtGR"/>
      </w:pPr>
      <w:r>
        <w:t>4.</w:t>
      </w:r>
      <w:r>
        <w:tab/>
        <w:t>Комитет приветствует тот факт, что государство-участник занимается в</w:t>
      </w:r>
      <w:r>
        <w:t>о</w:t>
      </w:r>
      <w:r>
        <w:t>просом о том, как лучше подходить к вопросу прав человека в его конституц</w:t>
      </w:r>
      <w:r>
        <w:t>и</w:t>
      </w:r>
      <w:r>
        <w:t>онных рамках.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обеспечить, чтобы предусмотренные Па</w:t>
      </w:r>
      <w:r>
        <w:rPr>
          <w:b/>
        </w:rPr>
        <w:t>к</w:t>
      </w:r>
      <w:r>
        <w:rPr>
          <w:b/>
        </w:rPr>
        <w:t>том права, включая право на эффективные средства правовой защиты, адекватным образом учитывались в его конституционных рамках (ст</w:t>
      </w:r>
      <w:r>
        <w:rPr>
          <w:b/>
        </w:rPr>
        <w:t>а</w:t>
      </w:r>
      <w:r>
        <w:rPr>
          <w:b/>
        </w:rPr>
        <w:t>тья 2).</w:t>
      </w:r>
    </w:p>
    <w:p w:rsidR="00000000" w:rsidRDefault="00000000">
      <w:pPr>
        <w:pStyle w:val="SingleTxtGR"/>
      </w:pPr>
      <w:r>
        <w:t>5.</w:t>
      </w:r>
      <w:r>
        <w:tab/>
        <w:t>Комитет, приветствуя существование Национального центра по правам человека, играющего роль национального института по правам человека, обе</w:t>
      </w:r>
      <w:r>
        <w:t>с</w:t>
      </w:r>
      <w:r>
        <w:t>покоен тем, что проводимая в настоящее время реструктуризация Национал</w:t>
      </w:r>
      <w:r>
        <w:t>ь</w:t>
      </w:r>
      <w:r>
        <w:t>ного центра может негативным образом повлиять на его возможности по в</w:t>
      </w:r>
      <w:r>
        <w:t>ы</w:t>
      </w:r>
      <w:r>
        <w:t>полнению функций в соответствии с принципами, относящимися к статусу н</w:t>
      </w:r>
      <w:r>
        <w:t>а</w:t>
      </w:r>
      <w:r>
        <w:t>циональных институтов по поощрению и защите прав человека (Парижские при</w:t>
      </w:r>
      <w:r>
        <w:t>н</w:t>
      </w:r>
      <w:r>
        <w:t>ципы) (статья 2).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обеспечить, чтобы проводимая реструкт</w:t>
      </w:r>
      <w:r>
        <w:rPr>
          <w:b/>
        </w:rPr>
        <w:t>у</w:t>
      </w:r>
      <w:r>
        <w:rPr>
          <w:b/>
        </w:rPr>
        <w:t>ризация национального института по правам человека обеспечила его э</w:t>
      </w:r>
      <w:r>
        <w:rPr>
          <w:b/>
        </w:rPr>
        <w:t>ф</w:t>
      </w:r>
      <w:r>
        <w:rPr>
          <w:b/>
        </w:rPr>
        <w:t>фективное преобразование с целью наделения его широким мандатом по вопросам защиты прав человека. В этой связи государству-участнику сл</w:t>
      </w:r>
      <w:r>
        <w:rPr>
          <w:b/>
        </w:rPr>
        <w:t>е</w:t>
      </w:r>
      <w:r>
        <w:rPr>
          <w:b/>
        </w:rPr>
        <w:t>дует обеспечить, чтобы новый институт полностью соответствовал Пари</w:t>
      </w:r>
      <w:r>
        <w:rPr>
          <w:b/>
        </w:rPr>
        <w:t>ж</w:t>
      </w:r>
      <w:r>
        <w:rPr>
          <w:b/>
        </w:rPr>
        <w:t>ским при</w:t>
      </w:r>
      <w:r>
        <w:rPr>
          <w:b/>
        </w:rPr>
        <w:t>н</w:t>
      </w:r>
      <w:r>
        <w:rPr>
          <w:b/>
        </w:rPr>
        <w:t>ципам.</w:t>
      </w:r>
    </w:p>
    <w:p w:rsidR="00000000" w:rsidRDefault="00000000">
      <w:pPr>
        <w:pStyle w:val="SingleTxtGR"/>
      </w:pPr>
      <w:r>
        <w:t>6.</w:t>
      </w:r>
      <w:r>
        <w:tab/>
        <w:t>Комитет обеспокоен тем, что при проверке на нуждаемость в оказании правовой помощи не учитываются фактические обстоятельства заявителей и оценка производится без учета фактической стоимости требующейся правовой помощи. Кроме того, правовая помощь не предоставляется по некоторым кат</w:t>
      </w:r>
      <w:r>
        <w:t>е</w:t>
      </w:r>
      <w:r>
        <w:t>гориям дел (статья 14).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пересмотреть свою систему предоставления бесплатной юридической помощи, с тем чтобы юридическая помощь ок</w:t>
      </w:r>
      <w:r>
        <w:rPr>
          <w:b/>
        </w:rPr>
        <w:t>а</w:t>
      </w:r>
      <w:r>
        <w:rPr>
          <w:b/>
        </w:rPr>
        <w:t>зывалась на бесплатной основе во всех случаях, когда того требуют инт</w:t>
      </w:r>
      <w:r>
        <w:rPr>
          <w:b/>
        </w:rPr>
        <w:t>е</w:t>
      </w:r>
      <w:r>
        <w:rPr>
          <w:b/>
        </w:rPr>
        <w:t>ресы правосудия.</w:t>
      </w:r>
    </w:p>
    <w:p w:rsidR="00000000" w:rsidRDefault="00000000">
      <w:pPr>
        <w:pStyle w:val="SingleTxtGR"/>
      </w:pPr>
      <w:r>
        <w:t>7.</w:t>
      </w:r>
      <w:r>
        <w:tab/>
        <w:t>Приветствуя усилия государства-участника, направленные на ликвид</w:t>
      </w:r>
      <w:r>
        <w:t>а</w:t>
      </w:r>
      <w:r>
        <w:t>цию всех форм дискриминации при предоставлении субсидий на жилье, Ком</w:t>
      </w:r>
      <w:r>
        <w:t>и</w:t>
      </w:r>
      <w:r>
        <w:t>тет обеспокоен сообщениями о том, что лица с иммигрантским прошлым ста</w:t>
      </w:r>
      <w:r>
        <w:t>л</w:t>
      </w:r>
      <w:r>
        <w:t>киваются с дискриминацией и негативными стереотипами в жилищном секторе. Комитет также обеспокоен сообщениями о дискриминации в области занятости, с которой сталкиваются такие лица (статьи 2 и 26).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принять меры для ликвидации всех форм дискриминации в жилищном секторе и для искоренения негативных ст</w:t>
      </w:r>
      <w:r>
        <w:rPr>
          <w:b/>
        </w:rPr>
        <w:t>е</w:t>
      </w:r>
      <w:r>
        <w:rPr>
          <w:b/>
        </w:rPr>
        <w:t>реотипов и предрассудков, которые могут существовать у хозяев и вл</w:t>
      </w:r>
      <w:r>
        <w:rPr>
          <w:b/>
        </w:rPr>
        <w:t>а</w:t>
      </w:r>
      <w:r>
        <w:rPr>
          <w:b/>
        </w:rPr>
        <w:t>дельцев собственности в отношении сдачи в аренду жилья лицам с имм</w:t>
      </w:r>
      <w:r>
        <w:rPr>
          <w:b/>
        </w:rPr>
        <w:t>и</w:t>
      </w:r>
      <w:r>
        <w:rPr>
          <w:b/>
        </w:rPr>
        <w:t>грантским прошлым. Государству-участнику следует также активизир</w:t>
      </w:r>
      <w:r>
        <w:rPr>
          <w:b/>
        </w:rPr>
        <w:t>о</w:t>
      </w:r>
      <w:r>
        <w:rPr>
          <w:b/>
        </w:rPr>
        <w:t>вать свои усилия по борьбе с дискриминацией в отношении лиц с имм</w:t>
      </w:r>
      <w:r>
        <w:rPr>
          <w:b/>
        </w:rPr>
        <w:t>и</w:t>
      </w:r>
      <w:r>
        <w:rPr>
          <w:b/>
        </w:rPr>
        <w:t>грантским прошлым в в</w:t>
      </w:r>
      <w:r>
        <w:rPr>
          <w:b/>
        </w:rPr>
        <w:t>о</w:t>
      </w:r>
      <w:r>
        <w:rPr>
          <w:b/>
        </w:rPr>
        <w:t>просах найма на работу.</w:t>
      </w:r>
    </w:p>
    <w:p w:rsidR="00000000" w:rsidRDefault="00000000">
      <w:pPr>
        <w:pStyle w:val="SingleTxtGR"/>
      </w:pPr>
      <w:r>
        <w:t>8.</w:t>
      </w:r>
      <w:r>
        <w:tab/>
        <w:t>Комитет, приветствуя прогресс, достигнутый в отношении гендерного р</w:t>
      </w:r>
      <w:r>
        <w:t>а</w:t>
      </w:r>
      <w:r>
        <w:t>венства, обеспокоен зн</w:t>
      </w:r>
      <w:r>
        <w:t>а</w:t>
      </w:r>
      <w:r>
        <w:t>чительным разрывом в заработной плате мужчин и женщин (статьи 3 и 26).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продолжать и активизировать свои усилия, направленные на обеспечение для женщин равной оплаты за труд равной ценности.</w:t>
      </w:r>
    </w:p>
    <w:p w:rsidR="00000000" w:rsidRDefault="00000000">
      <w:pPr>
        <w:pStyle w:val="SingleTxtGR"/>
      </w:pPr>
      <w:r>
        <w:t>9.</w:t>
      </w:r>
      <w:r>
        <w:tab/>
        <w:t>Комитет обеспокоен сообщениями о широко распространенном насилии на гендерной почве, особенно изнасилованиями, о которых зачастую не соо</w:t>
      </w:r>
      <w:r>
        <w:t>б</w:t>
      </w:r>
      <w:r>
        <w:t>щается в полицию. Комитет также обеспокоен частыми случаями домашнего насилия в отношении женщин и детей со смертельным исходом (статьи 3, 7 и</w:t>
      </w:r>
      <w:r>
        <w:rPr>
          <w:lang w:val="en-US"/>
        </w:rPr>
        <w:t> </w:t>
      </w:r>
      <w:r>
        <w:t>26).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принять все необходимые меры для эффе</w:t>
      </w:r>
      <w:r>
        <w:rPr>
          <w:b/>
        </w:rPr>
        <w:t>к</w:t>
      </w:r>
      <w:r>
        <w:rPr>
          <w:b/>
        </w:rPr>
        <w:t>тивной борьбы со всеми формами насилия в отношении женщин, особенно сексуального насилия. В этой связи государству-участнику следует пов</w:t>
      </w:r>
      <w:r>
        <w:rPr>
          <w:b/>
        </w:rPr>
        <w:t>ы</w:t>
      </w:r>
      <w:r>
        <w:rPr>
          <w:b/>
        </w:rPr>
        <w:t>шать осведомленность общества о распространенности насилия на генде</w:t>
      </w:r>
      <w:r>
        <w:rPr>
          <w:b/>
        </w:rPr>
        <w:t>р</w:t>
      </w:r>
      <w:r>
        <w:rPr>
          <w:b/>
        </w:rPr>
        <w:t>ной основе, включая домашнее насилие, и предоставлять соответству</w:t>
      </w:r>
      <w:r>
        <w:rPr>
          <w:b/>
        </w:rPr>
        <w:t>ю</w:t>
      </w:r>
      <w:r>
        <w:rPr>
          <w:b/>
        </w:rPr>
        <w:t>щую подготовку для сотрудников правоохранительных органов, с тем чт</w:t>
      </w:r>
      <w:r>
        <w:rPr>
          <w:b/>
        </w:rPr>
        <w:t>о</w:t>
      </w:r>
      <w:r>
        <w:rPr>
          <w:b/>
        </w:rPr>
        <w:t>бы они могли эффективно действовать в подобных случаях. Государству-участнику следует также обеспечить, чтобы в отношении лиц, соверши</w:t>
      </w:r>
      <w:r>
        <w:rPr>
          <w:b/>
        </w:rPr>
        <w:t>в</w:t>
      </w:r>
      <w:r>
        <w:rPr>
          <w:b/>
        </w:rPr>
        <w:t>ших такие деяния, проводилось расследование, привлечение к ответстве</w:t>
      </w:r>
      <w:r>
        <w:rPr>
          <w:b/>
        </w:rPr>
        <w:t>н</w:t>
      </w:r>
      <w:r>
        <w:rPr>
          <w:b/>
        </w:rPr>
        <w:t>ности и, в случае осуждения, применялось соответствующее наказание.</w:t>
      </w:r>
    </w:p>
    <w:p w:rsidR="00000000" w:rsidRDefault="00000000">
      <w:pPr>
        <w:pStyle w:val="SingleTxtGR"/>
      </w:pPr>
      <w:r>
        <w:t>10.</w:t>
      </w:r>
      <w:r>
        <w:tab/>
        <w:t>Комитет обеспокоен сообщениями о чрезмерном использовании прину</w:t>
      </w:r>
      <w:r>
        <w:t>ж</w:t>
      </w:r>
      <w:r>
        <w:t>дения в отношении пациентов психиатрических лечебных заведений и слаб</w:t>
      </w:r>
      <w:r>
        <w:t>о</w:t>
      </w:r>
      <w:r>
        <w:t>стью механизмов контрольных комиссий для мониторинга психиатрических медицинских учреждений (статьи 7, 9 и 10).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предпринять конкретные шаги для того, чтобы положить конец неоправданному использованию принуждения или ограничений в отношении пациентов психиатрических медицинских учр</w:t>
      </w:r>
      <w:r>
        <w:rPr>
          <w:b/>
        </w:rPr>
        <w:t>е</w:t>
      </w:r>
      <w:r>
        <w:rPr>
          <w:b/>
        </w:rPr>
        <w:t>ждений. В этой связи государству-участнику следует обеспечить, чтобы любое решение о пр</w:t>
      </w:r>
      <w:r>
        <w:rPr>
          <w:b/>
        </w:rPr>
        <w:t>и</w:t>
      </w:r>
      <w:r>
        <w:rPr>
          <w:b/>
        </w:rPr>
        <w:t>менении принуждения или ограничений принималось после тщательной и профессиональной медицинской оценки, которая о</w:t>
      </w:r>
      <w:r>
        <w:rPr>
          <w:b/>
        </w:rPr>
        <w:t>п</w:t>
      </w:r>
      <w:r>
        <w:rPr>
          <w:b/>
        </w:rPr>
        <w:t>ределяла бы объем принуждения или ограничения, который следует пр</w:t>
      </w:r>
      <w:r>
        <w:rPr>
          <w:b/>
        </w:rPr>
        <w:t>и</w:t>
      </w:r>
      <w:r>
        <w:rPr>
          <w:b/>
        </w:rPr>
        <w:t>менить в отношении пациента. Кроме того, государству-участнику следует усилить мониторинг и систему отчетности психиатрических медицинских учрежд</w:t>
      </w:r>
      <w:r>
        <w:rPr>
          <w:b/>
        </w:rPr>
        <w:t>е</w:t>
      </w:r>
      <w:r>
        <w:rPr>
          <w:b/>
        </w:rPr>
        <w:t>ний в целях предотвращения злоупотреблений.</w:t>
      </w:r>
    </w:p>
    <w:p w:rsidR="00000000" w:rsidRDefault="00000000">
      <w:pPr>
        <w:pStyle w:val="SingleTxtGR"/>
      </w:pPr>
      <w:r>
        <w:t>11.</w:t>
      </w:r>
      <w:r>
        <w:tab/>
        <w:t>Комитет обеспокоен увеличением использования досудебного содерж</w:t>
      </w:r>
      <w:r>
        <w:t>а</w:t>
      </w:r>
      <w:r>
        <w:t>ния под стражей и одиночного досудебного заключения, а также содержания под стражей в режиме строгой изоляции после осуждения в государстве-участнике (статьи 7, 9 и 10).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обеспечить, чтобы одиночное заключение, как досудебное, так и после вынесения приговора, использовалось только в самых исключительных обстоятельствах и в течение строго ограниченных периодов.</w:t>
      </w:r>
    </w:p>
    <w:p w:rsidR="00000000" w:rsidRDefault="00000000">
      <w:pPr>
        <w:pStyle w:val="SingleTxtGR"/>
      </w:pPr>
      <w:r>
        <w:t>12.</w:t>
      </w:r>
      <w:r>
        <w:tab/>
        <w:t>Комитет обеспокоен чрезмерной продолжительностью и условиями дос</w:t>
      </w:r>
      <w:r>
        <w:t>у</w:t>
      </w:r>
      <w:r>
        <w:t>дебного содержания под стражей несовершеннолетних (статьи 10 и 14).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строго ограничить досудебное содержание под стражей несовершеннолетних и, по возможности, применять меры, альтерн</w:t>
      </w:r>
      <w:r>
        <w:rPr>
          <w:b/>
        </w:rPr>
        <w:t>а</w:t>
      </w:r>
      <w:r>
        <w:rPr>
          <w:b/>
        </w:rPr>
        <w:t>тивные досудебному содержанию под стражей.</w:t>
      </w:r>
    </w:p>
    <w:p w:rsidR="00000000" w:rsidRDefault="00000000">
      <w:pPr>
        <w:pStyle w:val="SingleTxtGR"/>
      </w:pPr>
      <w:r>
        <w:t>13.</w:t>
      </w:r>
      <w:r>
        <w:tab/>
        <w:t>Приветствуя усилия государства-участника по созданию мест для отдел</w:t>
      </w:r>
      <w:r>
        <w:t>ь</w:t>
      </w:r>
      <w:r>
        <w:t xml:space="preserve">ного содержания под стражей несовершеннолетних, Комитет обеспокоен тем, что государство-участник сохраняет оговорку к пунктам 2 </w:t>
      </w:r>
      <w:r>
        <w:rPr>
          <w:lang w:val="en-US"/>
        </w:rPr>
        <w:t>b</w:t>
      </w:r>
      <w:r>
        <w:t>) и 3 статьи 10 Па</w:t>
      </w:r>
      <w:r>
        <w:t>к</w:t>
      </w:r>
      <w:r>
        <w:t>та и что несовершеннолетние не содержатся отдельно от взрослых заключе</w:t>
      </w:r>
      <w:r>
        <w:t>н</w:t>
      </w:r>
      <w:r>
        <w:t>ных (статья 10).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рассмотреть вопрос о снятии своих огов</w:t>
      </w:r>
      <w:r>
        <w:rPr>
          <w:b/>
        </w:rPr>
        <w:t>о</w:t>
      </w:r>
      <w:r>
        <w:rPr>
          <w:b/>
        </w:rPr>
        <w:t xml:space="preserve">рок к пунктам 2 </w:t>
      </w:r>
      <w:r>
        <w:rPr>
          <w:b/>
          <w:lang w:val="en-US"/>
        </w:rPr>
        <w:t>b</w:t>
      </w:r>
      <w:r>
        <w:rPr>
          <w:b/>
        </w:rPr>
        <w:t>) и 3 статьи 10 Пакта; в то же время ему следует обесп</w:t>
      </w:r>
      <w:r>
        <w:rPr>
          <w:b/>
        </w:rPr>
        <w:t>е</w:t>
      </w:r>
      <w:r>
        <w:rPr>
          <w:b/>
        </w:rPr>
        <w:t>чить, чтобы несовершеннолетние содержались отдельно от взрослых з</w:t>
      </w:r>
      <w:r>
        <w:rPr>
          <w:b/>
        </w:rPr>
        <w:t>а</w:t>
      </w:r>
      <w:r>
        <w:rPr>
          <w:b/>
        </w:rPr>
        <w:t>ключенных, и внедрять альтернативные формы наказания, такие как пр</w:t>
      </w:r>
      <w:r>
        <w:rPr>
          <w:b/>
        </w:rPr>
        <w:t>и</w:t>
      </w:r>
      <w:r>
        <w:rPr>
          <w:b/>
        </w:rPr>
        <w:t>влечение к общественным работам и использование электронных средств контроля.</w:t>
      </w:r>
    </w:p>
    <w:p w:rsidR="00000000" w:rsidRDefault="00000000">
      <w:pPr>
        <w:pStyle w:val="SingleTxtGR"/>
      </w:pPr>
      <w:r>
        <w:t>14.</w:t>
      </w:r>
      <w:r>
        <w:tab/>
        <w:t>Комитет выражает сожаление в связи с тем, что государство-участник не сняло свою оговорку к пункту 1 статьи 20 Пакта. Комитет также сожалеет, что продолжают происходить мотивированные ненавистью выступления в отнош</w:t>
      </w:r>
      <w:r>
        <w:t>е</w:t>
      </w:r>
      <w:r>
        <w:t xml:space="preserve">нии народа сами, а также делаются </w:t>
      </w:r>
      <w:proofErr w:type="spellStart"/>
      <w:r>
        <w:t>ксенофобные</w:t>
      </w:r>
      <w:proofErr w:type="spellEnd"/>
      <w:r>
        <w:t xml:space="preserve">, антисемитские и </w:t>
      </w:r>
      <w:proofErr w:type="spellStart"/>
      <w:r>
        <w:t>исламофо</w:t>
      </w:r>
      <w:r>
        <w:t>б</w:t>
      </w:r>
      <w:r>
        <w:t>ные</w:t>
      </w:r>
      <w:proofErr w:type="spellEnd"/>
      <w:r>
        <w:t xml:space="preserve"> заявлениями (статья 20).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рассмотреть вопрос о снятии своей огово</w:t>
      </w:r>
      <w:r>
        <w:rPr>
          <w:b/>
        </w:rPr>
        <w:t>р</w:t>
      </w:r>
      <w:r>
        <w:rPr>
          <w:b/>
        </w:rPr>
        <w:t>ки к статье 20. Кроме того, государству-участнику следует продолжить и усилить свою деятельность по повышению осведомленности и пропаганде толерантности и многообразия в обществе. Сотрудники правоохранител</w:t>
      </w:r>
      <w:r>
        <w:rPr>
          <w:b/>
        </w:rPr>
        <w:t>ь</w:t>
      </w:r>
      <w:r>
        <w:rPr>
          <w:b/>
        </w:rPr>
        <w:t>ных органов должны проходить подготовку по выявлению выступлений, разжигающих ненависть и представляющих собой правонарушения, и н</w:t>
      </w:r>
      <w:r>
        <w:rPr>
          <w:b/>
        </w:rPr>
        <w:t>а</w:t>
      </w:r>
      <w:r>
        <w:rPr>
          <w:b/>
        </w:rPr>
        <w:t>казанию за них.</w:t>
      </w:r>
    </w:p>
    <w:p w:rsidR="00000000" w:rsidRDefault="00000000">
      <w:pPr>
        <w:pStyle w:val="SingleTxtGR"/>
      </w:pPr>
      <w:r>
        <w:t>15.</w:t>
      </w:r>
      <w:r>
        <w:tab/>
        <w:t>Отмечая, что условия для получения разрешений на проживание и восс</w:t>
      </w:r>
      <w:r>
        <w:t>о</w:t>
      </w:r>
      <w:r>
        <w:t>единение семей имеют целью предотвращение насильственных браков, Комитет обеспокоен тем, что чрезмерная широта условий может негативно влиять на пользование правом на семейную жизнь, вступление в брак и выбор супруга (статьи 2, 23 и 26).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оценить воздейс</w:t>
      </w:r>
      <w:r>
        <w:rPr>
          <w:b/>
        </w:rPr>
        <w:t>т</w:t>
      </w:r>
      <w:r>
        <w:rPr>
          <w:b/>
        </w:rPr>
        <w:t>вие новых условий для выдачи таких разрешений на пользование правом на семейную жизнь, вступление в брак и выбор супруга. В таком исслед</w:t>
      </w:r>
      <w:r>
        <w:rPr>
          <w:b/>
        </w:rPr>
        <w:t>о</w:t>
      </w:r>
      <w:r>
        <w:rPr>
          <w:b/>
        </w:rPr>
        <w:t>вании надо оценить необходимость внесения поправки в эти условия в ц</w:t>
      </w:r>
      <w:r>
        <w:rPr>
          <w:b/>
        </w:rPr>
        <w:t>е</w:t>
      </w:r>
      <w:r>
        <w:rPr>
          <w:b/>
        </w:rPr>
        <w:t>лях большего уважения права на семейную жизнь.</w:t>
      </w:r>
    </w:p>
    <w:p w:rsidR="00000000" w:rsidRDefault="00000000">
      <w:pPr>
        <w:pStyle w:val="SingleTxtGR"/>
      </w:pPr>
      <w:r>
        <w:t>16.</w:t>
      </w:r>
      <w:r>
        <w:tab/>
        <w:t>Государству-участнику следует широко распространять информацию о Пакте, двух Факультативных протоколах к Пакту, текст шестого периодического доклада, письменные ответы, которые оно представило в ответ на перечень в</w:t>
      </w:r>
      <w:r>
        <w:t>о</w:t>
      </w:r>
      <w:r>
        <w:t>просов, подготовленный Комитетом, и данные заключительные замечания, с тем чтобы повысить информированность среди органов судебной, законод</w:t>
      </w:r>
      <w:r>
        <w:t>а</w:t>
      </w:r>
      <w:r>
        <w:t>тельной и административной власти, в гражданском обществе и неправительс</w:t>
      </w:r>
      <w:r>
        <w:t>т</w:t>
      </w:r>
      <w:r>
        <w:t>венных организациях, действующих в стране, а также среди широкой общес</w:t>
      </w:r>
      <w:r>
        <w:t>т</w:t>
      </w:r>
      <w:r>
        <w:t>венности. Комитет также предлагает перевести этот доклад и заключительные замечания на официальный язык государства-участника. Комитет также просит государство-участник при подготовке своего седьмого периодического доклада провести широкие консультации с представителями гражданского общества и неправительственными организациями.</w:t>
      </w:r>
    </w:p>
    <w:p w:rsidR="00000000" w:rsidRDefault="00000000">
      <w:pPr>
        <w:pStyle w:val="SingleTxtGR"/>
      </w:pPr>
      <w:r>
        <w:t>17.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сударству-участнику следует представить в течение одного года соответству</w:t>
      </w:r>
      <w:r>
        <w:t>ю</w:t>
      </w:r>
      <w:r>
        <w:t>щую информацию о выполнении им рекомендаций Комитета, содержащихся в пунктах 5, 10 и 12 выше.</w:t>
      </w:r>
    </w:p>
    <w:p w:rsidR="00000000" w:rsidRDefault="00000000">
      <w:pPr>
        <w:pStyle w:val="SingleTxtGR"/>
      </w:pPr>
      <w:r>
        <w:t>18.</w:t>
      </w:r>
      <w:r>
        <w:tab/>
        <w:t>Комитет просит государство-участник включить в свой следующий п</w:t>
      </w:r>
      <w:r>
        <w:t>е</w:t>
      </w:r>
      <w:r>
        <w:t>риодический доклад, который должен быть представлен 2 ноября 2016 года, конкретную обновленную информацию обо всех его рекомендациях и о Пакте в целом.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/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GE.11-47125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GE.11-47125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GE.11-47125  (R)  121211  131211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CCPR/C/NOR/CO/6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CCPR/C/NOR/CO/6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5</Pages>
  <Words>1375</Words>
  <Characters>9792</Characters>
  <Application>Microsoft Office Word</Application>
  <DocSecurity>4</DocSecurity>
  <Lines>204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Полуэктов</vt:lpstr>
    </vt:vector>
  </TitlesOfParts>
  <Company>CSD</Company>
  <LinksUpToDate>false</LinksUpToDate>
  <CharactersWithSpaces>11107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Полуэктов</dc:title>
  <dc:subject>1147125</dc:subject>
  <dc:creator>Chvets</dc:creator>
  <cp:keywords/>
  <dc:description/>
  <cp:lastModifiedBy>Tatiana Chvets</cp:lastModifiedBy>
  <cp:revision>2</cp:revision>
  <cp:lastPrinted>1601-01-01T00:00:00Z</cp:lastPrinted>
  <dcterms:created xsi:type="dcterms:W3CDTF">2011-12-13T07:39:00Z</dcterms:created>
  <dcterms:modified xsi:type="dcterms:W3CDTF">2011-12-13T07:39:00Z</dcterms:modified>
</cp:coreProperties>
</file>