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1601F">
        <w:trPr>
          <w:trHeight w:hRule="exact" w:val="851"/>
        </w:trPr>
        <w:tc>
          <w:tcPr>
            <w:tcW w:w="1280" w:type="dxa"/>
            <w:tcBorders>
              <w:bottom w:val="single" w:sz="4" w:space="0" w:color="auto"/>
            </w:tcBorders>
          </w:tcPr>
          <w:p w:rsidR="0061601F" w:rsidRDefault="0061601F">
            <w:pPr>
              <w:rPr>
                <w:rFonts w:hint="eastAsia"/>
              </w:rPr>
            </w:pPr>
          </w:p>
        </w:tc>
        <w:tc>
          <w:tcPr>
            <w:tcW w:w="2273" w:type="dxa"/>
            <w:tcBorders>
              <w:bottom w:val="single" w:sz="4" w:space="0" w:color="auto"/>
            </w:tcBorders>
            <w:vAlign w:val="bottom"/>
          </w:tcPr>
          <w:p w:rsidR="0061601F" w:rsidRDefault="0061601F">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61601F" w:rsidRDefault="0061601F">
            <w:pPr>
              <w:spacing w:line="240" w:lineRule="atLeast"/>
              <w:jc w:val="right"/>
              <w:rPr>
                <w:rFonts w:hint="eastAsia"/>
                <w:szCs w:val="21"/>
              </w:rPr>
            </w:pPr>
            <w:r>
              <w:rPr>
                <w:rFonts w:hint="eastAsia"/>
                <w:sz w:val="40"/>
                <w:szCs w:val="40"/>
              </w:rPr>
              <w:t>CCPR</w:t>
            </w:r>
            <w:r>
              <w:rPr>
                <w:sz w:val="20"/>
              </w:rPr>
              <w:t>/</w:t>
            </w:r>
            <w:r>
              <w:rPr>
                <w:rFonts w:hint="eastAsia"/>
                <w:sz w:val="20"/>
              </w:rPr>
              <w:t>C/COL/CO/6</w:t>
            </w:r>
          </w:p>
        </w:tc>
      </w:tr>
      <w:tr w:rsidR="0061601F">
        <w:trPr>
          <w:trHeight w:hRule="exact" w:val="2835"/>
        </w:trPr>
        <w:tc>
          <w:tcPr>
            <w:tcW w:w="1280" w:type="dxa"/>
            <w:tcBorders>
              <w:top w:val="single" w:sz="4" w:space="0" w:color="auto"/>
              <w:bottom w:val="single" w:sz="12" w:space="0" w:color="auto"/>
            </w:tcBorders>
          </w:tcPr>
          <w:p w:rsidR="0061601F" w:rsidRDefault="0061601F">
            <w:pPr>
              <w:spacing w:line="120" w:lineRule="atLeast"/>
              <w:rPr>
                <w:sz w:val="10"/>
                <w:szCs w:val="10"/>
              </w:rPr>
            </w:pPr>
          </w:p>
          <w:p w:rsidR="0061601F" w:rsidRDefault="0061601F">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61601F" w:rsidRDefault="0061601F">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61601F" w:rsidRDefault="0061601F">
            <w:pPr>
              <w:spacing w:before="240" w:line="240" w:lineRule="atLeast"/>
              <w:rPr>
                <w:rFonts w:hint="eastAsia"/>
                <w:sz w:val="20"/>
              </w:rPr>
            </w:pPr>
            <w:r>
              <w:rPr>
                <w:sz w:val="20"/>
              </w:rPr>
              <w:t xml:space="preserve">Distr.: </w:t>
            </w:r>
            <w:r>
              <w:rPr>
                <w:rFonts w:hint="eastAsia"/>
                <w:sz w:val="20"/>
              </w:rPr>
              <w:t>General</w:t>
            </w:r>
          </w:p>
          <w:p w:rsidR="0061601F" w:rsidRDefault="0061601F">
            <w:pPr>
              <w:spacing w:line="240" w:lineRule="atLeast"/>
              <w:rPr>
                <w:rFonts w:hint="eastAsia"/>
                <w:sz w:val="20"/>
              </w:rPr>
            </w:pPr>
            <w:r>
              <w:rPr>
                <w:rFonts w:hint="eastAsia"/>
                <w:sz w:val="20"/>
              </w:rPr>
              <w:t>4 August</w:t>
            </w:r>
            <w:r>
              <w:rPr>
                <w:sz w:val="20"/>
              </w:rPr>
              <w:t xml:space="preserve"> 20</w:t>
            </w:r>
            <w:r>
              <w:rPr>
                <w:rFonts w:hint="eastAsia"/>
                <w:sz w:val="20"/>
              </w:rPr>
              <w:t>10</w:t>
            </w:r>
          </w:p>
          <w:p w:rsidR="0061601F" w:rsidRDefault="0061601F">
            <w:pPr>
              <w:spacing w:line="240" w:lineRule="atLeast"/>
              <w:rPr>
                <w:sz w:val="20"/>
              </w:rPr>
            </w:pPr>
            <w:r>
              <w:rPr>
                <w:sz w:val="20"/>
              </w:rPr>
              <w:t xml:space="preserve">Chinese </w:t>
            </w:r>
          </w:p>
          <w:p w:rsidR="0061601F" w:rsidRDefault="0061601F">
            <w:pPr>
              <w:spacing w:line="240" w:lineRule="atLeast"/>
              <w:rPr>
                <w:rFonts w:hint="eastAsia"/>
                <w:sz w:val="20"/>
              </w:rPr>
            </w:pPr>
            <w:r>
              <w:rPr>
                <w:sz w:val="20"/>
              </w:rPr>
              <w:t xml:space="preserve">Original: </w:t>
            </w:r>
            <w:r>
              <w:rPr>
                <w:rFonts w:hint="eastAsia"/>
                <w:sz w:val="20"/>
              </w:rPr>
              <w:t>Span</w:t>
            </w:r>
            <w:r>
              <w:rPr>
                <w:sz w:val="20"/>
              </w:rPr>
              <w:t>ish</w:t>
            </w:r>
          </w:p>
        </w:tc>
      </w:tr>
    </w:tbl>
    <w:p w:rsidR="0061601F" w:rsidRDefault="0061601F">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61601F" w:rsidRDefault="0061601F">
      <w:pPr>
        <w:rPr>
          <w:rFonts w:eastAsia="SimHei" w:hint="eastAsia"/>
        </w:rPr>
      </w:pPr>
      <w:r>
        <w:rPr>
          <w:rFonts w:eastAsia="SimHei" w:hint="eastAsia"/>
        </w:rPr>
        <w:t>第九十九届会议</w:t>
      </w:r>
    </w:p>
    <w:p w:rsidR="0061601F" w:rsidRDefault="0061601F">
      <w:pPr>
        <w:rPr>
          <w:rFonts w:hint="eastAsia"/>
          <w:snapToGrid/>
        </w:rPr>
      </w:pPr>
      <w:r>
        <w:rPr>
          <w:rFonts w:hint="eastAsia"/>
          <w:snapToGrid/>
        </w:rPr>
        <w:t>2010</w:t>
      </w:r>
      <w:r>
        <w:rPr>
          <w:rFonts w:hint="eastAsia"/>
          <w:snapToGrid/>
        </w:rPr>
        <w:t>年</w:t>
      </w:r>
      <w:r>
        <w:rPr>
          <w:rFonts w:hint="eastAsia"/>
          <w:snapToGrid/>
        </w:rPr>
        <w:t>7</w:t>
      </w:r>
      <w:r>
        <w:rPr>
          <w:rFonts w:hint="eastAsia"/>
          <w:snapToGrid/>
        </w:rPr>
        <w:t>月</w:t>
      </w:r>
      <w:r>
        <w:rPr>
          <w:rFonts w:hint="eastAsia"/>
          <w:snapToGrid/>
        </w:rPr>
        <w:t>12</w:t>
      </w:r>
      <w:r>
        <w:rPr>
          <w:rFonts w:hint="eastAsia"/>
          <w:snapToGrid/>
        </w:rPr>
        <w:t>日至</w:t>
      </w:r>
      <w:r>
        <w:rPr>
          <w:rFonts w:hint="eastAsia"/>
          <w:snapToGrid/>
        </w:rPr>
        <w:t>30</w:t>
      </w:r>
      <w:r>
        <w:rPr>
          <w:rFonts w:hint="eastAsia"/>
          <w:snapToGrid/>
        </w:rPr>
        <w:t>日，日内瓦</w:t>
      </w:r>
    </w:p>
    <w:p w:rsidR="0061601F" w:rsidRDefault="0061601F">
      <w:pPr>
        <w:pStyle w:val="HChGC"/>
        <w:rPr>
          <w:rFonts w:hint="eastAsia"/>
        </w:rPr>
      </w:pPr>
      <w:r>
        <w:rPr>
          <w:rFonts w:hint="eastAsia"/>
        </w:rPr>
        <w:tab/>
      </w:r>
      <w:r>
        <w:rPr>
          <w:rFonts w:hint="eastAsia"/>
        </w:rPr>
        <w:tab/>
      </w:r>
      <w:r>
        <w:rPr>
          <w:rFonts w:hint="eastAsia"/>
        </w:rPr>
        <w:t>审议缔约国根据《公约》第四十条提交的报告</w:t>
      </w:r>
    </w:p>
    <w:p w:rsidR="0061601F" w:rsidRDefault="0061601F">
      <w:pPr>
        <w:pStyle w:val="H1GC"/>
        <w:rPr>
          <w:rFonts w:hint="eastAsia"/>
        </w:rPr>
      </w:pPr>
      <w:r>
        <w:rPr>
          <w:rFonts w:hint="eastAsia"/>
        </w:rPr>
        <w:tab/>
      </w:r>
      <w:r>
        <w:rPr>
          <w:rFonts w:hint="eastAsia"/>
        </w:rPr>
        <w:tab/>
      </w:r>
      <w:r>
        <w:rPr>
          <w:rFonts w:hint="eastAsia"/>
        </w:rPr>
        <w:t>人权事务委员会的结论性意见</w:t>
      </w:r>
    </w:p>
    <w:p w:rsidR="0061601F" w:rsidRDefault="0061601F">
      <w:pPr>
        <w:pStyle w:val="HChGC"/>
        <w:rPr>
          <w:rFonts w:hint="eastAsia"/>
        </w:rPr>
      </w:pPr>
      <w:r>
        <w:rPr>
          <w:rFonts w:hint="eastAsia"/>
        </w:rPr>
        <w:tab/>
      </w:r>
      <w:r>
        <w:rPr>
          <w:rFonts w:hint="eastAsia"/>
        </w:rPr>
        <w:tab/>
      </w:r>
      <w:r>
        <w:rPr>
          <w:rFonts w:hint="eastAsia"/>
        </w:rPr>
        <w:t>哥伦比亚</w:t>
      </w:r>
    </w:p>
    <w:p w:rsidR="0061601F" w:rsidRDefault="0061601F">
      <w:pPr>
        <w:pStyle w:val="SingleTxtGC"/>
        <w:rPr>
          <w:rFonts w:hint="eastAsia"/>
        </w:rPr>
      </w:pPr>
      <w:r>
        <w:rPr>
          <w:rFonts w:hint="eastAsia"/>
        </w:rPr>
        <w:t>1.  2010</w:t>
      </w:r>
      <w:r>
        <w:rPr>
          <w:rFonts w:hint="eastAsia"/>
        </w:rPr>
        <w:t>年</w:t>
      </w:r>
      <w:r>
        <w:rPr>
          <w:rFonts w:hint="eastAsia"/>
        </w:rPr>
        <w:t>7</w:t>
      </w:r>
      <w:r>
        <w:rPr>
          <w:rFonts w:hint="eastAsia"/>
        </w:rPr>
        <w:t>月</w:t>
      </w:r>
      <w:r>
        <w:rPr>
          <w:rFonts w:hint="eastAsia"/>
        </w:rPr>
        <w:t>15</w:t>
      </w:r>
      <w:r>
        <w:rPr>
          <w:rFonts w:hint="eastAsia"/>
        </w:rPr>
        <w:t>日和</w:t>
      </w:r>
      <w:r>
        <w:rPr>
          <w:rFonts w:hint="eastAsia"/>
        </w:rPr>
        <w:t>16</w:t>
      </w:r>
      <w:r>
        <w:rPr>
          <w:rFonts w:hint="eastAsia"/>
        </w:rPr>
        <w:t>日，人权事务委员会举行了第</w:t>
      </w:r>
      <w:r>
        <w:rPr>
          <w:rFonts w:hint="eastAsia"/>
        </w:rPr>
        <w:t>2721</w:t>
      </w:r>
      <w:r>
        <w:rPr>
          <w:rFonts w:hint="eastAsia"/>
        </w:rPr>
        <w:t>至</w:t>
      </w:r>
      <w:r>
        <w:rPr>
          <w:rFonts w:hint="eastAsia"/>
        </w:rPr>
        <w:t>2722</w:t>
      </w:r>
      <w:r>
        <w:rPr>
          <w:rFonts w:hint="eastAsia"/>
        </w:rPr>
        <w:t>次会议</w:t>
      </w:r>
      <w:r>
        <w:rPr>
          <w:rFonts w:hint="eastAsia"/>
        </w:rPr>
        <w:t>(CCPR/C/SR.2721</w:t>
      </w:r>
      <w:r>
        <w:rPr>
          <w:rFonts w:hint="eastAsia"/>
        </w:rPr>
        <w:t>至</w:t>
      </w:r>
      <w:r>
        <w:rPr>
          <w:rFonts w:hint="eastAsia"/>
        </w:rPr>
        <w:t>2722)</w:t>
      </w:r>
      <w:r>
        <w:rPr>
          <w:rFonts w:hint="eastAsia"/>
        </w:rPr>
        <w:t>，审议了哥伦比亚的第六次定期报告</w:t>
      </w:r>
      <w:r>
        <w:rPr>
          <w:rFonts w:hint="eastAsia"/>
        </w:rPr>
        <w:t>(CCPR/C/ COL/6)</w:t>
      </w:r>
      <w:r>
        <w:rPr>
          <w:rFonts w:hint="eastAsia"/>
        </w:rPr>
        <w:t>，并在</w:t>
      </w:r>
      <w:r>
        <w:rPr>
          <w:rFonts w:hint="eastAsia"/>
        </w:rPr>
        <w:t>2010</w:t>
      </w:r>
      <w:r>
        <w:rPr>
          <w:rFonts w:hint="eastAsia"/>
        </w:rPr>
        <w:t>年</w:t>
      </w:r>
      <w:r>
        <w:rPr>
          <w:rFonts w:hint="eastAsia"/>
        </w:rPr>
        <w:t>7</w:t>
      </w:r>
      <w:r>
        <w:rPr>
          <w:rFonts w:hint="eastAsia"/>
        </w:rPr>
        <w:t>月</w:t>
      </w:r>
      <w:r>
        <w:rPr>
          <w:rFonts w:hint="eastAsia"/>
        </w:rPr>
        <w:t>28</w:t>
      </w:r>
      <w:r>
        <w:rPr>
          <w:rFonts w:hint="eastAsia"/>
        </w:rPr>
        <w:t>日举行的第</w:t>
      </w:r>
      <w:r>
        <w:rPr>
          <w:rFonts w:hint="eastAsia"/>
        </w:rPr>
        <w:t>2739</w:t>
      </w:r>
      <w:r>
        <w:rPr>
          <w:rFonts w:hint="eastAsia"/>
        </w:rPr>
        <w:t>次会议上通过了以下结论性意见。</w:t>
      </w:r>
    </w:p>
    <w:p w:rsidR="0061601F" w:rsidRDefault="0061601F">
      <w:pPr>
        <w:pStyle w:val="H1GC"/>
        <w:rPr>
          <w:rFonts w:hint="eastAsia"/>
        </w:rPr>
      </w:pPr>
      <w:r>
        <w:rPr>
          <w:rFonts w:hint="eastAsia"/>
        </w:rPr>
        <w:tab/>
        <w:t>A.</w:t>
      </w:r>
      <w:r>
        <w:rPr>
          <w:rFonts w:hint="eastAsia"/>
        </w:rPr>
        <w:tab/>
      </w:r>
      <w:r>
        <w:rPr>
          <w:rFonts w:hint="eastAsia"/>
        </w:rPr>
        <w:t>导言</w:t>
      </w:r>
    </w:p>
    <w:p w:rsidR="0061601F" w:rsidRDefault="0061601F">
      <w:pPr>
        <w:pStyle w:val="SingleTxtGC"/>
        <w:rPr>
          <w:rFonts w:hint="eastAsia"/>
        </w:rPr>
      </w:pPr>
      <w:r>
        <w:rPr>
          <w:rFonts w:hint="eastAsia"/>
        </w:rPr>
        <w:t xml:space="preserve">2.  </w:t>
      </w:r>
      <w:r>
        <w:rPr>
          <w:rFonts w:hint="eastAsia"/>
        </w:rPr>
        <w:t>委员会欢迎缔约国提交了第六次定期报告，其中详细介绍了缔约国为深入执行《公约》采取的措施，但委员会注意到报告中主要描述了在立法方面取得的进展，却没有对实际落实这些权利的程度作出评估。委员会也欢迎与代表团举行的对话和就委员会问题清单提交的详细书面答复</w:t>
      </w:r>
      <w:r>
        <w:rPr>
          <w:rFonts w:hint="eastAsia"/>
        </w:rPr>
        <w:t>(CCPR/C/COL/Q/6/Add.1)</w:t>
      </w:r>
      <w:r>
        <w:rPr>
          <w:rFonts w:hint="eastAsia"/>
        </w:rPr>
        <w:t>，以及口头提供的补充情况和作出的澄清。委员会感谢缔约国翻译了对问题单作出的答复。</w:t>
      </w:r>
    </w:p>
    <w:p w:rsidR="0061601F" w:rsidRDefault="0061601F">
      <w:pPr>
        <w:pStyle w:val="H1GC"/>
        <w:rPr>
          <w:rFonts w:hint="eastAsia"/>
        </w:rPr>
      </w:pPr>
      <w:r>
        <w:rPr>
          <w:rFonts w:hint="eastAsia"/>
        </w:rPr>
        <w:tab/>
        <w:t>B.</w:t>
      </w:r>
      <w:r>
        <w:rPr>
          <w:rFonts w:hint="eastAsia"/>
        </w:rPr>
        <w:tab/>
      </w:r>
      <w:r>
        <w:rPr>
          <w:rFonts w:hint="eastAsia"/>
        </w:rPr>
        <w:t>积极方面</w:t>
      </w:r>
    </w:p>
    <w:p w:rsidR="0061601F" w:rsidRDefault="0061601F">
      <w:pPr>
        <w:pStyle w:val="SingleTxtGC"/>
        <w:rPr>
          <w:rFonts w:hint="eastAsia"/>
        </w:rPr>
      </w:pPr>
      <w:r>
        <w:rPr>
          <w:rFonts w:hint="eastAsia"/>
        </w:rPr>
        <w:t xml:space="preserve">3.  </w:t>
      </w:r>
      <w:r>
        <w:rPr>
          <w:rFonts w:hint="eastAsia"/>
        </w:rPr>
        <w:t>委员会欢迎缔约国自审查上次定期报告以来采取的下列立法措施：</w:t>
      </w:r>
    </w:p>
    <w:p w:rsidR="0061601F" w:rsidRDefault="0061601F">
      <w:pPr>
        <w:pStyle w:val="SingleTxtGC"/>
        <w:numPr>
          <w:ilvl w:val="0"/>
          <w:numId w:val="43"/>
        </w:numPr>
        <w:rPr>
          <w:rFonts w:hint="eastAsia"/>
        </w:rPr>
      </w:pPr>
      <w:r>
        <w:rPr>
          <w:rFonts w:hint="eastAsia"/>
        </w:rPr>
        <w:t>通过了</w:t>
      </w:r>
      <w:r>
        <w:rPr>
          <w:rFonts w:hint="eastAsia"/>
        </w:rPr>
        <w:t>2008</w:t>
      </w:r>
      <w:r>
        <w:rPr>
          <w:rFonts w:hint="eastAsia"/>
        </w:rPr>
        <w:t>年的第</w:t>
      </w:r>
      <w:r>
        <w:rPr>
          <w:rFonts w:hint="eastAsia"/>
        </w:rPr>
        <w:t>1257</w:t>
      </w:r>
      <w:r>
        <w:rPr>
          <w:rFonts w:hint="eastAsia"/>
        </w:rPr>
        <w:t>号法律，其中颁布了关于对妇女各种形式暴力和歧视的防止、制裁和宣传准则；改革了刑法典、刑事诉讼程序，</w:t>
      </w:r>
      <w:r>
        <w:rPr>
          <w:rFonts w:hint="eastAsia"/>
        </w:rPr>
        <w:t>1996</w:t>
      </w:r>
      <w:r>
        <w:rPr>
          <w:rFonts w:hint="eastAsia"/>
        </w:rPr>
        <w:t>年第</w:t>
      </w:r>
      <w:r>
        <w:rPr>
          <w:rFonts w:hint="eastAsia"/>
        </w:rPr>
        <w:t>294</w:t>
      </w:r>
      <w:r>
        <w:rPr>
          <w:rFonts w:hint="eastAsia"/>
        </w:rPr>
        <w:t>号法律并颁布了其他规定；</w:t>
      </w:r>
    </w:p>
    <w:p w:rsidR="0061601F" w:rsidRDefault="0061601F">
      <w:pPr>
        <w:pStyle w:val="SingleTxtGC"/>
        <w:numPr>
          <w:ilvl w:val="0"/>
          <w:numId w:val="43"/>
        </w:numPr>
        <w:rPr>
          <w:rFonts w:hint="eastAsia"/>
        </w:rPr>
      </w:pPr>
      <w:r>
        <w:rPr>
          <w:rFonts w:hint="eastAsia"/>
        </w:rPr>
        <w:t>通过了</w:t>
      </w:r>
      <w:r>
        <w:rPr>
          <w:rFonts w:hint="eastAsia"/>
        </w:rPr>
        <w:t>2006</w:t>
      </w:r>
      <w:r>
        <w:rPr>
          <w:rFonts w:hint="eastAsia"/>
        </w:rPr>
        <w:t>年第</w:t>
      </w:r>
      <w:r>
        <w:rPr>
          <w:rFonts w:hint="eastAsia"/>
        </w:rPr>
        <w:t>1098</w:t>
      </w:r>
      <w:r>
        <w:rPr>
          <w:rFonts w:hint="eastAsia"/>
        </w:rPr>
        <w:t>号法律，其中颁布了儿童和青年法典。</w:t>
      </w:r>
    </w:p>
    <w:p w:rsidR="0061601F" w:rsidRDefault="0061601F">
      <w:pPr>
        <w:pStyle w:val="SingleTxtGC"/>
        <w:rPr>
          <w:rFonts w:hint="eastAsia"/>
        </w:rPr>
      </w:pPr>
      <w:r>
        <w:rPr>
          <w:rFonts w:hint="eastAsia"/>
        </w:rPr>
        <w:t xml:space="preserve">4.  </w:t>
      </w:r>
      <w:r>
        <w:rPr>
          <w:rFonts w:hint="eastAsia"/>
        </w:rPr>
        <w:t>委员会赞扬缔约国继续与人权高级专员办事处的合作，后者于</w:t>
      </w:r>
      <w:r>
        <w:rPr>
          <w:rFonts w:hint="eastAsia"/>
        </w:rPr>
        <w:t>1997</w:t>
      </w:r>
      <w:r>
        <w:rPr>
          <w:rFonts w:hint="eastAsia"/>
        </w:rPr>
        <w:t>年以来在该国设立了一个办事处。</w:t>
      </w:r>
    </w:p>
    <w:p w:rsidR="0061601F" w:rsidRDefault="0061601F">
      <w:pPr>
        <w:pStyle w:val="SingleTxtGC"/>
        <w:rPr>
          <w:rFonts w:hint="eastAsia"/>
        </w:rPr>
      </w:pPr>
      <w:r>
        <w:rPr>
          <w:rFonts w:hint="eastAsia"/>
        </w:rPr>
        <w:t xml:space="preserve">5.  </w:t>
      </w:r>
      <w:r>
        <w:rPr>
          <w:rFonts w:hint="eastAsia"/>
        </w:rPr>
        <w:t>委员会认为该缔约国与各个特别报告员、特别代表及联合国人权系统内的工作组的合作十分积极。</w:t>
      </w:r>
    </w:p>
    <w:p w:rsidR="0061601F" w:rsidRDefault="0061601F">
      <w:pPr>
        <w:pStyle w:val="SingleTxtGC"/>
        <w:rPr>
          <w:rFonts w:hint="eastAsia"/>
        </w:rPr>
      </w:pPr>
      <w:r>
        <w:rPr>
          <w:rFonts w:hint="eastAsia"/>
        </w:rPr>
        <w:t xml:space="preserve">6.  </w:t>
      </w:r>
      <w:r>
        <w:rPr>
          <w:rFonts w:hint="eastAsia"/>
        </w:rPr>
        <w:t>委员会赞扬宪法法院的判例及其大量参考和执行了国际人权标准。</w:t>
      </w:r>
    </w:p>
    <w:p w:rsidR="0061601F" w:rsidRDefault="0061601F">
      <w:pPr>
        <w:pStyle w:val="SingleTxtGC"/>
        <w:rPr>
          <w:rFonts w:hint="eastAsia"/>
        </w:rPr>
      </w:pPr>
      <w:r>
        <w:rPr>
          <w:rFonts w:hint="eastAsia"/>
        </w:rPr>
        <w:t xml:space="preserve">7.  </w:t>
      </w:r>
      <w:r>
        <w:rPr>
          <w:rFonts w:hint="eastAsia"/>
        </w:rPr>
        <w:t>委员会热烈欢迎在</w:t>
      </w:r>
      <w:r>
        <w:rPr>
          <w:rFonts w:hint="eastAsia"/>
        </w:rPr>
        <w:t>2004</w:t>
      </w:r>
      <w:r>
        <w:rPr>
          <w:rFonts w:hint="eastAsia"/>
        </w:rPr>
        <w:t>年审查了第五次定期报告后的这段时间内，缔约国批准了下列文书：</w:t>
      </w:r>
    </w:p>
    <w:p w:rsidR="0061601F" w:rsidRDefault="0061601F">
      <w:pPr>
        <w:pStyle w:val="SingleTxtGC"/>
        <w:numPr>
          <w:ilvl w:val="0"/>
          <w:numId w:val="44"/>
        </w:numPr>
        <w:rPr>
          <w:rFonts w:hint="eastAsia"/>
        </w:rPr>
      </w:pPr>
      <w:r>
        <w:rPr>
          <w:rFonts w:hint="eastAsia"/>
        </w:rPr>
        <w:t>《消除对妇女一切形式歧视公约任择议定书》，</w:t>
      </w:r>
      <w:r>
        <w:rPr>
          <w:rFonts w:hint="eastAsia"/>
        </w:rPr>
        <w:t>2007</w:t>
      </w:r>
      <w:r>
        <w:rPr>
          <w:rFonts w:hint="eastAsia"/>
        </w:rPr>
        <w:t>年</w:t>
      </w:r>
      <w:r>
        <w:rPr>
          <w:rFonts w:hint="eastAsia"/>
        </w:rPr>
        <w:t>1</w:t>
      </w:r>
      <w:r>
        <w:rPr>
          <w:rFonts w:hint="eastAsia"/>
        </w:rPr>
        <w:t>月</w:t>
      </w:r>
      <w:r>
        <w:rPr>
          <w:rFonts w:hint="eastAsia"/>
        </w:rPr>
        <w:t>23</w:t>
      </w:r>
      <w:r>
        <w:rPr>
          <w:rFonts w:hint="eastAsia"/>
        </w:rPr>
        <w:t>日；</w:t>
      </w:r>
    </w:p>
    <w:p w:rsidR="0061601F" w:rsidRDefault="0061601F">
      <w:pPr>
        <w:pStyle w:val="SingleTxtGC"/>
        <w:numPr>
          <w:ilvl w:val="0"/>
          <w:numId w:val="44"/>
        </w:numPr>
        <w:rPr>
          <w:rFonts w:hint="eastAsia"/>
        </w:rPr>
      </w:pPr>
      <w:r>
        <w:rPr>
          <w:rFonts w:hint="eastAsia"/>
        </w:rPr>
        <w:t>《儿童权利公约关于儿童卷入武装冲突问题的任择议定书》，</w:t>
      </w:r>
      <w:r>
        <w:rPr>
          <w:rFonts w:hint="eastAsia"/>
        </w:rPr>
        <w:t>2005</w:t>
      </w:r>
      <w:r>
        <w:rPr>
          <w:rFonts w:hint="eastAsia"/>
        </w:rPr>
        <w:t>年</w:t>
      </w:r>
      <w:r>
        <w:rPr>
          <w:rFonts w:hint="eastAsia"/>
        </w:rPr>
        <w:t>5</w:t>
      </w:r>
      <w:r>
        <w:rPr>
          <w:rFonts w:hint="eastAsia"/>
        </w:rPr>
        <w:t>月</w:t>
      </w:r>
      <w:r>
        <w:rPr>
          <w:rFonts w:hint="eastAsia"/>
        </w:rPr>
        <w:t>25</w:t>
      </w:r>
      <w:r>
        <w:rPr>
          <w:rFonts w:hint="eastAsia"/>
        </w:rPr>
        <w:t>日；</w:t>
      </w:r>
    </w:p>
    <w:p w:rsidR="0061601F" w:rsidRDefault="0061601F">
      <w:pPr>
        <w:pStyle w:val="SingleTxtGC"/>
        <w:numPr>
          <w:ilvl w:val="0"/>
          <w:numId w:val="44"/>
        </w:numPr>
        <w:rPr>
          <w:rFonts w:hint="eastAsia"/>
        </w:rPr>
      </w:pPr>
      <w:r>
        <w:rPr>
          <w:rFonts w:hint="eastAsia"/>
        </w:rPr>
        <w:t>《美洲被迫失踪人士公约》，</w:t>
      </w:r>
      <w:r>
        <w:rPr>
          <w:rFonts w:hint="eastAsia"/>
        </w:rPr>
        <w:t>2005</w:t>
      </w:r>
      <w:r>
        <w:rPr>
          <w:rFonts w:hint="eastAsia"/>
        </w:rPr>
        <w:t>年</w:t>
      </w:r>
      <w:r>
        <w:rPr>
          <w:rFonts w:hint="eastAsia"/>
        </w:rPr>
        <w:t>4</w:t>
      </w:r>
      <w:r>
        <w:rPr>
          <w:rFonts w:hint="eastAsia"/>
        </w:rPr>
        <w:t>月</w:t>
      </w:r>
      <w:r>
        <w:rPr>
          <w:rFonts w:hint="eastAsia"/>
        </w:rPr>
        <w:t>12</w:t>
      </w:r>
      <w:r>
        <w:rPr>
          <w:rFonts w:hint="eastAsia"/>
        </w:rPr>
        <w:t>日；</w:t>
      </w:r>
    </w:p>
    <w:p w:rsidR="0061601F" w:rsidRDefault="0061601F">
      <w:pPr>
        <w:pStyle w:val="SingleTxtGC"/>
        <w:numPr>
          <w:ilvl w:val="0"/>
          <w:numId w:val="44"/>
        </w:numPr>
        <w:rPr>
          <w:rFonts w:hint="eastAsia"/>
        </w:rPr>
      </w:pPr>
      <w:r>
        <w:rPr>
          <w:rFonts w:hint="eastAsia"/>
        </w:rPr>
        <w:t>劳工组织《禁止和立即行动消除最有害的童工形式公约》</w:t>
      </w:r>
      <w:r>
        <w:rPr>
          <w:rFonts w:hint="eastAsia"/>
        </w:rPr>
        <w:t>(</w:t>
      </w:r>
      <w:r>
        <w:rPr>
          <w:rFonts w:hint="eastAsia"/>
        </w:rPr>
        <w:t>第</w:t>
      </w:r>
      <w:r>
        <w:rPr>
          <w:rFonts w:hint="eastAsia"/>
        </w:rPr>
        <w:t>182</w:t>
      </w:r>
      <w:r>
        <w:rPr>
          <w:rFonts w:hint="eastAsia"/>
        </w:rPr>
        <w:t>号公约</w:t>
      </w:r>
      <w:r>
        <w:rPr>
          <w:rFonts w:hint="eastAsia"/>
        </w:rPr>
        <w:t>)</w:t>
      </w:r>
      <w:r>
        <w:rPr>
          <w:rFonts w:hint="eastAsia"/>
        </w:rPr>
        <w:t>，</w:t>
      </w:r>
      <w:r>
        <w:rPr>
          <w:rFonts w:hint="eastAsia"/>
        </w:rPr>
        <w:t>2005</w:t>
      </w:r>
      <w:r>
        <w:rPr>
          <w:rFonts w:hint="eastAsia"/>
        </w:rPr>
        <w:t>年</w:t>
      </w:r>
      <w:r>
        <w:rPr>
          <w:rFonts w:hint="eastAsia"/>
        </w:rPr>
        <w:t>1</w:t>
      </w:r>
      <w:r>
        <w:rPr>
          <w:rFonts w:hint="eastAsia"/>
        </w:rPr>
        <w:t>月</w:t>
      </w:r>
      <w:r>
        <w:rPr>
          <w:rFonts w:hint="eastAsia"/>
        </w:rPr>
        <w:t>28</w:t>
      </w:r>
      <w:r>
        <w:rPr>
          <w:rFonts w:hint="eastAsia"/>
        </w:rPr>
        <w:t>日。</w:t>
      </w:r>
    </w:p>
    <w:p w:rsidR="0061601F" w:rsidRDefault="0061601F">
      <w:pPr>
        <w:pStyle w:val="H1GC"/>
        <w:rPr>
          <w:rFonts w:hint="eastAsia"/>
        </w:rPr>
      </w:pPr>
      <w:r>
        <w:rPr>
          <w:rFonts w:hint="eastAsia"/>
        </w:rPr>
        <w:tab/>
        <w:t>C.</w:t>
      </w:r>
      <w:r>
        <w:rPr>
          <w:rFonts w:hint="eastAsia"/>
        </w:rPr>
        <w:tab/>
      </w:r>
      <w:r>
        <w:rPr>
          <w:rFonts w:hint="eastAsia"/>
        </w:rPr>
        <w:t>主要关注的问题和建议</w:t>
      </w:r>
    </w:p>
    <w:p w:rsidR="0061601F" w:rsidRDefault="0061601F">
      <w:pPr>
        <w:pStyle w:val="SingleTxtGC"/>
        <w:rPr>
          <w:rFonts w:hint="eastAsia"/>
        </w:rPr>
      </w:pPr>
      <w:r>
        <w:rPr>
          <w:rFonts w:hint="eastAsia"/>
        </w:rPr>
        <w:t xml:space="preserve">8.  </w:t>
      </w:r>
      <w:r>
        <w:rPr>
          <w:rFonts w:hint="eastAsia"/>
        </w:rPr>
        <w:t>委员会关切地注意到，在执行委员会先前的一些建议方面没有取得显著的进展</w:t>
      </w:r>
      <w:r>
        <w:rPr>
          <w:rFonts w:hint="eastAsia"/>
        </w:rPr>
        <w:t>(</w:t>
      </w:r>
      <w:r>
        <w:rPr>
          <w:rFonts w:hint="eastAsia"/>
        </w:rPr>
        <w:t>包括有关非法武装集团成员复员后获得法律上的宽容、武装部队和准军事团体成员之间的勾结，不对严重侵犯人权事件和针对人权维护者的攻击进行调查</w:t>
      </w:r>
      <w:r>
        <w:rPr>
          <w:rFonts w:hint="eastAsia"/>
        </w:rPr>
        <w:t>)</w:t>
      </w:r>
      <w:r>
        <w:rPr>
          <w:rFonts w:hint="eastAsia"/>
        </w:rPr>
        <w:t>。委员会感到遗憾的是仍存在许多令人关切的问题</w:t>
      </w:r>
      <w:r>
        <w:rPr>
          <w:rFonts w:hint="eastAsia"/>
        </w:rPr>
        <w:t>(</w:t>
      </w:r>
      <w:r>
        <w:rPr>
          <w:rFonts w:hint="eastAsia"/>
        </w:rPr>
        <w:t>《公约》第二条</w:t>
      </w:r>
      <w:r>
        <w:rPr>
          <w:rFonts w:hint="eastAsia"/>
        </w:rPr>
        <w:t>)</w:t>
      </w:r>
      <w:r>
        <w:rPr>
          <w:rFonts w:hint="eastAsia"/>
        </w:rPr>
        <w:t>。</w:t>
      </w:r>
    </w:p>
    <w:p w:rsidR="0061601F" w:rsidRDefault="0061601F">
      <w:pPr>
        <w:pStyle w:val="SingleTxtGC"/>
        <w:rPr>
          <w:rFonts w:eastAsia="SimHei" w:hint="eastAsia"/>
        </w:rPr>
      </w:pPr>
      <w:r>
        <w:rPr>
          <w:rFonts w:eastAsia="SimHei" w:hint="eastAsia"/>
        </w:rPr>
        <w:t>缔约国应采取一切必要措施，全力落实委员会通过的所有建议。</w:t>
      </w:r>
    </w:p>
    <w:p w:rsidR="0061601F" w:rsidRDefault="0061601F">
      <w:pPr>
        <w:pStyle w:val="SingleTxtGC"/>
        <w:rPr>
          <w:rFonts w:hint="eastAsia"/>
        </w:rPr>
      </w:pPr>
      <w:r>
        <w:rPr>
          <w:rFonts w:hint="eastAsia"/>
        </w:rPr>
        <w:t xml:space="preserve">9.  </w:t>
      </w:r>
      <w:r>
        <w:rPr>
          <w:rFonts w:hint="eastAsia"/>
        </w:rPr>
        <w:t>委员会对</w:t>
      </w:r>
      <w:r>
        <w:rPr>
          <w:rFonts w:hint="eastAsia"/>
        </w:rPr>
        <w:t>2005</w:t>
      </w:r>
      <w:r>
        <w:rPr>
          <w:rFonts w:hint="eastAsia"/>
        </w:rPr>
        <w:t>年第</w:t>
      </w:r>
      <w:r>
        <w:rPr>
          <w:rFonts w:hint="eastAsia"/>
        </w:rPr>
        <w:t>975</w:t>
      </w:r>
      <w:r>
        <w:rPr>
          <w:rFonts w:hint="eastAsia"/>
        </w:rPr>
        <w:t>号法律</w:t>
      </w:r>
      <w:r>
        <w:rPr>
          <w:rFonts w:hint="eastAsia"/>
        </w:rPr>
        <w:t>(</w:t>
      </w:r>
      <w:r>
        <w:rPr>
          <w:rFonts w:hint="eastAsia"/>
        </w:rPr>
        <w:t>正义与和平法</w:t>
      </w:r>
      <w:r>
        <w:rPr>
          <w:rFonts w:hint="eastAsia"/>
        </w:rPr>
        <w:t>)</w:t>
      </w:r>
      <w:r>
        <w:rPr>
          <w:rFonts w:hint="eastAsia"/>
        </w:rPr>
        <w:t>表示关切，尽管缔约国申明</w:t>
      </w:r>
      <w:r>
        <w:rPr>
          <w:rFonts w:hint="eastAsia"/>
        </w:rPr>
        <w:t>(</w:t>
      </w:r>
      <w:r>
        <w:rPr>
          <w:rFonts w:hint="eastAsia"/>
        </w:rPr>
        <w:t>其报告第</w:t>
      </w:r>
      <w:r>
        <w:rPr>
          <w:rFonts w:hint="eastAsia"/>
        </w:rPr>
        <w:t>49</w:t>
      </w:r>
      <w:r>
        <w:rPr>
          <w:rFonts w:hint="eastAsia"/>
        </w:rPr>
        <w:t>段及口头答复</w:t>
      </w:r>
      <w:r>
        <w:rPr>
          <w:rFonts w:hint="eastAsia"/>
        </w:rPr>
        <w:t>)</w:t>
      </w:r>
      <w:r>
        <w:rPr>
          <w:rFonts w:hint="eastAsia"/>
        </w:rPr>
        <w:t>该法对这类罪行不准大赦，但事实上却在许多严重侵犯人权事件方面存在着有罪不罚的情况。在超过</w:t>
      </w:r>
      <w:r>
        <w:rPr>
          <w:rFonts w:hint="eastAsia"/>
        </w:rPr>
        <w:t>30,000</w:t>
      </w:r>
      <w:r>
        <w:rPr>
          <w:rFonts w:hint="eastAsia"/>
        </w:rPr>
        <w:t>名复员的准军事人员中，大多数都没有利用第</w:t>
      </w:r>
      <w:r>
        <w:rPr>
          <w:rFonts w:hint="eastAsia"/>
        </w:rPr>
        <w:t>975</w:t>
      </w:r>
      <w:r>
        <w:rPr>
          <w:rFonts w:hint="eastAsia"/>
        </w:rPr>
        <w:t>号法律，他们的法律地位不够明确。委员会关切地注意到只对两个人作了有罪判决，也只启动了很少的调查，尽管在被起诉的准军事成员的自由陈述中显示了蓄意的暴力行为。委员会也关切地注意到，复员之后在该国某些地方出现的新团体的操作类似已知道的准军事组合的行动方式。委员会强调</w:t>
      </w:r>
      <w:r>
        <w:rPr>
          <w:rFonts w:hint="eastAsia"/>
        </w:rPr>
        <w:t>2009</w:t>
      </w:r>
      <w:r>
        <w:rPr>
          <w:rFonts w:hint="eastAsia"/>
        </w:rPr>
        <w:t>年</w:t>
      </w:r>
      <w:r>
        <w:rPr>
          <w:rFonts w:hint="eastAsia"/>
        </w:rPr>
        <w:t>7</w:t>
      </w:r>
      <w:r>
        <w:rPr>
          <w:rFonts w:hint="eastAsia"/>
        </w:rPr>
        <w:t>月通过的关于落实任意决定起诉原则第</w:t>
      </w:r>
      <w:r>
        <w:rPr>
          <w:rFonts w:hint="eastAsia"/>
        </w:rPr>
        <w:t>1312</w:t>
      </w:r>
      <w:r>
        <w:rPr>
          <w:rFonts w:hint="eastAsia"/>
        </w:rPr>
        <w:t>号法律，如果是在没有考虑到人权准则的情况下作出不予刑事起诉的决定，可能导致有罪不罚情况，因此侵犯了受害者获得有效补救的权利。委员会向缔约国指出，根据它的第</w:t>
      </w:r>
      <w:r>
        <w:rPr>
          <w:rFonts w:hint="eastAsia"/>
        </w:rPr>
        <w:t>31</w:t>
      </w:r>
      <w:r>
        <w:rPr>
          <w:rFonts w:hint="eastAsia"/>
        </w:rPr>
        <w:t>号一般性意见</w:t>
      </w:r>
      <w:r>
        <w:rPr>
          <w:rFonts w:hint="eastAsia"/>
        </w:rPr>
        <w:t>(CCPR/C/21/Rev.1/Add.13, 2004)</w:t>
      </w:r>
      <w:r>
        <w:rPr>
          <w:rFonts w:hint="eastAsia"/>
        </w:rPr>
        <w:t>，“</w:t>
      </w:r>
      <w:r>
        <w:rPr>
          <w:rFonts w:eastAsia="KaiTi_GB2312" w:hint="eastAsia"/>
        </w:rPr>
        <w:t>通过独立和公正的机构，迅速、彻底和有效地调查指称的侵犯的一般义务……</w:t>
      </w:r>
      <w:r>
        <w:rPr>
          <w:rFonts w:eastAsia="KaiTi_GB2312" w:hint="eastAsia"/>
        </w:rPr>
        <w:t>[</w:t>
      </w:r>
      <w:r>
        <w:rPr>
          <w:rFonts w:eastAsia="KaiTi_GB2312" w:hint="eastAsia"/>
        </w:rPr>
        <w:t>以及</w:t>
      </w:r>
      <w:r>
        <w:rPr>
          <w:rFonts w:eastAsia="KaiTi_GB2312" w:hint="eastAsia"/>
        </w:rPr>
        <w:t>]</w:t>
      </w:r>
      <w:r>
        <w:rPr>
          <w:rFonts w:eastAsia="KaiTi_GB2312" w:hint="eastAsia"/>
        </w:rPr>
        <w:t>委员会一直关切的关于这些侵犯不受惩罚问题，也极可能是侵犯事件再三发生的主要因素</w:t>
      </w:r>
      <w:r>
        <w:rPr>
          <w:rFonts w:hint="eastAsia"/>
        </w:rPr>
        <w:t>”</w:t>
      </w:r>
      <w:r>
        <w:rPr>
          <w:rFonts w:hint="eastAsia"/>
        </w:rPr>
        <w:t>(</w:t>
      </w:r>
      <w:r>
        <w:rPr>
          <w:rFonts w:hint="eastAsia"/>
        </w:rPr>
        <w:t>第二、六和七条</w:t>
      </w:r>
      <w:r>
        <w:rPr>
          <w:rFonts w:hint="eastAsia"/>
        </w:rPr>
        <w:t>)</w:t>
      </w:r>
      <w:r>
        <w:rPr>
          <w:rFonts w:hint="eastAsia"/>
        </w:rPr>
        <w:t>。</w:t>
      </w:r>
    </w:p>
    <w:p w:rsidR="0061601F" w:rsidRDefault="0061601F">
      <w:pPr>
        <w:pStyle w:val="SingleTxtGC"/>
        <w:rPr>
          <w:rFonts w:eastAsia="SimHei" w:hint="eastAsia"/>
        </w:rPr>
      </w:pPr>
      <w:r>
        <w:rPr>
          <w:rFonts w:eastAsia="SimHei" w:hint="eastAsia"/>
        </w:rPr>
        <w:t>缔约国应该履行载于《公约》及其他国际文书，包括《国际刑事法院罗马规约》中的义务，和对严重侵犯人权和人道主义法事件进行调查和加以惩罚，并根据事件的严重性予以量刑。</w:t>
      </w:r>
    </w:p>
    <w:p w:rsidR="0061601F" w:rsidRDefault="0061601F">
      <w:pPr>
        <w:pStyle w:val="SingleTxtGC"/>
        <w:rPr>
          <w:rFonts w:hint="eastAsia"/>
        </w:rPr>
      </w:pPr>
      <w:r>
        <w:rPr>
          <w:rFonts w:hint="eastAsia"/>
        </w:rPr>
        <w:t xml:space="preserve">10.  </w:t>
      </w:r>
      <w:r>
        <w:rPr>
          <w:rFonts w:hint="eastAsia"/>
        </w:rPr>
        <w:t>委员会注意到在</w:t>
      </w:r>
      <w:r>
        <w:rPr>
          <w:rFonts w:hint="eastAsia"/>
        </w:rPr>
        <w:t>2009</w:t>
      </w:r>
      <w:r>
        <w:rPr>
          <w:rFonts w:hint="eastAsia"/>
        </w:rPr>
        <w:t>年年底，有</w:t>
      </w:r>
      <w:r>
        <w:rPr>
          <w:rFonts w:hint="eastAsia"/>
        </w:rPr>
        <w:t>280,420</w:t>
      </w:r>
      <w:r>
        <w:rPr>
          <w:rFonts w:hint="eastAsia"/>
        </w:rPr>
        <w:t>名受害者根据</w:t>
      </w:r>
      <w:r>
        <w:rPr>
          <w:rFonts w:hint="eastAsia"/>
        </w:rPr>
        <w:t>2005</w:t>
      </w:r>
      <w:r>
        <w:rPr>
          <w:rFonts w:hint="eastAsia"/>
        </w:rPr>
        <w:t>年第</w:t>
      </w:r>
      <w:r>
        <w:rPr>
          <w:rFonts w:hint="eastAsia"/>
        </w:rPr>
        <w:t>975</w:t>
      </w:r>
      <w:r>
        <w:rPr>
          <w:rFonts w:hint="eastAsia"/>
        </w:rPr>
        <w:t>号法律加以登记，而它感到关切的是迄今通过法律途径得到赔偿的受害者只有一宗。委员会注意到缔约国通过行政手段设立了一个赔偿计划</w:t>
      </w:r>
      <w:r>
        <w:rPr>
          <w:rFonts w:hint="eastAsia"/>
        </w:rPr>
        <w:t>(2008</w:t>
      </w:r>
      <w:r>
        <w:rPr>
          <w:rFonts w:hint="eastAsia"/>
        </w:rPr>
        <w:t>年第</w:t>
      </w:r>
      <w:r>
        <w:rPr>
          <w:rFonts w:hint="eastAsia"/>
        </w:rPr>
        <w:t>1290</w:t>
      </w:r>
      <w:r>
        <w:rPr>
          <w:rFonts w:hint="eastAsia"/>
        </w:rPr>
        <w:t>号法令</w:t>
      </w:r>
      <w:r>
        <w:rPr>
          <w:rFonts w:hint="eastAsia"/>
        </w:rPr>
        <w:t>)</w:t>
      </w:r>
      <w:r>
        <w:rPr>
          <w:rFonts w:hint="eastAsia"/>
        </w:rPr>
        <w:t>并在逐渐执行，然而，它感到关切的是这个计划的依据是团结的原则，而尽管提到了国家的附属或剩余责任，并没有明确承认国家的保证义务。委员会感到关切的是准则上的规定及其执行之间的出入。在实际上，赔偿具有人道主义援助的性质，迄今并没有考虑到进行整体的赔偿。委员会感到关切的是</w:t>
      </w:r>
      <w:r>
        <w:rPr>
          <w:rFonts w:hint="eastAsia"/>
        </w:rPr>
        <w:t>1290</w:t>
      </w:r>
      <w:r>
        <w:rPr>
          <w:rFonts w:hint="eastAsia"/>
        </w:rPr>
        <w:t>号法令不承认国家人员行为的受害者。委员会感到遗憾的是迄今还未启动集体赔偿的机制</w:t>
      </w:r>
      <w:r>
        <w:rPr>
          <w:rFonts w:hint="eastAsia"/>
        </w:rPr>
        <w:t>(</w:t>
      </w:r>
      <w:r>
        <w:rPr>
          <w:rFonts w:hint="eastAsia"/>
        </w:rPr>
        <w:t>第二条</w:t>
      </w:r>
      <w:r>
        <w:rPr>
          <w:rFonts w:hint="eastAsia"/>
        </w:rPr>
        <w:t>)</w:t>
      </w:r>
      <w:r>
        <w:rPr>
          <w:rFonts w:hint="eastAsia"/>
        </w:rPr>
        <w:t>。</w:t>
      </w:r>
    </w:p>
    <w:p w:rsidR="0061601F" w:rsidRDefault="0061601F">
      <w:pPr>
        <w:pStyle w:val="SingleTxtGC"/>
        <w:rPr>
          <w:rFonts w:eastAsia="SimHei" w:hint="eastAsia"/>
        </w:rPr>
      </w:pPr>
      <w:r>
        <w:rPr>
          <w:rFonts w:eastAsia="SimHei" w:hint="eastAsia"/>
        </w:rPr>
        <w:t>缔约国应确保通过立法和执行一个充分保证有效补救权利和获得全面赔偿权利的政策。在执行这个法律时应考虑到《严重违反国际人权法和严重违反国际人道主义法行为的受害人获得补救和赔偿的权利基本原则和准则》</w:t>
      </w:r>
      <w:r>
        <w:rPr>
          <w:rFonts w:eastAsia="SimHei" w:hint="eastAsia"/>
        </w:rPr>
        <w:t>(A/RES/60/147, 2006)</w:t>
      </w:r>
      <w:r>
        <w:rPr>
          <w:rFonts w:eastAsia="SimHei" w:hint="eastAsia"/>
        </w:rPr>
        <w:t>，并考虑到该权利的五个要素：恢复原状、补偿、康复、满足和保证不再发生。应特别注意男女平等问题和儿童受害者、非洲裔哥伦比亚人或土著人民。应特别指定一笔资源用来提供心理和社会护理和康复。</w:t>
      </w:r>
    </w:p>
    <w:p w:rsidR="0061601F" w:rsidRDefault="0061601F">
      <w:pPr>
        <w:pStyle w:val="SingleTxtGC"/>
        <w:rPr>
          <w:rFonts w:hint="eastAsia"/>
        </w:rPr>
      </w:pPr>
      <w:r>
        <w:rPr>
          <w:rFonts w:hint="eastAsia"/>
        </w:rPr>
        <w:t xml:space="preserve">11.  </w:t>
      </w:r>
      <w:r>
        <w:rPr>
          <w:rFonts w:hint="eastAsia"/>
        </w:rPr>
        <w:t>委员会表示关切的是，准军事集团领导人因贩运毒品指控被引渡至美利坚合众国受审，这一状况阻碍了对他们严重侵犯人权责任的调查。因此在这种情况下进行引渡导致受害人诉诸司法、了解真相和获得补救的权利受到阻碍，违反了缔约国对酷刑罪进行调查、审讯和惩处的责任</w:t>
      </w:r>
      <w:r>
        <w:rPr>
          <w:rFonts w:hint="eastAsia"/>
        </w:rPr>
        <w:t>(</w:t>
      </w:r>
      <w:r>
        <w:rPr>
          <w:rFonts w:hint="eastAsia"/>
        </w:rPr>
        <w:t>《公约》第二、六条和第七条</w:t>
      </w:r>
      <w:r>
        <w:rPr>
          <w:rFonts w:hint="eastAsia"/>
        </w:rPr>
        <w:t>)</w:t>
      </w:r>
      <w:r>
        <w:rPr>
          <w:rFonts w:hint="eastAsia"/>
        </w:rPr>
        <w:t>。</w:t>
      </w:r>
    </w:p>
    <w:p w:rsidR="0061601F" w:rsidRDefault="0061601F">
      <w:pPr>
        <w:pStyle w:val="SingleTxtGC"/>
        <w:rPr>
          <w:rFonts w:eastAsia="SimHei" w:hint="eastAsia"/>
        </w:rPr>
      </w:pPr>
      <w:r>
        <w:rPr>
          <w:rFonts w:eastAsia="SimHei" w:hint="eastAsia"/>
        </w:rPr>
        <w:t>缔约国应确保引渡不妨碍对严重侵犯人权事项进行调查、审讯和惩处。缔约国应采取步骤，确保被引渡者在哥伦比亚就严重侵犯人权事项进行调查方面的合作。缔约国还应确保今后的引渡行为在一个承认《公约》规定的义务的法律框架内实施。</w:t>
      </w:r>
    </w:p>
    <w:p w:rsidR="0061601F" w:rsidRDefault="0061601F">
      <w:pPr>
        <w:pStyle w:val="SingleTxtGC"/>
        <w:rPr>
          <w:rFonts w:hint="eastAsia"/>
        </w:rPr>
      </w:pPr>
      <w:r>
        <w:rPr>
          <w:rFonts w:hint="eastAsia"/>
        </w:rPr>
        <w:t xml:space="preserve">12.  </w:t>
      </w:r>
      <w:r>
        <w:rPr>
          <w:rFonts w:hint="eastAsia"/>
        </w:rPr>
        <w:t>委员会严重关切的是严重侵犯人权事件，包括法外处决、被迫失踪、酷刑、强奸和招募儿童参与武装冲突等事件继续发生。委员会强调在酷刑案件和有关调查的数字方面严重缺乏统计数字和精确的资料。委员会注意到诸如妇女、儿童、种族少数人、流离失所人士、监狱人口、男女同性恋者、双性恋者和变性人等群体特别易受伤害。委员会关切的是欠缺刑事调查，以及现行调查进展很慢，因为许多这类案子还处在调查前阶段，因而继续导致了严重侵犯人权的有罪不罚现象</w:t>
      </w:r>
      <w:r>
        <w:rPr>
          <w:rFonts w:hint="eastAsia"/>
        </w:rPr>
        <w:t>(</w:t>
      </w:r>
      <w:r>
        <w:rPr>
          <w:rFonts w:hint="eastAsia"/>
        </w:rPr>
        <w:t>第二、三、六、七、二十四和二十六条</w:t>
      </w:r>
      <w:r>
        <w:rPr>
          <w:rFonts w:hint="eastAsia"/>
        </w:rPr>
        <w:t>)</w:t>
      </w:r>
      <w:r>
        <w:rPr>
          <w:rFonts w:hint="eastAsia"/>
        </w:rPr>
        <w:t>。</w:t>
      </w:r>
    </w:p>
    <w:p w:rsidR="0061601F" w:rsidRDefault="0061601F">
      <w:pPr>
        <w:pStyle w:val="SingleTxtGC"/>
        <w:rPr>
          <w:rFonts w:eastAsia="SimHei" w:hint="eastAsia"/>
        </w:rPr>
      </w:pPr>
      <w:r>
        <w:rPr>
          <w:rFonts w:eastAsia="SimHei" w:hint="eastAsia"/>
        </w:rPr>
        <w:t>缔约国应确保由有关当局进行迅速和公正的调查。根据罪行的严重性惩罚侵犯人权事件。缔约国应为人权和国际人道主义法提供额外资源，以便加快其工作。委员会强调指派给该单位的案件的重要性。缔约国也必须加强对司法人员和所有证人和受害人的保安措施。缔约国应设立一个中央系统，使其能鉴定所有的严重侵犯人权案件和适当地监督对其进行的调查。</w:t>
      </w:r>
    </w:p>
    <w:p w:rsidR="0061601F" w:rsidRDefault="0061601F">
      <w:pPr>
        <w:pStyle w:val="SingleTxtGC"/>
        <w:rPr>
          <w:rFonts w:hint="eastAsia"/>
        </w:rPr>
      </w:pPr>
      <w:r>
        <w:rPr>
          <w:rFonts w:hint="eastAsia"/>
        </w:rPr>
        <w:t xml:space="preserve">13.  </w:t>
      </w:r>
      <w:r>
        <w:rPr>
          <w:rFonts w:hint="eastAsia"/>
        </w:rPr>
        <w:t>委员会承认缔约国积极作出了努力，通过设立旨在预防强迫流离失所和其他严重侵犯人权行为的人权监察员预警系统来防止公然侵犯人权。它也注意到在非常脆弱的人口群体里有社区捍卫者的存在。然而，委员会感到关切的是有越来越多的预警系统危险报告并没有被机构间预警委员会转换为预先警告，并注意到在某些情况下也没有反应或有效的预防措施，有时候会继续导致大规模的流离失所</w:t>
      </w:r>
      <w:r>
        <w:rPr>
          <w:rFonts w:hint="eastAsia"/>
        </w:rPr>
        <w:t>(</w:t>
      </w:r>
      <w:r>
        <w:rPr>
          <w:rFonts w:hint="eastAsia"/>
        </w:rPr>
        <w:t>第二条</w:t>
      </w:r>
      <w:r>
        <w:rPr>
          <w:rFonts w:hint="eastAsia"/>
        </w:rPr>
        <w:t>)</w:t>
      </w:r>
      <w:r>
        <w:rPr>
          <w:rFonts w:hint="eastAsia"/>
        </w:rPr>
        <w:t>。</w:t>
      </w:r>
    </w:p>
    <w:p w:rsidR="0061601F" w:rsidRDefault="0061601F">
      <w:pPr>
        <w:pStyle w:val="SingleTxtGC"/>
        <w:rPr>
          <w:rFonts w:eastAsia="SimHei" w:hint="eastAsia"/>
        </w:rPr>
      </w:pPr>
      <w:r>
        <w:rPr>
          <w:rFonts w:eastAsia="SimHei" w:hint="eastAsia"/>
        </w:rPr>
        <w:t>缔约国必须加强预警系统，确保采取预防措施以及让省、市和其他级别的民事当局参与预防措施的协调工作。缔约国必须监察和跟进所有风险报告，不论机构间预警委员会是否将其落实为预警。同样地，缔约国必须在高风险的侵犯人权地区加设人权监察员和扩大社区维护者计划的规模。</w:t>
      </w:r>
    </w:p>
    <w:p w:rsidR="0061601F" w:rsidRDefault="0061601F">
      <w:pPr>
        <w:pStyle w:val="SingleTxtGC"/>
        <w:rPr>
          <w:rFonts w:hint="eastAsia"/>
        </w:rPr>
      </w:pPr>
      <w:r>
        <w:rPr>
          <w:rFonts w:hint="eastAsia"/>
        </w:rPr>
        <w:t xml:space="preserve">14.  </w:t>
      </w:r>
      <w:r>
        <w:rPr>
          <w:rFonts w:hint="eastAsia"/>
        </w:rPr>
        <w:t>委员会深为关切的是普遍发生平民被法外处决的现象，随后却被保安部队称为是战斗伤亡。委员会对接到许多关于下列的申诉表示关切：国防部在没有内部监督的情况下提供奖励和支付奖金的指令导致了许多平民被处决。委员会注意到缔约国为了制止法外处决所采取的措施；但它感到关切的是发生了超过</w:t>
      </w:r>
      <w:r>
        <w:rPr>
          <w:rFonts w:hint="eastAsia"/>
        </w:rPr>
        <w:t>1,200</w:t>
      </w:r>
      <w:r>
        <w:rPr>
          <w:rFonts w:hint="eastAsia"/>
        </w:rPr>
        <w:t>宗案件，而却没有多少人被判刑。委员会关切地注意到法外处决案件中在被指称的肇事者是保安部队成员时则继续由军事司法系统审理</w:t>
      </w:r>
      <w:r>
        <w:rPr>
          <w:rFonts w:hint="eastAsia"/>
        </w:rPr>
        <w:t>(</w:t>
      </w:r>
      <w:r>
        <w:rPr>
          <w:rFonts w:hint="eastAsia"/>
        </w:rPr>
        <w:t>第六和七条</w:t>
      </w:r>
      <w:r>
        <w:rPr>
          <w:rFonts w:hint="eastAsia"/>
        </w:rPr>
        <w:t>)</w:t>
      </w:r>
      <w:r>
        <w:rPr>
          <w:rFonts w:hint="eastAsia"/>
        </w:rPr>
        <w:t>。</w:t>
      </w:r>
    </w:p>
    <w:p w:rsidR="006F4C4D" w:rsidRDefault="0061601F">
      <w:pPr>
        <w:pStyle w:val="SingleTxtGC"/>
        <w:rPr>
          <w:rFonts w:hint="eastAsia"/>
        </w:rPr>
      </w:pPr>
      <w:r>
        <w:rPr>
          <w:rFonts w:eastAsia="SimHei" w:hint="eastAsia"/>
        </w:rPr>
        <w:t>缔约国应采取有效措施中止任何可导致类似法外处决等严重侵犯人权的国防部指示，并充分遵守其义务，确保严重的侵犯人权事件受到正常司法系统的公平调查，将有责任者绳之以法。委员会强调最高司法委员会在</w:t>
      </w:r>
      <w:r w:rsidR="006F4C4D" w:rsidRPr="00BD1A8C">
        <w:rPr>
          <w:rFonts w:eastAsia="SimHei" w:hint="eastAsia"/>
        </w:rPr>
        <w:t>解决管辖权冲突方面的责任。委员会也强调确保这类罪行明显和实际地不属军事法庭管辖的重要性。</w:t>
      </w:r>
    </w:p>
    <w:p w:rsidR="006F4C4D" w:rsidRDefault="006F4C4D">
      <w:pPr>
        <w:pStyle w:val="SingleTxtGC"/>
        <w:rPr>
          <w:rFonts w:eastAsia="SimHei" w:hint="eastAsia"/>
        </w:rPr>
      </w:pPr>
      <w:r>
        <w:rPr>
          <w:rFonts w:eastAsia="SimHei" w:hint="eastAsia"/>
        </w:rPr>
        <w:t>缔约国应保障这类案件的证人和他们亲人的安全。</w:t>
      </w:r>
    </w:p>
    <w:p w:rsidR="006F4C4D" w:rsidRDefault="006F4C4D">
      <w:pPr>
        <w:pStyle w:val="SingleTxtGC"/>
        <w:rPr>
          <w:rFonts w:eastAsia="SimHei" w:hint="eastAsia"/>
        </w:rPr>
      </w:pPr>
      <w:r>
        <w:rPr>
          <w:rFonts w:eastAsia="SimHei" w:hint="eastAsia"/>
        </w:rPr>
        <w:t>缔约国必须执行法外处决、即审即决或任意处决问题特别报告员在他于</w:t>
      </w:r>
      <w:r>
        <w:rPr>
          <w:rFonts w:eastAsia="SimHei" w:hint="eastAsia"/>
        </w:rPr>
        <w:t>2009</w:t>
      </w:r>
      <w:r>
        <w:rPr>
          <w:rFonts w:eastAsia="SimHei" w:hint="eastAsia"/>
        </w:rPr>
        <w:t>年访问哥伦比亚后提出的建议</w:t>
      </w:r>
      <w:r>
        <w:rPr>
          <w:rFonts w:eastAsia="SimHei" w:hint="eastAsia"/>
        </w:rPr>
        <w:t>(A/HRC/14/24/Add.2)</w:t>
      </w:r>
      <w:r>
        <w:rPr>
          <w:rFonts w:eastAsia="SimHei" w:hint="eastAsia"/>
        </w:rPr>
        <w:t>。</w:t>
      </w:r>
    </w:p>
    <w:p w:rsidR="006F4C4D" w:rsidRDefault="006F4C4D">
      <w:pPr>
        <w:pStyle w:val="SingleTxtGC"/>
        <w:rPr>
          <w:rFonts w:hint="eastAsia"/>
        </w:rPr>
      </w:pPr>
      <w:r>
        <w:rPr>
          <w:rFonts w:hint="eastAsia"/>
        </w:rPr>
        <w:t xml:space="preserve">15.  </w:t>
      </w:r>
      <w:r>
        <w:rPr>
          <w:rFonts w:hint="eastAsia"/>
        </w:rPr>
        <w:t>委员会对被迫失踪的发生率很高以及在</w:t>
      </w:r>
      <w:r>
        <w:rPr>
          <w:rFonts w:hint="eastAsia"/>
        </w:rPr>
        <w:t>2009</w:t>
      </w:r>
      <w:r>
        <w:rPr>
          <w:rFonts w:hint="eastAsia"/>
        </w:rPr>
        <w:t>年末从乱葬坑中发现的尸体总共达到</w:t>
      </w:r>
      <w:r>
        <w:rPr>
          <w:rFonts w:hint="eastAsia"/>
        </w:rPr>
        <w:t>2,901</w:t>
      </w:r>
      <w:r>
        <w:rPr>
          <w:rFonts w:hint="eastAsia"/>
        </w:rPr>
        <w:t>个表示关切。委员会注意到这些乱葬坑主要是根据复员准军事人员的供词发现的。委员会注意到已作出努力以执行《搜寻失踪人士国家计划》，但它感到遗憾的是执行速度很慢，而且各个机构之间及它们与受害人亲人之间的缺少体制协调</w:t>
      </w:r>
      <w:r>
        <w:rPr>
          <w:rFonts w:hint="eastAsia"/>
        </w:rPr>
        <w:t>(</w:t>
      </w:r>
      <w:r>
        <w:rPr>
          <w:rFonts w:hint="eastAsia"/>
        </w:rPr>
        <w:t>第二和六条</w:t>
      </w:r>
      <w:r>
        <w:rPr>
          <w:rFonts w:hint="eastAsia"/>
        </w:rPr>
        <w:t>)</w:t>
      </w:r>
      <w:r>
        <w:rPr>
          <w:rFonts w:hint="eastAsia"/>
        </w:rPr>
        <w:t>。</w:t>
      </w:r>
    </w:p>
    <w:p w:rsidR="006F4C4D" w:rsidRDefault="006F4C4D">
      <w:pPr>
        <w:pStyle w:val="SingleTxtGC"/>
        <w:rPr>
          <w:rFonts w:eastAsia="SimHei" w:hint="eastAsia"/>
        </w:rPr>
      </w:pPr>
      <w:r>
        <w:rPr>
          <w:rFonts w:eastAsia="SimHei" w:hint="eastAsia"/>
        </w:rPr>
        <w:t>缔约国应采取有效步骤，为执行《搜寻失踪人士国家计划》划拨充分的资源，确保在所有相关主管部门之间进行适当的机构协调。缔约国应确保受害者的家庭和民间组织适当参与该进程，以便迅速地鉴定乱葬坑里尸体的身份。委员会请缔约国批准《保护所有人不遭受强迫失踪国际公约》。</w:t>
      </w:r>
    </w:p>
    <w:p w:rsidR="006F4C4D" w:rsidRDefault="006F4C4D">
      <w:pPr>
        <w:pStyle w:val="SingleTxtGC"/>
        <w:rPr>
          <w:rFonts w:hint="eastAsia"/>
        </w:rPr>
      </w:pPr>
      <w:r>
        <w:rPr>
          <w:rFonts w:hint="eastAsia"/>
        </w:rPr>
        <w:t xml:space="preserve">16.  </w:t>
      </w:r>
      <w:r>
        <w:rPr>
          <w:rFonts w:hint="eastAsia"/>
        </w:rPr>
        <w:t>委员会注意到若干公务员，包括在共和国总统办公室下设立的情报机构。安全行政局的一些前局长因为自</w:t>
      </w:r>
      <w:r>
        <w:rPr>
          <w:rFonts w:hint="eastAsia"/>
        </w:rPr>
        <w:t>2003</w:t>
      </w:r>
      <w:r>
        <w:rPr>
          <w:rFonts w:hint="eastAsia"/>
        </w:rPr>
        <w:t>年来对国际和区域组织、人权捍卫者、记者和司法人员有系统地进行的非法监视活动受到了调查。委员会特别关切的是情报人员对最高法院的法官进行了监视和威胁。委员会注意到总统已下令关闭安全行政局，并设立另一个情报机构</w:t>
      </w:r>
      <w:r>
        <w:rPr>
          <w:rFonts w:hint="eastAsia"/>
        </w:rPr>
        <w:t>(</w:t>
      </w:r>
      <w:r>
        <w:rPr>
          <w:rFonts w:hint="eastAsia"/>
        </w:rPr>
        <w:t>第十九条</w:t>
      </w:r>
      <w:r>
        <w:rPr>
          <w:rFonts w:hint="eastAsia"/>
        </w:rPr>
        <w:t>)</w:t>
      </w:r>
      <w:r>
        <w:rPr>
          <w:rFonts w:hint="eastAsia"/>
        </w:rPr>
        <w:t>。</w:t>
      </w:r>
    </w:p>
    <w:p w:rsidR="006F4C4D" w:rsidRDefault="006F4C4D">
      <w:pPr>
        <w:pStyle w:val="SingleTxtGC"/>
        <w:rPr>
          <w:rFonts w:eastAsia="SimHei" w:hint="eastAsia"/>
        </w:rPr>
      </w:pPr>
      <w:r>
        <w:rPr>
          <w:rFonts w:eastAsia="SimHei" w:hint="eastAsia"/>
        </w:rPr>
        <w:t>缔约国应对为情报处制定严格的控制和监督制度并设立一个国家机制，在与受害者和有关组织协商下并与检察长协调后，清理情报档案。缔约国应对那些犯了这些罪行的人进行调查、起诉和量刑。</w:t>
      </w:r>
    </w:p>
    <w:p w:rsidR="006F4C4D" w:rsidRDefault="006F4C4D">
      <w:pPr>
        <w:pStyle w:val="SingleTxtGC"/>
        <w:rPr>
          <w:rFonts w:hint="eastAsia"/>
        </w:rPr>
      </w:pPr>
      <w:r>
        <w:rPr>
          <w:rFonts w:hint="eastAsia"/>
        </w:rPr>
        <w:t xml:space="preserve">17.  </w:t>
      </w:r>
      <w:r>
        <w:rPr>
          <w:rFonts w:hint="eastAsia"/>
        </w:rPr>
        <w:t>委员会感到关切的是，人权捍卫者、工会人员和记者在执行任务时常常受到恫吓和骚扰。委员会注意到给内政部保护方案拨出了资源，但认为缔约国没有充分遵守其关于保证证人和受害者安全和平安的责任</w:t>
      </w:r>
      <w:r>
        <w:rPr>
          <w:rFonts w:hint="eastAsia"/>
        </w:rPr>
        <w:t>(</w:t>
      </w:r>
      <w:r>
        <w:rPr>
          <w:rFonts w:hint="eastAsia"/>
        </w:rPr>
        <w:t>第六、七、十七、十九和二十二条</w:t>
      </w:r>
      <w:r>
        <w:rPr>
          <w:rFonts w:hint="eastAsia"/>
        </w:rPr>
        <w:t>)</w:t>
      </w:r>
      <w:r>
        <w:rPr>
          <w:rFonts w:hint="eastAsia"/>
        </w:rPr>
        <w:t>。</w:t>
      </w:r>
    </w:p>
    <w:p w:rsidR="006F4C4D" w:rsidRDefault="006F4C4D">
      <w:pPr>
        <w:pStyle w:val="SingleTxtGC"/>
        <w:rPr>
          <w:rFonts w:eastAsia="SimHei" w:hint="eastAsia"/>
        </w:rPr>
      </w:pPr>
      <w:r>
        <w:rPr>
          <w:rFonts w:eastAsia="SimHei" w:hint="eastAsia"/>
        </w:rPr>
        <w:t>委员会敦请缔约国采取有效步骤，保障人权捍卫者、工会人员和记者的安全。缔约国应继续加强内政部的保护方案，拨出更多的资源，确保所采取的保护措施已经与受保护人协调，以及情报人员没有卷入该方案。缔约国应在下一次报告中向委员会提供有关恐吓、攻击和谋杀人权捍卫者、工会人员和记者的所有刑事诉讼的详细资料。</w:t>
      </w:r>
    </w:p>
    <w:p w:rsidR="006F4C4D" w:rsidRDefault="006F4C4D">
      <w:pPr>
        <w:pStyle w:val="SingleTxtGC"/>
        <w:rPr>
          <w:rFonts w:hint="eastAsia"/>
        </w:rPr>
      </w:pPr>
      <w:r>
        <w:rPr>
          <w:rFonts w:hint="eastAsia"/>
        </w:rPr>
        <w:t xml:space="preserve">18.  </w:t>
      </w:r>
      <w:r>
        <w:rPr>
          <w:rFonts w:hint="eastAsia"/>
        </w:rPr>
        <w:t>委员会对于妇女和儿童受到性暴力的惊人次数深表关切。它也关切许多这类侵犯是由哥伦比亚革命武装力量</w:t>
      </w:r>
      <w:r>
        <w:rPr>
          <w:rFonts w:hint="eastAsia"/>
          <w:spacing w:val="-50"/>
        </w:rPr>
        <w:t>―</w:t>
      </w:r>
      <w:r>
        <w:rPr>
          <w:rFonts w:hint="eastAsia"/>
        </w:rPr>
        <w:t>―人民军成员以及在准军事组织复员后出现的非法武装团体的成员所犯下的。委员会进一步表示关切的是，在大多数涉及女童的案件中，被指称的犯罪者是保安部队成员。委员会感到遗憾的是并没有采取所有必要措施，以便就宪法法院交付给总检察局的</w:t>
      </w:r>
      <w:r>
        <w:rPr>
          <w:rFonts w:hint="eastAsia"/>
        </w:rPr>
        <w:t>183</w:t>
      </w:r>
      <w:r>
        <w:rPr>
          <w:rFonts w:hint="eastAsia"/>
        </w:rPr>
        <w:t>宗性暴力案件的调查作出进展。它也感到关切的是经由</w:t>
      </w:r>
      <w:r>
        <w:rPr>
          <w:rFonts w:hint="eastAsia"/>
        </w:rPr>
        <w:t>2005</w:t>
      </w:r>
      <w:r>
        <w:rPr>
          <w:rFonts w:hint="eastAsia"/>
        </w:rPr>
        <w:t>年第</w:t>
      </w:r>
      <w:r>
        <w:rPr>
          <w:rFonts w:hint="eastAsia"/>
        </w:rPr>
        <w:t>975</w:t>
      </w:r>
      <w:r>
        <w:rPr>
          <w:rFonts w:hint="eastAsia"/>
        </w:rPr>
        <w:t>号法令设立的，为了反映涉及性暴力案件的机制并没有运行</w:t>
      </w:r>
      <w:r>
        <w:rPr>
          <w:rFonts w:hint="eastAsia"/>
        </w:rPr>
        <w:t>(</w:t>
      </w:r>
      <w:r>
        <w:rPr>
          <w:rFonts w:hint="eastAsia"/>
        </w:rPr>
        <w:t>第三、七、二十四和二十六条</w:t>
      </w:r>
      <w:r>
        <w:rPr>
          <w:rFonts w:hint="eastAsia"/>
        </w:rPr>
        <w:t>)</w:t>
      </w:r>
      <w:r>
        <w:rPr>
          <w:rFonts w:hint="eastAsia"/>
        </w:rPr>
        <w:t>。</w:t>
      </w:r>
    </w:p>
    <w:p w:rsidR="006F4C4D" w:rsidRDefault="006F4C4D">
      <w:pPr>
        <w:pStyle w:val="SingleTxtGC"/>
        <w:rPr>
          <w:rFonts w:eastAsia="SimHei" w:hint="eastAsia"/>
        </w:rPr>
      </w:pPr>
      <w:r>
        <w:rPr>
          <w:rFonts w:eastAsia="SimHei" w:hint="eastAsia"/>
        </w:rPr>
        <w:t>缔约国应采取有效措施，调查宪法法院交付给总检察局的所有性暴力案件并应设立一个可靠的制度，记录任何性暴力或性别暴力案件。</w:t>
      </w:r>
    </w:p>
    <w:p w:rsidR="006F4C4D" w:rsidRDefault="006F4C4D" w:rsidP="006F4C4D">
      <w:pPr>
        <w:pStyle w:val="SingleTxtGC"/>
        <w:rPr>
          <w:rFonts w:eastAsia="SimHei" w:hint="eastAsia"/>
        </w:rPr>
      </w:pPr>
      <w:r>
        <w:rPr>
          <w:rFonts w:eastAsia="SimHei" w:hint="eastAsia"/>
        </w:rPr>
        <w:t>应对据称由保安部队所犯的性暴力行为进行调查、起诉和惩罚</w:t>
      </w:r>
      <w:r>
        <w:rPr>
          <w:rFonts w:eastAsia="SimHei" w:hint="eastAsia"/>
        </w:rPr>
        <w:t>;</w:t>
      </w:r>
      <w:r>
        <w:rPr>
          <w:rFonts w:eastAsia="SimHei" w:hint="eastAsia"/>
        </w:rPr>
        <w:t>国防部应对这类侵犯执行绝不宽恕的政策，规定将犯案者撤职。</w:t>
      </w:r>
    </w:p>
    <w:p w:rsidR="006F4C4D" w:rsidRDefault="006F4C4D">
      <w:pPr>
        <w:pStyle w:val="SingleTxtGC"/>
        <w:rPr>
          <w:rFonts w:eastAsia="SimHei" w:hint="eastAsia"/>
        </w:rPr>
      </w:pPr>
      <w:r>
        <w:rPr>
          <w:rFonts w:eastAsia="SimHei" w:hint="eastAsia"/>
        </w:rPr>
        <w:t>缔约国应增加分配给作为性暴力受害者的妇女和女童身心康复用途的资源，并保证她们在向司法部门求助时不再次遭受伤害。</w:t>
      </w:r>
    </w:p>
    <w:p w:rsidR="006F4C4D" w:rsidRDefault="006F4C4D">
      <w:pPr>
        <w:pStyle w:val="SingleTxtGC"/>
        <w:rPr>
          <w:rFonts w:hint="eastAsia"/>
        </w:rPr>
      </w:pPr>
      <w:r>
        <w:rPr>
          <w:rFonts w:hint="eastAsia"/>
        </w:rPr>
        <w:t xml:space="preserve">19.  </w:t>
      </w:r>
      <w:r>
        <w:rPr>
          <w:rFonts w:hint="eastAsia"/>
        </w:rPr>
        <w:t>委员会赞扬缔约国在通过</w:t>
      </w:r>
      <w:r>
        <w:rPr>
          <w:rFonts w:hint="eastAsia"/>
        </w:rPr>
        <w:t>2006</w:t>
      </w:r>
      <w:r>
        <w:rPr>
          <w:rFonts w:hint="eastAsia"/>
        </w:rPr>
        <w:t>年宪法法院第</w:t>
      </w:r>
      <w:r>
        <w:rPr>
          <w:rFonts w:hint="eastAsia"/>
        </w:rPr>
        <w:t>C-355</w:t>
      </w:r>
      <w:r>
        <w:rPr>
          <w:rFonts w:hint="eastAsia"/>
        </w:rPr>
        <w:t>号判决执行委员会于</w:t>
      </w:r>
      <w:r>
        <w:rPr>
          <w:rFonts w:hint="eastAsia"/>
        </w:rPr>
        <w:t>2004</w:t>
      </w:r>
      <w:r>
        <w:rPr>
          <w:rFonts w:hint="eastAsia"/>
        </w:rPr>
        <w:t>年提出的早先建议</w:t>
      </w:r>
      <w:r>
        <w:rPr>
          <w:rFonts w:hint="eastAsia"/>
        </w:rPr>
        <w:t>(CCPR/CO/80/COL</w:t>
      </w:r>
      <w:r>
        <w:rPr>
          <w:rFonts w:hint="eastAsia"/>
        </w:rPr>
        <w:t>，第</w:t>
      </w:r>
      <w:r>
        <w:rPr>
          <w:rFonts w:hint="eastAsia"/>
        </w:rPr>
        <w:t>13</w:t>
      </w:r>
      <w:r>
        <w:rPr>
          <w:rFonts w:hint="eastAsia"/>
        </w:rPr>
        <w:t>段</w:t>
      </w:r>
      <w:r>
        <w:rPr>
          <w:rFonts w:hint="eastAsia"/>
        </w:rPr>
        <w:t>)</w:t>
      </w:r>
      <w:r>
        <w:rPr>
          <w:rFonts w:hint="eastAsia"/>
        </w:rPr>
        <w:t>方面作出进展。该判决把在下列情况下进行的人工流产合法化：当该名妇女是强奸或乱伦的受害者、当怀孕对她的生命或健康构成严重危险和当胎儿显示严重畸形迹象，使其出生后不能正常生活。然而，委员会关切的是，尽管卫生部于</w:t>
      </w:r>
      <w:r>
        <w:rPr>
          <w:rFonts w:hint="eastAsia"/>
        </w:rPr>
        <w:t>2006</w:t>
      </w:r>
      <w:r>
        <w:rPr>
          <w:rFonts w:hint="eastAsia"/>
        </w:rPr>
        <w:t>年颁布了第</w:t>
      </w:r>
      <w:r>
        <w:rPr>
          <w:rFonts w:hint="eastAsia"/>
        </w:rPr>
        <w:t>4444</w:t>
      </w:r>
      <w:r>
        <w:rPr>
          <w:rFonts w:hint="eastAsia"/>
        </w:rPr>
        <w:t>号法令，医疗提供者拒绝执行合法堕胎而且检察长也不支持执行有关的宪法法院判决。委员会同样感到关切的是由于学校课程中欠缺性教育和公众缺少关于怎样获得合法堕胎的资料，因而继续导致接受不安全堕胎的妇女死亡</w:t>
      </w:r>
      <w:r>
        <w:rPr>
          <w:rFonts w:hint="eastAsia"/>
        </w:rPr>
        <w:t>(</w:t>
      </w:r>
      <w:r>
        <w:rPr>
          <w:rFonts w:hint="eastAsia"/>
        </w:rPr>
        <w:t>第三、六和二十六条</w:t>
      </w:r>
      <w:r>
        <w:rPr>
          <w:rFonts w:hint="eastAsia"/>
        </w:rPr>
        <w:t>)</w:t>
      </w:r>
      <w:r>
        <w:rPr>
          <w:rFonts w:hint="eastAsia"/>
        </w:rPr>
        <w:t>。</w:t>
      </w:r>
    </w:p>
    <w:p w:rsidR="006F4C4D" w:rsidRDefault="006F4C4D">
      <w:pPr>
        <w:pStyle w:val="SingleTxtGC"/>
        <w:rPr>
          <w:rFonts w:eastAsia="SimHei" w:hint="eastAsia"/>
        </w:rPr>
      </w:pPr>
      <w:r>
        <w:rPr>
          <w:rFonts w:eastAsia="SimHei" w:hint="eastAsia"/>
        </w:rPr>
        <w:t>缔约国必须确保卫生行业和医疗专业人员遵守法院的判决，不要拒绝执行合法堕胎。此外，缔约国应采取步骤，协助妇女避免意外怀孕，使她们不必进行可能危及她们生命的非法或不安全的堕胎。缔约国应方便公众获取有关合法堕胎的资料。</w:t>
      </w:r>
    </w:p>
    <w:p w:rsidR="006F4C4D" w:rsidRDefault="006F4C4D">
      <w:pPr>
        <w:pStyle w:val="SingleTxtGC"/>
        <w:rPr>
          <w:rFonts w:hint="eastAsia"/>
        </w:rPr>
      </w:pPr>
      <w:r>
        <w:rPr>
          <w:rFonts w:hint="eastAsia"/>
        </w:rPr>
        <w:t xml:space="preserve">20.  </w:t>
      </w:r>
      <w:r>
        <w:rPr>
          <w:rFonts w:hint="eastAsia"/>
        </w:rPr>
        <w:t>委员会关切的是常常发生任意逮捕的事件，特别是，警察使用的预防性行政拘留及警察和军队进行的大批逮捕。委员会注意到逮捕令常常得不到足够的证据佐证，以及逮捕被用来作为丑化社区领导、青年、土著人民、非裔哥伦比亚人和农人等群体的手段</w:t>
      </w:r>
      <w:r>
        <w:rPr>
          <w:rFonts w:hint="eastAsia"/>
        </w:rPr>
        <w:t>(</w:t>
      </w:r>
      <w:r>
        <w:rPr>
          <w:rFonts w:hint="eastAsia"/>
        </w:rPr>
        <w:t>第九、二十四和二十六条</w:t>
      </w:r>
      <w:r>
        <w:rPr>
          <w:rFonts w:hint="eastAsia"/>
        </w:rPr>
        <w:t>)</w:t>
      </w:r>
      <w:r>
        <w:rPr>
          <w:rFonts w:hint="eastAsia"/>
        </w:rPr>
        <w:t>。</w:t>
      </w:r>
    </w:p>
    <w:p w:rsidR="006F4C4D" w:rsidRDefault="006F4C4D">
      <w:pPr>
        <w:pStyle w:val="SingleTxtGC"/>
        <w:rPr>
          <w:rFonts w:eastAsia="SimHei" w:hint="eastAsia"/>
        </w:rPr>
      </w:pPr>
      <w:r>
        <w:rPr>
          <w:rFonts w:eastAsia="SimHei" w:hint="eastAsia"/>
        </w:rPr>
        <w:t>委员会建议缔约国采取步骤，取消预防性行政拘留和大批逮捕并遵守任意拘留问题工作组于</w:t>
      </w:r>
      <w:r>
        <w:rPr>
          <w:rFonts w:eastAsia="SimHei" w:hint="eastAsia"/>
        </w:rPr>
        <w:t>2008</w:t>
      </w:r>
      <w:r>
        <w:rPr>
          <w:rFonts w:eastAsia="SimHei" w:hint="eastAsia"/>
        </w:rPr>
        <w:t>年访问哥伦比亚后所提建议</w:t>
      </w:r>
      <w:r>
        <w:rPr>
          <w:rFonts w:eastAsia="SimHei" w:hint="eastAsia"/>
        </w:rPr>
        <w:t>(A/HRC/10/21/Add.3)</w:t>
      </w:r>
      <w:r>
        <w:rPr>
          <w:rFonts w:eastAsia="SimHei" w:hint="eastAsia"/>
        </w:rPr>
        <w:t>。</w:t>
      </w:r>
    </w:p>
    <w:p w:rsidR="006F4C4D" w:rsidRDefault="006F4C4D">
      <w:pPr>
        <w:pStyle w:val="SingleTxtGC"/>
        <w:rPr>
          <w:rFonts w:hint="eastAsia"/>
        </w:rPr>
      </w:pPr>
      <w:r>
        <w:rPr>
          <w:rFonts w:hint="eastAsia"/>
        </w:rPr>
        <w:t xml:space="preserve">21.  </w:t>
      </w:r>
      <w:r>
        <w:rPr>
          <w:rFonts w:hint="eastAsia"/>
        </w:rPr>
        <w:t>委员会关切地注意到监狱和临时拘留场所内过于拥挤的问题，和关于酷刑和其他残忍、不人道或有辱人格待遇或处罚的申诉。委员会关切的是，长时期单独监禁被用来作为一种惩罚手段。它关切的是没有将被起诉的人和已判罪的人分开，以及监犯们缺乏身体和心理方面的健康服务。虽然委员会注意到在监狱里设立人权委员会的主动行动是一项积极的发展，它关切的是这类机制受到了国家监狱机构的监管，并不构成一个独立的预防机制</w:t>
      </w:r>
      <w:r>
        <w:rPr>
          <w:rFonts w:hint="eastAsia"/>
        </w:rPr>
        <w:t>(</w:t>
      </w:r>
      <w:r>
        <w:rPr>
          <w:rFonts w:hint="eastAsia"/>
        </w:rPr>
        <w:t>第七和十条</w:t>
      </w:r>
      <w:r>
        <w:rPr>
          <w:rFonts w:hint="eastAsia"/>
        </w:rPr>
        <w:t>)</w:t>
      </w:r>
      <w:r>
        <w:rPr>
          <w:rFonts w:hint="eastAsia"/>
        </w:rPr>
        <w:t>。</w:t>
      </w:r>
    </w:p>
    <w:p w:rsidR="006F4C4D" w:rsidRDefault="006F4C4D">
      <w:pPr>
        <w:pStyle w:val="SingleTxtGC"/>
        <w:rPr>
          <w:rFonts w:eastAsia="SimHei" w:hint="eastAsia"/>
        </w:rPr>
      </w:pPr>
      <w:r>
        <w:rPr>
          <w:rFonts w:eastAsia="SimHei" w:hint="eastAsia"/>
        </w:rPr>
        <w:t>缔约国应采取有效措施改善监狱中的物质条件，减少目前的拥挤情况并适当地满足所有被剥夺自由人士的基本需要。要对单独监禁的做法进行审查和加以限制；对监狱和临时拘留场所内的酷刑和其他残忍、不人道或有辱人格的待遇或处罚的申诉应予以立即和公正的调查并申报刑事法庭。委员会请缔约国尽快批准《禁止酷刑和其他残忍、不人道或有辱人格的待遇或处罚公约任择议定书》以便防止侵犯人身完整性权利。</w:t>
      </w:r>
    </w:p>
    <w:p w:rsidR="006F4C4D" w:rsidRDefault="006F4C4D">
      <w:pPr>
        <w:pStyle w:val="SingleTxtGC"/>
        <w:rPr>
          <w:rFonts w:hint="eastAsia"/>
        </w:rPr>
      </w:pPr>
      <w:r>
        <w:rPr>
          <w:rFonts w:hint="eastAsia"/>
        </w:rPr>
        <w:t xml:space="preserve">22.  </w:t>
      </w:r>
      <w:r>
        <w:rPr>
          <w:rFonts w:hint="eastAsia"/>
        </w:rPr>
        <w:t>委员会满意地注意到</w:t>
      </w:r>
      <w:r>
        <w:rPr>
          <w:rFonts w:hint="eastAsia"/>
        </w:rPr>
        <w:t>2009</w:t>
      </w:r>
      <w:r>
        <w:rPr>
          <w:rFonts w:hint="eastAsia"/>
        </w:rPr>
        <w:t>年宪法法院的第</w:t>
      </w:r>
      <w:r>
        <w:rPr>
          <w:rFonts w:hint="eastAsia"/>
        </w:rPr>
        <w:t>C-728</w:t>
      </w:r>
      <w:r>
        <w:rPr>
          <w:rFonts w:hint="eastAsia"/>
        </w:rPr>
        <w:t>号裁决，促请议会管制依良心拒服兵役的做法，这是在执行委员会</w:t>
      </w:r>
      <w:r>
        <w:rPr>
          <w:rFonts w:hint="eastAsia"/>
        </w:rPr>
        <w:t>2004</w:t>
      </w:r>
      <w:r>
        <w:rPr>
          <w:rFonts w:hint="eastAsia"/>
        </w:rPr>
        <w:t>年的一项较早建议方面取得的进展</w:t>
      </w:r>
      <w:r>
        <w:rPr>
          <w:rFonts w:hint="eastAsia"/>
        </w:rPr>
        <w:t>(CCPR/CO/80/COL</w:t>
      </w:r>
      <w:r>
        <w:rPr>
          <w:rFonts w:hint="eastAsia"/>
        </w:rPr>
        <w:t>，第</w:t>
      </w:r>
      <w:r>
        <w:rPr>
          <w:rFonts w:hint="eastAsia"/>
        </w:rPr>
        <w:t>17</w:t>
      </w:r>
      <w:r>
        <w:rPr>
          <w:rFonts w:hint="eastAsia"/>
        </w:rPr>
        <w:t>段</w:t>
      </w:r>
      <w:r>
        <w:rPr>
          <w:rFonts w:hint="eastAsia"/>
        </w:rPr>
        <w:t>)</w:t>
      </w:r>
      <w:r>
        <w:rPr>
          <w:rFonts w:hint="eastAsia"/>
        </w:rPr>
        <w:t>。然而，委员会对于作出必要的立法修正承认依良心拒服兵役方面缺少进展，以及使用“围捕”作为检查谁已服兵役的手段表示关切</w:t>
      </w:r>
      <w:r>
        <w:rPr>
          <w:rFonts w:hint="eastAsia"/>
        </w:rPr>
        <w:t>(</w:t>
      </w:r>
      <w:r>
        <w:rPr>
          <w:rFonts w:hint="eastAsia"/>
        </w:rPr>
        <w:t>第十八条</w:t>
      </w:r>
      <w:r>
        <w:rPr>
          <w:rFonts w:hint="eastAsia"/>
        </w:rPr>
        <w:t>)</w:t>
      </w:r>
      <w:r>
        <w:rPr>
          <w:rFonts w:hint="eastAsia"/>
        </w:rPr>
        <w:t>。</w:t>
      </w:r>
    </w:p>
    <w:p w:rsidR="006F4C4D" w:rsidRDefault="006F4C4D">
      <w:pPr>
        <w:pStyle w:val="SingleTxtGC"/>
        <w:rPr>
          <w:rFonts w:eastAsia="SimHei" w:hint="eastAsia"/>
        </w:rPr>
      </w:pPr>
      <w:r>
        <w:rPr>
          <w:rFonts w:eastAsia="SimHei" w:hint="eastAsia"/>
        </w:rPr>
        <w:t>缔约国应尽快通过立法，承认和管制依良心拒服兵役，以便提供替代兵役的选择，如果没有这种选择，就会导致惩罚性的效果。缔约国也应审查“围捕”的做法。</w:t>
      </w:r>
    </w:p>
    <w:p w:rsidR="006F4C4D" w:rsidRDefault="006F4C4D">
      <w:pPr>
        <w:pStyle w:val="SingleTxtGC"/>
        <w:rPr>
          <w:rFonts w:hint="eastAsia"/>
        </w:rPr>
      </w:pPr>
      <w:r>
        <w:rPr>
          <w:rFonts w:hint="eastAsia"/>
        </w:rPr>
        <w:t xml:space="preserve">23.  </w:t>
      </w:r>
      <w:r>
        <w:rPr>
          <w:rFonts w:hint="eastAsia"/>
        </w:rPr>
        <w:t>委员会感到关切的是被迫失踪率十分高</w:t>
      </w:r>
      <w:r>
        <w:rPr>
          <w:rFonts w:hint="eastAsia"/>
        </w:rPr>
        <w:t>(</w:t>
      </w:r>
      <w:r>
        <w:rPr>
          <w:rFonts w:hint="eastAsia"/>
        </w:rPr>
        <w:t>根据缔约国，截至</w:t>
      </w:r>
      <w:r>
        <w:rPr>
          <w:rFonts w:hint="eastAsia"/>
        </w:rPr>
        <w:t>2009</w:t>
      </w:r>
      <w:r>
        <w:rPr>
          <w:rFonts w:hint="eastAsia"/>
        </w:rPr>
        <w:t>年底，有超过</w:t>
      </w:r>
      <w:r>
        <w:rPr>
          <w:rFonts w:hint="eastAsia"/>
        </w:rPr>
        <w:t>330</w:t>
      </w:r>
      <w:r>
        <w:rPr>
          <w:rFonts w:hint="eastAsia"/>
        </w:rPr>
        <w:t>万人</w:t>
      </w:r>
      <w:r>
        <w:rPr>
          <w:rFonts w:hint="eastAsia"/>
        </w:rPr>
        <w:t>)</w:t>
      </w:r>
      <w:r>
        <w:rPr>
          <w:rFonts w:hint="eastAsia"/>
        </w:rPr>
        <w:t>，以及在预防和护理方面缺乏有效的措施。委员会关切地注意到对流离失所者的需求缺乏关心，在为妇女、儿童、非洲裔哥伦比亚人和土著人民提供区别照料方面也缺少全面的措施</w:t>
      </w:r>
      <w:r>
        <w:rPr>
          <w:rFonts w:hint="eastAsia"/>
        </w:rPr>
        <w:t>(</w:t>
      </w:r>
      <w:r>
        <w:rPr>
          <w:rFonts w:hint="eastAsia"/>
        </w:rPr>
        <w:t>第十二、二十四、二十六和二十七条</w:t>
      </w:r>
      <w:r>
        <w:rPr>
          <w:rFonts w:hint="eastAsia"/>
        </w:rPr>
        <w:t>)</w:t>
      </w:r>
      <w:r>
        <w:rPr>
          <w:rFonts w:hint="eastAsia"/>
        </w:rPr>
        <w:t>。</w:t>
      </w:r>
    </w:p>
    <w:p w:rsidR="006F4C4D" w:rsidRDefault="006F4C4D">
      <w:pPr>
        <w:pStyle w:val="SingleTxtGC"/>
        <w:rPr>
          <w:rFonts w:eastAsia="SimHei" w:hint="eastAsia"/>
        </w:rPr>
      </w:pPr>
      <w:r>
        <w:rPr>
          <w:rFonts w:eastAsia="SimHei" w:hint="eastAsia"/>
        </w:rPr>
        <w:t>缔约国应确保为流离失所人口制定和执行一项全面的政策，以便为特别是妇女、儿童、非洲裔哥伦比亚人和土著人民提供有区别的照料。缔约国应加强机制，确保归还流离失所者的土地。缔约国应与有关人口协商，定期评估所取得的进展。缔约国也必须执行秘书长关于国内流离失所者人权问题的代表在</w:t>
      </w:r>
      <w:r>
        <w:rPr>
          <w:rFonts w:eastAsia="SimHei" w:hint="eastAsia"/>
        </w:rPr>
        <w:t>2006</w:t>
      </w:r>
      <w:r>
        <w:rPr>
          <w:rFonts w:eastAsia="SimHei" w:hint="eastAsia"/>
        </w:rPr>
        <w:t>年访问哥伦比亚后提出的建议</w:t>
      </w:r>
      <w:r>
        <w:rPr>
          <w:rFonts w:eastAsia="SimHei" w:hint="eastAsia"/>
        </w:rPr>
        <w:t>(A/HRC/4/38/Add.3)</w:t>
      </w:r>
      <w:r>
        <w:rPr>
          <w:rFonts w:eastAsia="SimHei" w:hint="eastAsia"/>
        </w:rPr>
        <w:t>。</w:t>
      </w:r>
    </w:p>
    <w:p w:rsidR="006F4C4D" w:rsidRDefault="006F4C4D">
      <w:pPr>
        <w:pStyle w:val="SingleTxtGC"/>
        <w:rPr>
          <w:rFonts w:hint="eastAsia"/>
        </w:rPr>
      </w:pPr>
      <w:r>
        <w:rPr>
          <w:rFonts w:hint="eastAsia"/>
        </w:rPr>
        <w:t xml:space="preserve">24.  </w:t>
      </w:r>
      <w:r>
        <w:rPr>
          <w:rFonts w:hint="eastAsia"/>
        </w:rPr>
        <w:t>委员会感到关切的是非法武装集团，特别是哥伦比亚革命武装力量</w:t>
      </w:r>
      <w:r>
        <w:rPr>
          <w:rFonts w:hint="eastAsia"/>
          <w:spacing w:val="-50"/>
        </w:rPr>
        <w:t>―</w:t>
      </w:r>
      <w:r>
        <w:rPr>
          <w:rFonts w:hint="eastAsia"/>
        </w:rPr>
        <w:t>―人民军，以及民族解放军征募儿童入伍的问题。委员会也感到关切的是，保安部队继续使用儿童从事公民军事行为，诸如“当兵一日”等计划，并且为了获得情报讯问儿童</w:t>
      </w:r>
      <w:r>
        <w:rPr>
          <w:rFonts w:hint="eastAsia"/>
        </w:rPr>
        <w:t>(</w:t>
      </w:r>
      <w:r>
        <w:rPr>
          <w:rFonts w:hint="eastAsia"/>
        </w:rPr>
        <w:t>第二、七、八和二十四条</w:t>
      </w:r>
      <w:r>
        <w:rPr>
          <w:rFonts w:hint="eastAsia"/>
        </w:rPr>
        <w:t>)</w:t>
      </w:r>
      <w:r>
        <w:rPr>
          <w:rFonts w:hint="eastAsia"/>
        </w:rPr>
        <w:t>。</w:t>
      </w:r>
    </w:p>
    <w:p w:rsidR="006F4C4D" w:rsidRDefault="006F4C4D" w:rsidP="006F4C4D">
      <w:pPr>
        <w:pStyle w:val="SingleTxtGC"/>
        <w:rPr>
          <w:rFonts w:eastAsia="SimHei" w:hint="eastAsia"/>
        </w:rPr>
      </w:pPr>
      <w:r>
        <w:rPr>
          <w:rFonts w:eastAsia="SimHei" w:hint="eastAsia"/>
        </w:rPr>
        <w:t>缔约国应加强所有的可能措施，预防儿童被非法武装集团征募，并无论如何都不应将儿童涉入情报活动或旨在将平民人口军事化的公民军事行为中。</w:t>
      </w:r>
    </w:p>
    <w:p w:rsidR="006F4C4D" w:rsidRDefault="006F4C4D">
      <w:pPr>
        <w:pStyle w:val="SingleTxtGC"/>
        <w:rPr>
          <w:rFonts w:hint="eastAsia"/>
        </w:rPr>
      </w:pPr>
      <w:r>
        <w:rPr>
          <w:rFonts w:hint="eastAsia"/>
        </w:rPr>
        <w:t xml:space="preserve">25.  </w:t>
      </w:r>
      <w:r>
        <w:rPr>
          <w:rFonts w:hint="eastAsia"/>
        </w:rPr>
        <w:t>委员会感到关切的是，非洲裔哥伦比亚人和土著人民等群体继续受到歧视，并且特别容易遭受武装冲突的暴力。尽管在法律上承认了他们的集体土地拥有权，但实际上，这些群体在对他们的土地和领土行使控制权时面对巨大障碍。委员会也感到遗憾的是在通过关于惩罚种族歧视的立法和关于举行事先协商以保证获得有关社群成员的自由、事先知情的同意的立法方面毫无进展</w:t>
      </w:r>
      <w:r>
        <w:rPr>
          <w:rFonts w:hint="eastAsia"/>
        </w:rPr>
        <w:t>(</w:t>
      </w:r>
      <w:r>
        <w:rPr>
          <w:rFonts w:hint="eastAsia"/>
        </w:rPr>
        <w:t>第二、二十六和二十七条</w:t>
      </w:r>
      <w:r>
        <w:rPr>
          <w:rFonts w:hint="eastAsia"/>
        </w:rPr>
        <w:t>)</w:t>
      </w:r>
      <w:r>
        <w:rPr>
          <w:rFonts w:hint="eastAsia"/>
        </w:rPr>
        <w:t>。</w:t>
      </w:r>
    </w:p>
    <w:p w:rsidR="006F4C4D" w:rsidRDefault="006F4C4D">
      <w:pPr>
        <w:pStyle w:val="SingleTxtGC"/>
        <w:rPr>
          <w:rFonts w:eastAsia="SimHei" w:hint="eastAsia"/>
        </w:rPr>
      </w:pPr>
      <w:r>
        <w:rPr>
          <w:rFonts w:eastAsia="SimHei" w:hint="eastAsia"/>
        </w:rPr>
        <w:t>缔约国必须加强有利于非裔哥伦比亚人和土著人民的特别措施，以保证他们能享受他们的权利，并特别是，保证他们能适当控制归还给他们的土地。缔约国应通过立法，惩罚种族歧视并通过有关举行事先协商的立法，以便保证获得有关社群成员的自由、事先知情的同意。</w:t>
      </w:r>
    </w:p>
    <w:p w:rsidR="006F4C4D" w:rsidRDefault="006F4C4D">
      <w:pPr>
        <w:pStyle w:val="SingleTxtGC"/>
        <w:rPr>
          <w:rFonts w:hint="eastAsia"/>
        </w:rPr>
      </w:pPr>
      <w:r>
        <w:rPr>
          <w:rFonts w:hint="eastAsia"/>
        </w:rPr>
        <w:t xml:space="preserve">26.  </w:t>
      </w:r>
      <w:r>
        <w:rPr>
          <w:rFonts w:hint="eastAsia"/>
        </w:rPr>
        <w:t>缔约国应向司法、立法和行政当局、民间社会和非政府组织以及广大公众广泛传播缔约国的第六次定期报告、对委员会问题清单的书面答复和本结论性意见并确保提供主要的土著语文版本。上述文件应分发给大学、公共图书馆、议会图书馆及其他相关受众。</w:t>
      </w:r>
    </w:p>
    <w:p w:rsidR="006F4C4D" w:rsidRDefault="006F4C4D">
      <w:pPr>
        <w:pStyle w:val="SingleTxtGC"/>
        <w:rPr>
          <w:rFonts w:hint="eastAsia"/>
        </w:rPr>
      </w:pPr>
      <w:r>
        <w:rPr>
          <w:rFonts w:hint="eastAsia"/>
        </w:rPr>
        <w:t xml:space="preserve">27.  </w:t>
      </w:r>
      <w:r>
        <w:rPr>
          <w:rFonts w:hint="eastAsia"/>
        </w:rPr>
        <w:t>根据委员会议事规则</w:t>
      </w:r>
      <w:r>
        <w:rPr>
          <w:rFonts w:hint="eastAsia"/>
        </w:rPr>
        <w:t>71</w:t>
      </w:r>
      <w:r>
        <w:rPr>
          <w:rFonts w:hint="eastAsia"/>
        </w:rPr>
        <w:t>条第</w:t>
      </w:r>
      <w:r>
        <w:rPr>
          <w:rFonts w:hint="eastAsia"/>
        </w:rPr>
        <w:t>5</w:t>
      </w:r>
      <w:r>
        <w:rPr>
          <w:rFonts w:hint="eastAsia"/>
        </w:rPr>
        <w:t>款，缔约国应在一年内提交相关资料，阐明缔约国对上文第</w:t>
      </w:r>
      <w:r>
        <w:rPr>
          <w:rFonts w:hint="eastAsia"/>
        </w:rPr>
        <w:t>9</w:t>
      </w:r>
      <w:r>
        <w:rPr>
          <w:rFonts w:hint="eastAsia"/>
        </w:rPr>
        <w:t>、</w:t>
      </w:r>
      <w:r>
        <w:rPr>
          <w:rFonts w:hint="eastAsia"/>
        </w:rPr>
        <w:t>14</w:t>
      </w:r>
      <w:r>
        <w:rPr>
          <w:rFonts w:hint="eastAsia"/>
        </w:rPr>
        <w:t>和</w:t>
      </w:r>
      <w:r>
        <w:rPr>
          <w:rFonts w:hint="eastAsia"/>
        </w:rPr>
        <w:t>16</w:t>
      </w:r>
      <w:r>
        <w:rPr>
          <w:rFonts w:hint="eastAsia"/>
        </w:rPr>
        <w:t>段所载委员会建议的执行情况。</w:t>
      </w:r>
    </w:p>
    <w:p w:rsidR="006F4C4D" w:rsidRDefault="006F4C4D">
      <w:pPr>
        <w:pStyle w:val="SingleTxtGC"/>
        <w:rPr>
          <w:rFonts w:hint="eastAsia"/>
        </w:rPr>
      </w:pPr>
      <w:r>
        <w:rPr>
          <w:rFonts w:hint="eastAsia"/>
        </w:rPr>
        <w:t xml:space="preserve">28.  </w:t>
      </w:r>
      <w:r>
        <w:rPr>
          <w:rFonts w:hint="eastAsia"/>
        </w:rPr>
        <w:t>委员会请缔约国在</w:t>
      </w:r>
      <w:r>
        <w:rPr>
          <w:rFonts w:hint="eastAsia"/>
        </w:rPr>
        <w:t>2014</w:t>
      </w:r>
      <w:r>
        <w:rPr>
          <w:rFonts w:hint="eastAsia"/>
        </w:rPr>
        <w:t>年</w:t>
      </w:r>
      <w:r>
        <w:rPr>
          <w:rFonts w:hint="eastAsia"/>
        </w:rPr>
        <w:t>4</w:t>
      </w:r>
      <w:r>
        <w:rPr>
          <w:rFonts w:hint="eastAsia"/>
        </w:rPr>
        <w:t>月</w:t>
      </w:r>
      <w:r>
        <w:rPr>
          <w:rFonts w:hint="eastAsia"/>
        </w:rPr>
        <w:t>1</w:t>
      </w:r>
      <w:r>
        <w:rPr>
          <w:rFonts w:hint="eastAsia"/>
        </w:rPr>
        <w:t>日之前提交其第七次定期报告，具体阐明关于委员会所有建议以及关于全面履行《公约》的最新情况。委员会还建议缔约国在编写第七次定期报告时，与民间社会和在该国境内运作的各非政府组织展开磋商。</w:t>
      </w:r>
    </w:p>
    <w:p w:rsidR="006F4C4D" w:rsidRDefault="006F4C4D">
      <w:pPr>
        <w:pStyle w:val="SingleTxtGC"/>
        <w:rPr>
          <w:rFonts w:hint="eastAsia"/>
        </w:rPr>
      </w:pPr>
    </w:p>
    <w:p w:rsidR="006F4C4D" w:rsidRDefault="006F4C4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F4C4D" w:rsidRDefault="006F4C4D">
      <w:pPr>
        <w:pStyle w:val="SingleTxtGC"/>
        <w:rPr>
          <w:rFonts w:hint="eastAsia"/>
        </w:rPr>
      </w:pPr>
    </w:p>
    <w:p w:rsidR="006F4C4D" w:rsidRDefault="006F4C4D">
      <w:pPr>
        <w:pStyle w:val="SingleTxtGC"/>
        <w:rPr>
          <w:rFonts w:hint="eastAsia"/>
        </w:rPr>
      </w:pPr>
    </w:p>
    <w:p w:rsidR="0061601F" w:rsidRDefault="0061601F">
      <w:pPr>
        <w:pStyle w:val="SingleTxtGC"/>
      </w:pPr>
    </w:p>
    <w:sectPr w:rsidR="0061601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C4D" w:rsidRDefault="006F4C4D">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6F4C4D" w:rsidRDefault="006F4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C4D" w:rsidRDefault="006F4C4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015394">
      <w:rPr>
        <w:rStyle w:val="PageNumber"/>
        <w:noProof/>
      </w:rPr>
      <w:t>6</w:t>
    </w:r>
    <w:r>
      <w:rPr>
        <w:rStyle w:val="PageNumber"/>
      </w:rPr>
      <w:fldChar w:fldCharType="end"/>
    </w:r>
    <w:r>
      <w:rPr>
        <w:rStyle w:val="PageNumber"/>
        <w:rFonts w:eastAsia="SimSun" w:hint="eastAsia"/>
        <w:lang w:eastAsia="zh-CN"/>
      </w:rPr>
      <w:tab/>
    </w:r>
    <w:r>
      <w:rPr>
        <w:rFonts w:eastAsia="SimSun"/>
      </w:rPr>
      <w:t>GE.10-44126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C4D" w:rsidRDefault="006F4C4D">
    <w:pPr>
      <w:pStyle w:val="Footer"/>
      <w:tabs>
        <w:tab w:val="right" w:pos="9639"/>
      </w:tabs>
    </w:pPr>
    <w:r>
      <w:rPr>
        <w:rFonts w:eastAsia="SimSun"/>
      </w:rPr>
      <w:t>GE.10-44126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15394">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C4D" w:rsidRDefault="006F4C4D">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44126</w:t>
    </w:r>
    <w:r>
      <w:rPr>
        <w:rFonts w:eastAsia="SimSun"/>
        <w:sz w:val="20"/>
        <w:lang w:eastAsia="zh-CN"/>
      </w:rPr>
      <w:t xml:space="preserve"> (C)</w:t>
    </w:r>
    <w:r>
      <w:rPr>
        <w:rFonts w:eastAsia="SimSun"/>
        <w:sz w:val="20"/>
        <w:lang w:eastAsia="zh-CN"/>
      </w:rPr>
      <w:tab/>
    </w:r>
    <w:r>
      <w:rPr>
        <w:rFonts w:eastAsia="SimSun" w:hint="eastAsia"/>
        <w:sz w:val="20"/>
        <w:lang w:eastAsia="zh-CN"/>
      </w:rPr>
      <w:t>060910</w:t>
    </w:r>
    <w:r>
      <w:rPr>
        <w:rFonts w:eastAsia="SimSun"/>
        <w:sz w:val="20"/>
        <w:lang w:eastAsia="zh-CN"/>
      </w:rPr>
      <w:tab/>
    </w:r>
    <w:r>
      <w:rPr>
        <w:rFonts w:eastAsia="SimSun" w:hint="eastAsia"/>
        <w:sz w:val="20"/>
        <w:lang w:eastAsia="zh-CN"/>
      </w:rPr>
      <w:t>080910</w:t>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C4D" w:rsidRDefault="006F4C4D">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6F4C4D" w:rsidRDefault="006F4C4D">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C4D" w:rsidRDefault="006F4C4D">
    <w:pPr>
      <w:pStyle w:val="Header"/>
    </w:pPr>
    <w:r>
      <w:t>CCPR/C/COL/CO/6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C4D" w:rsidRDefault="006F4C4D">
    <w:pPr>
      <w:pStyle w:val="Header"/>
      <w:jc w:val="right"/>
    </w:pPr>
    <w:r>
      <w:t>CCPR/C/COL/CO/6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4C4D" w:rsidRDefault="006F4C4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66F19F1"/>
    <w:multiLevelType w:val="hybridMultilevel"/>
    <w:tmpl w:val="AC8E3BBC"/>
    <w:lvl w:ilvl="0" w:tplc="01D0FB9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1">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FCE444B"/>
    <w:multiLevelType w:val="hybridMultilevel"/>
    <w:tmpl w:val="8618CE10"/>
    <w:lvl w:ilvl="0" w:tplc="01D0FB9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0"/>
  </w:num>
  <w:num w:numId="13">
    <w:abstractNumId w:val="23"/>
  </w:num>
  <w:num w:numId="14">
    <w:abstractNumId w:val="12"/>
  </w:num>
  <w:num w:numId="15">
    <w:abstractNumId w:val="13"/>
  </w:num>
  <w:num w:numId="16">
    <w:abstractNumId w:val="25"/>
  </w:num>
  <w:num w:numId="17">
    <w:abstractNumId w:val="12"/>
  </w:num>
  <w:num w:numId="18">
    <w:abstractNumId w:val="12"/>
  </w:num>
  <w:num w:numId="19">
    <w:abstractNumId w:val="25"/>
  </w:num>
  <w:num w:numId="20">
    <w:abstractNumId w:val="13"/>
  </w:num>
  <w:num w:numId="21">
    <w:abstractNumId w:val="13"/>
  </w:num>
  <w:num w:numId="22">
    <w:abstractNumId w:val="19"/>
  </w:num>
  <w:num w:numId="23">
    <w:abstractNumId w:val="10"/>
  </w:num>
  <w:num w:numId="24">
    <w:abstractNumId w:val="17"/>
  </w:num>
  <w:num w:numId="25">
    <w:abstractNumId w:val="24"/>
  </w:num>
  <w:num w:numId="26">
    <w:abstractNumId w:val="18"/>
  </w:num>
  <w:num w:numId="27">
    <w:abstractNumId w:val="14"/>
  </w:num>
  <w:num w:numId="28">
    <w:abstractNumId w:val="19"/>
  </w:num>
  <w:num w:numId="29">
    <w:abstractNumId w:val="10"/>
  </w:num>
  <w:num w:numId="30">
    <w:abstractNumId w:val="17"/>
  </w:num>
  <w:num w:numId="31">
    <w:abstractNumId w:val="27"/>
  </w:num>
  <w:num w:numId="32">
    <w:abstractNumId w:val="24"/>
  </w:num>
  <w:num w:numId="33">
    <w:abstractNumId w:val="18"/>
  </w:num>
  <w:num w:numId="34">
    <w:abstractNumId w:val="14"/>
  </w:num>
  <w:num w:numId="35">
    <w:abstractNumId w:val="19"/>
  </w:num>
  <w:num w:numId="36">
    <w:abstractNumId w:val="10"/>
  </w:num>
  <w:num w:numId="37">
    <w:abstractNumId w:val="17"/>
  </w:num>
  <w:num w:numId="38">
    <w:abstractNumId w:val="27"/>
  </w:num>
  <w:num w:numId="39">
    <w:abstractNumId w:val="21"/>
  </w:num>
  <w:num w:numId="40">
    <w:abstractNumId w:val="16"/>
  </w:num>
  <w:num w:numId="41">
    <w:abstractNumId w:val="11"/>
  </w:num>
  <w:num w:numId="42">
    <w:abstractNumId w:val="26"/>
  </w:num>
  <w:num w:numId="43">
    <w:abstractNumId w:val="28"/>
  </w:num>
  <w:num w:numId="44">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601F"/>
    <w:rsid w:val="00015394"/>
    <w:rsid w:val="0061601F"/>
    <w:rsid w:val="006F4C4D"/>
    <w:rsid w:val="009D6EDD"/>
    <w:rsid w:val="00BD1A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pPr>
      <w:tabs>
        <w:tab w:val="clear" w:pos="431"/>
        <w:tab w:val="right" w:pos="1021"/>
      </w:tabs>
      <w:spacing w:after="120" w:line="240" w:lineRule="exact"/>
      <w:ind w:left="1134" w:right="1134" w:hanging="1134"/>
    </w:pPr>
    <w:rPr>
      <w:sz w:val="18"/>
    </w:rPr>
  </w:style>
  <w:style w:type="character" w:styleId="FootnoteReference">
    <w:name w:val="footnote reference"/>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pPr>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8"/>
      </w:numPr>
      <w:spacing w:after="120"/>
      <w:ind w:right="1134"/>
    </w:pPr>
  </w:style>
  <w:style w:type="paragraph" w:customStyle="1" w:styleId="Bullet2GC">
    <w:name w:val="_Bullet 2_GC"/>
    <w:basedOn w:val="Normal"/>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7</Pages>
  <Words>1080</Words>
  <Characters>6158</Characters>
  <Application>Microsoft Office Word</Application>
  <DocSecurity>4</DocSecurity>
  <Lines>51</Lines>
  <Paragraphs>14</Paragraphs>
  <ScaleCrop>false</ScaleCrop>
  <Company>CSD</Company>
  <LinksUpToDate>false</LinksUpToDate>
  <CharactersWithSpaces>7224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peng</dc:creator>
  <cp:keywords/>
  <dc:description/>
  <cp:lastModifiedBy>TIAN</cp:lastModifiedBy>
  <cp:revision>2</cp:revision>
  <cp:lastPrinted>2010-09-07T16:08:00Z</cp:lastPrinted>
  <dcterms:created xsi:type="dcterms:W3CDTF">2010-09-08T14:17:00Z</dcterms:created>
  <dcterms:modified xsi:type="dcterms:W3CDTF">2010-09-08T14:17:00Z</dcterms:modified>
</cp:coreProperties>
</file>