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Бывшая югославская Республика Македония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объединенный первоначал</w:t>
      </w:r>
      <w:r>
        <w:t>ь</w:t>
      </w:r>
      <w:r>
        <w:t>ный, второй и третий периодический доклад бывшей югославской Республики Македония (CEDAW/C/MKD/1–3).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говорится (стр. 11, 13 английского текста), что принцип равн</w:t>
      </w:r>
      <w:r>
        <w:t>о</w:t>
      </w:r>
      <w:r>
        <w:t>правия мужчин и женщин инкорпорирован в статью 9 Конституции и в некот</w:t>
      </w:r>
      <w:r>
        <w:t>о</w:t>
      </w:r>
      <w:r>
        <w:t>рые законы, имеющие особое значение для положения женщин, в частности Закон о наследовании и Закон о семье, при этом Закон о занятости не содержит положений, которые «прямо относятся к гендерному равенству» (стр. 13 ан</w:t>
      </w:r>
      <w:r>
        <w:t>г</w:t>
      </w:r>
      <w:r>
        <w:t>лийского текста). Собирается ли правительство пересматривать внутреннее з</w:t>
      </w:r>
      <w:r>
        <w:t>а</w:t>
      </w:r>
      <w:r>
        <w:t>конодательство, с тем чтобы обеспечить его полное соответствие положениям Конвенции, включая принятие специального закона о равенстве полов?</w:t>
      </w:r>
    </w:p>
    <w:p w:rsidR="00000000" w:rsidRDefault="00000000">
      <w:pPr>
        <w:pStyle w:val="SingleTxt"/>
      </w:pPr>
      <w:r>
        <w:t>2.</w:t>
      </w:r>
      <w:r>
        <w:tab/>
        <w:t>В докладе говорится (стр. 29 английского текста), что, согласно данным Конституционного суда, только весьма небольшой процент женщин подает и</w:t>
      </w:r>
      <w:r>
        <w:t>н</w:t>
      </w:r>
      <w:r>
        <w:t>дивидуальные петиции, связанные со случаями дискриминации. В нем также говорится (стр. 32 английского текста), что граждане бывшей югославской Республики Македония, включая женщин, «в недостаточной степени испол</w:t>
      </w:r>
      <w:r>
        <w:t>ь</w:t>
      </w:r>
      <w:r>
        <w:t>зуют имеющиеся механизмы и правовые средства защиты свобод и прав в сл</w:t>
      </w:r>
      <w:r>
        <w:t>у</w:t>
      </w:r>
      <w:r>
        <w:t>чае их нарушения, что главным образом объясняется отсутствием надлежащих знаний о гарантированных свободах и правах и методах их защиты». Просьба пояснить, какие меры приняты правительством для информирования женщин об их правах и средствах, позволяющих требовать их предоставления. В связи с этим укажите, в частности, какие из мероприятий, включенных в национал</w:t>
      </w:r>
      <w:r>
        <w:t>ь</w:t>
      </w:r>
      <w:r>
        <w:t>ный план действий и описанных в докладе (стр. 32 английского текста), были ос</w:t>
      </w:r>
      <w:r>
        <w:t>у</w:t>
      </w:r>
      <w:r>
        <w:t>ществлены.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В докладе говорится (стр. 33 английского текста), что «при министерстве труда и социальной политики в январе 1997 года был создан отдел по содейс</w:t>
      </w:r>
      <w:r>
        <w:t>т</w:t>
      </w:r>
      <w:r>
        <w:t>вию гендерному равенству», и отмечается, что «тем не менее по</w:t>
      </w:r>
      <w:r>
        <w:noBreakHyphen/>
        <w:t>прежнему на его деятельность не выделены специальные средства из государственного бюджета и отдел работает, имея всего одного штатного сотрудника». Просьба указать шаги, предпринятые правительством к обеспечению отдела по соде</w:t>
      </w:r>
      <w:r>
        <w:t>й</w:t>
      </w:r>
      <w:r>
        <w:t>ствию гендерному равенству адекватными людскими и финансовыми ресурс</w:t>
      </w:r>
      <w:r>
        <w:t>а</w:t>
      </w:r>
      <w:r>
        <w:t>ми и полномочиями и властью на выполнение их работы, в частности, укажите, каким образом отдел может играть стимулирующую роль в деле содействия осуществлению Конвенции на всех уровнях правительства.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В докладе отмечается (стр. 37 английского текста), что в настоящее время бывшая югославская Республика Македония «не проводит официальную пол</w:t>
      </w:r>
      <w:r>
        <w:t>и</w:t>
      </w:r>
      <w:r>
        <w:t>тику в области ускорения установления фактического равенства или принятия временных специальных мер (позитивных действий) на национальном уро</w:t>
      </w:r>
      <w:r>
        <w:t>в</w:t>
      </w:r>
      <w:r>
        <w:t>не». Просьба указать, предпринимаются ли правительством шаги, помимо обеспечения «как минимум 30</w:t>
      </w:r>
      <w:r>
        <w:noBreakHyphen/>
        <w:t>процентной квоты для представителей обоих полов в списках выдвигаемых в ходе парламентских выборов кандидатов» (стр. 56 английского текста) в целях принятия временных специальных мер с</w:t>
      </w:r>
      <w:r>
        <w:t>о</w:t>
      </w:r>
      <w:r>
        <w:t>гласно пункту 1 статьи 4 Конвенции и общей рекомендации № 25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5.</w:t>
      </w:r>
      <w:r>
        <w:tab/>
        <w:t>В докладе отмечается (стр. 37 английского текста), что «по</w:t>
      </w:r>
      <w:r>
        <w:noBreakHyphen/>
        <w:t>прежнему с</w:t>
      </w:r>
      <w:r>
        <w:t>о</w:t>
      </w:r>
      <w:r>
        <w:t>храняется традиционное представление о предназначении женщин», что свид</w:t>
      </w:r>
      <w:r>
        <w:t>е</w:t>
      </w:r>
      <w:r>
        <w:t>тельствует о том, что суть гендерных различий коренится в подчиненном и н</w:t>
      </w:r>
      <w:r>
        <w:t>е</w:t>
      </w:r>
      <w:r>
        <w:t>благоприятном положении женщины [женщин], а также «о сохраняющемся с давних времен распределении ролей между мужчинами и женщинами в семье и других сферах жизни». Помимо представительства женщин в средствах ма</w:t>
      </w:r>
      <w:r>
        <w:t>с</w:t>
      </w:r>
      <w:r>
        <w:t>совой информации в докладе мало говорится о превалирующих гендерных ст</w:t>
      </w:r>
      <w:r>
        <w:t>е</w:t>
      </w:r>
      <w:r>
        <w:t>реотипах и их роли в сохранении дискриминации в отношении женщин и их неравноправного положения. Просьба описать типы и все бытующие виды ге</w:t>
      </w:r>
      <w:r>
        <w:t>н</w:t>
      </w:r>
      <w:r>
        <w:t>дерных стереотипов и меры, которые принимаются для изменения культурной практики, носящей дискриминационный характер, в том числе путем содейс</w:t>
      </w:r>
      <w:r>
        <w:t>т</w:t>
      </w:r>
      <w:r>
        <w:t>вия разделению обязанностей мужчин и женщин в семье и в обществе.</w:t>
      </w:r>
    </w:p>
    <w:p w:rsidR="00000000" w:rsidRDefault="00000000">
      <w:pPr>
        <w:pStyle w:val="SingleTxt"/>
      </w:pPr>
      <w:r>
        <w:t>6.</w:t>
      </w:r>
      <w:r>
        <w:tab/>
        <w:t>В докладе говорится (стр. 17 английского текста), что распространенность насилия в семье в Македонии «общеизвестный факт, хотя о нем редко говорят открыто, поскольку традиционно не поощряется обнародование случаев нас</w:t>
      </w:r>
      <w:r>
        <w:t>и</w:t>
      </w:r>
      <w:r>
        <w:t>лия в семье на том основании, что это вопрос частной семейной жизни». В докладе также отмечается (стр. 18 английского текста), что в Уголовном коде</w:t>
      </w:r>
      <w:r>
        <w:t>к</w:t>
      </w:r>
      <w:r>
        <w:t>се бывшей югославской Республики Македония «не предусматриваются сан</w:t>
      </w:r>
      <w:r>
        <w:t>к</w:t>
      </w:r>
      <w:r>
        <w:t>ции против насилия в отношении женщин как отдельного уголовного престу</w:t>
      </w:r>
      <w:r>
        <w:t>п</w:t>
      </w:r>
      <w:r>
        <w:t>ления». Какие меры, в том числе законодательные, принимаются правительс</w:t>
      </w:r>
      <w:r>
        <w:t>т</w:t>
      </w:r>
      <w:r>
        <w:t>вом, чтобы не допускать и пресекать насилие в семье и побуждать сообщать о случаях насилия, повысить осведомленность женщин об их правах и предост</w:t>
      </w:r>
      <w:r>
        <w:t>а</w:t>
      </w:r>
      <w:r>
        <w:t>вить им доступ к правовой помощи, а также расширить возможности госуда</w:t>
      </w:r>
      <w:r>
        <w:t>р</w:t>
      </w:r>
      <w:r>
        <w:t>ственных уполномоченных лиц оказывать учитывающую гендерный аспект помощь жертвам насилия в семье?</w:t>
      </w:r>
    </w:p>
    <w:p w:rsidR="00000000" w:rsidRDefault="00000000">
      <w:pPr>
        <w:pStyle w:val="SingleTxt"/>
      </w:pPr>
      <w:r>
        <w:t>7.</w:t>
      </w:r>
      <w:r>
        <w:tab/>
        <w:t>В докладе говорится (стр. 18 английского текста), что «изнасилование в браке было внесено в Уголовный кодекс в 1996 году. Однако уголовное дело по этому виду преступления может быть возбуждено на основании заявления ч</w:t>
      </w:r>
      <w:r>
        <w:t>а</w:t>
      </w:r>
      <w:r>
        <w:t>стного лица в отличие от других видов изнасилования, когда преступниками являются посторонние люди, а не супруг, и дело возбуждается ex officio». К</w:t>
      </w:r>
      <w:r>
        <w:t>а</w:t>
      </w:r>
      <w:r>
        <w:t>кие меры были приняты, чтобы облегчить процедуру уведомления женщинами о случаях изнасилования в браке? Просьба указать детали процедуры подачи в частном порядке жалобы; представьте данные, в какой степени данная проц</w:t>
      </w:r>
      <w:r>
        <w:t>е</w:t>
      </w:r>
      <w:r>
        <w:t>дура используется; и укажите, предоставляется ли правовая помощь жертвам.</w:t>
      </w:r>
    </w:p>
    <w:p w:rsidR="00000000" w:rsidRDefault="00000000">
      <w:pPr>
        <w:pStyle w:val="SingleTxt"/>
      </w:pPr>
      <w:r>
        <w:t>8.</w:t>
      </w:r>
      <w:r>
        <w:tab/>
        <w:t>В докладе отмечается отсутствие услуг по оказанию помощи женщинам, ставшим жертвами насилия. Какие усилия предпринимаются, чтобы жертвам насилия предоставлялась необходимая помощь, в том числе психологическая и м</w:t>
      </w:r>
      <w:r>
        <w:t>е</w:t>
      </w:r>
      <w:r>
        <w:t>дицинская, и доступ в отвечающие требованиям приюты?</w:t>
      </w:r>
    </w:p>
    <w:p w:rsidR="00000000" w:rsidRDefault="00000000">
      <w:pPr>
        <w:pStyle w:val="SingleTxt"/>
      </w:pPr>
      <w:r>
        <w:t>9.</w:t>
      </w:r>
      <w:r>
        <w:tab/>
        <w:t>Просьба описать меры, предпринимаемые с целью сбора, анализа и и</w:t>
      </w:r>
      <w:r>
        <w:t>с</w:t>
      </w:r>
      <w:r>
        <w:t>пользования данных и статистической информации в разбивке по признаку п</w:t>
      </w:r>
      <w:r>
        <w:t>о</w:t>
      </w:r>
      <w:r>
        <w:t>ла и этническому происхождению о всех формах насилия в отношении же</w:t>
      </w:r>
      <w:r>
        <w:t>н</w:t>
      </w:r>
      <w:r>
        <w:t xml:space="preserve">щин.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докладе отмечается (стр. 49 английского текста), что правительство бывшей югославской Республики Македония сотрудничает с Международной организацией по миграции в реализации «инициатив в целях идентификации соответствующих лиц, ставших жертвами торговли людьми, оказания им на</w:t>
      </w:r>
      <w:r>
        <w:t>д</w:t>
      </w:r>
      <w:r>
        <w:t>лежащей помощи и их возвращения и реинтеграции в жизнь общества». Просьба указать, внесло ли правительство на рассмотрение законопроект о з</w:t>
      </w:r>
      <w:r>
        <w:t>а</w:t>
      </w:r>
      <w:r>
        <w:t>щите свидетелей в целях защиты женщин, ставших жертвами торговли люд</w:t>
      </w:r>
      <w:r>
        <w:t>ь</w:t>
      </w:r>
      <w:r>
        <w:t>ми, и, в частности, поясните, подвергаются ли жертвы торговли людьми штр</w:t>
      </w:r>
      <w:r>
        <w:t>а</w:t>
      </w:r>
      <w:r>
        <w:t>фу и/или депорт</w:t>
      </w:r>
      <w:r>
        <w:t>а</w:t>
      </w:r>
      <w:r>
        <w:t>ции.</w:t>
      </w:r>
    </w:p>
    <w:p w:rsidR="00000000" w:rsidRDefault="00000000">
      <w:pPr>
        <w:pStyle w:val="SingleTxt"/>
      </w:pPr>
      <w:r>
        <w:t>11.</w:t>
      </w:r>
      <w:r>
        <w:tab/>
        <w:t>Просьба представить информацию, включая статистические данные о я</w:t>
      </w:r>
      <w:r>
        <w:t>в</w:t>
      </w:r>
      <w:r>
        <w:t>лении проституции и о мерах, принимаемых в целях устранения ее коренных причин, предотвращения сексуальной эксплуатации женщин и девочек, пов</w:t>
      </w:r>
      <w:r>
        <w:t>ы</w:t>
      </w:r>
      <w:r>
        <w:t>шения уровня информированности о создаваемом проституцией риске для зд</w:t>
      </w:r>
      <w:r>
        <w:t>о</w:t>
      </w:r>
      <w:r>
        <w:t>ровья и безопасности и обеспечения защиты, реабилитации и социальной ре</w:t>
      </w:r>
      <w:r>
        <w:t>а</w:t>
      </w:r>
      <w:r>
        <w:t>даптации занимающихся проституцией лиц.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докладе отмечается (стр. 133–137 английского текста), что на парл</w:t>
      </w:r>
      <w:r>
        <w:t>а</w:t>
      </w:r>
      <w:r>
        <w:t>ментских выборах 2002 года только 21 женщина была избрана членом парл</w:t>
      </w:r>
      <w:r>
        <w:t>а</w:t>
      </w:r>
      <w:r>
        <w:t>мента, насчитывающего 120 депутатов, и что только 8,4 процента женщин б</w:t>
      </w:r>
      <w:r>
        <w:t>ы</w:t>
      </w:r>
      <w:r>
        <w:t>ли избраны на местных выборах 2000 года. В докладе говорится также (стр. 56 английского текста), что для улучшения положения женщин в политической сфере был принят закон о выборах и что в статье 37 закона о выборах депут</w:t>
      </w:r>
      <w:r>
        <w:t>а</w:t>
      </w:r>
      <w:r>
        <w:t>тов парламента бывшей югославской Республикой Македония [теперь] пред</w:t>
      </w:r>
      <w:r>
        <w:t>у</w:t>
      </w:r>
      <w:r>
        <w:t>сматривается правовое обязательство, требующее обеспечить 30</w:t>
      </w:r>
      <w:r>
        <w:noBreakHyphen/>
        <w:t>процентную минимальную квоту для кандидатов обоих полов в списках кандидатов. Прос</w:t>
      </w:r>
      <w:r>
        <w:t>ь</w:t>
      </w:r>
      <w:r>
        <w:t>ба описать результаты и эффективность указанного выше положения, а также любые меры, которые могли быть приняты для увеличения числа женщин, уч</w:t>
      </w:r>
      <w:r>
        <w:t>а</w:t>
      </w:r>
      <w:r>
        <w:t>ствующих в местных выборах и побеждающих на них.</w:t>
      </w:r>
    </w:p>
    <w:p w:rsidR="00000000" w:rsidRDefault="00000000">
      <w:pPr>
        <w:pStyle w:val="SingleTxt"/>
      </w:pPr>
      <w:r>
        <w:t>13.</w:t>
      </w:r>
      <w:r>
        <w:tab/>
        <w:t>В докладе отмечается (стр. 56 английского текста), что «в целях обесп</w:t>
      </w:r>
      <w:r>
        <w:t>е</w:t>
      </w:r>
      <w:r>
        <w:t>чения гендерного равенства в этой области следует подчеркнуть важность со</w:t>
      </w:r>
      <w:r>
        <w:t>з</w:t>
      </w:r>
      <w:r>
        <w:t>дания специального комитета Собрания по обеспечению равноправия мужчин и женщин», который будет состоять из членов парламента и экспертов и роль которого будет заключаться «в анализе предлагаемых правовых подходов к р</w:t>
      </w:r>
      <w:r>
        <w:t>е</w:t>
      </w:r>
      <w:r>
        <w:t>шению проблем, исходя из равноправия мужчин и женщин, и в этом смысле — в определении их содержания». Был ли создан такой комитет, если да, просьба привести подробную информацию о его мандате, проведенной работе и ее р</w:t>
      </w:r>
      <w:r>
        <w:t>е</w:t>
      </w:r>
      <w:r>
        <w:t>зультатах.</w:t>
      </w:r>
    </w:p>
    <w:p w:rsidR="00000000" w:rsidRDefault="00000000">
      <w:pPr>
        <w:pStyle w:val="SingleTxt"/>
      </w:pPr>
      <w:r>
        <w:t>14.</w:t>
      </w:r>
      <w:r>
        <w:tab/>
        <w:t>В докладе подчеркивается (стр. 54 английского текста) несущественное участие женщин в сфере принятия решений и публичной жизни. Какие шаги были предприняты правительством для расширения представленности женщин на руководящих должностях в исполнительных органах и увеличения их числа в судах высоких инстанций?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Как отмечается в докладе (стр. 70 английского текста), «уровень участия женщин в деятельности на международном уровне до сих пор остается ни</w:t>
      </w:r>
      <w:r>
        <w:t>з</w:t>
      </w:r>
      <w:r>
        <w:t>ким». Просьба представить информацию о мерах, направленных на повышение представленности женщин на руководящих должностях в министерстве ин</w:t>
      </w:r>
      <w:r>
        <w:t>о</w:t>
      </w:r>
      <w:r>
        <w:t xml:space="preserve">странных дел, а также в дипломатических и консульских представительствах.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В докладе отмечается (стр. 76–77 английского текста), что «наименьшие показатели участия [учащихся-девушек в системе среднего образования за 2001/02 учебный год] приходятся на долю таких специальностей, как электр</w:t>
      </w:r>
      <w:r>
        <w:t>о</w:t>
      </w:r>
      <w:r>
        <w:t>техника и механика — в среднем 7 процентов». Какие меры принимаются пр</w:t>
      </w:r>
      <w:r>
        <w:t>а</w:t>
      </w:r>
      <w:r>
        <w:t>вительством для расширения выбора учащимися-девушками этих областей знаний, в которых традиционно доминируют мужчины?</w:t>
      </w:r>
    </w:p>
    <w:p w:rsidR="00000000" w:rsidRDefault="00000000">
      <w:pPr>
        <w:pStyle w:val="SingleTxt"/>
      </w:pPr>
      <w:r>
        <w:t>17.</w:t>
      </w:r>
      <w:r>
        <w:tab/>
        <w:t>В докладе отмечается (стр. 84 английского текста), что число учащихся, не заканчивающих обучение в средней школе, велико по обоим полам. Просьба представить данные с разбивкой по признаку пола и этническому происхожд</w:t>
      </w:r>
      <w:r>
        <w:t>е</w:t>
      </w:r>
      <w:r>
        <w:t>нию о проценте отсева учащихся из начальной и средней школы; укажите пр</w:t>
      </w:r>
      <w:r>
        <w:t>и</w:t>
      </w:r>
      <w:r>
        <w:t>чины, по которым учащиеся прекращают учебу в школе; и представьте инфо</w:t>
      </w:r>
      <w:r>
        <w:t>р</w:t>
      </w:r>
      <w:r>
        <w:t>мацию о мерах, принятых для сокращения процента отсева учащихся-девушек, включая использование временных специальных мер согласно пункту 1 ст</w:t>
      </w:r>
      <w:r>
        <w:t>а</w:t>
      </w:r>
      <w:r>
        <w:t>тьи 4 и общей рекоме</w:t>
      </w:r>
      <w:r>
        <w:t>н</w:t>
      </w:r>
      <w:r>
        <w:t>дации № 25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В докладе отмечается (стр. 13 английского текста), что бедность затраг</w:t>
      </w:r>
      <w:r>
        <w:t>и</w:t>
      </w:r>
      <w:r>
        <w:t>вает женщин в большей степени, чем мужчин, и что еще нет плана действий по выявлению и устранению коренных причин более высокого уровня бедности среди женщин. В докладе отмечается (стр. 86–87 и 149 английского текста), что уровень безработицы среди женщин составляет 32 процента. В нем отм</w:t>
      </w:r>
      <w:r>
        <w:t>е</w:t>
      </w:r>
      <w:r>
        <w:t>чается также, что 69,8 процента женщин заняты низкооплачиваемым ручным трудом и что 21,8 процента женщин занимаются неоплачиваемой работой по дому. В таблице на стр. 149 английского текста показано, что женщины по</w:t>
      </w:r>
      <w:r>
        <w:noBreakHyphen/>
        <w:t>прежнему преобладают в сфере образования, здравоохранения и социальн</w:t>
      </w:r>
      <w:r>
        <w:t>о</w:t>
      </w:r>
      <w:r>
        <w:t>го обслуживания. Какие усилия прилагаются правительством для улучшения экономических перспектив женщин, включая меры по оказанию женщинам с</w:t>
      </w:r>
      <w:r>
        <w:t>о</w:t>
      </w:r>
      <w:r>
        <w:t>действия в совмещении профессиональных и семейных обязанностей, а также обеспеч</w:t>
      </w:r>
      <w:r>
        <w:t>е</w:t>
      </w:r>
      <w:r>
        <w:t>нию надлежащих услуг по уходу за детьми?</w:t>
      </w:r>
    </w:p>
    <w:p w:rsidR="00000000" w:rsidRDefault="00000000">
      <w:pPr>
        <w:pStyle w:val="SingleTxt"/>
      </w:pPr>
      <w:r>
        <w:t>19.</w:t>
      </w:r>
      <w:r>
        <w:tab/>
        <w:t>В докладе отмечается (стр. 87 английского текста), что «возможности с</w:t>
      </w:r>
      <w:r>
        <w:t>а</w:t>
      </w:r>
      <w:r>
        <w:t>мозанятости и занятости, предлагаемые частным сектором, женщинами не и</w:t>
      </w:r>
      <w:r>
        <w:t>с</w:t>
      </w:r>
      <w:r>
        <w:t>пользуются». Каковы причины сложившейся ситуации и какие шаги предпр</w:t>
      </w:r>
      <w:r>
        <w:t>и</w:t>
      </w:r>
      <w:r>
        <w:t>нимаются правительством для расширения возможностей женщин в плане п</w:t>
      </w:r>
      <w:r>
        <w:t>о</w:t>
      </w:r>
      <w:r>
        <w:t>лучения доступа к самозанятости и занятости в частном секторе?</w:t>
      </w:r>
    </w:p>
    <w:p w:rsidR="00000000" w:rsidRDefault="00000000">
      <w:pPr>
        <w:pStyle w:val="SingleTxt"/>
      </w:pPr>
      <w:r>
        <w:t>20.</w:t>
      </w:r>
      <w:r>
        <w:tab/>
        <w:t>В докладе несколько раз делаются ссылки на специальное законодател</w:t>
      </w:r>
      <w:r>
        <w:t>ь</w:t>
      </w:r>
      <w:r>
        <w:t>ство о защите женщин на рабочем месте (Закон о трудовых отношениях 1993 года). Проводился ли какой-либо анализ в связи с этим законодательс</w:t>
      </w:r>
      <w:r>
        <w:t>т</w:t>
      </w:r>
      <w:r>
        <w:t>вом, как это предусматривается в статье 11.3 Конвенции, включая определение эффективности такой специальной защиты с точки зрения участия женщин на рынке труда и их возможностей занятости?</w:t>
      </w:r>
    </w:p>
    <w:p w:rsidR="00000000" w:rsidRDefault="00000000">
      <w:pPr>
        <w:pStyle w:val="SingleTxt"/>
      </w:pPr>
      <w:r>
        <w:t>21.</w:t>
      </w:r>
      <w:r>
        <w:tab/>
        <w:t>В докладе отмечается (стр. 93 английского текста), что отец ребенка ос</w:t>
      </w:r>
      <w:r>
        <w:t>у</w:t>
      </w:r>
      <w:r>
        <w:t>ществляет право на [родительский] отпуск в случае смерти матери, если мать оставляет своего ребенка или при наличии веских причин, препятствующих матери осуществлять свои права. Имеют ли отцы право на родительский о</w:t>
      </w:r>
      <w:r>
        <w:t>т</w:t>
      </w:r>
      <w:r>
        <w:t>пуск при других обстоятельствах, если да, просьба пояснить и указать, какой пр</w:t>
      </w:r>
      <w:r>
        <w:t>о</w:t>
      </w:r>
      <w:r>
        <w:t xml:space="preserve">цент отцов берет родительский отпуск. </w:t>
      </w:r>
    </w:p>
    <w:p w:rsidR="00000000" w:rsidRDefault="00000000">
      <w:pPr>
        <w:pStyle w:val="SingleTxt"/>
      </w:pPr>
      <w:r>
        <w:t>22.</w:t>
      </w:r>
      <w:r>
        <w:tab/>
        <w:t>Сколько семей возглавляется женщинами, какие шаги были предприняты для расширения экономических прав и возможностей женщин с низкими дох</w:t>
      </w:r>
      <w:r>
        <w:t>о</w:t>
      </w:r>
      <w:r>
        <w:t>дами, возглавляющих домашние хозяйства?</w:t>
      </w:r>
    </w:p>
    <w:p w:rsidR="00000000" w:rsidRDefault="00000000">
      <w:pPr>
        <w:pStyle w:val="SingleTxt"/>
      </w:pPr>
      <w:r>
        <w:t>23.</w:t>
      </w:r>
      <w:r>
        <w:tab/>
        <w:t>Проводились ли какие-либо исследования многочисленных форм дискр</w:t>
      </w:r>
      <w:r>
        <w:t>и</w:t>
      </w:r>
      <w:r>
        <w:t>минации в отношении уязвимых групп женщин и женщин из различных этн</w:t>
      </w:r>
      <w:r>
        <w:t>и</w:t>
      </w:r>
      <w:r>
        <w:t>ческих групп? Просьба представить информацию о таких уязвимых группах, как пожилые женщины и женщины-инвалиды, а также женщины, относящиеся к этническим группам; в частности о положении албанских и цыганских же</w:t>
      </w:r>
      <w:r>
        <w:t>н</w:t>
      </w:r>
      <w:r>
        <w:t>щин, а также женщин-беженцев и мигрантов; и о мерах, принятых для улучш</w:t>
      </w:r>
      <w:r>
        <w:t>е</w:t>
      </w:r>
      <w:r>
        <w:t>ния их социально-экономического положения и обеспечения им равного дост</w:t>
      </w:r>
      <w:r>
        <w:t>у</w:t>
      </w:r>
      <w:r>
        <w:t>па к образованию, здравоохранению и политическому представительс</w:t>
      </w:r>
      <w:r>
        <w:t>т</w:t>
      </w:r>
      <w:r>
        <w:t>ву.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В докладе отмечается (стр. 100 английского текста), что бывшая югосла</w:t>
      </w:r>
      <w:r>
        <w:t>в</w:t>
      </w:r>
      <w:r>
        <w:t>ская Республика Македония «не предоставила документ о долгосрочной стр</w:t>
      </w:r>
      <w:r>
        <w:t>а</w:t>
      </w:r>
      <w:r>
        <w:t>тегии развития в области здравоохранения», но что Академия искусств и наук Республики Македония ведет работу по подготовке данного документа. Прос</w:t>
      </w:r>
      <w:r>
        <w:t>ь</w:t>
      </w:r>
      <w:r>
        <w:t>ба проинформировать о ходе подготовки этого документа.</w:t>
      </w:r>
    </w:p>
    <w:p w:rsidR="00000000" w:rsidRDefault="00000000">
      <w:pPr>
        <w:pStyle w:val="SingleTxt"/>
      </w:pPr>
      <w:r>
        <w:t>25.</w:t>
      </w:r>
      <w:r>
        <w:tab/>
        <w:t>В докладе отмечается (стр. 107 английского текста), что прерывание б</w:t>
      </w:r>
      <w:r>
        <w:t>е</w:t>
      </w:r>
      <w:r>
        <w:t>ременности по</w:t>
      </w:r>
      <w:r>
        <w:noBreakHyphen/>
        <w:t>прежнему применяется как метод планирования семьи, что «о</w:t>
      </w:r>
      <w:r>
        <w:t>т</w:t>
      </w:r>
      <w:r>
        <w:t>ражается на показателе роды/аборты; так, за последний период в среднем на 2,5 родов приходился один аборт». Какие шаги предпринимаются к обеспеч</w:t>
      </w:r>
      <w:r>
        <w:t>е</w:t>
      </w:r>
      <w:r>
        <w:t>нию того, чтобы мужчины и женщины, включая подростков, имели доступ к информации о репродуктивном здоровье и планировании семьи и возможность получения недорогих противозачаточных средств?</w:t>
      </w:r>
    </w:p>
    <w:p w:rsidR="00000000" w:rsidRDefault="00000000">
      <w:pPr>
        <w:pStyle w:val="SingleTxt"/>
      </w:pPr>
      <w:r>
        <w:t>26.</w:t>
      </w:r>
      <w:r>
        <w:tab/>
        <w:t>Просьба представить данные в разбивке по признаку пола и этническому происхождению о заболеваемости ВИЧ/СПИДом в стране. Просьба также оп</w:t>
      </w:r>
      <w:r>
        <w:t>и</w:t>
      </w:r>
      <w:r>
        <w:t>сать меры, предпринимаемые по борьбе с ВИЧ/СПИДом, и указать, учитывае</w:t>
      </w:r>
      <w:r>
        <w:t>т</w:t>
      </w:r>
      <w:r>
        <w:t>ся ли при принятии таких мер гендерный фактор.</w:t>
      </w:r>
    </w:p>
    <w:p w:rsidR="00000000" w:rsidRDefault="00000000">
      <w:pPr>
        <w:pStyle w:val="SingleTxt"/>
      </w:pPr>
      <w:r>
        <w:t>27.</w:t>
      </w:r>
      <w:r>
        <w:tab/>
        <w:t>В докладе не приводится какая-либо информация о положении мигра</w:t>
      </w:r>
      <w:r>
        <w:t>н</w:t>
      </w:r>
      <w:r>
        <w:t>тов-женщин, включая их численность и страну происхождения. В докладе о</w:t>
      </w:r>
      <w:r>
        <w:t>т</w:t>
      </w:r>
      <w:r>
        <w:t>мечается (стр. 110 английского текста), что «контролю за состоянием здоровья женщин-мигрантов не уделяется какое-либо особое внимание. Таким образом, возникает необходимость внедрения в систему государственной статистики с</w:t>
      </w:r>
      <w:r>
        <w:t>о</w:t>
      </w:r>
      <w:r>
        <w:t>ответствующих показателей, охватывающих данную группу населения». Были ли предприняты какие-либо шаги по созданию такой системы и какие меры были приняты к обеспечению женщинам-мигрантам доступа к медицинскому обслуживанию?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докладе отмечается (стр. 113 английского текста), что правительство бывшей югославской Республики Македония в своей программе деятельности «стремится не допустить дискриминации и обеспечить гендерный баланс» в экономической жизни и профессиональной деятельности посредством:</w:t>
      </w:r>
    </w:p>
    <w:p w:rsidR="00000000" w:rsidRDefault="00000000">
      <w:pPr>
        <w:pStyle w:val="SingleTxt"/>
      </w:pPr>
      <w:r>
        <w:tab/>
        <w:t>«a)</w:t>
      </w:r>
      <w:r>
        <w:tab/>
        <w:t>предоставления доступа к бесплатным или недорогим юридическим услугам в целях обеспечения равного доступа к экономическим ресурсам и создания для женщин, в том числе молодых, специальных условий для получ</w:t>
      </w:r>
      <w:r>
        <w:t>е</w:t>
      </w:r>
      <w:r>
        <w:t>ния кредитов;</w:t>
      </w:r>
    </w:p>
    <w:p w:rsidR="00000000" w:rsidRDefault="00000000">
      <w:pPr>
        <w:pStyle w:val="SingleTxt"/>
      </w:pPr>
      <w:r>
        <w:tab/>
        <w:t>b)</w:t>
      </w:r>
      <w:r>
        <w:tab/>
        <w:t>обеспечения участия женщин или их совместной ответственности (когда это возможно) в процессе принятия решений в учреждениях, предоста</w:t>
      </w:r>
      <w:r>
        <w:t>в</w:t>
      </w:r>
      <w:r>
        <w:t>ляющих кредиты и финанс</w:t>
      </w:r>
      <w:r>
        <w:t>о</w:t>
      </w:r>
      <w:r>
        <w:t xml:space="preserve">вые услуги». </w:t>
      </w:r>
    </w:p>
    <w:p w:rsidR="00000000" w:rsidRDefault="00000000">
      <w:pPr>
        <w:pStyle w:val="SingleTxt"/>
      </w:pPr>
      <w:r>
        <w:tab/>
        <w:t>Каково состояние осуществления таких мероприятий?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Учитывая, что приблизительно 40,5 процента населения проживает в сельской местности</w:t>
      </w:r>
      <w:r>
        <w:rPr>
          <w:vertAlign w:val="superscript"/>
        </w:rPr>
        <w:t>1</w:t>
      </w:r>
      <w:r>
        <w:t>, просьба описать воздействие всех мер, принятых прав</w:t>
      </w:r>
      <w:r>
        <w:t>и</w:t>
      </w:r>
      <w:r>
        <w:t>тельством по улучшению положения сельских женщин, включая их доступ к образованию, здравоохранению, источникам водоснабжения и земле, а также их участие в процессах принятия решений на всех уровнях.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В докладе отмечается (стр. 125 английского текста), что «законодательс</w:t>
      </w:r>
      <w:r>
        <w:t>т</w:t>
      </w:r>
      <w:r>
        <w:t>во предоставляет определенную возможность малообеспеченному супругу в течение 5 лет после расторжения брака получать финансовую поддержку, если он/она не обладает достаточными средствами для обеспечения существования, нетрудоспособен или потерял работу не по своей вине. Тем не менее, хотя с</w:t>
      </w:r>
      <w:r>
        <w:t>у</w:t>
      </w:r>
      <w:r>
        <w:t>дом назначается содержание для детей и матери, обязать отца на практике в</w:t>
      </w:r>
      <w:r>
        <w:t>ы</w:t>
      </w:r>
      <w:r>
        <w:t>полнять такое решение достаточно сложно». Какие шаги были предприняты для о</w:t>
      </w:r>
      <w:r>
        <w:t>б</w:t>
      </w:r>
      <w:r>
        <w:t>легчения процедуры обеспечения содержания детям и матери?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240"/>
        <w:ind w:left="1267" w:right="1260" w:hanging="1267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rPr>
          <w:vertAlign w:val="superscript"/>
        </w:rPr>
        <w:tab/>
        <w:t>1</w:t>
      </w:r>
      <w:r>
        <w:rPr>
          <w:vertAlign w:val="superscript"/>
        </w:rPr>
        <w:tab/>
      </w:r>
      <w:r>
        <w:t>По состоянию на 2003 год в городах бывшей югославской Республики Македония проживало 59,5 процента населения (</w:t>
      </w:r>
      <w:r>
        <w:rPr>
          <w:i/>
        </w:rPr>
        <w:t>Тенденции в Европе и Северной Америке, 2005 год</w:t>
      </w:r>
      <w:r>
        <w:t>). (Издание Организации Объединенных Наций в продаже под № R.05.II.14); см. http://www.unece.org/stats/trends2005/Welcome.html,links: Population/Population in urban areas).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NO&gt;&gt;N0545840R&lt;&lt;ODS JOB NO&gt;&gt;</w:t>
      </w:r>
    </w:p>
    <w:p w:rsidR="00000000" w:rsidRDefault="00000000">
      <w:pPr>
        <w:pStyle w:val="CommentText"/>
      </w:pPr>
      <w:r>
        <w:t>&lt;&lt;ODS DOC SYMBOL1&gt;&gt;CEDAW/C/MKD/Q/1-3&lt;&lt;ODS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05-45840 (R)    111005    111005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*0545840*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CEDAW/C/MKD/Q/1-3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CEDAW/C/MKD/Q/1-3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/C/MKD/Q/1-3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29 July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0/2005 18:02:13"/>
    <w:docVar w:name="DocCategory" w:val="PlainDoc"/>
    <w:docVar w:name="DocType" w:val="Final"/>
    <w:docVar w:name="JobNo" w:val="0545840R"/>
    <w:docVar w:name="OandT" w:val=" "/>
    <w:docVar w:name="Symbol1" w:val="CEDAW/C/MKD/Q/1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7</Pages>
  <Words>2435</Words>
  <Characters>13880</Characters>
  <Application>Microsoft Office Word</Application>
  <DocSecurity>4</DocSecurity>
  <Lines>115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2005-10-11T20:05:00Z</cp:lastPrinted>
  <dcterms:created xsi:type="dcterms:W3CDTF">2005-10-11T20:04:00Z</dcterms:created>
  <dcterms:modified xsi:type="dcterms:W3CDTF">2005-10-11T20:57:00Z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0545840</vt:lpwstr>
  </property>
  <property fmtid="{D5CDD505-2E9C-101B-9397-08002B2CF9AE}" pid="3" name="Symbol1">
    <vt:lpwstr>CEDAW/C/MKD/Q/1-3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Malik</vt:lpwstr>
  </property>
</Properties>
</file>