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5279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5279A" w:rsidP="00C5279A">
            <w:pPr>
              <w:jc w:val="right"/>
            </w:pPr>
            <w:r w:rsidRPr="00C5279A">
              <w:rPr>
                <w:sz w:val="40"/>
              </w:rPr>
              <w:t>E</w:t>
            </w:r>
            <w:r>
              <w:t>/C.12/ESP/CO/6</w:t>
            </w:r>
          </w:p>
        </w:tc>
      </w:tr>
      <w:tr w:rsidR="002D5AAC" w:rsidRPr="00A67CFF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5279A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5279A" w:rsidRDefault="00C5279A" w:rsidP="00C5279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April 2018</w:t>
            </w:r>
          </w:p>
          <w:p w:rsidR="00C5279A" w:rsidRDefault="00C5279A" w:rsidP="00C5279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5279A" w:rsidRPr="00D62A45" w:rsidRDefault="00C5279A" w:rsidP="00C5279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C5279A" w:rsidRPr="00C5279A" w:rsidRDefault="00C5279A" w:rsidP="00C5279A">
      <w:pPr>
        <w:pStyle w:val="SingleTxtGR"/>
        <w:spacing w:before="120"/>
        <w:ind w:left="0"/>
        <w:jc w:val="left"/>
        <w:rPr>
          <w:sz w:val="24"/>
        </w:rPr>
      </w:pPr>
      <w:r w:rsidRPr="00C5279A">
        <w:rPr>
          <w:b/>
          <w:sz w:val="24"/>
        </w:rPr>
        <w:t xml:space="preserve">Комитет по экономическим, социальным </w:t>
      </w:r>
      <w:r>
        <w:rPr>
          <w:b/>
          <w:sz w:val="24"/>
        </w:rPr>
        <w:br/>
      </w:r>
      <w:r w:rsidRPr="00C5279A">
        <w:rPr>
          <w:b/>
          <w:sz w:val="24"/>
        </w:rPr>
        <w:t>и культурным правам</w:t>
      </w:r>
    </w:p>
    <w:p w:rsidR="00C5279A" w:rsidRPr="00C5279A" w:rsidRDefault="00C5279A" w:rsidP="00C5279A">
      <w:pPr>
        <w:pStyle w:val="HChGR"/>
      </w:pPr>
      <w:r>
        <w:tab/>
      </w:r>
      <w:r>
        <w:tab/>
      </w:r>
      <w:r w:rsidRPr="00C5279A">
        <w:t>Заключительные замечания по шестому периодическому докладу Испании</w:t>
      </w:r>
      <w:r w:rsidRPr="00C5279A">
        <w:rPr>
          <w:b w:val="0"/>
          <w:sz w:val="20"/>
        </w:rPr>
        <w:footnoteReference w:customMarkFollows="1" w:id="1"/>
        <w:t>*</w:t>
      </w:r>
      <w:r w:rsidRPr="00C5279A">
        <w:t xml:space="preserve"> </w:t>
      </w:r>
    </w:p>
    <w:p w:rsidR="00C5279A" w:rsidRPr="00C5279A" w:rsidRDefault="00C5279A" w:rsidP="00C5279A">
      <w:pPr>
        <w:pStyle w:val="SingleTxtGR"/>
      </w:pPr>
      <w:r w:rsidRPr="00C5279A">
        <w:t>1.</w:t>
      </w:r>
      <w:r w:rsidRPr="00C5279A">
        <w:tab/>
        <w:t xml:space="preserve">Комитет рассмотрел шестой периодический доклад Испании (E/C.12/ESP/6) на своих 16-м и 17-м заседаниях (см. E/C.12/SR.16 и 17), </w:t>
      </w:r>
      <w:r>
        <w:t>состоявшихся 21 и 22 марта 2018 </w:t>
      </w:r>
      <w:r w:rsidRPr="00C5279A">
        <w:t>года, и на своем 28-м заседании, состоявшемся 29 марта 2018 года, принял настоящие заключительные замечания.</w:t>
      </w:r>
    </w:p>
    <w:p w:rsidR="00C5279A" w:rsidRPr="00C5279A" w:rsidRDefault="00C5279A" w:rsidP="00C5279A">
      <w:pPr>
        <w:pStyle w:val="H1GR"/>
      </w:pPr>
      <w:r>
        <w:tab/>
      </w:r>
      <w:r w:rsidRPr="00C5279A">
        <w:t>A.</w:t>
      </w:r>
      <w:r w:rsidRPr="00C5279A">
        <w:tab/>
      </w:r>
      <w:r w:rsidRPr="00C5279A">
        <w:tab/>
        <w:t>Введение</w:t>
      </w:r>
    </w:p>
    <w:p w:rsidR="00C5279A" w:rsidRPr="00C5279A" w:rsidRDefault="00C5279A" w:rsidP="00C5279A">
      <w:pPr>
        <w:pStyle w:val="SingleTxtGR"/>
      </w:pPr>
      <w:r w:rsidRPr="00C5279A">
        <w:t>2.</w:t>
      </w:r>
      <w:r w:rsidRPr="00C5279A">
        <w:tab/>
        <w:t>Комитет приветствует представление шестого периодического доклада Испании в порядке упрощенной процедуры представления докладов в форме ответов на подготовленный в соответствии с этой процедурой перечень вопросов, препровождаемых до представления доклада (E/C.12/ESP/Q/6). Комитет выражает государству-участнику признательность за согласие следовать упрощенной процедуре представления докладов, поскольку это позволяет усовершенствовать сотрудничество и придать более четкую направленность диалогу между государством-участником и Комитетом. Кроме того, он выражает свою признательность за открытый и конструктивный диалог, состоявшийся с многопрофильной делегацией государства-участника, и за ее устные ответы, а также за дополнительную информацию, предоставленную в ходе диалога.</w:t>
      </w:r>
    </w:p>
    <w:p w:rsidR="00C5279A" w:rsidRPr="00C5279A" w:rsidRDefault="00C5279A" w:rsidP="00C5279A">
      <w:pPr>
        <w:pStyle w:val="H1GR"/>
      </w:pPr>
      <w:r>
        <w:tab/>
      </w:r>
      <w:r w:rsidRPr="00C5279A">
        <w:t>B.</w:t>
      </w:r>
      <w:r w:rsidRPr="00C5279A">
        <w:tab/>
      </w:r>
      <w:r w:rsidRPr="00C5279A">
        <w:tab/>
        <w:t>Позитивные аспекты</w:t>
      </w:r>
    </w:p>
    <w:p w:rsidR="00C5279A" w:rsidRPr="00C5279A" w:rsidRDefault="00C5279A" w:rsidP="00C5279A">
      <w:pPr>
        <w:pStyle w:val="SingleTxtGR"/>
      </w:pPr>
      <w:r w:rsidRPr="00C5279A">
        <w:t>3.</w:t>
      </w:r>
      <w:r w:rsidRPr="00C5279A">
        <w:tab/>
        <w:t>Комитет признает, что международный финансовый кризис повлек за собой серьезные последствия для экономики и для эффективного осуществления экономических, социальных и культурных прав в государстве-участнике. В этой связи Комитет с удовлетворением отмечает преодоление экономического спада и принятие государством-участником мер и политики, свидетельствующих о его готовности защищать экономические, социальные и культурные права, в частности ратификацию Факультативного протокола к Конвенции о правах ребенка, касающегося процедуры сообщений, а также принятие Национального плана действий по социальной интеграции на период 2013–2016 годов, Национальной стратегии по социальной интеграции цыганского населения на период 2012–2020 годов, Комплексной национальной стратегии в отношении бездомных на период 2015–2020 годов и Национального плана действий в области предпринимательской деятельности в аспекте прав человека.</w:t>
      </w:r>
    </w:p>
    <w:p w:rsidR="00C5279A" w:rsidRPr="00C5279A" w:rsidRDefault="00C5279A" w:rsidP="00C5279A">
      <w:pPr>
        <w:pStyle w:val="SingleTxtGR"/>
      </w:pPr>
      <w:r w:rsidRPr="00C5279A">
        <w:lastRenderedPageBreak/>
        <w:t>4.</w:t>
      </w:r>
      <w:r w:rsidRPr="00C5279A">
        <w:tab/>
        <w:t>Комитет приветствует активное участие в процессе рассмотрения шестого периодического доклада государства-участника организаций его гражданского общества.</w:t>
      </w:r>
    </w:p>
    <w:p w:rsidR="00C5279A" w:rsidRPr="00C5279A" w:rsidRDefault="00C5279A" w:rsidP="00C5279A">
      <w:pPr>
        <w:pStyle w:val="H1GR"/>
      </w:pPr>
      <w:r>
        <w:tab/>
      </w:r>
      <w:r w:rsidRPr="00C5279A">
        <w:t>C.</w:t>
      </w:r>
      <w:r w:rsidRPr="00C5279A">
        <w:tab/>
      </w:r>
      <w:r w:rsidRPr="00C5279A">
        <w:tab/>
        <w:t>Основные вопросы, вызывающие озабоченность, и рекомендации</w:t>
      </w:r>
    </w:p>
    <w:p w:rsidR="00C5279A" w:rsidRPr="00C5279A" w:rsidRDefault="00C5279A" w:rsidP="00C5279A">
      <w:pPr>
        <w:pStyle w:val="H23GR"/>
        <w:rPr>
          <w:bCs/>
        </w:rPr>
      </w:pPr>
      <w:r w:rsidRPr="00C5279A">
        <w:tab/>
      </w:r>
      <w:r>
        <w:tab/>
      </w:r>
      <w:r w:rsidRPr="00C5279A">
        <w:t xml:space="preserve">Возможность обеспечения экономических, социальных и культурных прав </w:t>
      </w:r>
      <w:r>
        <w:br/>
      </w:r>
      <w:r w:rsidRPr="00C5279A">
        <w:t>в судебном порядке</w:t>
      </w:r>
    </w:p>
    <w:p w:rsidR="00C5279A" w:rsidRPr="00C5279A" w:rsidRDefault="00C5279A" w:rsidP="00C5279A">
      <w:pPr>
        <w:pStyle w:val="SingleTxtGR"/>
      </w:pPr>
      <w:r w:rsidRPr="00C5279A">
        <w:t>5.</w:t>
      </w:r>
      <w:r w:rsidRPr="00C5279A">
        <w:tab/>
        <w:t>Хотя Комитет принимает к сведению некоторые существенные шаги в практике толкования судов общей юрисдикции, касающейся осуществления предусмотренных в Пакте прав, он выражает свою обеспокоенность в связи с тем, что эти права по-прежнему рассматриваются лишь в качестве руководящих принципов социально-экономической политики и что, таким образом, ссылка на них возможна только в случае их законодательного закрепления или в связи с другими, лучше защищенными правами, например правом на жизнь. Кроме того, Комитет выражает сожаление в связи с тем, что в государстве-участнике по-прежнему отсутствует надлежащий механизм осуществления соображений и рекомендаций Комитета.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6.</w:t>
      </w:r>
      <w:r w:rsidRPr="00C5279A">
        <w:rPr>
          <w:b/>
          <w:bCs/>
        </w:rPr>
        <w:tab/>
        <w:t>В свете ранее вынесенной рекомендации (E/C.12/ESP/CO/5, пункт 6) Комитет рекомендует государству-участнику: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принять надлежащие законодательные меры, чтобы обеспечить экономическим, социальным и культурным правам уровень защиты, сопоставимый с уровнем защиты гражданских и политических прав, и возможность применения всех закрепленных в Пакте прав на всех уровнях судебной системы, в том числе в порядке процедуры ампаро;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проводить подготовку, прежде всего для судей, адвокатов, сотрудников правоохранительных органов, членов Конгресса депутатов и других субъектов, несущих ответственность за осуществление Пакта, по вопросам содержания закрепленных в нем прав, включая принятые Комитетом замечания общего порядка, и вопросам возможности их обеспечения в судебном порядке;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проводить информационно-пропагандистские кампании среди правообладателей по теме возможности обеспечения экономических, социальных и культурных прав в судебном порядке;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d)</w:t>
      </w:r>
      <w:r w:rsidRPr="00C5279A">
        <w:rPr>
          <w:b/>
          <w:bCs/>
        </w:rPr>
        <w:tab/>
        <w:t>создать эффективный национальный механизм для осуществления рекомендаций и соображений Комитета и принятия последующих мер.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7.</w:t>
      </w:r>
      <w:r w:rsidRPr="00C5279A">
        <w:rPr>
          <w:b/>
          <w:bCs/>
        </w:rPr>
        <w:tab/>
        <w:t>Комитет обращает внимание государства-участника на свое зам</w:t>
      </w:r>
      <w:r w:rsidR="0060652B">
        <w:rPr>
          <w:b/>
          <w:bCs/>
        </w:rPr>
        <w:t>ечание общего порядка № 9 (1998</w:t>
      </w:r>
      <w:r w:rsidRPr="00C5279A">
        <w:rPr>
          <w:b/>
          <w:bCs/>
        </w:rPr>
        <w:t>) о применении Пакта во внутреннем праве.</w:t>
      </w:r>
    </w:p>
    <w:p w:rsidR="00C5279A" w:rsidRPr="00C5279A" w:rsidRDefault="00C5279A" w:rsidP="00C5279A">
      <w:pPr>
        <w:pStyle w:val="H23GR"/>
      </w:pPr>
      <w:r>
        <w:tab/>
      </w:r>
      <w:r>
        <w:tab/>
      </w:r>
      <w:r w:rsidRPr="00C5279A">
        <w:t xml:space="preserve">Предпринимательская деятельность и экономические, социальные </w:t>
      </w:r>
      <w:r w:rsidR="0060652B">
        <w:br/>
      </w:r>
      <w:r w:rsidRPr="00C5279A">
        <w:t xml:space="preserve">и культурные права </w:t>
      </w:r>
    </w:p>
    <w:p w:rsidR="00C5279A" w:rsidRPr="00C5279A" w:rsidRDefault="00C5279A" w:rsidP="00C5279A">
      <w:pPr>
        <w:pStyle w:val="SingleTxtGR"/>
      </w:pPr>
      <w:r w:rsidRPr="00C5279A">
        <w:t>8.</w:t>
      </w:r>
      <w:r w:rsidRPr="00C5279A">
        <w:tab/>
        <w:t xml:space="preserve">Комитет приветствует принятие Национального плана действий в области предпринимательской деятельности в аспекте прав человека. Вместе с тем он выражает обеспокоенность в связи с существованием некоторых нормативных пробелов, в результате чего выполнение коммерческими предприятиями обязанности проявлять должную осмотрительность в вопросах прав человека не гарантируется. Кроме того, он обеспокоен тем, что законодательством государства-участника надлежащим образом не определена правовая ответственность в случае нарушений экономических, социальных и культурных прав ни для компаний, ведущих деятельность в государстве-участнике, ни для предприятий, зарегистрированных в пределах его юрисдикции, однако осуществляющих </w:t>
      </w:r>
      <w:r>
        <w:t>деятельность за рубежом (пункт </w:t>
      </w:r>
      <w:r w:rsidRPr="00C5279A">
        <w:t>1 статьи 2).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9.</w:t>
      </w:r>
      <w:r w:rsidRPr="00C5279A">
        <w:rPr>
          <w:b/>
          <w:bCs/>
        </w:rPr>
        <w:tab/>
        <w:t>Комитет рекомендует государству-участнику в контексте осуществления Национального плана действий в области предпринимательской деятельности в аспекте прав человека: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создать эффективные механизмы, обеспечивающие проявление предприятиями должной осмотрительности в вопросах прав человека, с тем чтобы выявлять, предотвращать и уменьшать риск нарушения прав, закрепленных в Пакте;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укрепить при</w:t>
      </w:r>
      <w:r w:rsidR="0060652B">
        <w:rPr>
          <w:b/>
          <w:bCs/>
        </w:rPr>
        <w:t>менимую нормативно-правовую базу</w:t>
      </w:r>
      <w:r w:rsidRPr="00C5279A">
        <w:rPr>
          <w:b/>
          <w:bCs/>
        </w:rPr>
        <w:t>, чтобы предусмотреть правовую ответственность предприятий за нарушения экономических, социальных и культурных прав, совершаемые самими предприятиями или вытекающие из деятельности их филиалов за рубежом;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укрепить существующие механизмы по расследованию жалоб, поданных в отношении предприятий, и принять действенные меры для обеспечения доступа жертв к эффективным средствам правовой защиты, а также предоставления им соответствующих возмещения или компенсации.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10.</w:t>
      </w:r>
      <w:r w:rsidRPr="00C5279A">
        <w:rPr>
          <w:b/>
          <w:bCs/>
        </w:rPr>
        <w:tab/>
        <w:t>В этой связи Комитет обращает внимание государства-участника на свое 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Автономия и неоднородная ситуация в регионах</w:t>
      </w:r>
    </w:p>
    <w:p w:rsidR="00C5279A" w:rsidRPr="00C5279A" w:rsidRDefault="00C5279A" w:rsidP="00C5279A">
      <w:pPr>
        <w:pStyle w:val="SingleTxtGR"/>
      </w:pPr>
      <w:r w:rsidRPr="00C5279A">
        <w:t>11.</w:t>
      </w:r>
      <w:r w:rsidRPr="00C5279A">
        <w:tab/>
        <w:t>Хотя децентрализации и автономия могут способствовать осуществлению Пакта, Комитет продолжает испытывать обеспокоенность в связи с тем, что между автономными областями сохраняются некоторые необоснованные различия, препятствующие надлежащему осуществлению отдельных закрепленных в Пакте прав лицами, проживающими в некоторых из этих областей. Кроме того, Комитет выражает обеспокоенность в связи с тем, что в силу отдельных решений Конституционного суда автономные области не могут, используя собственные ресурсы, предоставлять закрепленным Пактом правам более высокую степень защиты, чем предусмотрено на национальном уровне; единообразие на национальной территории приветствуется в тех случаях, когда оно способствует поступательному осуществлению экономических, социальных и культурных прав, однако оно вызывает обеспокоенность Комитета, если является препятствием для такого поступательного осуществления (пункт 1 статьи 2 и статья 28).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12.</w:t>
      </w:r>
      <w:r w:rsidRPr="0060652B">
        <w:rPr>
          <w:bCs/>
        </w:rPr>
        <w:tab/>
      </w:r>
      <w:r w:rsidRPr="00C5279A">
        <w:rPr>
          <w:b/>
          <w:bCs/>
        </w:rPr>
        <w:t>Комитет повторяет ранее вынесенную им рекомендацию (E/C.12/ESP/CO/5, пункт 9) и настоятельно призывает государство-участник активизировать усилия по ликвидации необоснованных различий между автономными областями в части осуществления экономических, социальных и культурных прав, улучшая возможности пользования этими правами в наименее благополучных регионах и вместе с тем не препятствуя отдельным автономным областям прилагать усилия, на условиях задействования для этих целей собственных ресурсов, для предоставления некоторым правам большей степени защиты на своей территории. В этой связи Комитет рекомендует государству-участнику обеспечить надлежащую координацию работы механизмов и учреждений общенационального уровня и уровня автономий, в ведении которых находится предоставление государственных услуг социального обеспечения.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Меры жесткой экономии</w:t>
      </w:r>
    </w:p>
    <w:p w:rsidR="00C5279A" w:rsidRPr="00C5279A" w:rsidRDefault="00C5279A" w:rsidP="00C5279A">
      <w:pPr>
        <w:pStyle w:val="SingleTxtGR"/>
      </w:pPr>
      <w:r w:rsidRPr="00C5279A">
        <w:t>13.</w:t>
      </w:r>
      <w:r w:rsidRPr="00C5279A">
        <w:tab/>
        <w:t>Хотя Комитет принимает к сведению тот факт, что в государстве-участнике идет восстановление экономического роста, он выражает обеспокоенность тем, что продление периода действия ряда мер жесткой экономии продолжает в непропорционально большой степени сказываться на возможности наиболее обездоленных и маргинализованных лиц и групп лиц эффективно пользоваться экономическими, социальными и культурными правами, что в свою очередь содействует росту неравенства. Кроме того, Комитет обеспокоен тем, что, хотя с начала реализации этих мер прошло пять лет, государство-участник не провело в консультации с затрагиваемыми лицами полной оценки последствий таких мер, их соразмерности и своевременности, а также не изучи</w:t>
      </w:r>
      <w:r>
        <w:t>ло возможность их отмены (пункт </w:t>
      </w:r>
      <w:r w:rsidRPr="00C5279A">
        <w:t>1 статьи 2).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lastRenderedPageBreak/>
        <w:t>14.</w:t>
      </w:r>
      <w:r w:rsidRPr="00C5279A">
        <w:rPr>
          <w:b/>
          <w:bCs/>
        </w:rPr>
        <w:tab/>
        <w:t>Ссылаясь на ранее вынесенную им реком</w:t>
      </w:r>
      <w:r>
        <w:rPr>
          <w:b/>
          <w:bCs/>
        </w:rPr>
        <w:t>ендацию (E/C.12/ESP/CO/5, пункт </w:t>
      </w:r>
      <w:r w:rsidRPr="00C5279A">
        <w:rPr>
          <w:b/>
          <w:bCs/>
        </w:rPr>
        <w:t>8), Комитет настоятельно призывает государство-участник соблюдать условия временного, необходимого, пропорционального и недискриминационного характера мер жесткой экономии, а также сохранять при их принятии основное содержание прав, с тем чтобы такие меры не сказывались в непропорциональной степени на правах наиболее обездоленных и маргинализованных лиц и групп. В этой связи он рекомендует государству-участнику провести полную оценку воздействия таких мер на осуществление экономических, социальных и культурных прав, в особенности находящихся в неблагоприятном положении и маргинализированных лиц и групп, таких как женщины, дети, инвалиды, цыгане и рома, а также беженцы, просители убежища и мигранты, а кроме того, в консультации и с участием затрагиваемых групп населения, рассмотреть вопрос об отмене этих мер. Помимо этого, Комитет обращает внимание государства-участника на рекомендации, содержащиеся в его открытом письме государствам-участникам от 16 мая 2012 года об экономических, социальных и культурных правах в контексте экономического и финансового кризиса в части критериев мер жесткой экономии, и на свое заявление 2016 года о государственном долге, мерах строгой экономии и Международном пакте об экономических, социальных и культурных правах.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Максимальные пределы имеющихся ресурсов</w:t>
      </w:r>
    </w:p>
    <w:p w:rsidR="00C5279A" w:rsidRPr="00C5279A" w:rsidRDefault="00C5279A" w:rsidP="00C5279A">
      <w:pPr>
        <w:pStyle w:val="SingleTxtGR"/>
      </w:pPr>
      <w:r w:rsidRPr="00C5279A">
        <w:t>15.</w:t>
      </w:r>
      <w:r w:rsidRPr="00C5279A">
        <w:tab/>
        <w:t>Комитет обеспокоен тем, что бюджетно-налоговая политика государства-участника недостаточно эффективна для решения проблем, связанных с неблагоприятными последствиями роста в нем социального неравенства, что обусловлено чрезмерно высокой долей косвенных налогов в доходной части государственного бюджета и тем, что некоторые трансфертные платежи не доходят до слоев населения, имеющих право на их получение. Он обеспокоен также тем, что предоставление налоговых льгот и отсутствие надлежащего контроля, делающее возможными налоговые мошенничества, сказываются на способности государства-участника выполнять обязательство о мобилизации максимального объема имеющихся ресурсов для полного осуществления экономических, социальных и культурных прав лиц и групп, находящихся в неблагоприятном положении и маргинализированных (пункт 1 статьи 2).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16.</w:t>
      </w:r>
      <w:r w:rsidRPr="00C5279A">
        <w:rPr>
          <w:b/>
          <w:bCs/>
        </w:rPr>
        <w:tab/>
        <w:t>Комитет рекомендует государству-участнику: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провести при участии субъектов социальной сферы полную оценку воздействия бюджетно-налоговой политики на права человека, включая в частности анализ последствий в части распределения и налогового бремени в различных секторах, а также для маргинализированных и находящихся в неблагоприятном положении групп;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обеспечить социальную справедливость своей системы налогообложения и повысить степень перераспределения в ее рамках;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оптимизировать собираемость налогов с целью увеличения объема имеющихся ресурсов для целей осуществления экономических, социальных и культурных прав;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d)</w:t>
      </w:r>
      <w:r w:rsidRPr="00C5279A">
        <w:rPr>
          <w:b/>
          <w:bCs/>
        </w:rPr>
        <w:tab/>
        <w:t>периодически оценивать целесообразность налоговых льгот;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e)</w:t>
      </w:r>
      <w:r w:rsidRPr="00C5279A">
        <w:rPr>
          <w:b/>
          <w:bCs/>
        </w:rPr>
        <w:tab/>
        <w:t xml:space="preserve">принять жесткие меры по борьбе </w:t>
      </w:r>
      <w:r w:rsidR="0060652B">
        <w:rPr>
          <w:b/>
          <w:bCs/>
        </w:rPr>
        <w:t>с налоговыми мошенничествами, в </w:t>
      </w:r>
      <w:r w:rsidRPr="00C5279A">
        <w:rPr>
          <w:b/>
          <w:bCs/>
        </w:rPr>
        <w:t>особенности совершаемыми предприятиями и состоятельными физическими лицами.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 xml:space="preserve">Недискриминация </w:t>
      </w:r>
    </w:p>
    <w:p w:rsidR="00C5279A" w:rsidRPr="00C5279A" w:rsidRDefault="00C5279A" w:rsidP="00C5279A">
      <w:pPr>
        <w:pStyle w:val="SingleTxtGR"/>
      </w:pPr>
      <w:r w:rsidRPr="00C5279A">
        <w:t>17.</w:t>
      </w:r>
      <w:r w:rsidRPr="00C5279A">
        <w:tab/>
        <w:t xml:space="preserve">Хотя Комитет принимает к сведению Закон № 62/2003, которым в составе комплекса неоднородных налоговых мер инкорпорируются директивы Европейского сообщества о равном обращении, он выражает свою обеспокоенность в связи с тем, что положения закона мало известны и неполны, не защищают от множественных форм дискриминации и не предусматривают надлежащих процессуальных гарантий и </w:t>
      </w:r>
      <w:r w:rsidRPr="00C5279A">
        <w:lastRenderedPageBreak/>
        <w:t>мер наказания, в результате чего в государстве-участнике отсутствует всеобъемлющий закон о борьбе с дискриминацией. Он обеспокоен также тем, что принимаемые меры не позволяют эффективно бороться с сохраняющейся де-факто дискриминацией, с которой по-прежнему сталкиваются определенные группы лиц, в том числе цыгане, лица африканского происхождения, инвалиды, мигранты, беженцы и просители убежища (статья 2).</w:t>
      </w:r>
    </w:p>
    <w:p w:rsidR="00C5279A" w:rsidRPr="00C5279A" w:rsidRDefault="00C5279A" w:rsidP="00C5279A">
      <w:pPr>
        <w:pStyle w:val="SingleTxtGR"/>
        <w:rPr>
          <w:b/>
        </w:rPr>
      </w:pPr>
      <w:r w:rsidRPr="0060652B">
        <w:t>18.</w:t>
      </w:r>
      <w:r w:rsidRPr="0060652B">
        <w:tab/>
      </w:r>
      <w:r w:rsidRPr="00C5279A">
        <w:rPr>
          <w:b/>
        </w:rPr>
        <w:t>Комитет обращает внимание государства-участника на ранее вынесенную им рекомендацию (E/C.12/ESP/CO/5, пункт 11) и настоятельно призывает его: принять всеобъемлющий закон о недискриминации, который должен предусматривать надлежащую защиту и содержать, в частности, прямое упоминание всех запрещенных оснований для дискриминации, перечисленных в пункте 2 статьи 2 Пакта; дать определение множественной, а также прямой и косвенной дискриминации в соответствии с обязательствами государства-участника по Пакту; запретить дискриминацию как в общественной, так и в частной сфере; включить в законодательство положения, позволяющие получать возмещение в случаях дискриминации как в судебном, так и в административном порядке. Комитет рекомендует государству-участнику также удвоить его усилия, направленные на предупреждение и пресечение сохраняющейся дискриминации, в частности в отношении цыган и рома, инвалидов, мигрантов, беженцев и просителей убежища, в том числе посредством проведения информационно-пропагандистских кампаний, с тем чтобы обеспечить полное осуществление признанных в Пакте прав. Комитет обращает внимание государства-участника на свое замечание общего порядка № 20 (2009) о недискриминации экономических, социальных и культурных прав.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 xml:space="preserve">Равенство мужчин и женщин </w:t>
      </w:r>
    </w:p>
    <w:p w:rsidR="00C5279A" w:rsidRPr="00C5279A" w:rsidRDefault="00C5279A" w:rsidP="00C5279A">
      <w:pPr>
        <w:pStyle w:val="SingleTxtGR"/>
      </w:pPr>
      <w:r w:rsidRPr="00C5279A">
        <w:t>19.</w:t>
      </w:r>
      <w:r w:rsidRPr="00C5279A">
        <w:tab/>
        <w:t>Комитет обеспокоен тем, что несмотря на усилия, прилагаемые государством-участником в целях поощрения равенства мужчин и женщин, гендерные стереотипы по-прежнему глубоко укоренены в общественном сознании, что проявляется в актах дискриминации женщин, негативно сказывающихся на осуществлении их экономических, социальных и культурных прав (статья 3).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20.</w:t>
      </w:r>
      <w:r w:rsidRPr="00C5279A">
        <w:rPr>
          <w:b/>
          <w:bCs/>
        </w:rPr>
        <w:tab/>
        <w:t xml:space="preserve">Комитет рекомендует государству-участнику активизировать усилия, направленные на достижение реального равенства мужчин и женщин и на борьбу со стереотипными представлениями о традиционных гендерных ролях как в семье, так и в обществе. Комитет настоятельно призывает государство-участник ускорить принятие и обеспечить эффективное осуществление в различных секторах стратегического плана по обеспечению гендерного равенства на </w:t>
      </w:r>
      <w:r>
        <w:rPr>
          <w:b/>
          <w:bCs/>
        </w:rPr>
        <w:br/>
      </w:r>
      <w:r w:rsidRPr="00C5279A">
        <w:rPr>
          <w:b/>
          <w:bCs/>
        </w:rPr>
        <w:t>2018–2021 годы, упомянутого в ходе диалога, предусмотрев в рамках плана эффективные механизмы контроля и людские, технические и материальные ресурсы, достаточные для его эффективного осуществления, с тем чтобы гарантировать женщинам полный доступ к экономическим, социальным и культурным правам и возможность пользования ими.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Безработица</w:t>
      </w:r>
    </w:p>
    <w:p w:rsidR="00C5279A" w:rsidRPr="00C5279A" w:rsidRDefault="00C5279A" w:rsidP="00C5279A">
      <w:pPr>
        <w:pStyle w:val="SingleTxtGR"/>
      </w:pPr>
      <w:r w:rsidRPr="00C5279A">
        <w:t>21.</w:t>
      </w:r>
      <w:r w:rsidRPr="00C5279A">
        <w:tab/>
        <w:t>Хотя Комитет признает усилия, приложенные для содействия созданию рабочих мест, в том числе посредством принятия Национальной стратегии по стимулированию занятости на 2017–2020 годы, и приветствует сокращение уровня безработицы, он обеспокоен тем, что этот уровень по-прежнему высок и непропорционально высок среди молодежи, женщин, цыган и мигрантов. Он также обеспокоен высоким уровнем длительной безработицы.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22.</w:t>
      </w:r>
      <w:r w:rsidRPr="00C5279A">
        <w:tab/>
      </w:r>
      <w:r w:rsidRPr="00C5279A">
        <w:rPr>
          <w:b/>
          <w:bCs/>
        </w:rPr>
        <w:t xml:space="preserve">Комитет рекомендует государству-участнику при участии социальных субъектов и с учетом оживления экономики, провести полную оценку своей политики в области занятости, а также осуществить изменения, необходимые для эффективной борьбы с коренными причинами безработицы. Кроме того, он рекомендует государству-участнику продолжать прилагать усилия для эффективного осуществления Национальной стратегии по стимулированию занятости на 2017–2020 годы и, в частности, уделять должное внимание группам, </w:t>
      </w:r>
      <w:r w:rsidRPr="00C5279A">
        <w:rPr>
          <w:b/>
          <w:bCs/>
        </w:rPr>
        <w:lastRenderedPageBreak/>
        <w:t>затронутым безработицей в непропорционально высокой степени; обеспечить наличие достаточных людских, технических и материальных ресурсов; обеспечить соответствующее участие различных социальных субъектов, а также служб занятости автономных областей; проводить периодические оценки, предусмотренные в планах действий. Комитет настоятельно призывает государство-участник продолжать поощрять осуществление качественных программ профессионально-технического образования и подготовки с учетом потребностей рынка труда.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Разница в оплате труда мужчин и женщин</w:t>
      </w:r>
    </w:p>
    <w:p w:rsidR="00C5279A" w:rsidRPr="00C5279A" w:rsidRDefault="00C5279A" w:rsidP="00C5279A">
      <w:pPr>
        <w:pStyle w:val="SingleTxtGR"/>
      </w:pPr>
      <w:r w:rsidRPr="00C5279A">
        <w:t>23.</w:t>
      </w:r>
      <w:r w:rsidRPr="00C5279A">
        <w:tab/>
        <w:t>Комитет обеспокоен сохраняющейся разницей в оплате труда мужчин и женщин, препятствиями на пути профессионального роста женщин на равной основе с мужчинами, а также недостаточной эффективностью осуществления принципа равного вознаграждения за труд равной ценности (статья 7).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24.</w:t>
      </w:r>
      <w:r w:rsidRPr="00C5279A">
        <w:tab/>
      </w:r>
      <w:r w:rsidRPr="00C5279A">
        <w:rPr>
          <w:b/>
          <w:bCs/>
        </w:rPr>
        <w:t>Комитет рекомендует государству-участнику удвоить свои усилия для устранения сохраняющейся разницы в оплате труда мужчин и женщин путем борьбы с вертикальной и горизонтальной с</w:t>
      </w:r>
      <w:r>
        <w:rPr>
          <w:b/>
          <w:bCs/>
        </w:rPr>
        <w:t>егрегацией в сфере занятости. В </w:t>
      </w:r>
      <w:r w:rsidRPr="00C5279A">
        <w:rPr>
          <w:b/>
          <w:bCs/>
        </w:rPr>
        <w:t>соответствии с высказываниями, прозвучавшими в ходе диалога, Комитет призывает государство-участник и далее обеспечивать эффективное соблюдение принципа равной оплаты за труд равной ценности, в том числе посредством проведения сравнительных исследований положения дел с равной оплатой за труд равной ценности в разных организациях и применительно к разным профессиям с целью введения на предприятиях обязательных мер по обеспечению большей прозрачности в вопросах оплаты труда.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Условия труда</w:t>
      </w:r>
    </w:p>
    <w:p w:rsidR="00C5279A" w:rsidRPr="00C5279A" w:rsidRDefault="00C5279A" w:rsidP="00C5279A">
      <w:pPr>
        <w:pStyle w:val="SingleTxtGR"/>
      </w:pPr>
      <w:r w:rsidRPr="00C5279A">
        <w:t>25.</w:t>
      </w:r>
      <w:r w:rsidRPr="00C5279A">
        <w:tab/>
        <w:t>Комитет обеспокоен тем, что</w:t>
      </w:r>
      <w:r w:rsidR="0060652B">
        <w:t>,</w:t>
      </w:r>
      <w:r w:rsidRPr="00C5279A">
        <w:t xml:space="preserve"> несмотря на сокращение масштабов нестабильной занятости, распространенность некоторых ее форм, в особенности срочных трудовых договоров, продолжает оставаться высокой, особо затрагивая женщин. Комитет обеспокоен также негативными последствиями таких форм занятости и замораживания заработной платы для осуществления права трудящихся на справедливые и благоприятные условия труда и на получение социальных пособий, в непропорционально высокой степени сказывающимися на женщинах (статья 7).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26.</w:t>
      </w:r>
      <w:r w:rsidRPr="00C5279A">
        <w:tab/>
      </w:r>
      <w:r w:rsidRPr="00C5279A">
        <w:rPr>
          <w:b/>
          <w:bCs/>
        </w:rPr>
        <w:t>Комитет рекомендует государству-участнику: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принять все надлежащие меры с тем, чтобы не допускать злоупотреблений формами нестабильной занятости, в особенности срочными трудовыми договорами, в том числе путем создания рабочих мест с достойными условиями труда, гарантиями занятости и надлежащей защитой трудовых прав;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полностью гарантировать как законодательно, так и на практике право на справедливые и благоприятные условия труда и социальное страхование лиц, работающих на условиях неполного рабочего дня, срочных трудовых договоров и других видов нестабильной занятости;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 xml:space="preserve">с) </w:t>
      </w:r>
      <w:r w:rsidRPr="00C5279A">
        <w:rPr>
          <w:b/>
          <w:bCs/>
        </w:rPr>
        <w:tab/>
        <w:t>укрепить механизм трудовых инспекций, чтобы обеспечить им во всех регионах государства-участника достаточные людские и материальные ресурсы для эффективного надзора за условиями труда.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27.</w:t>
      </w:r>
      <w:r w:rsidRPr="0060652B">
        <w:rPr>
          <w:bCs/>
        </w:rPr>
        <w:tab/>
      </w:r>
      <w:r w:rsidRPr="00C5279A">
        <w:rPr>
          <w:b/>
          <w:bCs/>
        </w:rPr>
        <w:t>Комитет обращает внимание государства-участника на свое замечание общего порядка № 23 (2016) о праве на справедливые и благоприятные условия труда.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Профсоюзные права</w:t>
      </w:r>
    </w:p>
    <w:p w:rsidR="00C5279A" w:rsidRPr="00C5279A" w:rsidRDefault="00C5279A" w:rsidP="00C5279A">
      <w:pPr>
        <w:pStyle w:val="SingleTxtGR"/>
      </w:pPr>
      <w:r w:rsidRPr="00C5279A">
        <w:t>28.</w:t>
      </w:r>
      <w:r w:rsidRPr="00C5279A">
        <w:tab/>
        <w:t xml:space="preserve">Комитет обеспокоен тем, что изменения, внесенные в 2012 году в ходе реформы трудового законодательства, могут негативно отразиться на осуществлении права на коллективные переговоры. Он выражает обеспокоенность также в связи с сообщениями о несоразмерном применении пункта 3 статьи 315 Уголовного кодекса, </w:t>
      </w:r>
      <w:r w:rsidRPr="00C5279A">
        <w:lastRenderedPageBreak/>
        <w:t>в результате чего имели место случаи привлечения к уголовной ответственности трудящихся, принимавших участие в забастовках (статья 8).</w:t>
      </w:r>
    </w:p>
    <w:p w:rsidR="00C5279A" w:rsidRPr="00C5279A" w:rsidRDefault="00C5279A" w:rsidP="00C5279A">
      <w:pPr>
        <w:pStyle w:val="SingleTxtGR"/>
      </w:pPr>
      <w:r w:rsidRPr="00C5279A">
        <w:t>29.</w:t>
      </w:r>
      <w:r w:rsidRPr="00C5279A">
        <w:tab/>
      </w:r>
      <w:r w:rsidRPr="00C5279A">
        <w:rPr>
          <w:b/>
          <w:bCs/>
        </w:rPr>
        <w:t>Комитет рекомендует государству-участнику обеспечить действительное осуществление права на коллективные переговоры и профсоюзное представительство как законодательно, так и на практике, в соответствии со статьей 8 Пакта и положениями таких конвенций Международной организации труда, как Конвенция 1948 года (№ 87) о свободе объединений и защите права объединяться в профсоюзы и Конвенция 1949 года (№ 98) о применении принципов права на объединение в профсоюзы и на ведение коллективных переговоров. Кроме того, он настоятельно призывает государство-участник рассмотреть вопрос о повторном пересмотре и в</w:t>
      </w:r>
      <w:r w:rsidR="0060652B">
        <w:rPr>
          <w:b/>
          <w:bCs/>
        </w:rPr>
        <w:t>озможной отмене пункта 3 статьи </w:t>
      </w:r>
      <w:r w:rsidRPr="00C5279A">
        <w:rPr>
          <w:b/>
          <w:bCs/>
        </w:rPr>
        <w:t>315 Уголовного кодекса во избежание привлечения к уголовной ответственности трудящихся, принимавших участие в забастовках.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 xml:space="preserve">Социальное обеспечение </w:t>
      </w:r>
    </w:p>
    <w:p w:rsidR="00C5279A" w:rsidRPr="00C5279A" w:rsidRDefault="00C5279A" w:rsidP="00C5279A">
      <w:pPr>
        <w:pStyle w:val="SingleTxtGR"/>
      </w:pPr>
      <w:r w:rsidRPr="00C5279A">
        <w:t>30.</w:t>
      </w:r>
      <w:r w:rsidRPr="00C5279A">
        <w:tab/>
        <w:t>Комитет выражает обеспокоенность в связи с сохраняющимся дефицитом пенсионной системы, низкой долей охвата нестраховыми социальными пособиями и недостаточностью размера как страховых, так и нестраховых социальных пособий для обеспечения надлежащего уровня жизни получателей и их семей (статья 9).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31.</w:t>
      </w:r>
      <w:r w:rsidRPr="00C5279A">
        <w:tab/>
      </w:r>
      <w:r w:rsidRPr="00C5279A">
        <w:rPr>
          <w:b/>
          <w:bCs/>
        </w:rPr>
        <w:t>В свете ранее вынесенной им рекоменда</w:t>
      </w:r>
      <w:r>
        <w:rPr>
          <w:b/>
          <w:bCs/>
        </w:rPr>
        <w:t>ции (см. E/C.12/ESP/CO/5, пункт </w:t>
      </w:r>
      <w:r w:rsidRPr="00C5279A">
        <w:rPr>
          <w:b/>
          <w:bCs/>
        </w:rPr>
        <w:t>20) Комитет настоятельно призывает государство-участник: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принять необходимые меры с участием всех социальных субъектов, в особенности профсоюзов, для устранения дефицита пенсионной системы в целях обеспечения ее устойчивости;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активизировать усилия, чтобы гарантировать всеобщий охват системой социального обеспечения, в том числе находящихся в наиболее неблагоприятном положении и маргинализированных лиц и групп;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вновь увязать размеры социальных пособий со стоимостью жизни, с тем чтобы они позволяли обеспечить достаточный жизненный уровень получателям и их семьям, и в этих целях призывает государство-участник создать эффективную и прозрачную систему индексации.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32.</w:t>
      </w:r>
      <w:r w:rsidRPr="00C5279A">
        <w:rPr>
          <w:b/>
          <w:bCs/>
        </w:rPr>
        <w:tab/>
        <w:t>Комитет обращает внимание государства-участника на свое замечание общего порядка № 19 (2008) о праве на социальное обеспечение.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Нищета</w:t>
      </w:r>
    </w:p>
    <w:p w:rsidR="00C5279A" w:rsidRPr="00C5279A" w:rsidRDefault="00C5279A" w:rsidP="00C5279A">
      <w:pPr>
        <w:pStyle w:val="SingleTxtGR"/>
      </w:pPr>
      <w:r w:rsidRPr="00C5279A">
        <w:t>33.</w:t>
      </w:r>
      <w:r w:rsidRPr="00C5279A">
        <w:tab/>
        <w:t>Комитет с обеспокоенностью отмечает, что для страны с уровнем развития государства-участника доля населения, рискующего оказаться за чертой нищеты и в социальной изоляции, высока и что эта проблема особо затрагивает отдельные группы населения, такие как молодежь, женщины, лица с невысоким уровнем образования и мигранты. Кроме того, Комитет обеспокоен тем, что этот показатель еще выше в некоторых автономных областях и что большему риску нищеты подвержены дети (статья 11).</w:t>
      </w:r>
    </w:p>
    <w:p w:rsidR="00C5279A" w:rsidRPr="00C5279A" w:rsidRDefault="00C5279A" w:rsidP="00C5279A">
      <w:pPr>
        <w:pStyle w:val="SingleTxtGR"/>
      </w:pPr>
      <w:r w:rsidRPr="00C5279A">
        <w:t>34.</w:t>
      </w:r>
      <w:r w:rsidRPr="00C5279A">
        <w:tab/>
      </w:r>
      <w:r w:rsidRPr="00C5279A">
        <w:rPr>
          <w:b/>
          <w:bCs/>
        </w:rPr>
        <w:t>Комитет рекомендует государству-участнику ускорить разработку и принятие национальной стратегии по предупреждению нищеты и социальной изоляции и борьбе с ними на 2018–2020 годы, обеспечив в ней особое внимание наиболее затрагиваемым группам, таким как дети, и ее осуществление на основе правозащитного подхода. Он рекомендует государству-участнику также выделить достаточные ресурсы на ее реализацию, учитывая неоднородную ситуацию в автономных областях. Комитет обращает внимание государства-участника на свое заявление 2001 года о нищете и Международном пакте об экономических, социальных и культурных правах.</w:t>
      </w:r>
    </w:p>
    <w:p w:rsidR="00C5279A" w:rsidRPr="00C5279A" w:rsidRDefault="00C5279A" w:rsidP="00C5279A">
      <w:pPr>
        <w:pStyle w:val="H23GR"/>
      </w:pPr>
      <w:r w:rsidRPr="00C5279A">
        <w:lastRenderedPageBreak/>
        <w:tab/>
      </w:r>
      <w:r w:rsidRPr="00C5279A">
        <w:tab/>
        <w:t>Право на достаточное жилище</w:t>
      </w:r>
    </w:p>
    <w:p w:rsidR="00C5279A" w:rsidRPr="00C5279A" w:rsidRDefault="00C5279A" w:rsidP="00C5279A">
      <w:pPr>
        <w:pStyle w:val="SingleTxtGR"/>
      </w:pPr>
      <w:r w:rsidRPr="00C5279A">
        <w:t>35.</w:t>
      </w:r>
      <w:r w:rsidRPr="00C5279A">
        <w:tab/>
        <w:t>Комитет обеспокоен тем, что меры жесткой экономии, принятые государством-участником, негативно сказываются на осуществлении права на достаточное жилище, в особенности наиболее обездоленных и мар</w:t>
      </w:r>
      <w:r>
        <w:t>гинализированных лиц и групп. В </w:t>
      </w:r>
      <w:r w:rsidRPr="00C5279A">
        <w:t>частности, Комитет выражает обеспокоенность в связи с недостаточностью фонда социального жилья; растущим дефицитом доступного жилья, в особенности на частном рынке по причине завышенных цен; и отсутствием надлежащей защиты правового обеспечения проживания. Кроме того, он обеспокоен также необеспеченностью надлежащими жилищными условиями значительного числа семей и большим количеством бездомных (статья 11).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36.</w:t>
      </w:r>
      <w:r w:rsidRPr="00C5279A">
        <w:tab/>
      </w:r>
      <w:r w:rsidRPr="00C5279A">
        <w:rPr>
          <w:b/>
          <w:bCs/>
        </w:rPr>
        <w:t>В свете ранее вынесенной им рекоменда</w:t>
      </w:r>
      <w:r>
        <w:rPr>
          <w:b/>
          <w:bCs/>
        </w:rPr>
        <w:t>ции (см. E/C.12/ESP/CO/5, пункт </w:t>
      </w:r>
      <w:r w:rsidRPr="00C5279A">
        <w:rPr>
          <w:b/>
          <w:bCs/>
        </w:rPr>
        <w:t>21) Комитет рекомендует государству-участнику: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принять все необходимые меры, в том числе посредством выделения ресурсов в достаточном объеме, для борьбы с дефицитом социального жилья, особенно предназначенного для наиболее обездоленных и маргинализированных лиц и групп, в том числе малоимущих лиц и домохозяйств, молодежи, женщин и инвалидов;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принять необходимые меры для регулирования частного рынка жилья, с тем чтобы обеспечить доступность, наличие и финансовую доступность достаточного жилья для малоимущих;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пересмотреть свое законодательство об аренде и внести необходимые изменения для введения гарантий надлежащей защиты правового обеспечения проживания и создания эффективных судебных механизмов, обеспечивающих защиту права на достаточное жилище;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d)</w:t>
      </w:r>
      <w:r w:rsidRPr="00C5279A">
        <w:rPr>
          <w:b/>
          <w:bCs/>
        </w:rPr>
        <w:tab/>
        <w:t>принять корректирующие меры для решения проблемы низкокачественного жилья;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e)</w:t>
      </w:r>
      <w:r w:rsidRPr="00C5279A">
        <w:rPr>
          <w:b/>
          <w:bCs/>
        </w:rPr>
        <w:tab/>
        <w:t>принять незамедлительные меры, включая выделение соответствующих средств органам власти автономных областей, чтобы обеспечить надлежащее предоставление мест в кризисных центрах, таких как приюты и общежития.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Выселения</w:t>
      </w:r>
    </w:p>
    <w:p w:rsidR="00C5279A" w:rsidRPr="00C5279A" w:rsidRDefault="00C5279A" w:rsidP="00C5279A">
      <w:pPr>
        <w:pStyle w:val="SingleTxtGR"/>
      </w:pPr>
      <w:r w:rsidRPr="00C5279A">
        <w:t>37.</w:t>
      </w:r>
      <w:r w:rsidRPr="00C5279A">
        <w:tab/>
        <w:t>Хотя Комитет принимает к сведению тот факт, что государство-участник в настоящее время вводит меры для предотвращения выселений в порядке обращения взыскания на имущество, заложенное по договору об ипотеке, или из-за невыплаты арендных платежей, он по-прежнему обеспокоен отсутствием надлежащей законодательной базы, устанавливающей необходимые правовые и процессуальные гарантии для защиты затрагиваемых лиц (статья 11).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38.</w:t>
      </w:r>
      <w:r w:rsidRPr="00C5279A">
        <w:tab/>
      </w:r>
      <w:r w:rsidRPr="00C5279A">
        <w:rPr>
          <w:b/>
          <w:bCs/>
        </w:rPr>
        <w:t>Комитет повторяет ранее вынесенную им рекомендацию (E/C.12/ESP/CO/5, пункт 22) и настоятельно призывает государство-участник принять законодательную базу, определяющую требования к осуществлению выселений или принудительных выселений и их надлежащий порядок, среди прочего предусматривающую соблюдение принципов целесообразности и соразмерности, а также надлежащие правовые и процессуальные гарантии для защиты затрагиваемых лиц, при этом таким лицам должны быть обеспечены возможность получения компенсации или другого достаточного жилья, уведомление о решениях о выселении в достаточный и разумный срок и эффективные средства правовой защиты. Комитет рекомендует государству-участнику ввести специальный протокол действий в случаях выселения, с тем чтобы обеспечить надлежащую координацию между судами и местными социальными службами, а также между самими социальными службами, в целях предоставления соответствующей защиты лицам, могущим остаться в результате выселения без всякого жилья. Комитет обращает внимание государства-участника на свое замечание общего порядка № 7 (1997) о принудительных выселениях.</w:t>
      </w:r>
    </w:p>
    <w:p w:rsidR="00C5279A" w:rsidRPr="00C5279A" w:rsidRDefault="00C5279A" w:rsidP="00C5279A">
      <w:pPr>
        <w:pStyle w:val="H23GR"/>
      </w:pPr>
      <w:r w:rsidRPr="00C5279A">
        <w:lastRenderedPageBreak/>
        <w:tab/>
      </w:r>
      <w:r w:rsidRPr="00C5279A">
        <w:tab/>
        <w:t>Мигранты и просители убежища</w:t>
      </w:r>
    </w:p>
    <w:p w:rsidR="00C5279A" w:rsidRPr="00C5279A" w:rsidRDefault="00C5279A" w:rsidP="00C5279A">
      <w:pPr>
        <w:pStyle w:val="SingleTxtGR"/>
      </w:pPr>
      <w:r w:rsidRPr="00C5279A">
        <w:t>39.</w:t>
      </w:r>
      <w:r w:rsidRPr="00C5279A">
        <w:tab/>
        <w:t>Комитет обеспокоен трудностями, с которыми сталкиваются мигранты, просители убежища и беженцы в том, что касается осуществления их экономических, социальных и культурных прав, включая право на достаточный жизненный уровень. Комитет особо обеспокоен ненадлежащими условиями проживания мигрантов и просителей убежища в центрах временного содержания мигрантов в Сеуте и Мелилье (статьи 2 и 11).</w:t>
      </w:r>
    </w:p>
    <w:p w:rsidR="00C5279A" w:rsidRPr="00C5279A" w:rsidRDefault="00C5279A" w:rsidP="00C5279A">
      <w:pPr>
        <w:pStyle w:val="SingleTxtGR"/>
      </w:pPr>
      <w:r w:rsidRPr="00C5279A">
        <w:t>40.</w:t>
      </w:r>
      <w:r w:rsidRPr="00C5279A">
        <w:tab/>
      </w:r>
      <w:r w:rsidRPr="00C5279A">
        <w:rPr>
          <w:b/>
          <w:bCs/>
        </w:rPr>
        <w:t xml:space="preserve">Комитет рекомендует государству-участнику принять конкретные меры для содействия социальной интеграции мигрантов, просителей убежища и беженцев в целях обеспечения им действительной возможности осуществления их экономических, социальных и культурных прав, в особенности возможность трудовой занятости, доступ к образованию, жилью и здравоохранению. Комитет далее настоятельно призывает государство-участник активизировать свои усилия, направленные на обеспечение мигрантам и просителям убежища, находящимся </w:t>
      </w:r>
      <w:r w:rsidR="0060652B">
        <w:rPr>
          <w:b/>
          <w:bCs/>
        </w:rPr>
        <w:t xml:space="preserve">в </w:t>
      </w:r>
      <w:r w:rsidRPr="00C5279A">
        <w:rPr>
          <w:b/>
          <w:bCs/>
        </w:rPr>
        <w:t>центрах временного содержания мигрантов в Сеуте и Мелилье</w:t>
      </w:r>
      <w:r w:rsidR="0060652B">
        <w:rPr>
          <w:b/>
          <w:bCs/>
        </w:rPr>
        <w:t>,</w:t>
      </w:r>
      <w:r w:rsidRPr="00C5279A">
        <w:rPr>
          <w:b/>
          <w:bCs/>
        </w:rPr>
        <w:t xml:space="preserve"> надлежащие условия жизни.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Право на здоровье</w:t>
      </w:r>
    </w:p>
    <w:p w:rsidR="00C5279A" w:rsidRPr="00C5279A" w:rsidRDefault="00C5279A" w:rsidP="00C5279A">
      <w:pPr>
        <w:pStyle w:val="SingleTxtGR"/>
      </w:pPr>
      <w:r w:rsidRPr="00C5279A">
        <w:t>41.</w:t>
      </w:r>
      <w:r w:rsidRPr="00C5279A">
        <w:tab/>
        <w:t>Комитет обеспокоен шагом назад, который представляет собой в части осуществления права на здоровье Королевский указ-за</w:t>
      </w:r>
      <w:r>
        <w:t>кон № 16/2012 от 20 апреля 2012 </w:t>
      </w:r>
      <w:r w:rsidRPr="00C5279A">
        <w:t>года о срочных мерах по обеспечению устойчивости национальной системы здравоохранения, ограничивающий доступ мигрантов с неурегулированным статусом к услугам здравоохранения и приводящий к ухудшению качества медицинского обслуживания и усугублению неравенства между автономными областями. Кроме того, Комитет обеспокоен тем, что не был проведен комплексный анализ воздействия этой меры и что она не считается временной (статья 12).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42.</w:t>
      </w:r>
      <w:r w:rsidRPr="00C5279A">
        <w:tab/>
      </w:r>
      <w:r w:rsidRPr="00C5279A">
        <w:rPr>
          <w:b/>
          <w:bCs/>
        </w:rPr>
        <w:t>В соответствии с ранее вынесенной им рекомендац</w:t>
      </w:r>
      <w:r w:rsidR="0060652B">
        <w:rPr>
          <w:b/>
          <w:bCs/>
        </w:rPr>
        <w:t>ией (E/C.12/ESP/CO/5, пункт 19)</w:t>
      </w:r>
      <w:r w:rsidRPr="00C5279A">
        <w:rPr>
          <w:b/>
          <w:bCs/>
        </w:rPr>
        <w:t xml:space="preserve"> Комитет настоятельно призывает государство-участника провести комплексную оценку воздействия Королевского указа-закона № 16/2012 в части осуществления права на наивысший достижимый уровень здоровья, с тем чтобы принять необходимые корректирующие меры для обеспечения наличия, доступности, финансовой доступности, приемлемости и качества медицинских услуг и медицинской помощи, включая отмену положений, ставших причиной регресса в деле защиты права на здоровье. Кроме того, он настоятельно призывает государство-участник принять необходимые меры, чтобы обеспечить мигрантам с неурегулированным статусом доступ ко всем необходимым медицинским услугам без какой-либо дискриминации, в соответствии со статьями 2 и 12 Пакта. Комитет обращает внимание государства-участника на свое замечание общего порядка № 14 (2000) о праве на наивысший достижимый уровень здоровья.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Право на сексуальное и репродуктивное здоровье</w:t>
      </w:r>
    </w:p>
    <w:p w:rsidR="00C5279A" w:rsidRPr="00C5279A" w:rsidRDefault="00C5279A" w:rsidP="00C5279A">
      <w:pPr>
        <w:pStyle w:val="SingleTxtGR"/>
      </w:pPr>
      <w:r w:rsidRPr="00C5279A">
        <w:t>43.</w:t>
      </w:r>
      <w:r w:rsidRPr="00C5279A">
        <w:tab/>
        <w:t>Комитет продолжает испытывать обеспокоенность в связи с препятствиями, затрудняющими доступ женщин к информации и услугам в области сексуального и репродуктивного здоровья, включая добровольное прерывание беременности и средства экстренной контрацепции, причинами которых являются, в частности, негативное воздействие Королевского декрета-закона № 16/2012 и отсутствие эффективного механизма, обеспечивающего возможность аборта в случаях отказа врачей и медицинского персонала от его проведения по соображениям совести. Комитет обеспокоен также тем, что требования Органического закона № 11/2015, предусматривающие необходимость специального согласия законных представителей подростков в возрасте 16–18 лет и женщин-инвалидов, представляют собой препятствие для проведения аборта.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44.</w:t>
      </w:r>
      <w:r w:rsidRPr="00C5279A">
        <w:tab/>
      </w:r>
      <w:r w:rsidRPr="00C5279A">
        <w:rPr>
          <w:b/>
          <w:bCs/>
        </w:rPr>
        <w:t xml:space="preserve">В соответствии с ранее вынесенной им </w:t>
      </w:r>
      <w:r>
        <w:rPr>
          <w:b/>
          <w:bCs/>
        </w:rPr>
        <w:t>рекомендацией (см. </w:t>
      </w:r>
      <w:r w:rsidRPr="00C5279A">
        <w:rPr>
          <w:b/>
          <w:bCs/>
        </w:rPr>
        <w:t>E/C.12/ESP/CO/5, пункт 24) Комитет рекомендует государству-участнику: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обеспечить на практике доступность и наличие услуг в области сексуального и репродуктивного здоровья для всех женщин и подростков, уделяя должное внимание неоднородности ситуации в различных автономных областях;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создать надлежащий механизм гарантий, чтобы на практике отказ от проведения абортов по соображениям совести не препятствовал женщинам в получении доступа к услугам в области сексуального и репродуктивного здоровья, в особенности к добровольному прерыванию беременности;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устранить существующее неравенство в части распространения средств экстренной контрацепции и принять необходимые меры для обеспечения их доступности, наличия и финансовой доступности для всех женщин и подростков в государстве-участнике;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d)</w:t>
      </w:r>
      <w:r w:rsidRPr="00C5279A">
        <w:rPr>
          <w:b/>
          <w:bCs/>
        </w:rPr>
        <w:tab/>
        <w:t>рассмотреть вопрос об отмене требования получения согласия законного представителя для целей добровольного прерывания беременности у подростков в возрасте от 16 до 18 лет и женщин, чья правоспособность была ограничена в судебном порядке;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e)</w:t>
      </w:r>
      <w:r w:rsidRPr="00C5279A">
        <w:rPr>
          <w:b/>
          <w:bCs/>
        </w:rPr>
        <w:tab/>
        <w:t>обеспечить включение в учебные программы начальных и средних школ комплексной подготовки в области сексуального и репродуктивного здоровья, соответствующей особенностям обоих полов и каждой возрастной группы.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45.</w:t>
      </w:r>
      <w:r w:rsidRPr="00C5279A">
        <w:rPr>
          <w:b/>
          <w:bCs/>
        </w:rPr>
        <w:tab/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>Право на образование</w:t>
      </w:r>
    </w:p>
    <w:p w:rsidR="00C5279A" w:rsidRPr="00C5279A" w:rsidRDefault="00C5279A" w:rsidP="00C5279A">
      <w:pPr>
        <w:pStyle w:val="SingleTxtGR"/>
      </w:pPr>
      <w:r w:rsidRPr="00C5279A">
        <w:t>46.</w:t>
      </w:r>
      <w:r w:rsidRPr="00C5279A">
        <w:tab/>
        <w:t>Признавая усилия, прилагаемые государством-участником для улучшения качества образования, Комитет по-прежнему обеспокоен:</w:t>
      </w:r>
    </w:p>
    <w:p w:rsidR="00C5279A" w:rsidRPr="00C5279A" w:rsidRDefault="00C5279A" w:rsidP="00C5279A">
      <w:pPr>
        <w:pStyle w:val="SingleTxtGR"/>
      </w:pPr>
      <w:r>
        <w:tab/>
      </w:r>
      <w:r w:rsidRPr="00C5279A">
        <w:t>a)</w:t>
      </w:r>
      <w:r w:rsidRPr="00C5279A">
        <w:tab/>
        <w:t>высоким процентом второгодников в системе среднего образования и учеников, бросающих школьное обучение. По распространенности последнего явления, несмотря на некоторое уменьшение, страна по-прежнему занимает второе место в Европейском союзе, при этом оно в большей степени затрагивает учащихся из групп, находящихся в наиболее неблагоприятном положении, в особенности детей и подростков из числа цыган и рома, мигрантов и малоимущих;</w:t>
      </w:r>
    </w:p>
    <w:p w:rsidR="00C5279A" w:rsidRPr="00C5279A" w:rsidRDefault="00C5279A" w:rsidP="00C5279A">
      <w:pPr>
        <w:pStyle w:val="SingleTxtGR"/>
      </w:pPr>
      <w:r>
        <w:tab/>
      </w:r>
      <w:r w:rsidRPr="00C5279A">
        <w:t>b)</w:t>
      </w:r>
      <w:r w:rsidRPr="00C5279A">
        <w:tab/>
        <w:t>последствиями мер жесткой экономии для эффективного доступа к образованию и качества образования в определенных автономных сообществах, в особенности в тех, где наиболее высока доля населения, подвергающаяся риску оказаться за чертой нищеты и в социальной изоляции;</w:t>
      </w:r>
    </w:p>
    <w:p w:rsidR="00C5279A" w:rsidRPr="00C5279A" w:rsidRDefault="00C5279A" w:rsidP="00C5279A">
      <w:pPr>
        <w:pStyle w:val="SingleTxtGR"/>
      </w:pPr>
      <w:r>
        <w:tab/>
      </w:r>
      <w:r w:rsidRPr="00C5279A">
        <w:t>с)</w:t>
      </w:r>
      <w:r w:rsidRPr="00C5279A">
        <w:tab/>
        <w:t>сохраняющейся в школах сегрегации, в некоторых случаях являющейся следствием сегрегации по месту жительства и особо сказывающейся на находящихся в неблагоприятном положении группах населения и меньшинствах, таких как цыгане и мигранты (статья 13).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47.</w:t>
      </w:r>
      <w:r w:rsidRPr="00C5279A">
        <w:tab/>
      </w:r>
      <w:r w:rsidRPr="00C5279A">
        <w:rPr>
          <w:b/>
          <w:bCs/>
        </w:rPr>
        <w:t>В соответствии с ранее вынесенными им рекомендациями (E</w:t>
      </w:r>
      <w:r w:rsidR="0060652B">
        <w:rPr>
          <w:b/>
          <w:bCs/>
        </w:rPr>
        <w:t>/C.12/ESP/CO/5, пункты 26 и 27)</w:t>
      </w:r>
      <w:r w:rsidRPr="00C5279A">
        <w:rPr>
          <w:b/>
          <w:bCs/>
        </w:rPr>
        <w:t xml:space="preserve"> Комитет призывает государство-участник: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a)</w:t>
      </w:r>
      <w:r w:rsidRPr="00C5279A">
        <w:rPr>
          <w:b/>
          <w:bCs/>
        </w:rPr>
        <w:tab/>
        <w:t>продолжать уменьшать показатели отсева и второгодничества в средней школе путем принятия стратегии в отношении социально-экономических факторов, могущих повлиять на решение ученика бросить школу, а также уделять должное внимание наиболее затрагиваемым группам, в особенности детям и подросткам из числа цыган и рома, мигрантов и малоимущих;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tab/>
      </w:r>
      <w:r w:rsidRPr="00C5279A">
        <w:rPr>
          <w:b/>
          <w:bCs/>
        </w:rPr>
        <w:t>b)</w:t>
      </w:r>
      <w:r w:rsidRPr="00C5279A">
        <w:rPr>
          <w:b/>
          <w:bCs/>
        </w:rPr>
        <w:tab/>
        <w:t>гарантировать финансовые вложения и выделение бюджетных средств на цели образования на регулярной основе и в достаточном объеме, особенно в автономных областях, где высока доля населения, рискующего оказаться за чертой нищеты и в социальной изоляции, чтобы обеспечить доступ к качественному образованию;</w:t>
      </w:r>
    </w:p>
    <w:p w:rsidR="00C5279A" w:rsidRPr="00C5279A" w:rsidRDefault="00C5279A" w:rsidP="00C5279A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Pr="00C5279A">
        <w:rPr>
          <w:b/>
          <w:bCs/>
        </w:rPr>
        <w:t>с)</w:t>
      </w:r>
      <w:r w:rsidRPr="00C5279A">
        <w:rPr>
          <w:b/>
          <w:bCs/>
        </w:rPr>
        <w:tab/>
        <w:t>активизировать усилия по борьбе с сегрегацией в школах, в том числе являющейся следствием сегрегации по месту жительства, в непропорционально высокой степени затрагивающей детей и подростков из числа цыган и рома, а также мигрантов.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60652B">
        <w:rPr>
          <w:bCs/>
        </w:rPr>
        <w:t>48.</w:t>
      </w:r>
      <w:r w:rsidRPr="00C5279A">
        <w:rPr>
          <w:b/>
          <w:bCs/>
        </w:rPr>
        <w:tab/>
        <w:t>Комитет обращает внимание государства-участника на свое замечание общего порядка № 13 (1999) о праве на образование.</w:t>
      </w:r>
    </w:p>
    <w:p w:rsidR="00C5279A" w:rsidRPr="00C5279A" w:rsidRDefault="00C5279A" w:rsidP="00C5279A">
      <w:pPr>
        <w:pStyle w:val="H23GR"/>
      </w:pPr>
      <w:r w:rsidRPr="00C5279A">
        <w:tab/>
      </w:r>
      <w:r w:rsidRPr="00C5279A">
        <w:tab/>
        <w:t xml:space="preserve">Культурные права </w:t>
      </w:r>
    </w:p>
    <w:p w:rsidR="00C5279A" w:rsidRPr="00C5279A" w:rsidRDefault="00C5279A" w:rsidP="00C5279A">
      <w:pPr>
        <w:pStyle w:val="SingleTxtGR"/>
      </w:pPr>
      <w:r w:rsidRPr="00C5279A">
        <w:t>49.</w:t>
      </w:r>
      <w:r w:rsidRPr="00C5279A">
        <w:tab/>
        <w:t>Комитет обеспокоен негативными последствиями сокращения бюджетных ассигнований в контексте экономического кризиса для осуществления культурных прав, в особенности для поощрения науки и культуры и распространения их достижений. Комитет обеспокоен также тем, что, несмотря на приложенные усилия, распространение информации о культурной самобытности и историческом наследии цыганского населения и их поощрение по-прежнему носят ограниченный характер. Кроме того, Комитет выражает сожаление в связи с тем, что он не получил конкретной информации о мерах, принятых в целях обеспечения доступа к результатам научного прогресса, в том числе к Интернету (статья 15).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t>50.</w:t>
      </w:r>
      <w:r w:rsidRPr="00C5279A">
        <w:tab/>
      </w:r>
      <w:r w:rsidRPr="00C5279A">
        <w:rPr>
          <w:b/>
          <w:bCs/>
        </w:rPr>
        <w:t>Комитет рекомендует государству-участнику продолжать прилагать усилия, в том числе путем увеличения бюджетных ассигнований, для поощрения развития науки и культуры и распространения их достижений. Комитет отдельно настоятельно призывает государство-участник содействовать поощрению, сохранению, выражению и распространению культурной самобытности и исторического наследия цыганского населения. Кроме того, он рекомендует государству-участнику принять необходимые меры для дальнейшего содействия физической и экономической доступности культурных мероприятий, а также возможности пользования результатами научного прогресса и их практическому применению, включая Интернет.</w:t>
      </w:r>
    </w:p>
    <w:p w:rsidR="00C5279A" w:rsidRPr="00C5279A" w:rsidRDefault="00C5279A" w:rsidP="00C5279A">
      <w:pPr>
        <w:pStyle w:val="H1GR"/>
      </w:pPr>
      <w:r>
        <w:tab/>
      </w:r>
      <w:r w:rsidRPr="00C5279A">
        <w:t>D.</w:t>
      </w:r>
      <w:r w:rsidRPr="00C5279A">
        <w:tab/>
      </w:r>
      <w:r w:rsidRPr="00C5279A">
        <w:tab/>
        <w:t>Другие рекомендации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rPr>
          <w:bCs/>
        </w:rPr>
        <w:t>51.</w:t>
      </w:r>
      <w:r w:rsidRPr="00C5279A">
        <w:rPr>
          <w:b/>
          <w:bCs/>
        </w:rPr>
        <w:tab/>
        <w:t>Комитет призывает государство-участник ратифицировать Международную конвенцию о защите прав всех трудящихся-мигрантов и членов их семей.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rPr>
          <w:bCs/>
        </w:rPr>
        <w:t>52.</w:t>
      </w:r>
      <w:r w:rsidRPr="00C5279A">
        <w:rPr>
          <w:b/>
          <w:bCs/>
        </w:rPr>
        <w:tab/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 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недискриминации будет гарантировать, что никто не останется без внимания.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rPr>
          <w:bCs/>
        </w:rPr>
        <w:t>53.</w:t>
      </w:r>
      <w:r w:rsidRPr="00C5279A">
        <w:rPr>
          <w:b/>
          <w:bCs/>
        </w:rPr>
        <w:tab/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rPr>
          <w:bCs/>
        </w:rPr>
        <w:lastRenderedPageBreak/>
        <w:t>54.</w:t>
      </w:r>
      <w:r w:rsidRPr="00C5279A">
        <w:rPr>
          <w:b/>
          <w:bCs/>
        </w:rPr>
        <w:tab/>
        <w:t xml:space="preserve">Комитет просит государство-участник обеспечить широкое распространение настоящих заключительных замечаний среди всех слоев общества, а также среди государственных служащих, сотрудников судебных органов, парламентариев, адвокатов и организаций гражданского общества, а также направить </w:t>
      </w:r>
      <w:bookmarkStart w:id="0" w:name="_GoBack"/>
      <w:bookmarkEnd w:id="0"/>
      <w:r w:rsidRPr="00C5279A">
        <w:rPr>
          <w:b/>
          <w:bCs/>
        </w:rPr>
        <w:t>их в адрес омбудсмена, и в своем следующем периодическом докладе проинформировать Комитет о шагах, предпринятых с целью их выполнения. Он также призывает государство-участник перед представлением своего следующего периодического доклада привлечь организации гражданского общества к обсуждениям на национальном уровне вопроса об осуществлении настоящих заключительных замечаний.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rPr>
          <w:bCs/>
        </w:rPr>
        <w:t>55.</w:t>
      </w:r>
      <w:r w:rsidRPr="00C5279A">
        <w:rPr>
          <w:b/>
          <w:bCs/>
        </w:rPr>
        <w:tab/>
      </w:r>
      <w:r w:rsidR="00AB494E" w:rsidRPr="00C5279A">
        <w:rPr>
          <w:b/>
          <w:bCs/>
        </w:rPr>
        <w:t>в</w:t>
      </w:r>
      <w:r w:rsidRPr="00C5279A">
        <w:rPr>
          <w:b/>
          <w:bCs/>
        </w:rPr>
        <w:t xml:space="preserve"> свете принятой Комитетом процедуры последующей деятельности в связи с заключительными замечаниями государству-участнику предлагается в течение 18 месяцев с момента принятия настоящих заключительных замечаний предоставить информацию об осуществлении рекомендаций, вынесенных Комитетом в пунктах 14 (</w:t>
      </w:r>
      <w:r w:rsidRPr="00966AFA">
        <w:rPr>
          <w:rStyle w:val="a8"/>
          <w:b/>
          <w:sz w:val="20"/>
          <w:vertAlign w:val="baseline"/>
        </w:rPr>
        <w:t>«</w:t>
      </w:r>
      <w:r w:rsidRPr="00C5279A">
        <w:rPr>
          <w:b/>
          <w:bCs/>
        </w:rPr>
        <w:t>Меры строгой экономии</w:t>
      </w:r>
      <w:r w:rsidRPr="00966AFA">
        <w:rPr>
          <w:rStyle w:val="a8"/>
          <w:b/>
          <w:sz w:val="20"/>
          <w:vertAlign w:val="baseline"/>
        </w:rPr>
        <w:t>»</w:t>
      </w:r>
      <w:r w:rsidRPr="00C5279A">
        <w:rPr>
          <w:b/>
          <w:bCs/>
        </w:rPr>
        <w:t>), 38 (</w:t>
      </w:r>
      <w:r w:rsidRPr="00966AFA">
        <w:rPr>
          <w:rStyle w:val="a8"/>
          <w:b/>
          <w:sz w:val="20"/>
          <w:vertAlign w:val="baseline"/>
        </w:rPr>
        <w:t>«</w:t>
      </w:r>
      <w:r w:rsidRPr="00C5279A">
        <w:rPr>
          <w:b/>
          <w:bCs/>
        </w:rPr>
        <w:t>Выселения</w:t>
      </w:r>
      <w:r w:rsidRPr="00966AFA">
        <w:rPr>
          <w:rStyle w:val="a8"/>
          <w:b/>
          <w:sz w:val="20"/>
          <w:vertAlign w:val="baseline"/>
        </w:rPr>
        <w:t>»</w:t>
      </w:r>
      <w:r w:rsidRPr="00C5279A">
        <w:rPr>
          <w:b/>
          <w:bCs/>
        </w:rPr>
        <w:t>) и 42 (</w:t>
      </w:r>
      <w:r w:rsidRPr="00966AFA">
        <w:rPr>
          <w:rStyle w:val="a8"/>
          <w:b/>
          <w:sz w:val="20"/>
          <w:vertAlign w:val="baseline"/>
        </w:rPr>
        <w:t>«</w:t>
      </w:r>
      <w:r w:rsidRPr="00C5279A">
        <w:rPr>
          <w:b/>
          <w:bCs/>
        </w:rPr>
        <w:t>Право на здоровье</w:t>
      </w:r>
      <w:r w:rsidRPr="00966AFA">
        <w:rPr>
          <w:rStyle w:val="a8"/>
          <w:b/>
          <w:sz w:val="20"/>
          <w:vertAlign w:val="baseline"/>
        </w:rPr>
        <w:t>»</w:t>
      </w:r>
      <w:r w:rsidRPr="00C5279A">
        <w:rPr>
          <w:b/>
          <w:bCs/>
        </w:rPr>
        <w:t>).</w:t>
      </w:r>
    </w:p>
    <w:p w:rsidR="00C5279A" w:rsidRPr="00C5279A" w:rsidRDefault="00C5279A" w:rsidP="00C5279A">
      <w:pPr>
        <w:pStyle w:val="SingleTxtGR"/>
        <w:rPr>
          <w:b/>
          <w:bCs/>
        </w:rPr>
      </w:pPr>
      <w:r w:rsidRPr="00C5279A">
        <w:rPr>
          <w:bCs/>
        </w:rPr>
        <w:t>56.</w:t>
      </w:r>
      <w:r w:rsidRPr="00C5279A">
        <w:rPr>
          <w:b/>
          <w:bCs/>
        </w:rPr>
        <w:tab/>
        <w:t>Комитет предлагает государству-участнику представить свой седьмой периодический доклад не позднее 31 марта 2023 года. В этих целях, поскольку государство-участник согласилось следовать упрощенной процедуре представления докладов, Комитет в соответствующий момент препроводит ему перечень вопросов, препровождаемый до представления доклада. Ответы государства-участника на этот перечень вопросов будут представлять собой седьмой периодический доклад, представляемый в соответствии со статьей 16 Пакта. Кроме того, Комитет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 HRI/GEN/2/Rev.6, глава I).</w:t>
      </w:r>
    </w:p>
    <w:p w:rsidR="00C5279A" w:rsidRPr="00C5279A" w:rsidRDefault="00C5279A" w:rsidP="00C5279A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C5279A" w:rsidRPr="00C5279A" w:rsidRDefault="00C5279A">
      <w:pPr>
        <w:suppressAutoHyphens w:val="0"/>
        <w:spacing w:line="240" w:lineRule="auto"/>
        <w:rPr>
          <w:lang w:val="en-US"/>
        </w:rPr>
      </w:pPr>
    </w:p>
    <w:p w:rsidR="00C5279A" w:rsidRPr="00C5279A" w:rsidRDefault="00C5279A">
      <w:pPr>
        <w:suppressAutoHyphens w:val="0"/>
        <w:spacing w:line="240" w:lineRule="auto"/>
        <w:rPr>
          <w:lang w:val="en-US"/>
        </w:rPr>
      </w:pPr>
    </w:p>
    <w:p w:rsidR="00381C24" w:rsidRPr="00C5279A" w:rsidRDefault="00381C24" w:rsidP="002E5067">
      <w:pPr>
        <w:rPr>
          <w:lang w:val="en-US"/>
        </w:rPr>
      </w:pPr>
    </w:p>
    <w:sectPr w:rsidR="00381C24" w:rsidRPr="00C5279A" w:rsidSect="00C5279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DC" w:rsidRPr="00A312BC" w:rsidRDefault="003954DC" w:rsidP="00A312BC"/>
  </w:endnote>
  <w:endnote w:type="continuationSeparator" w:id="0">
    <w:p w:rsidR="003954DC" w:rsidRPr="00A312BC" w:rsidRDefault="003954D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79A" w:rsidRPr="00C5279A" w:rsidRDefault="00C5279A">
    <w:pPr>
      <w:pStyle w:val="aa"/>
    </w:pPr>
    <w:r w:rsidRPr="00C5279A">
      <w:rPr>
        <w:b/>
        <w:sz w:val="18"/>
      </w:rPr>
      <w:fldChar w:fldCharType="begin"/>
    </w:r>
    <w:r w:rsidRPr="00C5279A">
      <w:rPr>
        <w:b/>
        <w:sz w:val="18"/>
      </w:rPr>
      <w:instrText xml:space="preserve"> PAGE  \* MERGEFORMAT </w:instrText>
    </w:r>
    <w:r w:rsidRPr="00C5279A">
      <w:rPr>
        <w:b/>
        <w:sz w:val="18"/>
      </w:rPr>
      <w:fldChar w:fldCharType="separate"/>
    </w:r>
    <w:r w:rsidR="008B63A7">
      <w:rPr>
        <w:b/>
        <w:noProof/>
        <w:sz w:val="18"/>
      </w:rPr>
      <w:t>12</w:t>
    </w:r>
    <w:r w:rsidRPr="00C5279A">
      <w:rPr>
        <w:b/>
        <w:sz w:val="18"/>
      </w:rPr>
      <w:fldChar w:fldCharType="end"/>
    </w:r>
    <w:r>
      <w:rPr>
        <w:b/>
        <w:sz w:val="18"/>
      </w:rPr>
      <w:tab/>
    </w:r>
    <w:r>
      <w:t>GE.18-06514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79A" w:rsidRPr="00C5279A" w:rsidRDefault="00C5279A" w:rsidP="00C5279A">
    <w:pPr>
      <w:pStyle w:val="aa"/>
      <w:tabs>
        <w:tab w:val="clear" w:pos="9639"/>
        <w:tab w:val="right" w:pos="9638"/>
      </w:tabs>
      <w:rPr>
        <w:b/>
        <w:sz w:val="18"/>
      </w:rPr>
    </w:pPr>
    <w:r>
      <w:t>GE.18-06514</w:t>
    </w:r>
    <w:r>
      <w:tab/>
    </w:r>
    <w:r w:rsidRPr="00C5279A">
      <w:rPr>
        <w:b/>
        <w:sz w:val="18"/>
      </w:rPr>
      <w:fldChar w:fldCharType="begin"/>
    </w:r>
    <w:r w:rsidRPr="00C5279A">
      <w:rPr>
        <w:b/>
        <w:sz w:val="18"/>
      </w:rPr>
      <w:instrText xml:space="preserve"> PAGE  \* MERGEFORMAT </w:instrText>
    </w:r>
    <w:r w:rsidRPr="00C5279A">
      <w:rPr>
        <w:b/>
        <w:sz w:val="18"/>
      </w:rPr>
      <w:fldChar w:fldCharType="separate"/>
    </w:r>
    <w:r w:rsidR="008B63A7">
      <w:rPr>
        <w:b/>
        <w:noProof/>
        <w:sz w:val="18"/>
      </w:rPr>
      <w:t>11</w:t>
    </w:r>
    <w:r w:rsidRPr="00C527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5279A" w:rsidRDefault="00C5279A" w:rsidP="00C5279A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18-06514  (R)</w:t>
    </w:r>
    <w:r w:rsidR="0060652B">
      <w:rPr>
        <w:lang w:val="en-US"/>
      </w:rPr>
      <w:t xml:space="preserve">   070518  090518</w:t>
    </w:r>
    <w:r>
      <w:br/>
    </w:r>
    <w:r w:rsidRPr="00C5279A">
      <w:rPr>
        <w:rFonts w:ascii="C39T30Lfz" w:hAnsi="C39T30Lfz"/>
        <w:kern w:val="14"/>
        <w:sz w:val="56"/>
      </w:rPr>
      <w:t></w:t>
    </w:r>
    <w:r w:rsidRPr="00C5279A">
      <w:rPr>
        <w:rFonts w:ascii="C39T30Lfz" w:hAnsi="C39T30Lfz"/>
        <w:kern w:val="14"/>
        <w:sz w:val="56"/>
      </w:rPr>
      <w:t></w:t>
    </w:r>
    <w:r w:rsidRPr="00C5279A">
      <w:rPr>
        <w:rFonts w:ascii="C39T30Lfz" w:hAnsi="C39T30Lfz"/>
        <w:kern w:val="14"/>
        <w:sz w:val="56"/>
      </w:rPr>
      <w:t></w:t>
    </w:r>
    <w:r w:rsidRPr="00C5279A">
      <w:rPr>
        <w:rFonts w:ascii="C39T30Lfz" w:hAnsi="C39T30Lfz"/>
        <w:kern w:val="14"/>
        <w:sz w:val="56"/>
      </w:rPr>
      <w:t></w:t>
    </w:r>
    <w:r w:rsidRPr="00C5279A">
      <w:rPr>
        <w:rFonts w:ascii="C39T30Lfz" w:hAnsi="C39T30Lfz"/>
        <w:kern w:val="14"/>
        <w:sz w:val="56"/>
      </w:rPr>
      <w:t></w:t>
    </w:r>
    <w:r w:rsidRPr="00C5279A">
      <w:rPr>
        <w:rFonts w:ascii="C39T30Lfz" w:hAnsi="C39T30Lfz"/>
        <w:kern w:val="14"/>
        <w:sz w:val="56"/>
      </w:rPr>
      <w:t></w:t>
    </w:r>
    <w:r w:rsidRPr="00C5279A">
      <w:rPr>
        <w:rFonts w:ascii="C39T30Lfz" w:hAnsi="C39T30Lfz"/>
        <w:kern w:val="14"/>
        <w:sz w:val="56"/>
      </w:rPr>
      <w:t></w:t>
    </w:r>
    <w:r w:rsidRPr="00C5279A">
      <w:rPr>
        <w:rFonts w:ascii="C39T30Lfz" w:hAnsi="C39T30Lfz"/>
        <w:kern w:val="14"/>
        <w:sz w:val="56"/>
      </w:rPr>
      <w:t></w:t>
    </w:r>
    <w:r w:rsidRPr="00C5279A">
      <w:rPr>
        <w:rFonts w:ascii="C39T30Lfz" w:hAnsi="C39T30Lfz"/>
        <w:kern w:val="14"/>
        <w:sz w:val="56"/>
      </w:rPr>
      <w:t></w:t>
    </w:r>
    <w:r>
      <w:rPr>
        <w:noProof/>
        <w:lang w:val="fr-CH" w:eastAsia="fr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ESP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ESP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DC" w:rsidRPr="001075E9" w:rsidRDefault="003954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54DC" w:rsidRDefault="003954D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5279A" w:rsidRPr="003B5171" w:rsidRDefault="00C5279A" w:rsidP="00C5279A">
      <w:pPr>
        <w:pStyle w:val="af"/>
      </w:pPr>
      <w:r>
        <w:tab/>
      </w:r>
      <w:r w:rsidRPr="00C5279A">
        <w:rPr>
          <w:rStyle w:val="a8"/>
          <w:vertAlign w:val="baseline"/>
        </w:rPr>
        <w:t>*</w:t>
      </w:r>
      <w:r w:rsidRPr="003B5171">
        <w:t xml:space="preserve"> </w:t>
      </w:r>
      <w:r>
        <w:tab/>
        <w:t>Приняты Комитетом на его шестьдесят третьей сессии (12–29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79A" w:rsidRPr="00C5279A" w:rsidRDefault="008B63A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E/C.12/ESP/CO/6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79A" w:rsidRPr="00C5279A" w:rsidRDefault="008B63A7" w:rsidP="00C5279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E/C.12/ESP/CO/6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1E14C8F"/>
    <w:multiLevelType w:val="hybridMultilevel"/>
    <w:tmpl w:val="36C0AD24"/>
    <w:lvl w:ilvl="0" w:tplc="C8E823FA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  <w:b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6"/>
  </w:num>
  <w:num w:numId="23">
    <w:abstractNumId w:val="13"/>
  </w:num>
  <w:num w:numId="24">
    <w:abstractNumId w:val="15"/>
  </w:num>
  <w:num w:numId="25">
    <w:abstractNumId w:val="16"/>
  </w:num>
  <w:num w:numId="26">
    <w:abstractNumId w:val="13"/>
  </w:num>
  <w:num w:numId="27">
    <w:abstractNumId w:val="15"/>
  </w:num>
  <w:num w:numId="2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DC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4DC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0652B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2730"/>
    <w:rsid w:val="0086445C"/>
    <w:rsid w:val="00894693"/>
    <w:rsid w:val="008A08D7"/>
    <w:rsid w:val="008B63A7"/>
    <w:rsid w:val="008B6909"/>
    <w:rsid w:val="008C30BC"/>
    <w:rsid w:val="00906890"/>
    <w:rsid w:val="00911BE4"/>
    <w:rsid w:val="00951972"/>
    <w:rsid w:val="009608F3"/>
    <w:rsid w:val="00966AFA"/>
    <w:rsid w:val="009A24AC"/>
    <w:rsid w:val="00A14DA8"/>
    <w:rsid w:val="00A21F00"/>
    <w:rsid w:val="00A312BC"/>
    <w:rsid w:val="00A67CFF"/>
    <w:rsid w:val="00A84021"/>
    <w:rsid w:val="00A84D35"/>
    <w:rsid w:val="00A917B3"/>
    <w:rsid w:val="00AB494E"/>
    <w:rsid w:val="00AB4B51"/>
    <w:rsid w:val="00AC3430"/>
    <w:rsid w:val="00B10CC7"/>
    <w:rsid w:val="00B17554"/>
    <w:rsid w:val="00B36DF7"/>
    <w:rsid w:val="00B539E7"/>
    <w:rsid w:val="00B62458"/>
    <w:rsid w:val="00BC18B2"/>
    <w:rsid w:val="00BD33EE"/>
    <w:rsid w:val="00BF21E1"/>
    <w:rsid w:val="00C106D6"/>
    <w:rsid w:val="00C5279A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A46D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6B94B59"/>
  <w15:docId w15:val="{003CEBF9-18AB-4106-9FC1-8838C1238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8</TotalTime>
  <Pages>12</Pages>
  <Words>4658</Words>
  <Characters>33329</Characters>
  <Application>Microsoft Office Word</Application>
  <DocSecurity>0</DocSecurity>
  <Lines>595</Lines>
  <Paragraphs>123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E/C.12/ESP/CO/6</vt:lpstr>
      <vt:lpstr>A/</vt:lpstr>
      <vt:lpstr>A/</vt:lpstr>
    </vt:vector>
  </TitlesOfParts>
  <Company>DCM</Company>
  <LinksUpToDate>false</LinksUpToDate>
  <CharactersWithSpaces>37955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E/C.12/ESP/CO/6</dc:title>
  <dc:subject/>
  <dc:creator>Anna BLAGODATSKIKH</dc:creator>
  <cp:keywords/>
  <cp:lastModifiedBy>Anna Blagodatskikh</cp:lastModifiedBy>
  <cp:revision>5</cp:revision>
  <cp:lastPrinted>2018-05-09T09:27:00Z</cp:lastPrinted>
  <dcterms:created xsi:type="dcterms:W3CDTF">2018-05-09T09:21:00Z</dcterms:created>
  <dcterms:modified xsi:type="dcterms:W3CDTF">2018-05-09T09:29:00Z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