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8CF85A5" w14:textId="77777777" w:rsidTr="00866F17">
        <w:trPr>
          <w:trHeight w:hRule="exact" w:val="851"/>
        </w:trPr>
        <w:tc>
          <w:tcPr>
            <w:tcW w:w="1280" w:type="dxa"/>
            <w:tcBorders>
              <w:bottom w:val="single" w:sz="4" w:space="0" w:color="auto"/>
            </w:tcBorders>
          </w:tcPr>
          <w:p w14:paraId="46E7104B" w14:textId="77777777" w:rsidR="002D5AAC" w:rsidRPr="001359DC" w:rsidRDefault="002D5AAC" w:rsidP="00866F17">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968DFE5"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37621515" w14:textId="5BC20FB9" w:rsidR="002D5AAC" w:rsidRPr="001359DC" w:rsidRDefault="00866F17" w:rsidP="00866F17">
            <w:pPr>
              <w:jc w:val="right"/>
              <w:rPr>
                <w:lang w:val="es-ES"/>
              </w:rPr>
            </w:pPr>
            <w:r w:rsidRPr="00866F17">
              <w:rPr>
                <w:sz w:val="40"/>
                <w:lang w:val="es-ES"/>
              </w:rPr>
              <w:t>A</w:t>
            </w:r>
            <w:r>
              <w:rPr>
                <w:lang w:val="es-ES"/>
              </w:rPr>
              <w:t>/HRC/RES/60/5</w:t>
            </w:r>
          </w:p>
        </w:tc>
      </w:tr>
      <w:tr w:rsidR="002D5AAC" w:rsidRPr="001359DC" w14:paraId="61796A90" w14:textId="77777777" w:rsidTr="00866F17">
        <w:trPr>
          <w:trHeight w:hRule="exact" w:val="2835"/>
        </w:trPr>
        <w:tc>
          <w:tcPr>
            <w:tcW w:w="1280" w:type="dxa"/>
            <w:tcBorders>
              <w:top w:val="single" w:sz="4" w:space="0" w:color="auto"/>
              <w:bottom w:val="single" w:sz="12" w:space="0" w:color="auto"/>
            </w:tcBorders>
          </w:tcPr>
          <w:p w14:paraId="5C46DB90" w14:textId="77777777" w:rsidR="002D5AAC" w:rsidRPr="001359DC" w:rsidRDefault="002E5067" w:rsidP="0008244E">
            <w:pPr>
              <w:spacing w:before="120"/>
              <w:jc w:val="center"/>
              <w:rPr>
                <w:lang w:val="es-ES"/>
              </w:rPr>
            </w:pPr>
            <w:r w:rsidRPr="001359DC">
              <w:rPr>
                <w:noProof/>
              </w:rPr>
              <w:drawing>
                <wp:inline distT="0" distB="0" distL="0" distR="0" wp14:anchorId="59CE7CAB" wp14:editId="61918CC7">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620E3D"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4E181B17" w14:textId="77777777" w:rsidR="002D5AAC" w:rsidRDefault="00866F17" w:rsidP="0008244E">
            <w:pPr>
              <w:spacing w:before="240"/>
              <w:rPr>
                <w:lang w:val="es-ES"/>
              </w:rPr>
            </w:pPr>
            <w:r>
              <w:rPr>
                <w:lang w:val="es-ES"/>
              </w:rPr>
              <w:t>Distr. general</w:t>
            </w:r>
          </w:p>
          <w:p w14:paraId="2F0DDF13" w14:textId="77777777" w:rsidR="00866F17" w:rsidRDefault="00866F17" w:rsidP="00866F17">
            <w:pPr>
              <w:spacing w:line="240" w:lineRule="exact"/>
              <w:rPr>
                <w:lang w:val="es-ES"/>
              </w:rPr>
            </w:pPr>
            <w:r>
              <w:rPr>
                <w:lang w:val="es-ES"/>
              </w:rPr>
              <w:t>6 de octubre de 2025</w:t>
            </w:r>
          </w:p>
          <w:p w14:paraId="216DE5B0" w14:textId="77777777" w:rsidR="00866F17" w:rsidRDefault="00866F17" w:rsidP="00866F17">
            <w:pPr>
              <w:spacing w:line="240" w:lineRule="exact"/>
              <w:rPr>
                <w:lang w:val="es-ES"/>
              </w:rPr>
            </w:pPr>
            <w:r>
              <w:rPr>
                <w:lang w:val="es-ES"/>
              </w:rPr>
              <w:t>Español</w:t>
            </w:r>
          </w:p>
          <w:p w14:paraId="3DC8F55B" w14:textId="055CFB70" w:rsidR="00866F17" w:rsidRPr="001359DC" w:rsidRDefault="00866F17" w:rsidP="00866F17">
            <w:pPr>
              <w:spacing w:line="240" w:lineRule="exact"/>
              <w:rPr>
                <w:lang w:val="es-ES"/>
              </w:rPr>
            </w:pPr>
            <w:r>
              <w:rPr>
                <w:lang w:val="es-ES"/>
              </w:rPr>
              <w:t>Original: inglés</w:t>
            </w:r>
          </w:p>
        </w:tc>
      </w:tr>
    </w:tbl>
    <w:p w14:paraId="6EC8D19B" w14:textId="77777777" w:rsidR="00866F17" w:rsidRPr="00866F17" w:rsidRDefault="00866F17" w:rsidP="00866F17">
      <w:pPr>
        <w:spacing w:before="120"/>
        <w:rPr>
          <w:b/>
          <w:sz w:val="24"/>
          <w:szCs w:val="24"/>
          <w:lang w:val="en-GB"/>
        </w:rPr>
      </w:pPr>
      <w:r w:rsidRPr="00866F17">
        <w:rPr>
          <w:b/>
          <w:bCs/>
          <w:sz w:val="24"/>
          <w:szCs w:val="24"/>
        </w:rPr>
        <w:t>Consejo de Derechos Humanos</w:t>
      </w:r>
    </w:p>
    <w:p w14:paraId="291E2989" w14:textId="77777777" w:rsidR="00866F17" w:rsidRPr="00866F17" w:rsidRDefault="00866F17" w:rsidP="00866F17">
      <w:pPr>
        <w:rPr>
          <w:b/>
          <w:bCs/>
          <w:lang w:val="en-GB"/>
        </w:rPr>
      </w:pPr>
      <w:r w:rsidRPr="00866F17">
        <w:rPr>
          <w:b/>
          <w:bCs/>
        </w:rPr>
        <w:t>60º período de sesiones</w:t>
      </w:r>
    </w:p>
    <w:p w14:paraId="052C3AEC" w14:textId="77777777" w:rsidR="00866F17" w:rsidRPr="00866F17" w:rsidRDefault="00866F17" w:rsidP="00866F17">
      <w:r w:rsidRPr="00866F17">
        <w:t>8 de septiembre a 8 de octubre de 2025</w:t>
      </w:r>
    </w:p>
    <w:p w14:paraId="0CDD3486" w14:textId="77777777" w:rsidR="00866F17" w:rsidRPr="00866F17" w:rsidRDefault="00866F17" w:rsidP="00866F17">
      <w:r w:rsidRPr="00866F17">
        <w:t>Tema 3 de la agenda</w:t>
      </w:r>
    </w:p>
    <w:p w14:paraId="1D34A26B" w14:textId="12FF556E" w:rsidR="00866F17" w:rsidRPr="00866F17" w:rsidRDefault="00866F17" w:rsidP="00866F17">
      <w:pPr>
        <w:rPr>
          <w:b/>
        </w:rPr>
      </w:pPr>
      <w:r w:rsidRPr="00866F17">
        <w:rPr>
          <w:b/>
          <w:bCs/>
        </w:rPr>
        <w:t xml:space="preserve">Promoción y protección de todos los derechos humanos, </w:t>
      </w:r>
      <w:r>
        <w:rPr>
          <w:b/>
          <w:bCs/>
        </w:rPr>
        <w:br/>
      </w:r>
      <w:r w:rsidRPr="00866F17">
        <w:rPr>
          <w:b/>
          <w:bCs/>
        </w:rPr>
        <w:t xml:space="preserve">civiles, políticos, económicos, sociales y culturales, </w:t>
      </w:r>
      <w:r>
        <w:rPr>
          <w:b/>
          <w:bCs/>
        </w:rPr>
        <w:br/>
      </w:r>
      <w:r w:rsidRPr="00866F17">
        <w:rPr>
          <w:b/>
          <w:bCs/>
        </w:rPr>
        <w:t>incluido el derecho al desarrollo</w:t>
      </w:r>
    </w:p>
    <w:p w14:paraId="07479D05" w14:textId="729EF12B" w:rsidR="00866F17" w:rsidRPr="00866F17" w:rsidRDefault="00866F17" w:rsidP="00866F17">
      <w:pPr>
        <w:pStyle w:val="HChG"/>
      </w:pPr>
      <w:r w:rsidRPr="00866F17">
        <w:tab/>
      </w:r>
      <w:r w:rsidRPr="00866F17">
        <w:tab/>
        <w:t xml:space="preserve">Resolución aprobada por el Consejo de Derechos Humanos </w:t>
      </w:r>
      <w:r>
        <w:br/>
      </w:r>
      <w:r w:rsidRPr="00866F17">
        <w:t>el 6 de octubre de 2025</w:t>
      </w:r>
    </w:p>
    <w:p w14:paraId="09FA1399" w14:textId="0D0FD5CB" w:rsidR="00866F17" w:rsidRDefault="00866F17" w:rsidP="00866F17">
      <w:pPr>
        <w:pStyle w:val="H1G"/>
      </w:pPr>
      <w:r>
        <w:tab/>
      </w:r>
      <w:r w:rsidRPr="00626574">
        <w:t>60/5.</w:t>
      </w:r>
      <w:r w:rsidRPr="00626574">
        <w:tab/>
        <w:t xml:space="preserve">Mandato del Grupo de Trabajo sobre la utilización de mercenarios como medio de violar los derechos humanos y obstaculizar el </w:t>
      </w:r>
      <w:r>
        <w:br/>
      </w:r>
      <w:r w:rsidRPr="00626574">
        <w:t>ejercicio del derecho de los pueblos a la libre determinación</w:t>
      </w:r>
    </w:p>
    <w:p w14:paraId="7667A1CB" w14:textId="77777777" w:rsidR="00866F17" w:rsidRPr="00866F17" w:rsidRDefault="00866F17" w:rsidP="00866F17">
      <w:pPr>
        <w:pStyle w:val="SingleTxtG"/>
      </w:pPr>
      <w:r w:rsidRPr="00866F17">
        <w:tab/>
      </w:r>
      <w:r w:rsidRPr="00866F17">
        <w:rPr>
          <w:i/>
          <w:iCs/>
        </w:rPr>
        <w:t>El Consejo de Derechos Humanos</w:t>
      </w:r>
      <w:r w:rsidRPr="00866F17">
        <w:t>,</w:t>
      </w:r>
    </w:p>
    <w:p w14:paraId="00B6CD9B" w14:textId="2ACEA4AB" w:rsidR="00866F17" w:rsidRPr="00866F17" w:rsidRDefault="00866F17" w:rsidP="00866F17">
      <w:pPr>
        <w:pStyle w:val="SingleTxtG"/>
      </w:pPr>
      <w:r>
        <w:rPr>
          <w:i/>
          <w:iCs/>
        </w:rPr>
        <w:tab/>
      </w:r>
      <w:r w:rsidRPr="00866F17">
        <w:rPr>
          <w:i/>
          <w:iCs/>
        </w:rPr>
        <w:t>Recordando</w:t>
      </w:r>
      <w:r w:rsidRPr="00866F17">
        <w:t xml:space="preserve"> todas las resoluciones anteriores aprobadas por la Asamblea General, el Consejo de Derechos Humanos y la Comisión de Derechos Humanos sobre el tema,</w:t>
      </w:r>
    </w:p>
    <w:p w14:paraId="7FFA534D" w14:textId="548FFBD4" w:rsidR="00866F17" w:rsidRPr="00866F17" w:rsidRDefault="00866F17" w:rsidP="00866F17">
      <w:pPr>
        <w:pStyle w:val="SingleTxtG"/>
      </w:pPr>
      <w:r>
        <w:rPr>
          <w:i/>
          <w:iCs/>
        </w:rPr>
        <w:tab/>
      </w:r>
      <w:r w:rsidRPr="00866F17">
        <w:rPr>
          <w:i/>
          <w:iCs/>
        </w:rPr>
        <w:t>Recordando también</w:t>
      </w:r>
      <w:r w:rsidRPr="00866F17">
        <w:t xml:space="preserve"> las resoluciones del Consejo de Derechos Humanos 5/1, relativa a la construcción institucional del Consejo, y 5/2, relativa al Código de Conducta para los Titulares de Mandatos de los Procedimientos Especiales del Consejo de Derechos Humanos, de 18 de junio de 2007, y destacando que todos los titulares de mandatos deberán desempeñar sus funciones de conformidad con esas resoluciones y sus anexos,</w:t>
      </w:r>
    </w:p>
    <w:p w14:paraId="415AA051" w14:textId="32BCC756" w:rsidR="00866F17" w:rsidRPr="00866F17" w:rsidRDefault="00866F17" w:rsidP="00866F17">
      <w:pPr>
        <w:pStyle w:val="SingleTxtG"/>
      </w:pPr>
      <w:r>
        <w:rPr>
          <w:i/>
          <w:iCs/>
        </w:rPr>
        <w:tab/>
      </w:r>
      <w:r w:rsidRPr="00866F17">
        <w:rPr>
          <w:i/>
          <w:iCs/>
        </w:rPr>
        <w:t>Reafirmando</w:t>
      </w:r>
      <w:r w:rsidRPr="00866F17">
        <w:t xml:space="preserve"> los propósitos y principios consagrados en la Carta de las Naciones Unidas relativos al estricto respeto de los principios de igualdad soberana, independencia política, integridad territorial de los Estados, libre determinación de los pueblos, no utilización de la fuerza o de la amenaza del uso de la fuerza en las relaciones internacionales y no injerencia en los asuntos de jurisdicción interna de los Estados,</w:t>
      </w:r>
    </w:p>
    <w:p w14:paraId="4CC525A8" w14:textId="0F38077C" w:rsidR="00866F17" w:rsidRPr="00866F17" w:rsidRDefault="00866F17" w:rsidP="00866F17">
      <w:pPr>
        <w:pStyle w:val="SingleTxtG"/>
      </w:pPr>
      <w:r>
        <w:rPr>
          <w:i/>
          <w:iCs/>
        </w:rPr>
        <w:tab/>
      </w:r>
      <w:r w:rsidRPr="00866F17">
        <w:rPr>
          <w:i/>
          <w:iCs/>
        </w:rPr>
        <w:t>Reiterando</w:t>
      </w:r>
      <w:r w:rsidRPr="00866F17">
        <w:t xml:space="preserve"> la petición a todos los Estados de que ejerzan la máxima vigilancia ante toda forma de reclutamiento, adiestramiento, contratación, equipamiento con armas, protección, tránsito o financiación de mercenarios, tanto en Internet como en otros entornos,</w:t>
      </w:r>
    </w:p>
    <w:p w14:paraId="42427CE4" w14:textId="7383E055" w:rsidR="00866F17" w:rsidRPr="00866F17" w:rsidRDefault="00866F17" w:rsidP="00866F17">
      <w:pPr>
        <w:pStyle w:val="SingleTxtG"/>
      </w:pPr>
      <w:r>
        <w:tab/>
      </w:r>
      <w:r w:rsidRPr="00866F17">
        <w:t>1.</w:t>
      </w:r>
      <w:r w:rsidRPr="00866F17">
        <w:tab/>
      </w:r>
      <w:r w:rsidRPr="00866F17">
        <w:rPr>
          <w:i/>
          <w:iCs/>
        </w:rPr>
        <w:t>Decide</w:t>
      </w:r>
      <w:r w:rsidRPr="00866F17">
        <w:t xml:space="preserve"> renovar por un período de tres años el mandato del Grupo de Trabajo sobre la utilización de mercenarios como medio de violar los derechos humanos y obstaculizar el ejercicio del derecho de los pueblos a la libre determinación para que prosiga su labor de conformidad con la resolución 7/21 del Consejo de Derechos Humanos, de 28 de marzo de 2008, y otras resoluciones en la materia;</w:t>
      </w:r>
    </w:p>
    <w:p w14:paraId="0BBE0F06" w14:textId="2542173D" w:rsidR="00866F17" w:rsidRPr="00866F17" w:rsidRDefault="00866F17" w:rsidP="00866F17">
      <w:pPr>
        <w:pStyle w:val="SingleTxtG"/>
      </w:pPr>
      <w:r>
        <w:tab/>
      </w:r>
      <w:r w:rsidRPr="00866F17">
        <w:t>2.</w:t>
      </w:r>
      <w:r w:rsidRPr="00866F17">
        <w:tab/>
      </w:r>
      <w:r w:rsidRPr="00866F17">
        <w:rPr>
          <w:i/>
          <w:iCs/>
        </w:rPr>
        <w:t>Exhorta</w:t>
      </w:r>
      <w:r w:rsidRPr="00866F17">
        <w:t xml:space="preserve"> a todos los Estados a cooperar plenamente con el Grupo de Trabajo en el cumplimiento de su mandato;</w:t>
      </w:r>
    </w:p>
    <w:p w14:paraId="155304A4" w14:textId="6697E077" w:rsidR="00866F17" w:rsidRPr="00866F17" w:rsidRDefault="00866F17" w:rsidP="00866F17">
      <w:pPr>
        <w:pStyle w:val="SingleTxtG"/>
      </w:pPr>
      <w:r>
        <w:tab/>
      </w:r>
      <w:r w:rsidRPr="00866F17">
        <w:t>3.</w:t>
      </w:r>
      <w:r w:rsidRPr="00866F17">
        <w:tab/>
      </w:r>
      <w:r w:rsidRPr="00866F17">
        <w:rPr>
          <w:i/>
          <w:iCs/>
        </w:rPr>
        <w:t>Solicita</w:t>
      </w:r>
      <w:r w:rsidRPr="00866F17">
        <w:t xml:space="preserve"> al Secretario General y al Alto Comisionado de las Naciones Unidas para los Derechos Humanos que proporcionen al Grupo de</w:t>
      </w:r>
      <w:r>
        <w:t xml:space="preserve"> </w:t>
      </w:r>
      <w:r w:rsidRPr="00866F17">
        <w:t>Trabajo todo el apoyo y la asistencia necesarios para el cumplimiento de su mandato;</w:t>
      </w:r>
    </w:p>
    <w:p w14:paraId="2CE5C88B" w14:textId="686F7FC2" w:rsidR="00866F17" w:rsidRPr="00866F17" w:rsidRDefault="00866F17" w:rsidP="00866F17">
      <w:pPr>
        <w:pStyle w:val="SingleTxtG"/>
      </w:pPr>
      <w:r>
        <w:lastRenderedPageBreak/>
        <w:tab/>
      </w:r>
      <w:r w:rsidRPr="00866F17">
        <w:t>4.</w:t>
      </w:r>
      <w:r w:rsidRPr="00866F17">
        <w:tab/>
      </w:r>
      <w:r w:rsidRPr="00866F17">
        <w:rPr>
          <w:i/>
          <w:iCs/>
        </w:rPr>
        <w:t>Solicita</w:t>
      </w:r>
      <w:r w:rsidRPr="00866F17">
        <w:t xml:space="preserve"> al Grupo de Trabajo que consulte con los Estados, las organizaciones intergubernamentales y no gubernamentales y a otros actores pertinentes, incluidas las organizaciones de la sociedad civil, para aplicar la presente resolución y que comunique sus conclusiones al Consejo de Derechos Humanos y la Asamblea General de conformidad con sus programas de trabajo;</w:t>
      </w:r>
    </w:p>
    <w:p w14:paraId="064B427C" w14:textId="18852F17" w:rsidR="00866F17" w:rsidRPr="00866F17" w:rsidRDefault="00866F17" w:rsidP="00866F17">
      <w:pPr>
        <w:pStyle w:val="SingleTxtG"/>
      </w:pPr>
      <w:r>
        <w:tab/>
      </w:r>
      <w:r w:rsidRPr="00866F17">
        <w:t>5.</w:t>
      </w:r>
      <w:r w:rsidRPr="00866F17">
        <w:tab/>
      </w:r>
      <w:r w:rsidRPr="00866F17">
        <w:rPr>
          <w:i/>
          <w:iCs/>
        </w:rPr>
        <w:t>Decide</w:t>
      </w:r>
      <w:r w:rsidRPr="00866F17">
        <w:t xml:space="preserve"> seguir examinando esta cuestión en relación con el mismo tema de la agenda de conformidad con su programa de trabajo.</w:t>
      </w:r>
    </w:p>
    <w:p w14:paraId="56FF375F" w14:textId="7278F8DF" w:rsidR="00866F17" w:rsidRPr="00866F17" w:rsidRDefault="00866F17" w:rsidP="00866F17">
      <w:pPr>
        <w:pStyle w:val="SingleTxtG"/>
        <w:jc w:val="right"/>
        <w:rPr>
          <w:i/>
          <w:iCs/>
        </w:rPr>
      </w:pPr>
      <w:r w:rsidRPr="00866F17">
        <w:rPr>
          <w:i/>
          <w:iCs/>
        </w:rPr>
        <w:t xml:space="preserve">41ª sesión </w:t>
      </w:r>
      <w:r>
        <w:rPr>
          <w:i/>
          <w:iCs/>
        </w:rPr>
        <w:br/>
      </w:r>
      <w:r w:rsidRPr="00866F17">
        <w:rPr>
          <w:i/>
          <w:iCs/>
        </w:rPr>
        <w:t>6 de octubre de 2025</w:t>
      </w:r>
    </w:p>
    <w:p w14:paraId="17FC158D" w14:textId="77777777" w:rsidR="00866F17" w:rsidRPr="00866F17" w:rsidRDefault="00866F17" w:rsidP="00866F17">
      <w:pPr>
        <w:pStyle w:val="SingleTxtG"/>
      </w:pPr>
      <w:r w:rsidRPr="00866F17">
        <w:t>[Aprobada en votación registrada por 28 votos contra 17 y 2 abstenciones. El resultado de la votación fue el siguiente:</w:t>
      </w:r>
    </w:p>
    <w:p w14:paraId="3CD37420" w14:textId="19A119F5" w:rsidR="00866F17" w:rsidRPr="00866F17" w:rsidRDefault="00866F17" w:rsidP="00866F17">
      <w:pPr>
        <w:pStyle w:val="SingleTxtG"/>
        <w:spacing w:after="0"/>
        <w:ind w:left="1701"/>
        <w:rPr>
          <w:i/>
          <w:iCs/>
        </w:rPr>
      </w:pPr>
      <w:r w:rsidRPr="00866F17">
        <w:rPr>
          <w:i/>
          <w:iCs/>
        </w:rPr>
        <w:t>Votos a favor:</w:t>
      </w:r>
    </w:p>
    <w:p w14:paraId="171AC86B" w14:textId="30A144AF" w:rsidR="00866F17" w:rsidRPr="00866F17" w:rsidRDefault="00866F17" w:rsidP="00866F17">
      <w:pPr>
        <w:pStyle w:val="SingleTxtG"/>
        <w:ind w:left="2268"/>
      </w:pPr>
      <w:r w:rsidRPr="00866F17">
        <w:t>Argelia, Bangladesh, Benin, Bolivia (Estado Plurinacional de), Brasil, Burundi, Chile, China, Colombia, Costa Rica, Côte d’Ivoire, Cuba, Etiopía, Gambia, Ghana, Indonesia, Kenya, Kirguistán, Kuwait, Malawi, Maldivas, México, Qatar, República Dominicana, Sudáfrica, Sudán, Tailandia, Viet Nam</w:t>
      </w:r>
      <w:r>
        <w:t>.</w:t>
      </w:r>
    </w:p>
    <w:p w14:paraId="79876DB6" w14:textId="546D96EE" w:rsidR="00866F17" w:rsidRPr="00866F17" w:rsidRDefault="00866F17" w:rsidP="00866F17">
      <w:pPr>
        <w:pStyle w:val="SingleTxtG"/>
        <w:spacing w:after="0"/>
        <w:ind w:left="1701"/>
        <w:rPr>
          <w:i/>
          <w:iCs/>
        </w:rPr>
      </w:pPr>
      <w:r w:rsidRPr="00866F17">
        <w:rPr>
          <w:i/>
          <w:iCs/>
        </w:rPr>
        <w:t>Votos en contra:</w:t>
      </w:r>
    </w:p>
    <w:p w14:paraId="5B88CBD6" w14:textId="62DDDF60" w:rsidR="00866F17" w:rsidRPr="00866F17" w:rsidRDefault="00866F17" w:rsidP="00866F17">
      <w:pPr>
        <w:pStyle w:val="SingleTxtG"/>
        <w:ind w:left="2268"/>
        <w:rPr>
          <w:i/>
          <w:iCs/>
        </w:rPr>
      </w:pPr>
      <w:r w:rsidRPr="00866F17">
        <w:t>Albania, Alemania, Bélgica, Bulgaria, Chequia, Chipre, España, Francia, Georgia, Islandia, Japón, Macedonia del Norte, Marruecos, Países Bajos (Reino de los), República de Corea, Rumanía, Suiza</w:t>
      </w:r>
      <w:r>
        <w:t>.</w:t>
      </w:r>
    </w:p>
    <w:p w14:paraId="2A00C02A" w14:textId="0B441AE1" w:rsidR="00866F17" w:rsidRPr="00866F17" w:rsidRDefault="00866F17" w:rsidP="00866F17">
      <w:pPr>
        <w:pStyle w:val="SingleTxtG"/>
        <w:spacing w:after="0"/>
        <w:ind w:left="1701"/>
        <w:rPr>
          <w:i/>
          <w:iCs/>
        </w:rPr>
      </w:pPr>
      <w:r w:rsidRPr="00866F17">
        <w:rPr>
          <w:i/>
          <w:iCs/>
        </w:rPr>
        <w:t>Abstenciones:</w:t>
      </w:r>
    </w:p>
    <w:p w14:paraId="6A2A7B7C" w14:textId="60F6D575" w:rsidR="00866F17" w:rsidRDefault="00866F17" w:rsidP="00866F17">
      <w:pPr>
        <w:pStyle w:val="SingleTxtG"/>
        <w:ind w:left="2268"/>
      </w:pPr>
      <w:r w:rsidRPr="00626574">
        <w:t>Islas Marshall</w:t>
      </w:r>
      <w:r>
        <w:t xml:space="preserve">, </w:t>
      </w:r>
      <w:r w:rsidRPr="00626574">
        <w:t>República Democrática del Congo</w:t>
      </w:r>
      <w:r>
        <w:t>.</w:t>
      </w:r>
      <w:r w:rsidRPr="00626574">
        <w:t>]</w:t>
      </w:r>
    </w:p>
    <w:p w14:paraId="3FF0DB2B" w14:textId="458E56D3" w:rsidR="00381C24" w:rsidRPr="00866F17" w:rsidRDefault="00866F17" w:rsidP="00866F17">
      <w:pPr>
        <w:pStyle w:val="SingleTxtG"/>
        <w:suppressAutoHyphens/>
        <w:spacing w:before="240" w:after="0"/>
        <w:jc w:val="center"/>
        <w:rPr>
          <w:u w:val="single"/>
        </w:rPr>
      </w:pPr>
      <w:r>
        <w:rPr>
          <w:u w:val="single"/>
        </w:rPr>
        <w:tab/>
      </w:r>
      <w:r>
        <w:rPr>
          <w:u w:val="single"/>
        </w:rPr>
        <w:tab/>
      </w:r>
      <w:r>
        <w:rPr>
          <w:u w:val="single"/>
        </w:rPr>
        <w:tab/>
      </w:r>
    </w:p>
    <w:sectPr w:rsidR="00381C24" w:rsidRPr="00866F17" w:rsidSect="00866F1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F4B66" w14:textId="77777777" w:rsidR="00EF3AB9" w:rsidRPr="00A312BC" w:rsidRDefault="00EF3AB9" w:rsidP="00A312BC">
      <w:pPr>
        <w:pStyle w:val="Piedepgina"/>
      </w:pPr>
    </w:p>
  </w:endnote>
  <w:endnote w:type="continuationSeparator" w:id="0">
    <w:p w14:paraId="0769ADA2" w14:textId="77777777" w:rsidR="00EF3AB9" w:rsidRPr="00A312BC" w:rsidRDefault="00EF3AB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94BB" w14:textId="61BA5B4B" w:rsidR="00866F17" w:rsidRPr="00866F17" w:rsidRDefault="00866F17" w:rsidP="00866F17">
    <w:pPr>
      <w:pStyle w:val="Piedepgina"/>
      <w:tabs>
        <w:tab w:val="right" w:pos="9638"/>
      </w:tabs>
    </w:pPr>
    <w:r w:rsidRPr="00866F17">
      <w:rPr>
        <w:b/>
        <w:sz w:val="18"/>
      </w:rPr>
      <w:fldChar w:fldCharType="begin"/>
    </w:r>
    <w:r w:rsidRPr="00866F17">
      <w:rPr>
        <w:b/>
        <w:sz w:val="18"/>
      </w:rPr>
      <w:instrText xml:space="preserve"> PAGE  \* MERGEFORMAT </w:instrText>
    </w:r>
    <w:r w:rsidRPr="00866F17">
      <w:rPr>
        <w:b/>
        <w:sz w:val="18"/>
      </w:rPr>
      <w:fldChar w:fldCharType="separate"/>
    </w:r>
    <w:r w:rsidRPr="00866F17">
      <w:rPr>
        <w:b/>
        <w:noProof/>
        <w:sz w:val="18"/>
      </w:rPr>
      <w:t>2</w:t>
    </w:r>
    <w:r w:rsidRPr="00866F17">
      <w:rPr>
        <w:b/>
        <w:sz w:val="18"/>
      </w:rPr>
      <w:fldChar w:fldCharType="end"/>
    </w:r>
    <w:r>
      <w:rPr>
        <w:b/>
        <w:sz w:val="18"/>
      </w:rPr>
      <w:tab/>
    </w:r>
    <w:r>
      <w:t>GE.25-15941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A9A20" w14:textId="26A5BCE7" w:rsidR="00866F17" w:rsidRPr="00866F17" w:rsidRDefault="00866F17" w:rsidP="00866F17">
    <w:pPr>
      <w:pStyle w:val="Piedepgina"/>
      <w:tabs>
        <w:tab w:val="right" w:pos="9638"/>
      </w:tabs>
      <w:rPr>
        <w:b/>
        <w:sz w:val="18"/>
      </w:rPr>
    </w:pPr>
    <w:r>
      <w:t>GE.25-15941</w:t>
    </w:r>
    <w:r>
      <w:tab/>
    </w:r>
    <w:r w:rsidRPr="00866F17">
      <w:rPr>
        <w:b/>
        <w:sz w:val="18"/>
      </w:rPr>
      <w:fldChar w:fldCharType="begin"/>
    </w:r>
    <w:r w:rsidRPr="00866F17">
      <w:rPr>
        <w:b/>
        <w:sz w:val="18"/>
      </w:rPr>
      <w:instrText xml:space="preserve"> PAGE  \* MERGEFORMAT </w:instrText>
    </w:r>
    <w:r w:rsidRPr="00866F17">
      <w:rPr>
        <w:b/>
        <w:sz w:val="18"/>
      </w:rPr>
      <w:fldChar w:fldCharType="separate"/>
    </w:r>
    <w:r w:rsidRPr="00866F17">
      <w:rPr>
        <w:b/>
        <w:noProof/>
        <w:sz w:val="18"/>
      </w:rPr>
      <w:t>3</w:t>
    </w:r>
    <w:r w:rsidRPr="00866F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A2C45" w14:textId="60EF8A63" w:rsidR="00042B72" w:rsidRPr="00866F17" w:rsidRDefault="00866F17" w:rsidP="00866F17">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5FB3B555" wp14:editId="0E1D8C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25-15941  (S)</w:t>
    </w:r>
    <w:r>
      <w:rPr>
        <w:noProof/>
        <w:sz w:val="20"/>
      </w:rPr>
      <w:drawing>
        <wp:anchor distT="0" distB="0" distL="114300" distR="114300" simplePos="0" relativeHeight="251658752" behindDoc="0" locked="0" layoutInCell="1" allowOverlap="1" wp14:anchorId="5BEDD75F" wp14:editId="22204A9E">
          <wp:simplePos x="0" y="0"/>
          <wp:positionH relativeFrom="margin">
            <wp:posOffset>5489575</wp:posOffset>
          </wp:positionH>
          <wp:positionV relativeFrom="margin">
            <wp:posOffset>8891905</wp:posOffset>
          </wp:positionV>
          <wp:extent cx="628650" cy="628650"/>
          <wp:effectExtent l="0" t="0" r="0" b="0"/>
          <wp:wrapNone/>
          <wp:docPr id="7760183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071025    071025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EFD12" w14:textId="77777777" w:rsidR="00EF3AB9" w:rsidRPr="001075E9" w:rsidRDefault="00EF3AB9" w:rsidP="001075E9">
      <w:pPr>
        <w:tabs>
          <w:tab w:val="right" w:pos="2155"/>
        </w:tabs>
        <w:spacing w:after="80" w:line="240" w:lineRule="auto"/>
        <w:ind w:left="680"/>
        <w:rPr>
          <w:u w:val="single"/>
        </w:rPr>
      </w:pPr>
      <w:r>
        <w:rPr>
          <w:u w:val="single"/>
        </w:rPr>
        <w:tab/>
      </w:r>
    </w:p>
  </w:footnote>
  <w:footnote w:type="continuationSeparator" w:id="0">
    <w:p w14:paraId="79F5351C" w14:textId="77777777" w:rsidR="00EF3AB9" w:rsidRDefault="00EF3AB9"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6EC5" w14:textId="25FEBCFD" w:rsidR="00866F17" w:rsidRPr="00866F17" w:rsidRDefault="00866F17">
    <w:pPr>
      <w:pStyle w:val="Encabezado"/>
    </w:pPr>
    <w:fldSimple w:instr=" TITLE  \* MERGEFORMAT ">
      <w:r w:rsidR="00D61521">
        <w:t>A/HRC/RES/60/5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BA611" w14:textId="29E22968" w:rsidR="00866F17" w:rsidRPr="00866F17" w:rsidRDefault="00866F17" w:rsidP="00866F17">
    <w:pPr>
      <w:pStyle w:val="Encabezado"/>
      <w:jc w:val="right"/>
    </w:pPr>
    <w:fldSimple w:instr=" TITLE  \* MERGEFORMAT ">
      <w:r w:rsidR="00D61521">
        <w:t>A/HRC/RES/60/5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49894108">
    <w:abstractNumId w:val="14"/>
  </w:num>
  <w:num w:numId="2" w16cid:durableId="387991708">
    <w:abstractNumId w:val="11"/>
  </w:num>
  <w:num w:numId="3" w16cid:durableId="1649355111">
    <w:abstractNumId w:val="16"/>
  </w:num>
  <w:num w:numId="4" w16cid:durableId="800608063">
    <w:abstractNumId w:val="15"/>
  </w:num>
  <w:num w:numId="5" w16cid:durableId="1284387124">
    <w:abstractNumId w:val="13"/>
  </w:num>
  <w:num w:numId="6" w16cid:durableId="150760554">
    <w:abstractNumId w:val="8"/>
  </w:num>
  <w:num w:numId="7" w16cid:durableId="2127042275">
    <w:abstractNumId w:val="3"/>
  </w:num>
  <w:num w:numId="8" w16cid:durableId="2108888225">
    <w:abstractNumId w:val="2"/>
  </w:num>
  <w:num w:numId="9" w16cid:durableId="932318244">
    <w:abstractNumId w:val="1"/>
  </w:num>
  <w:num w:numId="10" w16cid:durableId="850993955">
    <w:abstractNumId w:val="0"/>
  </w:num>
  <w:num w:numId="11" w16cid:durableId="1608349138">
    <w:abstractNumId w:val="9"/>
  </w:num>
  <w:num w:numId="12" w16cid:durableId="1472021041">
    <w:abstractNumId w:val="7"/>
  </w:num>
  <w:num w:numId="13" w16cid:durableId="1165704973">
    <w:abstractNumId w:val="6"/>
  </w:num>
  <w:num w:numId="14" w16cid:durableId="740760867">
    <w:abstractNumId w:val="5"/>
  </w:num>
  <w:num w:numId="15" w16cid:durableId="1818834480">
    <w:abstractNumId w:val="4"/>
  </w:num>
  <w:num w:numId="16" w16cid:durableId="706639206">
    <w:abstractNumId w:val="10"/>
  </w:num>
  <w:num w:numId="17" w16cid:durableId="174809726">
    <w:abstractNumId w:val="14"/>
  </w:num>
  <w:num w:numId="18" w16cid:durableId="229074518">
    <w:abstractNumId w:val="11"/>
  </w:num>
  <w:num w:numId="19" w16cid:durableId="1191796133">
    <w:abstractNumId w:val="10"/>
  </w:num>
  <w:num w:numId="20" w16cid:durableId="1144541802">
    <w:abstractNumId w:val="16"/>
  </w:num>
  <w:num w:numId="21" w16cid:durableId="495608486">
    <w:abstractNumId w:val="15"/>
  </w:num>
  <w:num w:numId="22" w16cid:durableId="166676241">
    <w:abstractNumId w:val="12"/>
  </w:num>
  <w:num w:numId="23" w16cid:durableId="784039690">
    <w:abstractNumId w:val="12"/>
  </w:num>
  <w:num w:numId="24" w16cid:durableId="2059552463">
    <w:abstractNumId w:val="13"/>
  </w:num>
  <w:num w:numId="25" w16cid:durableId="984701353">
    <w:abstractNumId w:val="9"/>
  </w:num>
  <w:num w:numId="26" w16cid:durableId="942225127">
    <w:abstractNumId w:val="7"/>
  </w:num>
  <w:num w:numId="27" w16cid:durableId="1056661683">
    <w:abstractNumId w:val="6"/>
  </w:num>
  <w:num w:numId="28" w16cid:durableId="1160081118">
    <w:abstractNumId w:val="5"/>
  </w:num>
  <w:num w:numId="29" w16cid:durableId="359597970">
    <w:abstractNumId w:val="4"/>
  </w:num>
  <w:num w:numId="30" w16cid:durableId="2144301373">
    <w:abstractNumId w:val="8"/>
  </w:num>
  <w:num w:numId="31" w16cid:durableId="1631520455">
    <w:abstractNumId w:val="3"/>
  </w:num>
  <w:num w:numId="32" w16cid:durableId="925725951">
    <w:abstractNumId w:val="2"/>
  </w:num>
  <w:num w:numId="33" w16cid:durableId="989748737">
    <w:abstractNumId w:val="1"/>
  </w:num>
  <w:num w:numId="34" w16cid:durableId="170840989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AB9"/>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55AD0"/>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25F8D"/>
    <w:rsid w:val="00834B71"/>
    <w:rsid w:val="0086445C"/>
    <w:rsid w:val="00866F17"/>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4793B"/>
    <w:rsid w:val="00C60F0C"/>
    <w:rsid w:val="00C805C9"/>
    <w:rsid w:val="00C92939"/>
    <w:rsid w:val="00CA1679"/>
    <w:rsid w:val="00CB151C"/>
    <w:rsid w:val="00CD0C97"/>
    <w:rsid w:val="00CE5A1A"/>
    <w:rsid w:val="00CF55F6"/>
    <w:rsid w:val="00D33D63"/>
    <w:rsid w:val="00D61521"/>
    <w:rsid w:val="00D90138"/>
    <w:rsid w:val="00E728B5"/>
    <w:rsid w:val="00E73F76"/>
    <w:rsid w:val="00EA2C9F"/>
    <w:rsid w:val="00ED0BDA"/>
    <w:rsid w:val="00EF1360"/>
    <w:rsid w:val="00EF3220"/>
    <w:rsid w:val="00EF3AB9"/>
    <w:rsid w:val="00EF5915"/>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F96E0"/>
  <w15:docId w15:val="{23E28140-0384-4D4F-8D52-5B32021F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TotalTime>
  <Pages>2</Pages>
  <Words>475</Words>
  <Characters>3444</Characters>
  <Application>Microsoft Office Word</Application>
  <DocSecurity>0</DocSecurity>
  <Lines>861</Lines>
  <Paragraphs>261</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A/HRC/RES/60/5</dc:title>
  <dc:subject/>
  <dc:creator>Marcel GONZALEZ-PEREZ</dc:creator>
  <cp:keywords/>
  <cp:lastModifiedBy>Marcel Gonzalez Perez</cp:lastModifiedBy>
  <cp:revision>3</cp:revision>
  <cp:lastPrinted>2025-10-07T13:51:00Z</cp:lastPrinted>
  <dcterms:created xsi:type="dcterms:W3CDTF">2025-10-07T13:51:00Z</dcterms:created>
  <dcterms:modified xsi:type="dcterms:W3CDTF">2025-10-07T13:52:00Z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