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322485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ind w:left="7200"/>
      </w:pPr>
      <w:r>
        <w:t>Distr.</w:t>
      </w:r>
    </w:p>
    <w:p w:rsidR="00000000" w:rsidRDefault="00000000">
      <w:pPr>
        <w:spacing w:after="240"/>
        <w:ind w:left="7200"/>
      </w:pPr>
      <w:r>
        <w:t>GENERAL</w:t>
      </w:r>
    </w:p>
    <w:p w:rsidR="00000000" w:rsidRDefault="00000000">
      <w:pPr>
        <w:ind w:left="7200"/>
      </w:pPr>
      <w:r>
        <w:t>CCPR/C/82/L/KEN</w:t>
      </w:r>
    </w:p>
    <w:p w:rsidR="00000000" w:rsidRDefault="00000000">
      <w:pPr>
        <w:spacing w:after="240"/>
        <w:ind w:left="7200"/>
      </w:pPr>
      <w:r>
        <w:t>13 de agosto de 2004</w:t>
      </w:r>
    </w:p>
    <w:p w:rsidR="00000000" w:rsidRDefault="00000000">
      <w:pPr>
        <w:ind w:left="7200"/>
      </w:pPr>
      <w:r>
        <w:t>ESPAÑOL</w:t>
      </w:r>
    </w:p>
    <w:p w:rsidR="00000000" w:rsidRDefault="00000000">
      <w:pPr>
        <w:spacing w:after="600"/>
        <w:ind w:left="7201"/>
      </w:pPr>
      <w:r>
        <w:t>Original:  INGLÉS</w:t>
      </w:r>
    </w:p>
    <w:p w:rsidR="00000000" w:rsidRDefault="00000000">
      <w:pPr>
        <w:spacing w:after="960"/>
      </w:pPr>
      <w:r>
        <w:t>COMITÉ DE DERECHOS HUMANOS</w:t>
      </w:r>
      <w:r>
        <w:br/>
        <w:t>81º período de sesiones</w:t>
      </w:r>
    </w:p>
    <w:tbl>
      <w:tblPr>
        <w:tblW w:w="7053" w:type="dxa"/>
        <w:jc w:val="center"/>
        <w:tblCellMar>
          <w:left w:w="70" w:type="dxa"/>
          <w:right w:w="70" w:type="dxa"/>
        </w:tblCellMar>
        <w:tblLook w:val="0000" w:firstRow="0" w:lastRow="0" w:firstColumn="0" w:lastColumn="0" w:noHBand="0" w:noVBand="0"/>
      </w:tblPr>
      <w:tblGrid>
        <w:gridCol w:w="7053"/>
      </w:tblGrid>
      <w:tr w:rsidR="00000000">
        <w:tblPrEx>
          <w:tblCellMar>
            <w:top w:w="0" w:type="dxa"/>
            <w:bottom w:w="0" w:type="dxa"/>
          </w:tblCellMar>
        </w:tblPrEx>
        <w:trPr>
          <w:jc w:val="center"/>
        </w:trPr>
        <w:tc>
          <w:tcPr>
            <w:tcW w:w="7053" w:type="dxa"/>
          </w:tcPr>
          <w:p w:rsidR="00000000" w:rsidRDefault="00000000">
            <w:pPr>
              <w:tabs>
                <w:tab w:val="center" w:pos="3459"/>
              </w:tabs>
              <w:spacing w:after="360"/>
              <w:jc w:val="both"/>
              <w:rPr>
                <w:b/>
                <w:bCs/>
              </w:rPr>
            </w:pPr>
            <w:r>
              <w:rPr>
                <w:b/>
                <w:bCs/>
              </w:rPr>
              <w:t>LISTA DE CUESTIONES PREPARADA AL NO DISPONERSE DEL SEGUNDO INFORME PERIÓDICO DEL ESTADO PARTE</w:t>
            </w:r>
            <w:r>
              <w:rPr>
                <w:b/>
                <w:bCs/>
              </w:rPr>
              <w:br/>
            </w:r>
            <w:r>
              <w:rPr>
                <w:b/>
                <w:bCs/>
              </w:rPr>
              <w:tab/>
              <w:t>QUE DEBÍA PRESENTARSE EL 11 DE ABRIL DE 1986</w:t>
            </w:r>
          </w:p>
        </w:tc>
      </w:tr>
    </w:tbl>
    <w:p w:rsidR="00000000" w:rsidRDefault="00000000">
      <w:pPr>
        <w:pStyle w:val="Heading1"/>
        <w:keepNext w:val="0"/>
      </w:pPr>
      <w:r>
        <w:t>KENYA</w:t>
      </w:r>
    </w:p>
    <w:p w:rsidR="00000000" w:rsidRDefault="00000000">
      <w:pPr>
        <w:spacing w:after="240"/>
        <w:jc w:val="center"/>
        <w:rPr>
          <w:b/>
          <w:bCs/>
        </w:rPr>
      </w:pPr>
      <w:r>
        <w:rPr>
          <w:b/>
          <w:bCs/>
        </w:rPr>
        <w:t>Marco constitucional y jurídico interno en que se aplican el Pacto</w:t>
      </w:r>
      <w:r>
        <w:rPr>
          <w:b/>
          <w:bCs/>
        </w:rPr>
        <w:br/>
        <w:t>y el Protocolo Facultativo (artículo 2 del Pacto)</w:t>
      </w:r>
    </w:p>
    <w:p w:rsidR="00000000" w:rsidRDefault="00000000">
      <w:pPr>
        <w:spacing w:after="240"/>
        <w:ind w:left="567" w:hanging="567"/>
      </w:pPr>
      <w:r>
        <w:t>1.</w:t>
      </w:r>
      <w:r>
        <w:tab/>
        <w:t>¿Cuál es la condición jurídica del Pacto en el marco de la Constitución y la legislación interna?  ¿Puede invocarse directamente el Pacto ante los tribunales?  ¿Ha habido casos en que esto se haya producido, y si así fuere, con qué resultados?</w:t>
      </w:r>
    </w:p>
    <w:p w:rsidR="00000000" w:rsidRDefault="00000000">
      <w:pPr>
        <w:spacing w:after="240"/>
        <w:ind w:left="567" w:hanging="567"/>
      </w:pPr>
      <w:r>
        <w:t>2.</w:t>
      </w:r>
      <w:r>
        <w:tab/>
        <w:t>¿Cómo protege la Constitución los derechos consagrados en el Pacto?  ¿Qué medidas ha adoptado el Estado Parte para armonizar la legislación nacional con las obligaciones asumidas en virtud del Pacto?</w:t>
      </w:r>
    </w:p>
    <w:p w:rsidR="00000000" w:rsidRDefault="00000000">
      <w:pPr>
        <w:spacing w:after="240"/>
        <w:ind w:left="567" w:hanging="567"/>
      </w:pPr>
      <w:r>
        <w:t>3.</w:t>
      </w:r>
      <w:r>
        <w:tab/>
        <w:t>¿Tiene el Estado Parte la intención de adherirse al Protocolo Facultativo?</w:t>
      </w:r>
    </w:p>
    <w:p w:rsidR="00000000" w:rsidRDefault="00000000">
      <w:pPr>
        <w:spacing w:after="240"/>
        <w:jc w:val="center"/>
        <w:rPr>
          <w:b/>
          <w:bCs/>
        </w:rPr>
      </w:pPr>
      <w:r>
        <w:rPr>
          <w:b/>
          <w:bCs/>
        </w:rPr>
        <w:t>Existencia de recursos efectivos; impunidad (artículo 2)</w:t>
      </w:r>
    </w:p>
    <w:p w:rsidR="00000000" w:rsidRDefault="00000000">
      <w:pPr>
        <w:spacing w:after="960"/>
        <w:ind w:left="567" w:hanging="567"/>
      </w:pPr>
      <w:r>
        <w:t>4.</w:t>
      </w:r>
      <w:r>
        <w:tab/>
        <w:t>¿Ha establecido el Estado Parte un sistema para ofrecer recursos jurídicos efectivos, especialmente en forma de indemnización, a las víctimas de violaciones de los derechos humanos?</w:t>
      </w:r>
    </w:p>
    <w:p w:rsidR="00000000" w:rsidRDefault="00000000">
      <w:pPr>
        <w:ind w:left="567" w:hanging="567"/>
        <w:rPr>
          <w:lang w:val="es-ES_tradnl"/>
        </w:rPr>
      </w:pPr>
      <w:r>
        <w:rPr>
          <w:lang w:val="es-ES_tradnl"/>
        </w:rPr>
        <w:t>GE.04-43272  (S)    200804    230804</w:t>
      </w:r>
    </w:p>
    <w:p w:rsidR="00000000" w:rsidRDefault="00000000">
      <w:pPr>
        <w:spacing w:after="240"/>
        <w:jc w:val="center"/>
        <w:rPr>
          <w:b/>
          <w:bCs/>
        </w:rPr>
      </w:pPr>
      <w:r>
        <w:rPr>
          <w:b/>
          <w:bCs/>
        </w:rPr>
        <w:t>Igualdad entre los sexos y no discriminación (artículos 3 y 26)</w:t>
      </w:r>
    </w:p>
    <w:p w:rsidR="00000000" w:rsidRDefault="00000000">
      <w:pPr>
        <w:spacing w:after="240"/>
        <w:ind w:left="567" w:hanging="567"/>
      </w:pPr>
      <w:r>
        <w:t>5.</w:t>
      </w:r>
      <w:r>
        <w:tab/>
        <w:t>¿Qué restricciones existen, de haberlas, al derecho de la mujer a la igualdad en el matrimonio, la familia, el divorcio y la herencia?  ¿Qué medidas ha adoptado el Estado Parte para eliminar esas restricciones?</w:t>
      </w:r>
    </w:p>
    <w:p w:rsidR="00000000" w:rsidRDefault="00000000">
      <w:pPr>
        <w:spacing w:after="240"/>
        <w:ind w:left="567" w:hanging="567"/>
      </w:pPr>
      <w:r>
        <w:t>6.</w:t>
      </w:r>
      <w:r>
        <w:tab/>
        <w:t>Los extranjeros casados con mujeres kenianas no adquieren automáticamente la ciudadanía de Kenya, y las kenianas que se casan con extranjeros pierden su nacionalidad de Kenya en caso de adoptar la nacionalidad del marido.  ¿Cómo se considera compatible ese trato con los artículos 3 y 26 del Pacto?</w:t>
      </w:r>
    </w:p>
    <w:p w:rsidR="00000000" w:rsidRDefault="00000000">
      <w:pPr>
        <w:spacing w:after="240"/>
        <w:ind w:left="567" w:hanging="567"/>
      </w:pPr>
      <w:r>
        <w:t>7.</w:t>
      </w:r>
      <w:r>
        <w:tab/>
        <w:t>Sírvanse explicar la posición de las mujeres en la vida económica y social del país, en particular su situación con respecto al empleo, la educación superior, los sectores privado y público y el Gobierno.  ¿Qué porcentaje de mujeres ocupan cargos superiores en los sectores privado y público, respectivamente, y cómo se evalúa y supervisa esa situación? Se ha elegido a muy pocas mujeres al Parlamento de Kenya.  ¿Qué medidas ha adoptado el Estado Parte para alentar la participación de la mujer en el sistema político?</w:t>
      </w:r>
    </w:p>
    <w:p w:rsidR="00000000" w:rsidRDefault="00000000">
      <w:pPr>
        <w:spacing w:after="240"/>
        <w:jc w:val="center"/>
        <w:rPr>
          <w:b/>
          <w:bCs/>
        </w:rPr>
      </w:pPr>
      <w:r>
        <w:rPr>
          <w:b/>
          <w:bCs/>
        </w:rPr>
        <w:t>Suspensión de derechos (artículos 4 y 5)</w:t>
      </w:r>
    </w:p>
    <w:p w:rsidR="00000000" w:rsidRDefault="00000000">
      <w:pPr>
        <w:spacing w:after="240"/>
        <w:ind w:left="567" w:hanging="567"/>
      </w:pPr>
      <w:r>
        <w:t>8.</w:t>
      </w:r>
      <w:r>
        <w:tab/>
        <w:t>¿Qué disposiciones se prevén en la Constitución para la suspensión de derechos enunciados en el Pacto?  ¿Está sujeta esa suspensión a la aprobación del Parlamento? ¿Ha invocado el Estado Parte alguna de esas disposiciones, y, de ser así, cuándo y en qué medida?</w:t>
      </w:r>
    </w:p>
    <w:p w:rsidR="00000000" w:rsidRDefault="00000000">
      <w:pPr>
        <w:spacing w:after="240"/>
        <w:jc w:val="center"/>
        <w:rPr>
          <w:b/>
          <w:bCs/>
        </w:rPr>
      </w:pPr>
      <w:r>
        <w:rPr>
          <w:b/>
          <w:bCs/>
        </w:rPr>
        <w:t>Derecho a la vida (artículo 6); prohibición</w:t>
      </w:r>
      <w:r>
        <w:rPr>
          <w:b/>
          <w:bCs/>
        </w:rPr>
        <w:br/>
        <w:t>de la tortura (artículo 7)</w:t>
      </w:r>
    </w:p>
    <w:p w:rsidR="00000000" w:rsidRDefault="00000000">
      <w:pPr>
        <w:spacing w:after="240"/>
        <w:ind w:left="567" w:hanging="567"/>
      </w:pPr>
      <w:r>
        <w:t>9.</w:t>
      </w:r>
      <w:r>
        <w:tab/>
        <w:t>La pena de muerte se aplica al delito de "robo a mano armada con violencia".  ¿Cómo se considera esto compatible con la disposición según la cual la pena de muerte debe aplicarse únicamente a los más graves delitos? (párr. 2, art. 6).  ¿Cuántos delitos se castigan con la pena de muerte?  ¿Es obligatoria la pena de muerte en algunos casos?  ¿Cuántas penas de muerte se han impuesto en los últimos cinco años y cuál es el promedio de tiempo que pasa un preso en el pabellón de condenados a muerte?</w:t>
      </w:r>
    </w:p>
    <w:p w:rsidR="00000000" w:rsidRDefault="00000000">
      <w:pPr>
        <w:spacing w:after="240"/>
        <w:ind w:left="567" w:hanging="567"/>
      </w:pPr>
      <w:r>
        <w:t>10.</w:t>
      </w:r>
      <w:r>
        <w:tab/>
        <w:t>Ha habido numerosos informes de sospechosos que han recibido disparos de la policía.  ¿Ha investigado rápidamente el Estado Parte esos casos?  ¿Cuáles han sido los resultados de esas investigaciones?  ¿Qué disposiciones jurídicas regulan el uso de la fuerza por los servicios de seguridad?  ¿Recibe la policía formación dirigida a evitar el uso excesivo de la fuerza?</w:t>
      </w:r>
    </w:p>
    <w:p w:rsidR="00000000" w:rsidRDefault="00000000">
      <w:pPr>
        <w:spacing w:after="240"/>
        <w:ind w:left="567" w:hanging="567"/>
      </w:pPr>
      <w:r>
        <w:t>11.</w:t>
      </w:r>
      <w:r>
        <w:tab/>
        <w:t>Sírvanse comentar las acusaciones de que obtener confesiones de los sospechosos mediante torturas es práctica generalizada de los oficiales de policía.  ¿Qué mecanismos existen para proteger la integridad física de los detenidos?  ¿Qué mecanismos existen para que los detenidos puedan denunciar los casos de torturas o malos tratos?  ¿Se han iniciado procedimientos judiciales contra oficiales de policía acusados de infligir malos tratos a los detenidos?</w:t>
      </w:r>
    </w:p>
    <w:p w:rsidR="00000000" w:rsidRDefault="00000000">
      <w:pPr>
        <w:spacing w:after="240"/>
        <w:ind w:left="567" w:hanging="567"/>
      </w:pPr>
      <w:r>
        <w:t>12.</w:t>
      </w:r>
      <w:r>
        <w:tab/>
        <w:t>De conformidad con la información de que dispone el Comité, ha habido numerosos casos de personas fallecidas durante la detención policial.  ¿Se han investigado esos casos y, de ser así, qué resultados se han obtenido?</w:t>
      </w:r>
    </w:p>
    <w:p w:rsidR="00000000" w:rsidRDefault="00000000">
      <w:pPr>
        <w:spacing w:after="240"/>
        <w:ind w:left="567" w:hanging="567"/>
      </w:pPr>
      <w:r>
        <w:t>13.</w:t>
      </w:r>
      <w:r>
        <w:tab/>
        <w:t>Sírvanse proporcionar información sobre la legislación del Estado Parte en que se hace efectiva la prohibición de la tortura que figura en el artículo 7 del Pacto.  ¿Qué medidas se han adoptado para dar efectividad a las recomendaciones contenidas en el informe del Relator Especial sobre la cuestión de la tortura de la Comisión de Derechos Humanos?</w:t>
      </w:r>
    </w:p>
    <w:p w:rsidR="00000000" w:rsidRDefault="00000000">
      <w:pPr>
        <w:spacing w:after="240"/>
        <w:ind w:left="567" w:hanging="567"/>
      </w:pPr>
      <w:r>
        <w:t>14.</w:t>
      </w:r>
      <w:r>
        <w:tab/>
        <w:t>¿Existen excepciones a la prohibición general del aborto?</w:t>
      </w:r>
    </w:p>
    <w:p w:rsidR="00000000" w:rsidRDefault="00000000">
      <w:pPr>
        <w:spacing w:after="240"/>
        <w:ind w:left="567" w:hanging="567"/>
      </w:pPr>
      <w:r>
        <w:t>15.</w:t>
      </w:r>
      <w:r>
        <w:tab/>
        <w:t>El Comité es consciente de que siguen siendo comunes las acusaciones de que se practica la mutilación genital femenina, a pesar de que esos actos están prohibidos en la legislación del Estado Parte.  ¿Ha dado lugar esta prohibición a alguna condena?  ¿Qué medidas jurídicas y educacionales está adoptando el Estado Parte para combatir la práctica de la mutilación genital femenina?</w:t>
      </w:r>
    </w:p>
    <w:p w:rsidR="00000000" w:rsidRDefault="00000000">
      <w:pPr>
        <w:spacing w:after="240"/>
        <w:ind w:left="567" w:hanging="567"/>
      </w:pPr>
      <w:r>
        <w:t>16.</w:t>
      </w:r>
      <w:r>
        <w:tab/>
        <w:t>Sírvanse comentar las informaciones que circulan de que la violencia contra la mujer es generalizada, en particular la violencia en el seno de la familia y la violencia sexual.  ¿Qué medidas jurídicas, sociales y de otra índole se han adoptado para proteger a la mujer frente a la violencia doméstica, y en qué medida tienen las víctimas de la violencia doméstica acceso a refugios y a recursos jurídicos efectivos?</w:t>
      </w:r>
    </w:p>
    <w:p w:rsidR="00000000" w:rsidRDefault="00000000">
      <w:pPr>
        <w:spacing w:after="240"/>
        <w:ind w:left="567" w:hanging="567"/>
      </w:pPr>
      <w:r>
        <w:t>17.</w:t>
      </w:r>
      <w:r>
        <w:tab/>
        <w:t>¿Qué medidas se han adoptado para reducir el hacinamiento en las cárceles del Estado Parte?</w:t>
      </w:r>
    </w:p>
    <w:p w:rsidR="00000000" w:rsidRDefault="00000000">
      <w:pPr>
        <w:spacing w:after="240"/>
        <w:jc w:val="center"/>
        <w:rPr>
          <w:b/>
          <w:bCs/>
        </w:rPr>
      </w:pPr>
      <w:r>
        <w:rPr>
          <w:b/>
          <w:bCs/>
        </w:rPr>
        <w:t>Seguridad personal y protección contra las detenciones</w:t>
      </w:r>
      <w:r>
        <w:rPr>
          <w:b/>
          <w:bCs/>
        </w:rPr>
        <w:br/>
        <w:t>arbitrarias (artículo 9)</w:t>
      </w:r>
    </w:p>
    <w:p w:rsidR="00000000" w:rsidRDefault="00000000">
      <w:pPr>
        <w:spacing w:after="240"/>
        <w:ind w:left="567" w:hanging="567"/>
      </w:pPr>
      <w:r>
        <w:t>18.</w:t>
      </w:r>
      <w:r>
        <w:tab/>
        <w:t>Sírvanse proporcionar información detallada sobre las leyes, reglamentos y prácticas que regulan el encarcelamiento y la detención.</w:t>
      </w:r>
    </w:p>
    <w:p w:rsidR="00000000" w:rsidRDefault="00000000">
      <w:pPr>
        <w:spacing w:after="240"/>
        <w:jc w:val="center"/>
        <w:rPr>
          <w:b/>
          <w:bCs/>
        </w:rPr>
      </w:pPr>
      <w:r>
        <w:rPr>
          <w:b/>
          <w:bCs/>
        </w:rPr>
        <w:t>Derecho a un proceso imparcial (artículo 14)</w:t>
      </w:r>
    </w:p>
    <w:p w:rsidR="00000000" w:rsidRDefault="00000000">
      <w:pPr>
        <w:spacing w:after="240"/>
        <w:ind w:left="567" w:hanging="567"/>
      </w:pPr>
      <w:r>
        <w:t>19.</w:t>
      </w:r>
      <w:r>
        <w:tab/>
        <w:t>Sírvanse proporcionar información detallada sobre la estructura de la judicatura y el procedimiento de nombramiento de los jueces.  ¿Es la Comisión de la Judicatura independiente del Gobierno?  ¿Disfrutan los jueces de garantías respecto de la seguridad en el cargo?</w:t>
      </w:r>
    </w:p>
    <w:p w:rsidR="00000000" w:rsidRDefault="00000000">
      <w:pPr>
        <w:spacing w:after="240"/>
        <w:ind w:left="567" w:hanging="567"/>
      </w:pPr>
      <w:r>
        <w:t>20.</w:t>
      </w:r>
      <w:r>
        <w:tab/>
        <w:t>Sírvanse comentar las denuncias de numerosos casos de corrupción en la judicatura.  ¿Se han efectuado investigaciones oficiales de la corrupción en la judicatura?  ¿Cuáles han sido sus resultados?  ¿Qué medidas se han adoptado o se prevé adoptar para luchar contra la corrupción en la judicatura?</w:t>
      </w:r>
    </w:p>
    <w:p w:rsidR="00000000" w:rsidRDefault="00000000">
      <w:pPr>
        <w:spacing w:after="240"/>
        <w:ind w:left="567" w:hanging="567"/>
      </w:pPr>
      <w:r>
        <w:br w:type="page"/>
        <w:t>21.</w:t>
      </w:r>
      <w:r>
        <w:tab/>
        <w:t>¿Existe un sistema de asistencia letrada de oficio y, de ser así, respecto de qué cargos penales se hace disponible esa asistencia de oficio?</w:t>
      </w:r>
    </w:p>
    <w:p w:rsidR="00000000" w:rsidRDefault="00000000">
      <w:pPr>
        <w:spacing w:after="240"/>
        <w:ind w:left="567" w:hanging="567"/>
      </w:pPr>
      <w:r>
        <w:t>22.</w:t>
      </w:r>
      <w:r>
        <w:tab/>
        <w:t>La Constitución de Kenya prevé el establecimiento de "tribunales kadhis" cuya jurisdicción abarca la determinación del derecho islámico en algunas cuestiones.  Sírvanse proporcionar información sobre el funcionamiento de esos tribunales.</w:t>
      </w:r>
    </w:p>
    <w:p w:rsidR="00000000" w:rsidRDefault="00000000">
      <w:pPr>
        <w:keepNext/>
        <w:spacing w:after="360"/>
        <w:jc w:val="center"/>
        <w:rPr>
          <w:b/>
          <w:bCs/>
        </w:rPr>
      </w:pPr>
      <w:r>
        <w:rPr>
          <w:b/>
          <w:bCs/>
        </w:rPr>
        <w:t>Protección contra injerencias en la vida privada,</w:t>
      </w:r>
      <w:r>
        <w:rPr>
          <w:b/>
          <w:bCs/>
        </w:rPr>
        <w:br/>
        <w:t>la familia o el domicilio (artículo 17)</w:t>
      </w:r>
    </w:p>
    <w:p w:rsidR="00000000" w:rsidRDefault="00000000">
      <w:pPr>
        <w:keepNext/>
        <w:spacing w:after="240"/>
        <w:ind w:left="567" w:hanging="567"/>
      </w:pPr>
      <w:r>
        <w:t>23.</w:t>
      </w:r>
      <w:r>
        <w:tab/>
        <w:t>Sírvanse proporcionar información sobre el desalojo forzoso de residentes de asentamientos precarios, en particular en la zona de Kibera en Nairobi.  ¿Qué medidas se han adoptado para asegurar el reasentamiento y una indemnización a las personas que han sido o serán desalojadas de los asentamientos precarios?</w:t>
      </w:r>
    </w:p>
    <w:p w:rsidR="00000000" w:rsidRDefault="00000000">
      <w:pPr>
        <w:spacing w:after="240"/>
        <w:jc w:val="center"/>
        <w:rPr>
          <w:b/>
          <w:bCs/>
        </w:rPr>
      </w:pPr>
      <w:r>
        <w:rPr>
          <w:b/>
          <w:bCs/>
        </w:rPr>
        <w:t>Derecho a la libertad de opinión y de expresión (artículo 19)</w:t>
      </w:r>
    </w:p>
    <w:p w:rsidR="00000000" w:rsidRDefault="00000000">
      <w:pPr>
        <w:spacing w:after="240"/>
        <w:ind w:left="567" w:hanging="567"/>
      </w:pPr>
      <w:r>
        <w:t>24.</w:t>
      </w:r>
      <w:r>
        <w:tab/>
        <w:t>Sírvanse comentar las informaciones de que el sistema de concesión y regulación de los permisos de radiodifusión y frecuencias se manipula con fines políticos en detrimento de la oposición política.</w:t>
      </w:r>
    </w:p>
    <w:p w:rsidR="00000000" w:rsidRDefault="00000000">
      <w:pPr>
        <w:spacing w:after="240"/>
        <w:ind w:left="567" w:hanging="567"/>
      </w:pPr>
      <w:r>
        <w:t>25.</w:t>
      </w:r>
      <w:r>
        <w:tab/>
        <w:t>Los editores están obligados a constituir una fianza antes de imprimir una publicación y a depositar varios ejemplares de ésta en una dependencia oficial dentro de las dos semanas siguientes a su publicación.  La fianza se aumentó en un 100% en 2002.  Sírvanse comentar cuál es la finalidad de esas reglamentaciones y el modo en que se aplican, y si se consideran compatibles con las obligaciones del Estado Parte en virtud del artículo 19.</w:t>
      </w:r>
    </w:p>
    <w:p w:rsidR="00000000" w:rsidRDefault="00000000">
      <w:pPr>
        <w:spacing w:after="240"/>
        <w:jc w:val="center"/>
        <w:rPr>
          <w:b/>
          <w:bCs/>
        </w:rPr>
      </w:pPr>
      <w:r>
        <w:rPr>
          <w:b/>
          <w:bCs/>
        </w:rPr>
        <w:t>Derecho a la libertad de reunión y asociación (artículos 21 y 22)</w:t>
      </w:r>
    </w:p>
    <w:p w:rsidR="00000000" w:rsidRDefault="00000000">
      <w:pPr>
        <w:spacing w:after="240"/>
        <w:ind w:left="567" w:hanging="567"/>
      </w:pPr>
      <w:r>
        <w:t>26.</w:t>
      </w:r>
      <w:r>
        <w:tab/>
        <w:t>¿Qué restricciones se aplican al derecho a la libertad de reunión y a la libertad de asociación?</w:t>
      </w:r>
    </w:p>
    <w:p w:rsidR="00000000" w:rsidRDefault="00000000">
      <w:pPr>
        <w:spacing w:after="240"/>
        <w:jc w:val="center"/>
        <w:rPr>
          <w:b/>
          <w:bCs/>
        </w:rPr>
      </w:pPr>
      <w:r>
        <w:rPr>
          <w:b/>
          <w:bCs/>
        </w:rPr>
        <w:t>Protección de la familia (artículos 23 y 24)</w:t>
      </w:r>
    </w:p>
    <w:p w:rsidR="00000000" w:rsidRDefault="00000000">
      <w:pPr>
        <w:spacing w:after="240"/>
        <w:ind w:left="567" w:hanging="567"/>
      </w:pPr>
      <w:r>
        <w:t>27.</w:t>
      </w:r>
      <w:r>
        <w:tab/>
        <w:t>¿Qué medidas ha adoptado el Estado Parte para hacer cumplir las disposiciones de la Ley del menor, que prohíben que los niños en edad escolar trabajen?  Sírvanse comentar las afirmaciones de que el trabajo infantil está aumentando, en particular en lo que se refiere a la contratación de varones menores en las industrias de café y té en la Provincia Central.</w:t>
      </w:r>
    </w:p>
    <w:p w:rsidR="00000000" w:rsidRDefault="00000000">
      <w:pPr>
        <w:spacing w:after="240"/>
        <w:ind w:left="567" w:hanging="567"/>
      </w:pPr>
      <w:r>
        <w:t>28.</w:t>
      </w:r>
      <w:r>
        <w:tab/>
        <w:t>¿Cuál es la edad mínima para contraer matrimonio?  ¿Están prohibidos por ley los matrimonios forzados?  ¿Cuál es la situación de la poligamia según la legislación del Estado Parte?</w:t>
      </w:r>
    </w:p>
    <w:p w:rsidR="00000000" w:rsidRDefault="00000000">
      <w:pPr>
        <w:spacing w:after="240"/>
        <w:ind w:left="567" w:hanging="567"/>
        <w:jc w:val="center"/>
        <w:rPr>
          <w:b/>
          <w:bCs/>
        </w:rPr>
      </w:pPr>
      <w:r>
        <w:br w:type="page"/>
      </w:r>
      <w:r>
        <w:rPr>
          <w:b/>
          <w:bCs/>
        </w:rPr>
        <w:t>Difusión del Pacto y del Protocolo Facultativo</w:t>
      </w:r>
    </w:p>
    <w:p w:rsidR="00000000" w:rsidRDefault="00000000">
      <w:pPr>
        <w:spacing w:after="240"/>
        <w:ind w:left="567" w:hanging="567"/>
      </w:pPr>
      <w:r>
        <w:t>29.</w:t>
      </w:r>
      <w:r>
        <w:tab/>
        <w:t>¿Pueden todas las organizaciones no gubernamentales que realizan actividades de supervisión en el ámbito de los derechos humanos en el territorio del Estado Parte difundir libremente información sobre las disposiciones del Pacto?</w:t>
      </w:r>
    </w:p>
    <w:p w:rsidR="00000000" w:rsidRDefault="00000000">
      <w:pPr>
        <w:spacing w:after="240"/>
        <w:ind w:left="567" w:hanging="567"/>
      </w:pPr>
      <w:r>
        <w:t>30.</w:t>
      </w:r>
      <w:r>
        <w:tab/>
        <w:t>¿Ha adoptado el Estado Parte medidas para proporcionar formación a los funcionarios públicos, las fuerzas del orden y los funcionarios judiciales, los abogados y el público en general respecto de las disposiciones del Pacto?</w:t>
      </w:r>
    </w:p>
    <w:p w:rsidR="00000000" w:rsidRDefault="00000000">
      <w:pPr>
        <w:spacing w:after="240"/>
        <w:ind w:left="567" w:hanging="567"/>
        <w:jc w:val="center"/>
      </w:pPr>
      <w:r>
        <w:t>-----</w:t>
      </w:r>
    </w:p>
    <w:p w:rsidR="00000000" w:rsidRDefault="00000000">
      <w:pPr>
        <w:spacing w:after="240"/>
        <w:rPr>
          <w:lang w:val="en-GB"/>
        </w:rPr>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CCPR/C/82/L/KEN</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320"/>
      </w:tabs>
      <w:rPr>
        <w:lang w:val="en-GB"/>
      </w:rPr>
    </w:pPr>
    <w:r>
      <w:tab/>
    </w:r>
    <w:r>
      <w:rPr>
        <w:lang w:val="en-GB"/>
      </w:rPr>
      <w:t>CCPR/C/82/L/KEN</w:t>
    </w:r>
  </w:p>
  <w:p w:rsidR="00000000" w:rsidRDefault="00000000">
    <w:pPr>
      <w:tabs>
        <w:tab w:val="left" w:pos="732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36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1327</Words>
  <Characters>7569</Characters>
  <Application>Microsoft Office Word</Application>
  <DocSecurity>4</DocSecurity>
  <Lines>63</Lines>
  <Paragraphs>15</Paragraphs>
  <ScaleCrop>false</ScaleCrop>
  <HeadingPairs>
    <vt:vector size="2" baseType="variant">
      <vt:variant>
        <vt:lpstr>Título</vt:lpstr>
      </vt:variant>
      <vt:variant>
        <vt:i4>1</vt:i4>
      </vt:variant>
    </vt:vector>
  </HeadingPairs>
  <TitlesOfParts>
    <vt:vector size="1" baseType="lpstr">
      <vt:lpstr>CCPR/C/82/L/KEN     04-43272</vt:lpstr>
    </vt:vector>
  </TitlesOfParts>
  <Company>ONU</Company>
  <LinksUpToDate>false</LinksUpToDate>
  <CharactersWithSpaces>9295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CCPR/C/82/L/KEN     04-43272</dc:title>
  <dc:subject/>
  <dc:creator>Hortensia Martínez</dc:creator>
  <cp:keywords/>
  <dc:description/>
  <cp:lastModifiedBy>PDF</cp:lastModifiedBy>
  <cp:revision>2</cp:revision>
  <cp:lastPrinted>2004-08-23T09:22:00Z</cp:lastPrinted>
  <dcterms:created xsi:type="dcterms:W3CDTF">2004-08-23T09:29:00Z</dcterms:created>
  <dcterms:modified xsi:type="dcterms:W3CDTF">2004-08-23T09:29:00Z</dcterms:modified>
</cp:coreProperties>
</file>