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402862"/>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02862" w:rsidP="00402862">
            <w:pPr>
              <w:jc w:val="right"/>
            </w:pPr>
            <w:r w:rsidRPr="00402862">
              <w:rPr>
                <w:sz w:val="40"/>
              </w:rPr>
              <w:t>A</w:t>
            </w:r>
            <w:r>
              <w:t>/HRC/RES/31/3</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02862" w:rsidP="00F70608">
            <w:pPr>
              <w:spacing w:before="240"/>
            </w:pPr>
            <w:r>
              <w:t>Distr. générale</w:t>
            </w:r>
          </w:p>
          <w:p w:rsidR="00402862" w:rsidRDefault="00402862" w:rsidP="00402862">
            <w:pPr>
              <w:spacing w:line="240" w:lineRule="exact"/>
            </w:pPr>
            <w:r>
              <w:t>20 avril 2016</w:t>
            </w:r>
          </w:p>
          <w:p w:rsidR="00402862" w:rsidRDefault="00402862" w:rsidP="00402862">
            <w:pPr>
              <w:spacing w:line="240" w:lineRule="exact"/>
            </w:pPr>
            <w:r>
              <w:t>Français</w:t>
            </w:r>
          </w:p>
          <w:p w:rsidR="00402862" w:rsidRPr="00DB58B5" w:rsidRDefault="00402862" w:rsidP="00402862">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1879D4" w:rsidRPr="00AE23A0" w:rsidRDefault="003742FC" w:rsidP="00402862">
      <w:pPr>
        <w:rPr>
          <w:b/>
          <w:lang w:val="fr-FR"/>
        </w:rPr>
      </w:pPr>
      <w:r w:rsidRPr="00AE23A0">
        <w:rPr>
          <w:b/>
          <w:lang w:val="fr-FR"/>
        </w:rPr>
        <w:t xml:space="preserve">Trente </w:t>
      </w:r>
      <w:r w:rsidRPr="00AE23A0">
        <w:rPr>
          <w:b/>
          <w:lang w:val="fr-FR"/>
        </w:rPr>
        <w:t>et unième</w:t>
      </w:r>
      <w:r w:rsidRPr="00AE23A0">
        <w:rPr>
          <w:b/>
          <w:lang w:val="fr-FR"/>
        </w:rPr>
        <w:t xml:space="preserve"> session</w:t>
      </w:r>
    </w:p>
    <w:p w:rsidR="001879D4" w:rsidRPr="00402862" w:rsidRDefault="003742FC" w:rsidP="00402862">
      <w:pPr>
        <w:rPr>
          <w:lang w:val="fr-FR"/>
        </w:rPr>
      </w:pPr>
      <w:r w:rsidRPr="00402862">
        <w:rPr>
          <w:lang w:val="fr-FR"/>
        </w:rPr>
        <w:t xml:space="preserve">Point </w:t>
      </w:r>
      <w:r w:rsidRPr="00402862">
        <w:rPr>
          <w:lang w:val="fr-FR"/>
        </w:rPr>
        <w:t>3 de l’</w:t>
      </w:r>
      <w:r w:rsidRPr="00402862">
        <w:rPr>
          <w:lang w:val="fr-FR"/>
        </w:rPr>
        <w:t>ordre du jour</w:t>
      </w:r>
    </w:p>
    <w:p w:rsidR="001879D4" w:rsidRPr="00402862" w:rsidRDefault="003742FC" w:rsidP="00402862">
      <w:pPr>
        <w:pStyle w:val="HChG"/>
        <w:rPr>
          <w:lang w:val="fr-FR"/>
        </w:rPr>
      </w:pPr>
      <w:r w:rsidRPr="00402862">
        <w:rPr>
          <w:lang w:val="fr-FR"/>
        </w:rPr>
        <w:tab/>
      </w:r>
      <w:r w:rsidRPr="00402862">
        <w:rPr>
          <w:lang w:val="fr-FR"/>
        </w:rPr>
        <w:tab/>
      </w:r>
      <w:r w:rsidRPr="00402862">
        <w:rPr>
          <w:lang w:val="fr-FR"/>
        </w:rPr>
        <w:t xml:space="preserve">Résolution adoptée par le Conseil des droits de l’homme </w:t>
      </w:r>
      <w:r w:rsidR="00402862">
        <w:rPr>
          <w:lang w:val="fr-FR"/>
        </w:rPr>
        <w:br/>
      </w:r>
      <w:r w:rsidRPr="00402862">
        <w:rPr>
          <w:lang w:val="fr-FR"/>
        </w:rPr>
        <w:t>le 23</w:t>
      </w:r>
      <w:r w:rsidR="00402862">
        <w:rPr>
          <w:lang w:val="fr-FR"/>
        </w:rPr>
        <w:t> </w:t>
      </w:r>
      <w:r w:rsidRPr="00402862">
        <w:rPr>
          <w:lang w:val="fr-FR"/>
        </w:rPr>
        <w:t>mars 2016</w:t>
      </w:r>
    </w:p>
    <w:p w:rsidR="001879D4" w:rsidRPr="00402862" w:rsidRDefault="003742FC" w:rsidP="00402862">
      <w:pPr>
        <w:pStyle w:val="H1G"/>
        <w:ind w:left="1701" w:hanging="567"/>
        <w:rPr>
          <w:lang w:val="fr-FR"/>
        </w:rPr>
      </w:pPr>
      <w:r w:rsidRPr="00402862">
        <w:rPr>
          <w:lang w:val="fr-FR"/>
        </w:rPr>
        <w:t>31/</w:t>
      </w:r>
      <w:r w:rsidRPr="00402862">
        <w:rPr>
          <w:lang w:val="fr-FR"/>
        </w:rPr>
        <w:t>3.</w:t>
      </w:r>
      <w:r w:rsidRPr="00402862">
        <w:rPr>
          <w:lang w:val="fr-FR"/>
        </w:rPr>
        <w:tab/>
      </w:r>
      <w:r w:rsidRPr="00402862">
        <w:rPr>
          <w:lang w:val="fr-FR"/>
        </w:rPr>
        <w:t>Protection des droits de l’homme et des libertés fondamentales dans la lutte antiterroriste</w:t>
      </w:r>
      <w:r w:rsidRPr="00402862">
        <w:rPr>
          <w:lang w:val="fr-FR"/>
        </w:rPr>
        <w:t> </w:t>
      </w:r>
      <w:r w:rsidRPr="00402862">
        <w:rPr>
          <w:lang w:val="fr-FR"/>
        </w:rPr>
        <w:t>: mandat du</w:t>
      </w:r>
      <w:r w:rsidR="00402862">
        <w:rPr>
          <w:lang w:val="fr-FR"/>
        </w:rPr>
        <w:t xml:space="preserve"> </w:t>
      </w:r>
      <w:r w:rsidRPr="00402862">
        <w:rPr>
          <w:lang w:val="fr-FR"/>
        </w:rPr>
        <w:t xml:space="preserve">Rapporteur spécial </w:t>
      </w:r>
      <w:r w:rsidR="00402862">
        <w:rPr>
          <w:lang w:val="fr-FR"/>
        </w:rPr>
        <w:br/>
      </w:r>
      <w:r w:rsidRPr="00402862">
        <w:rPr>
          <w:lang w:val="fr-FR"/>
        </w:rPr>
        <w:t>sur la promotion et la protection des</w:t>
      </w:r>
      <w:r w:rsidR="00402862">
        <w:rPr>
          <w:lang w:val="fr-FR"/>
        </w:rPr>
        <w:t xml:space="preserve"> </w:t>
      </w:r>
      <w:r w:rsidRPr="00402862">
        <w:rPr>
          <w:lang w:val="fr-FR"/>
        </w:rPr>
        <w:t xml:space="preserve">droits de l’homme </w:t>
      </w:r>
      <w:r w:rsidR="00402862">
        <w:rPr>
          <w:lang w:val="fr-FR"/>
        </w:rPr>
        <w:br/>
      </w:r>
      <w:r w:rsidRPr="00402862">
        <w:rPr>
          <w:lang w:val="fr-FR"/>
        </w:rPr>
        <w:t xml:space="preserve">et des libertés fondamentales </w:t>
      </w:r>
      <w:r w:rsidRPr="00402862">
        <w:rPr>
          <w:lang w:val="fr-FR"/>
        </w:rPr>
        <w:t>dans la lutte antiterroriste</w:t>
      </w:r>
    </w:p>
    <w:p w:rsidR="001879D4" w:rsidRPr="00402862" w:rsidRDefault="003742FC" w:rsidP="00402862">
      <w:pPr>
        <w:pStyle w:val="SingleTxtG"/>
        <w:rPr>
          <w:lang w:val="fr-FR"/>
        </w:rPr>
      </w:pPr>
      <w:r w:rsidRPr="00402862">
        <w:rPr>
          <w:lang w:val="fr-FR"/>
        </w:rPr>
        <w:tab/>
      </w:r>
      <w:r w:rsidRPr="00B95FC9">
        <w:rPr>
          <w:i/>
          <w:lang w:val="fr-FR"/>
        </w:rPr>
        <w:t>Le Conseil des droits de l’</w:t>
      </w:r>
      <w:r w:rsidRPr="00B95FC9">
        <w:rPr>
          <w:i/>
          <w:lang w:val="fr-FR"/>
        </w:rPr>
        <w:t>homme</w:t>
      </w:r>
      <w:r w:rsidRPr="00402862">
        <w:rPr>
          <w:lang w:val="fr-FR"/>
        </w:rPr>
        <w:t>,</w:t>
      </w:r>
    </w:p>
    <w:p w:rsidR="001879D4" w:rsidRPr="00402862" w:rsidRDefault="003742FC" w:rsidP="00402862">
      <w:pPr>
        <w:pStyle w:val="SingleTxtG"/>
        <w:rPr>
          <w:lang w:val="fr-FR"/>
        </w:rPr>
      </w:pPr>
      <w:r w:rsidRPr="00402862">
        <w:rPr>
          <w:lang w:val="fr-FR"/>
        </w:rPr>
        <w:tab/>
      </w:r>
      <w:r w:rsidRPr="00B95FC9">
        <w:rPr>
          <w:i/>
          <w:lang w:val="fr-FR"/>
        </w:rPr>
        <w:t>Gardant à l’esprit</w:t>
      </w:r>
      <w:r w:rsidRPr="00402862">
        <w:rPr>
          <w:lang w:val="fr-FR"/>
        </w:rPr>
        <w:t xml:space="preserve"> </w:t>
      </w:r>
      <w:r w:rsidRPr="00402862">
        <w:rPr>
          <w:lang w:val="fr-FR"/>
        </w:rPr>
        <w:t xml:space="preserve">le paragraphe 6 de la résolution 60/251 de l’Assemblée générale en date du 15 mars </w:t>
      </w:r>
      <w:r w:rsidRPr="00402862">
        <w:rPr>
          <w:lang w:val="fr-FR"/>
        </w:rPr>
        <w:t>2006,</w:t>
      </w:r>
    </w:p>
    <w:p w:rsidR="001879D4" w:rsidRPr="00402862" w:rsidRDefault="003742FC" w:rsidP="00402862">
      <w:pPr>
        <w:pStyle w:val="SingleTxtG"/>
        <w:rPr>
          <w:lang w:val="fr-FR"/>
        </w:rPr>
      </w:pPr>
      <w:r w:rsidRPr="00402862">
        <w:rPr>
          <w:lang w:val="fr-FR"/>
        </w:rPr>
        <w:tab/>
      </w:r>
      <w:r w:rsidRPr="00B95FC9">
        <w:rPr>
          <w:i/>
          <w:lang w:val="fr-FR"/>
        </w:rPr>
        <w:t>Rappelant</w:t>
      </w:r>
      <w:r w:rsidRPr="00402862">
        <w:rPr>
          <w:lang w:val="fr-FR"/>
        </w:rPr>
        <w:t xml:space="preserve"> </w:t>
      </w:r>
      <w:r w:rsidRPr="00402862">
        <w:rPr>
          <w:lang w:val="fr-FR"/>
        </w:rPr>
        <w:t>ses résolutions 5/1, sur la mise en place des institutions du Conseil des droits de l’homme, et 5/2, sur le code de conduite pour les titulaires de mandat au titre de</w:t>
      </w:r>
      <w:r w:rsidR="001431B1">
        <w:rPr>
          <w:lang w:val="fr-FR"/>
        </w:rPr>
        <w:t>s</w:t>
      </w:r>
      <w:bookmarkStart w:id="0" w:name="_GoBack"/>
      <w:bookmarkEnd w:id="0"/>
      <w:r w:rsidRPr="00402862">
        <w:rPr>
          <w:lang w:val="fr-FR"/>
        </w:rPr>
        <w:t xml:space="preserve"> procédures spéciales du Conseil des droits de l’homme, en date du 18</w:t>
      </w:r>
      <w:r w:rsidR="00402862">
        <w:rPr>
          <w:lang w:val="fr-FR"/>
        </w:rPr>
        <w:t> </w:t>
      </w:r>
      <w:r w:rsidRPr="00402862">
        <w:rPr>
          <w:lang w:val="fr-FR"/>
        </w:rPr>
        <w:t>jui</w:t>
      </w:r>
      <w:r w:rsidRPr="00402862">
        <w:rPr>
          <w:lang w:val="fr-FR"/>
        </w:rPr>
        <w:t>n 2007, et soulignant que le titulaire du mandat doit s’acquitter de ses obligations conformément à ces résolutions et à leurs annexes,</w:t>
      </w:r>
    </w:p>
    <w:p w:rsidR="001879D4" w:rsidRPr="00402862" w:rsidRDefault="003742FC" w:rsidP="00402862">
      <w:pPr>
        <w:pStyle w:val="SingleTxtG"/>
        <w:rPr>
          <w:lang w:val="fr-FR"/>
        </w:rPr>
      </w:pPr>
      <w:r w:rsidRPr="00402862">
        <w:rPr>
          <w:lang w:val="fr-FR"/>
        </w:rPr>
        <w:tab/>
      </w:r>
      <w:r w:rsidRPr="00B95FC9">
        <w:rPr>
          <w:i/>
          <w:lang w:val="fr-FR"/>
        </w:rPr>
        <w:t>Rappelant aussi</w:t>
      </w:r>
      <w:r w:rsidRPr="00402862">
        <w:rPr>
          <w:lang w:val="fr-FR"/>
        </w:rPr>
        <w:t xml:space="preserve"> </w:t>
      </w:r>
      <w:r w:rsidRPr="00402862">
        <w:rPr>
          <w:lang w:val="fr-FR"/>
        </w:rPr>
        <w:t>les résolutions de la Commission des droits de l’homme 2004/87 et 2005/80, en date du 21</w:t>
      </w:r>
      <w:r w:rsidRPr="00402862">
        <w:rPr>
          <w:lang w:val="fr-FR"/>
        </w:rPr>
        <w:t> </w:t>
      </w:r>
      <w:r w:rsidRPr="00402862">
        <w:rPr>
          <w:lang w:val="fr-FR"/>
        </w:rPr>
        <w:t xml:space="preserve">avril 2004 et </w:t>
      </w:r>
      <w:r w:rsidRPr="00402862">
        <w:rPr>
          <w:lang w:val="fr-FR"/>
        </w:rPr>
        <w:t>du 21</w:t>
      </w:r>
      <w:r w:rsidRPr="00402862">
        <w:rPr>
          <w:lang w:val="fr-FR"/>
        </w:rPr>
        <w:t> </w:t>
      </w:r>
      <w:r w:rsidRPr="00402862">
        <w:rPr>
          <w:lang w:val="fr-FR"/>
        </w:rPr>
        <w:t>avril 2005, les résolutions de l’Assemblée générale 59/191, 60/158 et 61/171, en date du 20</w:t>
      </w:r>
      <w:r w:rsidRPr="00402862">
        <w:rPr>
          <w:lang w:val="fr-FR"/>
        </w:rPr>
        <w:t> </w:t>
      </w:r>
      <w:r w:rsidRPr="00402862">
        <w:rPr>
          <w:lang w:val="fr-FR"/>
        </w:rPr>
        <w:t>décembre 2004, du 16</w:t>
      </w:r>
      <w:r w:rsidRPr="00402862">
        <w:rPr>
          <w:lang w:val="fr-FR"/>
        </w:rPr>
        <w:t> </w:t>
      </w:r>
      <w:r w:rsidRPr="00402862">
        <w:rPr>
          <w:lang w:val="fr-FR"/>
        </w:rPr>
        <w:t>décembre 2005 et du 19</w:t>
      </w:r>
      <w:r w:rsidRPr="00402862">
        <w:rPr>
          <w:lang w:val="fr-FR"/>
        </w:rPr>
        <w:t> </w:t>
      </w:r>
      <w:r w:rsidRPr="00402862">
        <w:rPr>
          <w:lang w:val="fr-FR"/>
        </w:rPr>
        <w:t>décembre 2006, et ses propres résolutions 6/28, 15/15 et 22/8, en date du 14</w:t>
      </w:r>
      <w:r w:rsidRPr="00402862">
        <w:rPr>
          <w:lang w:val="fr-FR"/>
        </w:rPr>
        <w:t> </w:t>
      </w:r>
      <w:r w:rsidRPr="00402862">
        <w:rPr>
          <w:lang w:val="fr-FR"/>
        </w:rPr>
        <w:t>décembre 2007, du 24</w:t>
      </w:r>
      <w:r w:rsidRPr="00402862">
        <w:rPr>
          <w:lang w:val="fr-FR"/>
        </w:rPr>
        <w:t> </w:t>
      </w:r>
      <w:r w:rsidRPr="00402862">
        <w:rPr>
          <w:lang w:val="fr-FR"/>
        </w:rPr>
        <w:t>septembre 2010 e</w:t>
      </w:r>
      <w:r w:rsidRPr="00402862">
        <w:rPr>
          <w:lang w:val="fr-FR"/>
        </w:rPr>
        <w:t>t du 21</w:t>
      </w:r>
      <w:r w:rsidRPr="00402862">
        <w:rPr>
          <w:lang w:val="fr-FR"/>
        </w:rPr>
        <w:t> </w:t>
      </w:r>
      <w:r w:rsidRPr="00402862">
        <w:rPr>
          <w:lang w:val="fr-FR"/>
        </w:rPr>
        <w:t>mars 2013, respectivement, intitulées «</w:t>
      </w:r>
      <w:r w:rsidRPr="00402862">
        <w:rPr>
          <w:lang w:val="fr-FR"/>
        </w:rPr>
        <w:t> </w:t>
      </w:r>
      <w:r w:rsidRPr="00402862">
        <w:rPr>
          <w:lang w:val="fr-FR"/>
        </w:rPr>
        <w:t>Protection des droits de l’homme et des libertés fondamentales dans la lutte antiterroriste</w:t>
      </w:r>
      <w:r w:rsidRPr="00402862">
        <w:rPr>
          <w:lang w:val="fr-FR"/>
        </w:rPr>
        <w:t> </w:t>
      </w:r>
      <w:r w:rsidRPr="00402862">
        <w:rPr>
          <w:lang w:val="fr-FR"/>
        </w:rPr>
        <w:t>: mandat du Rapporteur spécial sur la promotion et la protection des droits de l’homme et des libertés fondamentales</w:t>
      </w:r>
      <w:r w:rsidRPr="00402862">
        <w:rPr>
          <w:lang w:val="fr-FR"/>
        </w:rPr>
        <w:t xml:space="preserve"> dans la lutte antiterroriste</w:t>
      </w:r>
      <w:r w:rsidRPr="00402862">
        <w:rPr>
          <w:lang w:val="fr-FR"/>
        </w:rPr>
        <w:t> </w:t>
      </w:r>
      <w:r w:rsidRPr="00402862">
        <w:rPr>
          <w:lang w:val="fr-FR"/>
        </w:rPr>
        <w:t>»,</w:t>
      </w:r>
    </w:p>
    <w:p w:rsidR="001879D4" w:rsidRPr="00402862" w:rsidRDefault="003742FC" w:rsidP="00402862">
      <w:pPr>
        <w:pStyle w:val="SingleTxtG"/>
        <w:rPr>
          <w:lang w:val="fr-FR"/>
        </w:rPr>
      </w:pPr>
      <w:r w:rsidRPr="00402862">
        <w:rPr>
          <w:lang w:val="fr-FR"/>
        </w:rPr>
        <w:tab/>
        <w:t>1.</w:t>
      </w:r>
      <w:r w:rsidRPr="00402862">
        <w:rPr>
          <w:lang w:val="fr-FR"/>
        </w:rPr>
        <w:tab/>
      </w:r>
      <w:r w:rsidRPr="00B95FC9">
        <w:rPr>
          <w:i/>
          <w:lang w:val="fr-FR"/>
        </w:rPr>
        <w:t>Décide</w:t>
      </w:r>
      <w:r w:rsidRPr="00402862">
        <w:rPr>
          <w:lang w:val="fr-FR"/>
        </w:rPr>
        <w:t xml:space="preserve"> </w:t>
      </w:r>
      <w:r w:rsidRPr="00402862">
        <w:rPr>
          <w:lang w:val="fr-FR"/>
        </w:rPr>
        <w:t xml:space="preserve">de reconduire le mandat du Rapporteur spécial sur la promotion et la protection des droits de l’homme et des libertés fondamentales dans la lutte antiterroriste pour une période de trois ans, dans les conditions </w:t>
      </w:r>
      <w:r w:rsidRPr="00402862">
        <w:rPr>
          <w:lang w:val="fr-FR"/>
        </w:rPr>
        <w:t>prévues par le Conseil des droits de l’homme dans sa résolution 22/8</w:t>
      </w:r>
      <w:r w:rsidR="00402862">
        <w:rPr>
          <w:lang w:val="fr-FR"/>
        </w:rPr>
        <w:t> </w:t>
      </w:r>
      <w:r w:rsidRPr="00402862">
        <w:rPr>
          <w:lang w:val="fr-FR"/>
        </w:rPr>
        <w:t>;</w:t>
      </w:r>
    </w:p>
    <w:p w:rsidR="001879D4" w:rsidRPr="00402862" w:rsidRDefault="003742FC" w:rsidP="00402862">
      <w:pPr>
        <w:pStyle w:val="SingleTxtG"/>
        <w:rPr>
          <w:lang w:val="fr-FR"/>
        </w:rPr>
      </w:pPr>
      <w:r w:rsidRPr="00402862">
        <w:rPr>
          <w:lang w:val="fr-FR"/>
        </w:rPr>
        <w:tab/>
        <w:t>2.</w:t>
      </w:r>
      <w:r w:rsidRPr="00402862">
        <w:rPr>
          <w:lang w:val="fr-FR"/>
        </w:rPr>
        <w:tab/>
      </w:r>
      <w:r w:rsidRPr="00B95FC9">
        <w:rPr>
          <w:i/>
          <w:lang w:val="fr-FR"/>
        </w:rPr>
        <w:t>Prie</w:t>
      </w:r>
      <w:r w:rsidRPr="00402862">
        <w:rPr>
          <w:lang w:val="fr-FR"/>
        </w:rPr>
        <w:t xml:space="preserve"> </w:t>
      </w:r>
      <w:r w:rsidRPr="00402862">
        <w:rPr>
          <w:lang w:val="fr-FR"/>
        </w:rPr>
        <w:t>tous les gouvernements d’apporter leur entière coopération au Rapporteur spécial pour l’accomplissement des tâches et obligations dont il est investi par son mandat, notamment e</w:t>
      </w:r>
      <w:r w:rsidRPr="00402862">
        <w:rPr>
          <w:lang w:val="fr-FR"/>
        </w:rPr>
        <w:t>n répondant sans tarder à ses appels urgents et en lui fournissant les renseignements demandés</w:t>
      </w:r>
      <w:r w:rsidR="00402862">
        <w:rPr>
          <w:lang w:val="fr-FR"/>
        </w:rPr>
        <w:t> </w:t>
      </w:r>
      <w:r w:rsidRPr="00402862">
        <w:rPr>
          <w:lang w:val="fr-FR"/>
        </w:rPr>
        <w:t>;</w:t>
      </w:r>
    </w:p>
    <w:p w:rsidR="001879D4" w:rsidRPr="00402862" w:rsidRDefault="003742FC" w:rsidP="00402862">
      <w:pPr>
        <w:pStyle w:val="SingleTxtG"/>
        <w:rPr>
          <w:lang w:val="fr-FR"/>
        </w:rPr>
      </w:pPr>
      <w:r w:rsidRPr="00402862">
        <w:rPr>
          <w:lang w:val="fr-FR"/>
        </w:rPr>
        <w:lastRenderedPageBreak/>
        <w:tab/>
        <w:t>3.</w:t>
      </w:r>
      <w:r w:rsidRPr="00402862">
        <w:rPr>
          <w:lang w:val="fr-FR"/>
        </w:rPr>
        <w:tab/>
      </w:r>
      <w:r w:rsidRPr="00B95FC9">
        <w:rPr>
          <w:i/>
          <w:lang w:val="fr-FR"/>
        </w:rPr>
        <w:t>Appelle</w:t>
      </w:r>
      <w:r w:rsidRPr="00402862">
        <w:rPr>
          <w:lang w:val="fr-FR"/>
        </w:rPr>
        <w:t xml:space="preserve"> </w:t>
      </w:r>
      <w:r w:rsidRPr="00402862">
        <w:rPr>
          <w:lang w:val="fr-FR"/>
        </w:rPr>
        <w:t>tous les gouvernements à envisager sérieusement de répondre favorablement à toute demande de visite du Rapporteur spécial dans leur pays</w:t>
      </w:r>
      <w:r w:rsidR="00402862">
        <w:rPr>
          <w:lang w:val="fr-FR"/>
        </w:rPr>
        <w:t> </w:t>
      </w:r>
      <w:r w:rsidRPr="00402862">
        <w:rPr>
          <w:lang w:val="fr-FR"/>
        </w:rPr>
        <w:t>;</w:t>
      </w:r>
    </w:p>
    <w:p w:rsidR="001879D4" w:rsidRPr="00402862" w:rsidRDefault="003742FC" w:rsidP="00402862">
      <w:pPr>
        <w:pStyle w:val="SingleTxtG"/>
        <w:rPr>
          <w:lang w:val="fr-FR"/>
        </w:rPr>
      </w:pPr>
      <w:r w:rsidRPr="00402862">
        <w:rPr>
          <w:lang w:val="fr-FR"/>
        </w:rPr>
        <w:tab/>
        <w:t>4.</w:t>
      </w:r>
      <w:r w:rsidRPr="00402862">
        <w:rPr>
          <w:lang w:val="fr-FR"/>
        </w:rPr>
        <w:tab/>
      </w:r>
      <w:r w:rsidRPr="00B95FC9">
        <w:rPr>
          <w:i/>
          <w:lang w:val="fr-FR"/>
        </w:rPr>
        <w:t>Prie</w:t>
      </w:r>
      <w:r w:rsidRPr="00402862">
        <w:rPr>
          <w:lang w:val="fr-FR"/>
        </w:rPr>
        <w:t xml:space="preserve"> </w:t>
      </w:r>
      <w:r w:rsidRPr="00402862">
        <w:rPr>
          <w:lang w:val="fr-FR"/>
        </w:rPr>
        <w:t>l</w:t>
      </w:r>
      <w:r w:rsidRPr="00402862">
        <w:rPr>
          <w:lang w:val="fr-FR"/>
        </w:rPr>
        <w:t>e Secrétaire général et le Haut-Commissaire des Nations Unies aux droits de l’homme de fournir au Rapporteur spécial toutes les ressources humaines, techniques et financières nécessaires pour qu’il puisse s’acquitter efficacement de son mandat</w:t>
      </w:r>
      <w:r w:rsidR="00402862">
        <w:rPr>
          <w:lang w:val="fr-FR"/>
        </w:rPr>
        <w:t> </w:t>
      </w:r>
      <w:r w:rsidRPr="00402862">
        <w:rPr>
          <w:lang w:val="fr-FR"/>
        </w:rPr>
        <w:t>;</w:t>
      </w:r>
    </w:p>
    <w:p w:rsidR="001879D4" w:rsidRPr="00402862" w:rsidRDefault="003742FC" w:rsidP="00402862">
      <w:pPr>
        <w:pStyle w:val="SingleTxtG"/>
        <w:rPr>
          <w:lang w:val="fr-FR"/>
        </w:rPr>
      </w:pPr>
      <w:r w:rsidRPr="00402862">
        <w:rPr>
          <w:lang w:val="fr-FR"/>
        </w:rPr>
        <w:tab/>
        <w:t>5.</w:t>
      </w:r>
      <w:r w:rsidRPr="00402862">
        <w:rPr>
          <w:lang w:val="fr-FR"/>
        </w:rPr>
        <w:tab/>
      </w:r>
      <w:r w:rsidRPr="00B95FC9">
        <w:rPr>
          <w:i/>
          <w:lang w:val="fr-FR"/>
        </w:rPr>
        <w:t>Décide</w:t>
      </w:r>
      <w:r w:rsidRPr="00402862">
        <w:rPr>
          <w:lang w:val="fr-FR"/>
        </w:rPr>
        <w:t xml:space="preserve"> </w:t>
      </w:r>
      <w:r w:rsidRPr="00402862">
        <w:rPr>
          <w:lang w:val="fr-FR"/>
        </w:rPr>
        <w:t xml:space="preserve">de poursuivre l’examen de cette question conformément </w:t>
      </w:r>
      <w:r w:rsidRPr="00402862">
        <w:rPr>
          <w:lang w:val="fr-FR"/>
        </w:rPr>
        <w:t>à son programme de travail annuel</w:t>
      </w:r>
      <w:r w:rsidRPr="00402862">
        <w:rPr>
          <w:lang w:val="fr-FR"/>
        </w:rPr>
        <w:t>.</w:t>
      </w:r>
    </w:p>
    <w:p w:rsidR="001879D4" w:rsidRPr="00B95FC9" w:rsidRDefault="003742FC" w:rsidP="00B95FC9">
      <w:pPr>
        <w:pStyle w:val="SingleTxtG"/>
        <w:jc w:val="right"/>
        <w:rPr>
          <w:i/>
          <w:lang w:val="fr-FR"/>
        </w:rPr>
      </w:pPr>
      <w:r w:rsidRPr="00B95FC9">
        <w:rPr>
          <w:i/>
          <w:lang w:val="fr-FR"/>
        </w:rPr>
        <w:t>62</w:t>
      </w:r>
      <w:r w:rsidRPr="00B95FC9">
        <w:rPr>
          <w:i/>
          <w:vertAlign w:val="superscript"/>
          <w:lang w:val="fr-FR"/>
        </w:rPr>
        <w:t>e</w:t>
      </w:r>
      <w:r w:rsidR="00402862" w:rsidRPr="00B95FC9">
        <w:rPr>
          <w:i/>
          <w:lang w:val="fr-FR"/>
        </w:rPr>
        <w:t> </w:t>
      </w:r>
      <w:r w:rsidRPr="00B95FC9">
        <w:rPr>
          <w:i/>
          <w:lang w:val="fr-FR"/>
        </w:rPr>
        <w:t>séance</w:t>
      </w:r>
      <w:r w:rsidR="00B95FC9">
        <w:rPr>
          <w:i/>
          <w:lang w:val="fr-FR"/>
        </w:rPr>
        <w:t xml:space="preserve"> </w:t>
      </w:r>
      <w:r w:rsidR="00B95FC9">
        <w:rPr>
          <w:i/>
          <w:lang w:val="fr-FR"/>
        </w:rPr>
        <w:br/>
      </w:r>
      <w:r w:rsidR="00402862" w:rsidRPr="00B95FC9">
        <w:rPr>
          <w:i/>
          <w:lang w:val="fr-FR"/>
        </w:rPr>
        <w:t>23 </w:t>
      </w:r>
      <w:r w:rsidRPr="00B95FC9">
        <w:rPr>
          <w:i/>
          <w:lang w:val="fr-FR"/>
        </w:rPr>
        <w:t>mars 2016</w:t>
      </w:r>
    </w:p>
    <w:p w:rsidR="00552797" w:rsidRDefault="003742FC" w:rsidP="00B95FC9">
      <w:pPr>
        <w:pStyle w:val="SingleTxtG"/>
        <w:rPr>
          <w:lang w:val="fr-FR"/>
        </w:rPr>
      </w:pPr>
      <w:r w:rsidRPr="00402862">
        <w:rPr>
          <w:lang w:val="fr-FR"/>
        </w:rPr>
        <w:t>[Adoptée sans vote.]</w:t>
      </w:r>
    </w:p>
    <w:p w:rsidR="00402862" w:rsidRPr="00402862" w:rsidRDefault="00402862" w:rsidP="00402862">
      <w:pPr>
        <w:pStyle w:val="SingleTxtG"/>
        <w:spacing w:before="240" w:after="0"/>
        <w:jc w:val="center"/>
        <w:rPr>
          <w:u w:val="single"/>
        </w:rPr>
      </w:pPr>
      <w:r>
        <w:rPr>
          <w:u w:val="single"/>
        </w:rPr>
        <w:tab/>
      </w:r>
      <w:r>
        <w:rPr>
          <w:u w:val="single"/>
        </w:rPr>
        <w:tab/>
      </w:r>
      <w:r>
        <w:rPr>
          <w:u w:val="single"/>
        </w:rPr>
        <w:tab/>
      </w:r>
    </w:p>
    <w:sectPr w:rsidR="00402862" w:rsidRPr="00402862" w:rsidSect="0040286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82E" w:rsidRPr="00EF7F30" w:rsidRDefault="0024382E" w:rsidP="00EF7F30">
      <w:pPr>
        <w:pStyle w:val="Pieddepage"/>
      </w:pPr>
    </w:p>
  </w:endnote>
  <w:endnote w:type="continuationSeparator" w:id="0">
    <w:p w:rsidR="0024382E" w:rsidRPr="00EF7F30" w:rsidRDefault="0024382E" w:rsidP="00EF7F30">
      <w:pPr>
        <w:pStyle w:val="Pieddepage"/>
      </w:pPr>
    </w:p>
  </w:endnote>
  <w:endnote w:type="continuationNotice" w:id="1">
    <w:p w:rsidR="0024382E" w:rsidRDefault="002438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862" w:rsidRPr="00402862" w:rsidRDefault="00402862" w:rsidP="00402862">
    <w:pPr>
      <w:pStyle w:val="Pieddepage"/>
      <w:tabs>
        <w:tab w:val="right" w:pos="9638"/>
      </w:tabs>
    </w:pPr>
    <w:r w:rsidRPr="00402862">
      <w:rPr>
        <w:b/>
        <w:sz w:val="18"/>
      </w:rPr>
      <w:fldChar w:fldCharType="begin"/>
    </w:r>
    <w:r w:rsidRPr="00402862">
      <w:rPr>
        <w:b/>
        <w:sz w:val="18"/>
      </w:rPr>
      <w:instrText xml:space="preserve"> PAGE  \* MERGEFORMAT </w:instrText>
    </w:r>
    <w:r w:rsidRPr="00402862">
      <w:rPr>
        <w:b/>
        <w:sz w:val="18"/>
      </w:rPr>
      <w:fldChar w:fldCharType="separate"/>
    </w:r>
    <w:r w:rsidR="00484F60">
      <w:rPr>
        <w:b/>
        <w:noProof/>
        <w:sz w:val="18"/>
      </w:rPr>
      <w:t>2</w:t>
    </w:r>
    <w:r w:rsidRPr="00402862">
      <w:rPr>
        <w:b/>
        <w:sz w:val="18"/>
      </w:rPr>
      <w:fldChar w:fldCharType="end"/>
    </w:r>
    <w:r>
      <w:rPr>
        <w:b/>
        <w:sz w:val="18"/>
      </w:rPr>
      <w:tab/>
    </w:r>
    <w:r>
      <w:t>GE.16-06415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862" w:rsidRPr="00402862" w:rsidRDefault="00402862" w:rsidP="00402862">
    <w:pPr>
      <w:pStyle w:val="Pieddepage"/>
      <w:tabs>
        <w:tab w:val="right" w:pos="9638"/>
      </w:tabs>
      <w:rPr>
        <w:b/>
        <w:sz w:val="18"/>
      </w:rPr>
    </w:pPr>
    <w:r>
      <w:t>GE.16-06415</w:t>
    </w:r>
    <w:r>
      <w:tab/>
    </w:r>
    <w:r w:rsidRPr="00402862">
      <w:rPr>
        <w:b/>
        <w:sz w:val="18"/>
      </w:rPr>
      <w:fldChar w:fldCharType="begin"/>
    </w:r>
    <w:r w:rsidRPr="00402862">
      <w:rPr>
        <w:b/>
        <w:sz w:val="18"/>
      </w:rPr>
      <w:instrText xml:space="preserve"> PAGE  \* MERGEFORMAT </w:instrText>
    </w:r>
    <w:r w:rsidRPr="00402862">
      <w:rPr>
        <w:b/>
        <w:sz w:val="18"/>
      </w:rPr>
      <w:fldChar w:fldCharType="separate"/>
    </w:r>
    <w:r>
      <w:rPr>
        <w:b/>
        <w:noProof/>
        <w:sz w:val="18"/>
      </w:rPr>
      <w:t>3</w:t>
    </w:r>
    <w:r w:rsidRPr="004028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402862" w:rsidRDefault="00402862" w:rsidP="00402862">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CED4D24" wp14:editId="06B5233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16-06415  (F)    020516    020516</w:t>
    </w:r>
    <w:r>
      <w:rPr>
        <w:sz w:val="20"/>
      </w:rPr>
      <w:br/>
    </w:r>
    <w:r w:rsidRPr="00402862">
      <w:rPr>
        <w:rFonts w:ascii="C39T30Lfz" w:hAnsi="C39T30Lfz"/>
        <w:sz w:val="56"/>
      </w:rPr>
      <w:t></w:t>
    </w:r>
    <w:r w:rsidRPr="00402862">
      <w:rPr>
        <w:rFonts w:ascii="C39T30Lfz" w:hAnsi="C39T30Lfz"/>
        <w:sz w:val="56"/>
      </w:rPr>
      <w:t></w:t>
    </w:r>
    <w:r w:rsidRPr="00402862">
      <w:rPr>
        <w:rFonts w:ascii="C39T30Lfz" w:hAnsi="C39T30Lfz"/>
        <w:sz w:val="56"/>
      </w:rPr>
      <w:t></w:t>
    </w:r>
    <w:r w:rsidRPr="00402862">
      <w:rPr>
        <w:rFonts w:ascii="C39T30Lfz" w:hAnsi="C39T30Lfz"/>
        <w:sz w:val="56"/>
      </w:rPr>
      <w:t></w:t>
    </w:r>
    <w:r w:rsidRPr="00402862">
      <w:rPr>
        <w:rFonts w:ascii="C39T30Lfz" w:hAnsi="C39T30Lfz"/>
        <w:sz w:val="56"/>
      </w:rPr>
      <w:t></w:t>
    </w:r>
    <w:r w:rsidRPr="00402862">
      <w:rPr>
        <w:rFonts w:ascii="C39T30Lfz" w:hAnsi="C39T30Lfz"/>
        <w:sz w:val="56"/>
      </w:rPr>
      <w:t></w:t>
    </w:r>
    <w:r w:rsidRPr="00402862">
      <w:rPr>
        <w:rFonts w:ascii="C39T30Lfz" w:hAnsi="C39T30Lfz"/>
        <w:sz w:val="56"/>
      </w:rPr>
      <w:t></w:t>
    </w:r>
    <w:r w:rsidRPr="00402862">
      <w:rPr>
        <w:rFonts w:ascii="C39T30Lfz" w:hAnsi="C39T30Lfz"/>
        <w:sz w:val="56"/>
      </w:rPr>
      <w:t></w:t>
    </w:r>
    <w:r w:rsidRPr="0040286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82E" w:rsidRPr="00EF7F30" w:rsidRDefault="0024382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4382E" w:rsidRPr="00EF7F30" w:rsidRDefault="0024382E" w:rsidP="000E5ADA">
      <w:pPr>
        <w:pStyle w:val="Pieddepage"/>
        <w:tabs>
          <w:tab w:val="right" w:pos="2155"/>
        </w:tabs>
        <w:spacing w:after="80" w:line="240" w:lineRule="atLeast"/>
        <w:ind w:left="680"/>
      </w:pPr>
      <w:r w:rsidRPr="00EF7F30">
        <w:rPr>
          <w:u w:val="single"/>
        </w:rPr>
        <w:tab/>
      </w:r>
    </w:p>
  </w:footnote>
  <w:footnote w:type="continuationNotice" w:id="1">
    <w:p w:rsidR="0024382E" w:rsidRPr="000F2457" w:rsidRDefault="002438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862" w:rsidRPr="00402862" w:rsidRDefault="00402862">
    <w:pPr>
      <w:pStyle w:val="En-tte"/>
    </w:pPr>
    <w:r>
      <w:t>A/HRC/RES/31/3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862" w:rsidRPr="00402862" w:rsidRDefault="00402862" w:rsidP="00402862">
    <w:pPr>
      <w:pStyle w:val="En-tte"/>
      <w:jc w:val="right"/>
    </w:pPr>
    <w:r>
      <w:t>A/HRC/RES/31/3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82E"/>
    <w:rsid w:val="00023842"/>
    <w:rsid w:val="0007796D"/>
    <w:rsid w:val="000E5ADA"/>
    <w:rsid w:val="000F2457"/>
    <w:rsid w:val="00111F2F"/>
    <w:rsid w:val="00114662"/>
    <w:rsid w:val="001431B1"/>
    <w:rsid w:val="0014365E"/>
    <w:rsid w:val="00176178"/>
    <w:rsid w:val="001F525A"/>
    <w:rsid w:val="00212168"/>
    <w:rsid w:val="0024382E"/>
    <w:rsid w:val="00260711"/>
    <w:rsid w:val="002E0D9C"/>
    <w:rsid w:val="003547BE"/>
    <w:rsid w:val="00402862"/>
    <w:rsid w:val="00446FE5"/>
    <w:rsid w:val="00484F60"/>
    <w:rsid w:val="004C004D"/>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94352E"/>
    <w:rsid w:val="00962015"/>
    <w:rsid w:val="009705C8"/>
    <w:rsid w:val="009A47AB"/>
    <w:rsid w:val="00A12E20"/>
    <w:rsid w:val="00AE23A0"/>
    <w:rsid w:val="00AE323C"/>
    <w:rsid w:val="00B16AAF"/>
    <w:rsid w:val="00B22A9E"/>
    <w:rsid w:val="00B24C75"/>
    <w:rsid w:val="00B528BF"/>
    <w:rsid w:val="00B95FC9"/>
    <w:rsid w:val="00C02897"/>
    <w:rsid w:val="00C12613"/>
    <w:rsid w:val="00D45432"/>
    <w:rsid w:val="00DB1831"/>
    <w:rsid w:val="00DD3BFD"/>
    <w:rsid w:val="00DF12C9"/>
    <w:rsid w:val="00E228A8"/>
    <w:rsid w:val="00E938F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9A251-2149-4638-BE21-C14AADD4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437</Words>
  <Characters>2407</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A/HRC/RES/31/3</vt:lpstr>
    </vt:vector>
  </TitlesOfParts>
  <Company>DCM</Company>
  <LinksUpToDate>false</LinksUpToDate>
  <CharactersWithSpaces>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A/HRC/RES/31/3</dc:title>
  <dc:subject>final</dc:subject>
  <dc:creator>Deschamps</dc:creator>
  <cp:keywords/>
  <dc:description/>
  <cp:lastModifiedBy>DESCHAMPS</cp:lastModifiedBy>
  <cp:revision>2</cp:revision>
  <cp:lastPrinted>2016-05-03T06:53:00Z</cp:lastPrinted>
  <dcterms:created xsi:type="dcterms:W3CDTF">2016-05-03T07:03:00Z</dcterms:created>
  <dcterms:modified xsi:type="dcterms:W3CDTF">2016-05-03T07:03:00Z</dcterms:modified>
</cp:coreProperties>
</file>