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SRB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/2</w:t>
            </w:r>
            <w:r>
              <w:fldChar w:fldCharType="end"/>
            </w:r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20 May 2011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000000" w:rsidRDefault="00000000">
      <w:pPr>
        <w:rPr>
          <w:b/>
        </w:rPr>
      </w:pPr>
      <w:r>
        <w:rPr>
          <w:b/>
        </w:rPr>
        <w:t>Сто первая сессия</w:t>
      </w:r>
    </w:p>
    <w:p w:rsidR="00000000" w:rsidRDefault="00000000">
      <w:r>
        <w:t>Нью-Йорк, 14 марта − 1 апреля 2011 года</w:t>
      </w:r>
    </w:p>
    <w:p w:rsidR="00000000" w:rsidRDefault="0000000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статьей 40 Пакта</w:t>
      </w:r>
    </w:p>
    <w:p w:rsidR="00000000" w:rsidRDefault="00000000">
      <w:pPr>
        <w:pStyle w:val="H1GR"/>
      </w:pPr>
      <w:r>
        <w:tab/>
      </w:r>
      <w:r>
        <w:tab/>
        <w:t>Заключительные замечания Комитета по правам человека</w:t>
      </w:r>
    </w:p>
    <w:p w:rsidR="00000000" w:rsidRDefault="00000000">
      <w:pPr>
        <w:pStyle w:val="HChGR"/>
      </w:pPr>
      <w:r>
        <w:tab/>
      </w:r>
      <w:r>
        <w:tab/>
        <w:t>Сербия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второй периодический доклад Республики Сербия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SRB</w:t>
      </w:r>
      <w:proofErr w:type="spellEnd"/>
      <w:r>
        <w:t>/2) на своих 2780-м и 2781-м заседаниях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.2780 и</w:t>
      </w:r>
      <w:r>
        <w:rPr>
          <w:lang w:val="en-US"/>
        </w:rPr>
        <w:t> </w:t>
      </w:r>
      <w:r>
        <w:t>2781), состоявши</w:t>
      </w:r>
      <w:r>
        <w:t>х</w:t>
      </w:r>
      <w:r>
        <w:t>ся 17 и 18 марта 2011 года. На своем 2796-м заседании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.2796), состоявшемся 29 марта 2011 года, он принял следующие з</w:t>
      </w:r>
      <w:r>
        <w:t>а</w:t>
      </w:r>
      <w:r>
        <w:t>ключительные замечания.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представление второго периодического доклада Республики Сербия и дает высокую оценку конструктивному диалогу с делег</w:t>
      </w:r>
      <w:r>
        <w:t>а</w:t>
      </w:r>
      <w:r>
        <w:t>цией государства-участника, а также представленным устным и письменным ответам. Он также дает высокую оценку письменным ответам (</w:t>
      </w:r>
      <w:r>
        <w:rPr>
          <w:lang w:val="en-US"/>
        </w:rPr>
        <w:t>CCPR</w:t>
      </w:r>
      <w:r>
        <w:t>/</w:t>
      </w:r>
      <w:proofErr w:type="spellStart"/>
      <w:r>
        <w:rPr>
          <w:lang w:val="en-US"/>
        </w:rPr>
        <w:t>SRB</w:t>
      </w:r>
      <w:proofErr w:type="spellEnd"/>
      <w:r>
        <w:t>/</w:t>
      </w:r>
      <w:r>
        <w:rPr>
          <w:lang w:val="en-US"/>
        </w:rPr>
        <w:t>Q</w:t>
      </w:r>
      <w:r>
        <w:t>/2/</w:t>
      </w:r>
      <w:r>
        <w:rPr>
          <w:lang w:val="en-US"/>
        </w:rPr>
        <w:t>Add</w:t>
      </w:r>
      <w:r>
        <w:t>.1), которые были представлены на перечень в</w:t>
      </w:r>
      <w:r>
        <w:t>о</w:t>
      </w:r>
      <w:r>
        <w:t>просов.</w:t>
      </w:r>
    </w:p>
    <w:p w:rsidR="00000000" w:rsidRDefault="00000000">
      <w:pPr>
        <w:pStyle w:val="SingleTxtGR"/>
      </w:pPr>
      <w:r>
        <w:t>3.</w:t>
      </w:r>
      <w:r>
        <w:tab/>
        <w:t xml:space="preserve">Комитет напоминает о проведенном им ранее рассмотрении положения в области прав человека в Косово (см. 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UNK</w:t>
      </w:r>
      <w:proofErr w:type="spellEnd"/>
      <w:r>
        <w:t>/</w:t>
      </w:r>
      <w:r>
        <w:rPr>
          <w:lang w:val="en-US"/>
        </w:rPr>
        <w:t>CO</w:t>
      </w:r>
      <w:r>
        <w:t>/1, принятые 27 июля 2006 года). Комитет отмечает, что, поскольку государство-участник по-прежнему признает, что оно не осуществляет эффективного контроля над Кос</w:t>
      </w:r>
      <w:r>
        <w:t>о</w:t>
      </w:r>
      <w:r>
        <w:t>во, функции гражданских властей в соответствии с резолюцией 1244 (1999) С</w:t>
      </w:r>
      <w:r>
        <w:t>о</w:t>
      </w:r>
      <w:r>
        <w:t>вета Безопасности продолжает выполнять миссия О</w:t>
      </w:r>
      <w:r>
        <w:t>р</w:t>
      </w:r>
      <w:r>
        <w:t>ганизации Объединенных Наций по делам временной администрации в Косово (</w:t>
      </w:r>
      <w:proofErr w:type="spellStart"/>
      <w:r>
        <w:t>МООНК</w:t>
      </w:r>
      <w:proofErr w:type="spellEnd"/>
      <w:r>
        <w:t>). Комитет счит</w:t>
      </w:r>
      <w:r>
        <w:t>а</w:t>
      </w:r>
      <w:r>
        <w:t>ет, что действие Пакта продолжает распространяться на Косово, и поэтому пр</w:t>
      </w:r>
      <w:r>
        <w:t>и</w:t>
      </w:r>
      <w:r>
        <w:t xml:space="preserve">зывает </w:t>
      </w:r>
      <w:proofErr w:type="spellStart"/>
      <w:r>
        <w:t>МООНК</w:t>
      </w:r>
      <w:proofErr w:type="spellEnd"/>
      <w:r>
        <w:t xml:space="preserve"> представить ему в сотрудничестве с учреждениями Косово и без ущерба для окончательного правового статуса Косово доклад о пол</w:t>
      </w:r>
      <w:r>
        <w:t>о</w:t>
      </w:r>
      <w:r>
        <w:t>жении в области прав человека в Косово в пер</w:t>
      </w:r>
      <w:r>
        <w:t>и</w:t>
      </w:r>
      <w:r>
        <w:t>од после июля 2006 года.</w:t>
      </w:r>
    </w:p>
    <w:p w:rsidR="00000000" w:rsidRDefault="00000000">
      <w:pPr>
        <w:pStyle w:val="H1GR"/>
      </w:pPr>
      <w:r>
        <w:tab/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следующие положительные изменения, происше</w:t>
      </w:r>
      <w:r>
        <w:t>д</w:t>
      </w:r>
      <w:r>
        <w:t>шие в г</w:t>
      </w:r>
      <w:r>
        <w:t>о</w:t>
      </w:r>
      <w:r>
        <w:t>сударстве-участнике, в частности в свете реформ, начатых в связи с тем, что государс</w:t>
      </w:r>
      <w:r>
        <w:t>т</w:t>
      </w:r>
      <w:r>
        <w:t>во-участник стало кандидатом в члены Европейского союза:</w:t>
      </w:r>
    </w:p>
    <w:p w:rsidR="00000000" w:rsidRDefault="00000000">
      <w:pPr>
        <w:pStyle w:val="SingleTxtGR"/>
      </w:pPr>
      <w:r>
        <w:tab/>
        <w:t>а)</w:t>
      </w:r>
      <w:r>
        <w:tab/>
        <w:t>принятие в 2006 году новой Конституции, в соответствии с которой Конституционный суд может рассматривать жалобы на нарушения прав челов</w:t>
      </w:r>
      <w:r>
        <w:t>е</w:t>
      </w:r>
      <w:r>
        <w:t>ка, поступающие от о</w:t>
      </w:r>
      <w:r>
        <w:t>т</w:t>
      </w:r>
      <w:r>
        <w:t>дельных лиц (статья 170 Конституции);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принятие в марте 2009 года Закона о запрещении дискриминации и назначение Народной скупщиной в мае 2010 года Комиссара по защите раве</w:t>
      </w:r>
      <w:r>
        <w:t>н</w:t>
      </w:r>
      <w:r>
        <w:t>ства, который уполномочен рассматривать жалобы на дискриминацию и вын</w:t>
      </w:r>
      <w:r>
        <w:t>о</w:t>
      </w:r>
      <w:r>
        <w:t>сить соответствующие рек</w:t>
      </w:r>
      <w:r>
        <w:t>о</w:t>
      </w:r>
      <w:r>
        <w:t>мендации;</w:t>
      </w:r>
    </w:p>
    <w:p w:rsidR="00000000" w:rsidRDefault="00000000">
      <w:pPr>
        <w:pStyle w:val="SingleTxtGR"/>
      </w:pPr>
      <w:r>
        <w:tab/>
        <w:t>с)</w:t>
      </w:r>
      <w:r>
        <w:tab/>
        <w:t>принятие Закона об Омбудсмене (</w:t>
      </w:r>
      <w:proofErr w:type="spellStart"/>
      <w:r>
        <w:t>НПЗУ</w:t>
      </w:r>
      <w:proofErr w:type="spellEnd"/>
      <w:r>
        <w:t>) и назначение Народной скупщиной в июле 2007 года Омбудсмена, обладающего в соответствии с П</w:t>
      </w:r>
      <w:r>
        <w:t>а</w:t>
      </w:r>
      <w:r>
        <w:t>рижскими принципами (резолюция 48/134 Генеральной Ассамблеи) широкими полномочиями в области прав человека;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ратификацию в 2006 году Факультативного протокола к Конвенции против пыток и других жестоких, бесчеловечных или унижающих достоинство видов обращ</w:t>
      </w:r>
      <w:r>
        <w:t>е</w:t>
      </w:r>
      <w:r>
        <w:t>ния и наказания;</w:t>
      </w:r>
    </w:p>
    <w:p w:rsidR="00000000" w:rsidRDefault="00000000">
      <w:pPr>
        <w:pStyle w:val="SingleTxtGR"/>
      </w:pPr>
      <w:r>
        <w:tab/>
        <w:t>е)</w:t>
      </w:r>
      <w:r>
        <w:tab/>
        <w:t>ратификацию в 2009 году Конвенции о правах инвалидов и Факул</w:t>
      </w:r>
      <w:r>
        <w:t>ь</w:t>
      </w:r>
      <w:r>
        <w:t>тативного протокола к ней.</w:t>
      </w:r>
    </w:p>
    <w:p w:rsidR="00000000" w:rsidRDefault="00000000">
      <w:pPr>
        <w:pStyle w:val="H1GR"/>
      </w:pPr>
      <w:r>
        <w:tab/>
        <w:t>С.</w:t>
      </w:r>
      <w:r>
        <w:tab/>
        <w:t xml:space="preserve">Основные вопросы, вызывающие озабоченность </w:t>
      </w:r>
      <w:r>
        <w:br/>
        <w:t>и рекомендации</w:t>
      </w:r>
    </w:p>
    <w:p w:rsidR="00000000" w:rsidRDefault="00000000">
      <w:pPr>
        <w:pStyle w:val="SingleTxtGR"/>
      </w:pPr>
      <w:r>
        <w:t>5.</w:t>
      </w:r>
      <w:r>
        <w:tab/>
        <w:t>Комитет принимает к сведению информацию о том, что положения ме</w:t>
      </w:r>
      <w:r>
        <w:t>ж</w:t>
      </w:r>
      <w:r>
        <w:t>дународных договоров по правам человека, включая положения Пакта, являю</w:t>
      </w:r>
      <w:r>
        <w:t>т</w:t>
      </w:r>
      <w:r>
        <w:t>ся частью законодательства государства-участника и на них можно непосредс</w:t>
      </w:r>
      <w:r>
        <w:t>т</w:t>
      </w:r>
      <w:r>
        <w:t>венно ссылаться в с</w:t>
      </w:r>
      <w:r>
        <w:t>у</w:t>
      </w:r>
      <w:r>
        <w:t>дах. Однако Комитет отмечает, что существует очень мало примеров того, когда пол</w:t>
      </w:r>
      <w:r>
        <w:t>о</w:t>
      </w:r>
      <w:r>
        <w:t>жения Пакта применялись в рамках рассмотрения конкретных дел. Приветствуя заявл</w:t>
      </w:r>
      <w:r>
        <w:t>е</w:t>
      </w:r>
      <w:r>
        <w:t>ние делегации о том, что положения Пакта будут включены в учебную программу Судебной академии, Комитет выражает озабоченность по поводу низкого уровня информированности о положениях Пакта среди сотрудников судебных органов и специалистов в области права, а также практического применения Пакта в рамках внутренней правовой сист</w:t>
      </w:r>
      <w:r>
        <w:t>е</w:t>
      </w:r>
      <w:r>
        <w:t>мы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его должностные лица, включая судей, прокуроров и адвокатов, были надлежащим образом подг</w:t>
      </w:r>
      <w:r>
        <w:rPr>
          <w:b/>
        </w:rPr>
        <w:t>о</w:t>
      </w:r>
      <w:r>
        <w:rPr>
          <w:b/>
        </w:rPr>
        <w:t>товлены и в полной мере осведомлены о положениях Пакта и их примен</w:t>
      </w:r>
      <w:r>
        <w:rPr>
          <w:b/>
        </w:rPr>
        <w:t>и</w:t>
      </w:r>
      <w:r>
        <w:rPr>
          <w:b/>
        </w:rPr>
        <w:t>мости в государстве-участнике. Государству-участнику следует также пр</w:t>
      </w:r>
      <w:r>
        <w:rPr>
          <w:b/>
        </w:rPr>
        <w:t>и</w:t>
      </w:r>
      <w:r>
        <w:rPr>
          <w:b/>
        </w:rPr>
        <w:t>нять эффективные меры с целью широкого распространения Пакта в гос</w:t>
      </w:r>
      <w:r>
        <w:rPr>
          <w:b/>
        </w:rPr>
        <w:t>у</w:t>
      </w:r>
      <w:r>
        <w:rPr>
          <w:b/>
        </w:rPr>
        <w:t>дарстве-участнике.</w:t>
      </w:r>
    </w:p>
    <w:p w:rsidR="00000000" w:rsidRDefault="00000000">
      <w:pPr>
        <w:pStyle w:val="SingleTxtGR"/>
      </w:pPr>
      <w:r>
        <w:t>6.</w:t>
      </w:r>
      <w:r>
        <w:tab/>
        <w:t>Комитет озабочен тем, и это было признано делегацией, что власти гос</w:t>
      </w:r>
      <w:r>
        <w:t>у</w:t>
      </w:r>
      <w:r>
        <w:t>дарства-участника не применяют согласованного подхода и не располагают специальным механизмом для изучения и выполнения выводов Комитета о н</w:t>
      </w:r>
      <w:r>
        <w:t>а</w:t>
      </w:r>
      <w:r>
        <w:t>рушениях по делам в рамка</w:t>
      </w:r>
      <w:r>
        <w:t>х</w:t>
      </w:r>
      <w:r>
        <w:t xml:space="preserve"> механизма рассмотрения индивидуальных жалоб, созданного в соответствии с Факул</w:t>
      </w:r>
      <w:r>
        <w:t>ь</w:t>
      </w:r>
      <w:r>
        <w:t>тативным протоколом к Пакту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создать механизм для изучения выводов Комитета по индивидуальным сообщениям, подготовить предложения в отношении мер, которые следует принимать государству-участнику с ц</w:t>
      </w:r>
      <w:r>
        <w:rPr>
          <w:b/>
        </w:rPr>
        <w:t>е</w:t>
      </w:r>
      <w:r>
        <w:rPr>
          <w:b/>
        </w:rPr>
        <w:t>лью выполнения соображений, принимаемых Комитетом в соответствии с Факультативным протоколом, и обеспечивать жертвам в случае любого нарушения их прав эффе</w:t>
      </w:r>
      <w:r>
        <w:rPr>
          <w:b/>
        </w:rPr>
        <w:t>к</w:t>
      </w:r>
      <w:r>
        <w:rPr>
          <w:b/>
        </w:rPr>
        <w:t>тивные средства правовой защиты.</w:t>
      </w:r>
    </w:p>
    <w:p w:rsidR="00000000" w:rsidRDefault="00000000">
      <w:pPr>
        <w:pStyle w:val="SingleTxtGR"/>
      </w:pPr>
      <w:r>
        <w:t>7.</w:t>
      </w:r>
      <w:r>
        <w:tab/>
        <w:t>Приветствуя создание в 2007 году национального правозащитного учр</w:t>
      </w:r>
      <w:r>
        <w:t>е</w:t>
      </w:r>
      <w:r>
        <w:t>ждения (Управление Омбудсмена) и работу, проведенную им по сегодняшний день, и отмечая с интересом представленную делегацией информацию о том, что Омбудсмен будет официально уполномочен действовать в качестве наци</w:t>
      </w:r>
      <w:r>
        <w:t>о</w:t>
      </w:r>
      <w:r>
        <w:t>нального превентивного механизма для целей Факультативного протокола к Конвенции против пыток, Комитет озабочен тем, что в случае отсутствия на</w:t>
      </w:r>
      <w:r>
        <w:t>д</w:t>
      </w:r>
      <w:r>
        <w:t>лежащих ресурсов это учреждение вряд ли сможет функционировать эффекти</w:t>
      </w:r>
      <w:r>
        <w:t>в</w:t>
      </w:r>
      <w:r>
        <w:t>ным образом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рассмотреть вопрос о предоставлении Управлению Омбудсмена, с учетом его новой роли в качестве национал</w:t>
      </w:r>
      <w:r>
        <w:rPr>
          <w:b/>
        </w:rPr>
        <w:t>ь</w:t>
      </w:r>
      <w:r>
        <w:rPr>
          <w:b/>
        </w:rPr>
        <w:t>ного преве</w:t>
      </w:r>
      <w:r>
        <w:rPr>
          <w:b/>
        </w:rPr>
        <w:t>н</w:t>
      </w:r>
      <w:r>
        <w:rPr>
          <w:b/>
        </w:rPr>
        <w:t>тивного механизма, необходимых дополнительных финансовых и людских ресурсов, с тем чтобы оно могло эффективно выполнять свою текущую деятельность, а также свои н</w:t>
      </w:r>
      <w:r>
        <w:rPr>
          <w:b/>
        </w:rPr>
        <w:t>о</w:t>
      </w:r>
      <w:r>
        <w:rPr>
          <w:b/>
        </w:rPr>
        <w:t>вые функции.</w:t>
      </w:r>
    </w:p>
    <w:p w:rsidR="00000000" w:rsidRDefault="00000000">
      <w:pPr>
        <w:pStyle w:val="SingleTxtGR"/>
      </w:pPr>
      <w:r>
        <w:t>8.</w:t>
      </w:r>
      <w:r>
        <w:tab/>
        <w:t xml:space="preserve"> Приветствуя усилия, предпринятые гос</w:t>
      </w:r>
      <w:r>
        <w:t>у</w:t>
      </w:r>
      <w:r>
        <w:t>дарством-участником в отчетный период с целью решения проблемы дискриминации женщин в различных сф</w:t>
      </w:r>
      <w:r>
        <w:t>е</w:t>
      </w:r>
      <w:r>
        <w:t xml:space="preserve">рах жизни, включая принятие в 2009 году Закона о </w:t>
      </w:r>
      <w:proofErr w:type="spellStart"/>
      <w:r>
        <w:t>гендерном</w:t>
      </w:r>
      <w:proofErr w:type="spellEnd"/>
      <w:r>
        <w:t xml:space="preserve"> равенстве и др</w:t>
      </w:r>
      <w:r>
        <w:t>у</w:t>
      </w:r>
      <w:r>
        <w:t>гие инициативы, Комитет озабочен тем, что результаты, достигнутые на пра</w:t>
      </w:r>
      <w:r>
        <w:t>к</w:t>
      </w:r>
      <w:r>
        <w:t>тике, являются ограниченными. Он выражает озабоченность в связи с тем, что в н</w:t>
      </w:r>
      <w:r>
        <w:t>а</w:t>
      </w:r>
      <w:r>
        <w:t>рушение принципа равного вознаграждения за труд равной ценности между женщинами и мужчинами по-прежнему существуют различия, а также по пов</w:t>
      </w:r>
      <w:r>
        <w:t>о</w:t>
      </w:r>
      <w:r>
        <w:t>ду низкой представленности женщин на высокопоставленных и директивных должностях и сохранения стереотипов в отношении роли женщин в о</w:t>
      </w:r>
      <w:r>
        <w:t>б</w:t>
      </w:r>
      <w:r>
        <w:t>ществе, в частности женщин рома (статьи 2, 3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продолжать предпринимать усилия с целью повышения уровня представленности женщин, в том числе на высокоп</w:t>
      </w:r>
      <w:r>
        <w:rPr>
          <w:b/>
        </w:rPr>
        <w:t>о</w:t>
      </w:r>
      <w:r>
        <w:rPr>
          <w:b/>
        </w:rPr>
        <w:t>ставленных и директивных должностях в органах власти государс</w:t>
      </w:r>
      <w:r>
        <w:rPr>
          <w:b/>
        </w:rPr>
        <w:t>т</w:t>
      </w:r>
      <w:r>
        <w:rPr>
          <w:b/>
        </w:rPr>
        <w:t>венного и местного уровней. Ему следует обеспечить равенство мужчин и женщин, в том числе в вопросах заработной платы, получаемой за труд равной це</w:t>
      </w:r>
      <w:r>
        <w:rPr>
          <w:b/>
        </w:rPr>
        <w:t>н</w:t>
      </w:r>
      <w:r>
        <w:rPr>
          <w:b/>
        </w:rPr>
        <w:t>ности. Государству-участнику следует принять нео</w:t>
      </w:r>
      <w:r>
        <w:rPr>
          <w:b/>
        </w:rPr>
        <w:t>б</w:t>
      </w:r>
      <w:r>
        <w:rPr>
          <w:b/>
        </w:rPr>
        <w:t>ходимые практические меры с целью искоренения стереотипов в отношении роли женщин в общ</w:t>
      </w:r>
      <w:r>
        <w:rPr>
          <w:b/>
        </w:rPr>
        <w:t>е</w:t>
      </w:r>
      <w:r>
        <w:rPr>
          <w:b/>
        </w:rPr>
        <w:t>стве в целом и р</w:t>
      </w:r>
      <w:r>
        <w:rPr>
          <w:b/>
        </w:rPr>
        <w:t>о</w:t>
      </w:r>
      <w:r>
        <w:rPr>
          <w:b/>
        </w:rPr>
        <w:t xml:space="preserve">ли женщин рома в частности. </w:t>
      </w:r>
    </w:p>
    <w:p w:rsidR="00000000" w:rsidRDefault="00000000">
      <w:pPr>
        <w:pStyle w:val="SingleTxtGR"/>
      </w:pPr>
      <w:r>
        <w:t>9.</w:t>
      </w:r>
      <w:r>
        <w:tab/>
        <w:t>Со ссылкой на свои прежние заключительные замечания (пункт 17) К</w:t>
      </w:r>
      <w:r>
        <w:t>о</w:t>
      </w:r>
      <w:r>
        <w:t>митет вновь выражает озабоченность по поводу широких масштабов насилия в семье, а также того, что лишь немногие случаи насилия в семье становятся предметом судебного разбирательства. Комитет также озабочен тем, что, н</w:t>
      </w:r>
      <w:r>
        <w:t>е</w:t>
      </w:r>
      <w:r>
        <w:t>смотря на достигнутый прогресс, включая создание линий горячей связи для жертв и принятие в 2009 году Национальной стратегии в области улучшения положения женщин и поощрения гендерного равенства, вопросами оказания помощи жертвам насилия в семье, в том числе вопросами обслуживания пр</w:t>
      </w:r>
      <w:r>
        <w:t>и</w:t>
      </w:r>
      <w:r>
        <w:t>ютов, занимаются главным образом неправительственные организации (ст</w:t>
      </w:r>
      <w:r>
        <w:t>а</w:t>
      </w:r>
      <w:r>
        <w:t>тьи 2, 3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продолжать предпринимать усилия в ц</w:t>
      </w:r>
      <w:r>
        <w:rPr>
          <w:b/>
        </w:rPr>
        <w:t>е</w:t>
      </w:r>
      <w:r>
        <w:rPr>
          <w:b/>
        </w:rPr>
        <w:t>лях борьбы с насилием в семье и создания центров помощи жертвам, где они могли бы получать надлежащую медицинскую, психологическую и юрид</w:t>
      </w:r>
      <w:r>
        <w:rPr>
          <w:b/>
        </w:rPr>
        <w:t>и</w:t>
      </w:r>
      <w:r>
        <w:rPr>
          <w:b/>
        </w:rPr>
        <w:t>ческую помощь, а также приютов для жертв насилия, в том числе для д</w:t>
      </w:r>
      <w:r>
        <w:rPr>
          <w:b/>
        </w:rPr>
        <w:t>е</w:t>
      </w:r>
      <w:r>
        <w:rPr>
          <w:b/>
        </w:rPr>
        <w:t>тей. С целью повышения уровня информированности общественн</w:t>
      </w:r>
      <w:r>
        <w:rPr>
          <w:b/>
        </w:rPr>
        <w:t>о</w:t>
      </w:r>
      <w:r>
        <w:rPr>
          <w:b/>
        </w:rPr>
        <w:t>сти ему следует распространять информацию по этому вопросу через средства ма</w:t>
      </w:r>
      <w:r>
        <w:rPr>
          <w:b/>
        </w:rPr>
        <w:t>с</w:t>
      </w:r>
      <w:r>
        <w:rPr>
          <w:b/>
        </w:rPr>
        <w:t>совой информации. Государству-участнику следует обеспечить, чтобы сл</w:t>
      </w:r>
      <w:r>
        <w:rPr>
          <w:b/>
        </w:rPr>
        <w:t>у</w:t>
      </w:r>
      <w:r>
        <w:rPr>
          <w:b/>
        </w:rPr>
        <w:t>чаи насилия в семье тщательно расследовались, а виновные в их соверш</w:t>
      </w:r>
      <w:r>
        <w:rPr>
          <w:b/>
        </w:rPr>
        <w:t>е</w:t>
      </w:r>
      <w:r>
        <w:rPr>
          <w:b/>
        </w:rPr>
        <w:t>нии подвергались судебному преследованию и, в случае осуждения, нак</w:t>
      </w:r>
      <w:r>
        <w:rPr>
          <w:b/>
        </w:rPr>
        <w:t>а</w:t>
      </w:r>
      <w:r>
        <w:rPr>
          <w:b/>
        </w:rPr>
        <w:t>зывались соответствующим образом. Ему следует также обеспечить, чтобы жертвы могли получать надлежащую компенсацию. С этой целью госуда</w:t>
      </w:r>
      <w:r>
        <w:rPr>
          <w:b/>
        </w:rPr>
        <w:t>р</w:t>
      </w:r>
      <w:r>
        <w:rPr>
          <w:b/>
        </w:rPr>
        <w:t>ству-участнику следует организовать надлежащую подготовку и соответс</w:t>
      </w:r>
      <w:r>
        <w:rPr>
          <w:b/>
        </w:rPr>
        <w:t>т</w:t>
      </w:r>
      <w:r>
        <w:rPr>
          <w:b/>
        </w:rPr>
        <w:t>вующие информационно-просветительские мероприятия по этому вопросу для сотрудников полиции, местных органов власти, медицинских и соц</w:t>
      </w:r>
      <w:r>
        <w:rPr>
          <w:b/>
        </w:rPr>
        <w:t>и</w:t>
      </w:r>
      <w:r>
        <w:rPr>
          <w:b/>
        </w:rPr>
        <w:t>альных рабо</w:t>
      </w:r>
      <w:r>
        <w:rPr>
          <w:b/>
        </w:rPr>
        <w:t>т</w:t>
      </w:r>
      <w:r>
        <w:rPr>
          <w:b/>
        </w:rPr>
        <w:t>ников.</w:t>
      </w:r>
    </w:p>
    <w:p w:rsidR="00000000" w:rsidRDefault="00000000">
      <w:pPr>
        <w:pStyle w:val="SingleTxtGR"/>
      </w:pPr>
      <w:r>
        <w:t>10.</w:t>
      </w:r>
      <w:r>
        <w:tab/>
        <w:t>Со ссылкой на свои предыдущие заключительные замечания (пункт 9) Комитет вновь выражает озабоченность по поводу того, что серьезные наруш</w:t>
      </w:r>
      <w:r>
        <w:t>е</w:t>
      </w:r>
      <w:r>
        <w:t>ния прав человека, совершенные как до, так и после 2000 года, остаются безн</w:t>
      </w:r>
      <w:r>
        <w:t>а</w:t>
      </w:r>
      <w:r>
        <w:t>казанными. Отмечая, что власти государства-участника провели расслед</w:t>
      </w:r>
      <w:r>
        <w:t>о</w:t>
      </w:r>
      <w:r>
        <w:t>вания этих преступлений, он тем не менее выражает сожаление в связи с тем, что с</w:t>
      </w:r>
      <w:r>
        <w:t>у</w:t>
      </w:r>
      <w:r>
        <w:t>дебное преследование было возбуждено лишь в немногих случаях и что были вынесены относительно мягкие приговоры, которые несоразмерны тяжести с</w:t>
      </w:r>
      <w:r>
        <w:t>о</w:t>
      </w:r>
      <w:r>
        <w:t>вершенных деяний. Комитет также озабочен трудностями, с которыми сталк</w:t>
      </w:r>
      <w:r>
        <w:t>и</w:t>
      </w:r>
      <w:r>
        <w:t>ваются отдельные лица при получении от государства компенсации за наруш</w:t>
      </w:r>
      <w:r>
        <w:t>е</w:t>
      </w:r>
      <w:r>
        <w:t>ния прав человека, в частности военные преступления, а также тем, что срок давности в соответствии с законом с</w:t>
      </w:r>
      <w:r>
        <w:t>о</w:t>
      </w:r>
      <w:r>
        <w:t>ставляет пять лет (статьи 2, 6 и 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напоминает о своей прежней рекомендации в отношении т</w:t>
      </w:r>
      <w:r>
        <w:rPr>
          <w:b/>
        </w:rPr>
        <w:t>о</w:t>
      </w:r>
      <w:r>
        <w:rPr>
          <w:b/>
        </w:rPr>
        <w:t>го, что государство-участник обязано всесторонне расследовать все случаи пре</w:t>
      </w:r>
      <w:r>
        <w:rPr>
          <w:b/>
        </w:rPr>
        <w:t>д</w:t>
      </w:r>
      <w:r>
        <w:rPr>
          <w:b/>
        </w:rPr>
        <w:t>полагаемых нарушений прав человека, в частности нарушений ст</w:t>
      </w:r>
      <w:r>
        <w:rPr>
          <w:b/>
        </w:rPr>
        <w:t>а</w:t>
      </w:r>
      <w:r>
        <w:rPr>
          <w:b/>
        </w:rPr>
        <w:t>тей 6 и 7 Пакта, которые имели место в 1990-е годы, и с целью недопущения безн</w:t>
      </w:r>
      <w:r>
        <w:rPr>
          <w:b/>
        </w:rPr>
        <w:t>а</w:t>
      </w:r>
      <w:r>
        <w:rPr>
          <w:b/>
        </w:rPr>
        <w:t>казанности привлекать к суду лиц, которые виновны в таких н</w:t>
      </w:r>
      <w:r>
        <w:rPr>
          <w:b/>
        </w:rPr>
        <w:t>а</w:t>
      </w:r>
      <w:r>
        <w:rPr>
          <w:b/>
        </w:rPr>
        <w:t>рушениях. Государству-участнику следует также обеспечить, чтобы все жертвы таких нарушений и их семьи пол</w:t>
      </w:r>
      <w:r>
        <w:rPr>
          <w:b/>
        </w:rPr>
        <w:t>у</w:t>
      </w:r>
      <w:r>
        <w:rPr>
          <w:b/>
        </w:rPr>
        <w:t>чили надлежащую компенсацию.</w:t>
      </w:r>
    </w:p>
    <w:p w:rsidR="00000000" w:rsidRDefault="00000000">
      <w:pPr>
        <w:pStyle w:val="SingleTxtGR"/>
      </w:pPr>
      <w:r>
        <w:t>11.</w:t>
      </w:r>
      <w:r>
        <w:tab/>
        <w:t>Комитет озабочен тем, что мера наказания за пытки и жестокое обращ</w:t>
      </w:r>
      <w:r>
        <w:t>е</w:t>
      </w:r>
      <w:r>
        <w:t>ние может составлять всего максимум восемь лет тюремного заключения и что предусмотренный законом для этих преступлений срок давности составляет д</w:t>
      </w:r>
      <w:r>
        <w:t>е</w:t>
      </w:r>
      <w:r>
        <w:t>сять лет (статья 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изменить свое законодательство и практ</w:t>
      </w:r>
      <w:r>
        <w:rPr>
          <w:b/>
        </w:rPr>
        <w:t>и</w:t>
      </w:r>
      <w:r>
        <w:rPr>
          <w:b/>
        </w:rPr>
        <w:t>ку, в том что касается максимального срока тюремного заключения за пытки и другие связанные с этим преступления, и с учетом тяжести этих преступл</w:t>
      </w:r>
      <w:r>
        <w:rPr>
          <w:b/>
        </w:rPr>
        <w:t>е</w:t>
      </w:r>
      <w:r>
        <w:rPr>
          <w:b/>
        </w:rPr>
        <w:t>ний увеличить предусмотренный законом срок давности.</w:t>
      </w:r>
    </w:p>
    <w:p w:rsidR="00000000" w:rsidRDefault="00000000">
      <w:pPr>
        <w:pStyle w:val="SingleTxtGR"/>
      </w:pPr>
      <w:r>
        <w:t>12.</w:t>
      </w:r>
      <w:r>
        <w:tab/>
        <w:t xml:space="preserve">Со ссылкой на свои предыдущие заключительные замечания (пункт 10) Комитет вновь выражает озабоченность по поводу отсутствия </w:t>
      </w:r>
      <w:proofErr w:type="spellStart"/>
      <w:r>
        <w:t>сколь-либо</w:t>
      </w:r>
      <w:proofErr w:type="spellEnd"/>
      <w:r>
        <w:t xml:space="preserve"> зн</w:t>
      </w:r>
      <w:r>
        <w:t>а</w:t>
      </w:r>
      <w:r>
        <w:t>чительного пр</w:t>
      </w:r>
      <w:r>
        <w:t>о</w:t>
      </w:r>
      <w:r>
        <w:t>гресса в деле проведения расследований, а также преследования и наказания виновных в убийстве более 800 человек, тела которых были обн</w:t>
      </w:r>
      <w:r>
        <w:t>а</w:t>
      </w:r>
      <w:r>
        <w:t>ружены в массовых захоронен</w:t>
      </w:r>
      <w:r>
        <w:t>и</w:t>
      </w:r>
      <w:r>
        <w:t xml:space="preserve">ях в </w:t>
      </w:r>
      <w:proofErr w:type="spellStart"/>
      <w:r>
        <w:t>Батайнице</w:t>
      </w:r>
      <w:proofErr w:type="spellEnd"/>
      <w:r>
        <w:t xml:space="preserve"> и вблизи этого населенного пункта, а также в том, что касается компенсации родственников жертв (ст</w:t>
      </w:r>
      <w:r>
        <w:t>а</w:t>
      </w:r>
      <w:r>
        <w:t>тьи 2 и 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незамедлительно принять меры с целью у</w:t>
      </w:r>
      <w:r>
        <w:rPr>
          <w:b/>
        </w:rPr>
        <w:t>с</w:t>
      </w:r>
      <w:r>
        <w:rPr>
          <w:b/>
        </w:rPr>
        <w:t xml:space="preserve">тановления точных обстоятельств, при которых были захоронены сотни людей в районе </w:t>
      </w:r>
      <w:proofErr w:type="spellStart"/>
      <w:r>
        <w:rPr>
          <w:b/>
        </w:rPr>
        <w:t>Батайницы</w:t>
      </w:r>
      <w:proofErr w:type="spellEnd"/>
      <w:r>
        <w:rPr>
          <w:b/>
        </w:rPr>
        <w:t>, и обеспечить, чтобы все виновные были пр</w:t>
      </w:r>
      <w:r>
        <w:rPr>
          <w:b/>
        </w:rPr>
        <w:t>и</w:t>
      </w:r>
      <w:r>
        <w:rPr>
          <w:b/>
        </w:rPr>
        <w:t>влечены к судебной ответственности и надлежащим образом наказаны в соответствии с уголовным правом. Государству-участнику следует также обеспечить, чтобы родственники жертв получили надлежащую компенс</w:t>
      </w:r>
      <w:r>
        <w:rPr>
          <w:b/>
        </w:rPr>
        <w:t>а</w:t>
      </w:r>
      <w:r>
        <w:rPr>
          <w:b/>
        </w:rPr>
        <w:t>цию.</w:t>
      </w:r>
    </w:p>
    <w:p w:rsidR="00000000" w:rsidRDefault="00000000">
      <w:pPr>
        <w:pStyle w:val="SingleTxtGR"/>
      </w:pPr>
      <w:r>
        <w:t>13.</w:t>
      </w:r>
      <w:r>
        <w:tab/>
        <w:t>Отмечая сотрудничество властей государства-участника с Междунаро</w:t>
      </w:r>
      <w:r>
        <w:t>д</w:t>
      </w:r>
      <w:r>
        <w:t>ным уголовным трибуналом по бывшей Югославии (МТБЮ), Комитет вновь выражает озабоченность в связи с сообщениями о том, что предполагаемые в</w:t>
      </w:r>
      <w:r>
        <w:t>о</w:t>
      </w:r>
      <w:r>
        <w:t>енные преступники по-прежнему находятся на территории государства-участника, но при этом они не арестованы и не преданы правосудию (ст</w:t>
      </w:r>
      <w:r>
        <w:t>а</w:t>
      </w:r>
      <w:r>
        <w:t>тьи 6 и 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продолжать в полной мере и эффективно сотрудничать с МТБЮ, при этом ему следует обеспечить, чтобы все лица, подозреваемые в совершении военных преступлений и нарушении межд</w:t>
      </w:r>
      <w:r>
        <w:rPr>
          <w:b/>
        </w:rPr>
        <w:t>у</w:t>
      </w:r>
      <w:r>
        <w:rPr>
          <w:b/>
        </w:rPr>
        <w:t>народного гуманитарного права, включая Радко Младича, которые нах</w:t>
      </w:r>
      <w:r>
        <w:rPr>
          <w:b/>
        </w:rPr>
        <w:t>о</w:t>
      </w:r>
      <w:r>
        <w:rPr>
          <w:b/>
        </w:rPr>
        <w:t>дятся под его юрисдикцией, были пер</w:t>
      </w:r>
      <w:r>
        <w:rPr>
          <w:b/>
        </w:rPr>
        <w:t>е</w:t>
      </w:r>
      <w:r>
        <w:rPr>
          <w:b/>
        </w:rPr>
        <w:t>даны МТБЮ.</w:t>
      </w:r>
    </w:p>
    <w:p w:rsidR="00000000" w:rsidRDefault="00000000">
      <w:pPr>
        <w:pStyle w:val="SingleTxtGR"/>
      </w:pPr>
      <w:r>
        <w:t>14.</w:t>
      </w:r>
      <w:r>
        <w:tab/>
        <w:t>Со ссылкой на свои предыдущие заключительные замечания (статья 15) Комитет вновь выражает озабоченность по поводу того, что в государстве-участнике нет организации, которая бы осуществляла независимый, эффекти</w:t>
      </w:r>
      <w:r>
        <w:t>в</w:t>
      </w:r>
      <w:r>
        <w:t>ный и систематический надзор за условиями содержания под стражей в пол</w:t>
      </w:r>
      <w:r>
        <w:t>и</w:t>
      </w:r>
      <w:r>
        <w:t>ции. Кроме того, Комитет озабочен н</w:t>
      </w:r>
      <w:r>
        <w:t>е</w:t>
      </w:r>
      <w:r>
        <w:t>удовлетворительными и ненадлежащими условиями содержания под стражей в полицейских участках, а также тем фа</w:t>
      </w:r>
      <w:r>
        <w:t>к</w:t>
      </w:r>
      <w:r>
        <w:t>том, что обвиняемые в совершении преступлений содержатся вместе с подозр</w:t>
      </w:r>
      <w:r>
        <w:t>е</w:t>
      </w:r>
      <w:r>
        <w:t>ваемыми, а несовершеннолетние − вместе со взрослыми (статьи 7 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обеспечить наличие надлежащей системы для надзора за условиями содержания под стражей в полиции, особенно в свете обязательств, которые взяло на себя государство-участник в резул</w:t>
      </w:r>
      <w:r>
        <w:rPr>
          <w:b/>
        </w:rPr>
        <w:t>ь</w:t>
      </w:r>
      <w:r>
        <w:rPr>
          <w:b/>
        </w:rPr>
        <w:t>тате ратиф</w:t>
      </w:r>
      <w:r>
        <w:rPr>
          <w:b/>
        </w:rPr>
        <w:t>и</w:t>
      </w:r>
      <w:r>
        <w:rPr>
          <w:b/>
        </w:rPr>
        <w:t>кации Факультативного протокола к Конвенции против пыток и других жестоких, бесчеловечных или унижающих достоинство видов о</w:t>
      </w:r>
      <w:r>
        <w:rPr>
          <w:b/>
        </w:rPr>
        <w:t>б</w:t>
      </w:r>
      <w:r>
        <w:rPr>
          <w:b/>
        </w:rPr>
        <w:t>ращения и наказания. Ему следует также обеспечить, чтобы условия с</w:t>
      </w:r>
      <w:r>
        <w:rPr>
          <w:b/>
        </w:rPr>
        <w:t>о</w:t>
      </w:r>
      <w:r>
        <w:rPr>
          <w:b/>
        </w:rPr>
        <w:t>держания под стражей во всех полицейских изоляторах соответствовали его обязательствам по Пакту.</w:t>
      </w:r>
    </w:p>
    <w:p w:rsidR="00000000" w:rsidRDefault="00000000">
      <w:pPr>
        <w:pStyle w:val="SingleTxtGR"/>
      </w:pPr>
      <w:r>
        <w:t>15.</w:t>
      </w:r>
      <w:r>
        <w:tab/>
        <w:t>Отмечая, что государство-участник начало строить новые тюрьмы и м</w:t>
      </w:r>
      <w:r>
        <w:t>о</w:t>
      </w:r>
      <w:r>
        <w:t>дернизир</w:t>
      </w:r>
      <w:r>
        <w:t>о</w:t>
      </w:r>
      <w:r>
        <w:t>вать существующие пенитенциарные учреждения, Комитет по-прежнему выражает озабоченность по поводу переполненности тюрем (ст</w:t>
      </w:r>
      <w:r>
        <w:t>а</w:t>
      </w:r>
      <w:r>
        <w:t>тьи 7 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в соответствии с его обязательствами по Пакту и положениями Минимальных стандартных правил обращения с заключенными принять дополнительные меры с целью улучшения обр</w:t>
      </w:r>
      <w:r>
        <w:rPr>
          <w:b/>
        </w:rPr>
        <w:t>а</w:t>
      </w:r>
      <w:r>
        <w:rPr>
          <w:b/>
        </w:rPr>
        <w:t>щения с заключенными и условий содержания в тюрьмах. В этой связи Комитет предлагает государству-участнику рассмотреть возможность не только строительства новых тюрем, но и более широкого применения практики вынесения альтернативных приговоров, не связанных с лиш</w:t>
      </w:r>
      <w:r>
        <w:rPr>
          <w:b/>
        </w:rPr>
        <w:t>е</w:t>
      </w:r>
      <w:r>
        <w:rPr>
          <w:b/>
        </w:rPr>
        <w:t>нием свободы.</w:t>
      </w:r>
    </w:p>
    <w:p w:rsidR="00000000" w:rsidRDefault="00000000">
      <w:pPr>
        <w:pStyle w:val="SingleTxtGR"/>
      </w:pPr>
      <w:r>
        <w:t>16.</w:t>
      </w:r>
      <w:r>
        <w:tab/>
        <w:t>Отмечая прогресс, достигнутый в области борьбы с торговлей людьми, Комитет озабочен информацией, согласно которой более половины всех жертв торговли людьми и сексуальной эксплуатации составляют несовершеннолетние. Он также озабочен неопределенностью положения иностранных граждан, в</w:t>
      </w:r>
      <w:r>
        <w:t>ы</w:t>
      </w:r>
      <w:r>
        <w:t>ступающих в качестве свидетелей в ходе судебных процессов по делам, связа</w:t>
      </w:r>
      <w:r>
        <w:t>н</w:t>
      </w:r>
      <w:r>
        <w:t>ным с торговлей людьми, и тем фактом, что им выдается лишь временный вид на жительство на период судебного процесса (статья 8).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продолжать предпринимать усилия с целью повышения уровня информированности о проблеме торговли люд</w:t>
      </w:r>
      <w:r>
        <w:rPr>
          <w:b/>
        </w:rPr>
        <w:t>ь</w:t>
      </w:r>
      <w:r>
        <w:rPr>
          <w:b/>
        </w:rPr>
        <w:t>ми и борьбы с этим явлением, в том числе на региональном уровне и в сотру</w:t>
      </w:r>
      <w:r>
        <w:rPr>
          <w:b/>
        </w:rPr>
        <w:t>д</w:t>
      </w:r>
      <w:r>
        <w:rPr>
          <w:b/>
        </w:rPr>
        <w:t>ничестве с соседними странами. Ему следует обеспечить, чтобы все лица, виновные в торговле людьми, привлекались к судебной ответстве</w:t>
      </w:r>
      <w:r>
        <w:rPr>
          <w:b/>
        </w:rPr>
        <w:t>н</w:t>
      </w:r>
      <w:r>
        <w:rPr>
          <w:b/>
        </w:rPr>
        <w:t>ности и наказывались соразмерно тяжести совершенных преступлений и чтобы жертвам торговли людьми предоставлялись услуги, необходимые для их реабилитации. Государству-участнику следует активно проводить полит</w:t>
      </w:r>
      <w:r>
        <w:rPr>
          <w:b/>
        </w:rPr>
        <w:t>и</w:t>
      </w:r>
      <w:r>
        <w:rPr>
          <w:b/>
        </w:rPr>
        <w:t>ку борьбы с торговлей людьми, в частности несовершеннолетними для ц</w:t>
      </w:r>
      <w:r>
        <w:rPr>
          <w:b/>
        </w:rPr>
        <w:t>е</w:t>
      </w:r>
      <w:r>
        <w:rPr>
          <w:b/>
        </w:rPr>
        <w:t>лей сексуальной эксплуатации, путем принятия конкретных цел</w:t>
      </w:r>
      <w:r>
        <w:rPr>
          <w:b/>
        </w:rPr>
        <w:t>е</w:t>
      </w:r>
      <w:r>
        <w:rPr>
          <w:b/>
        </w:rPr>
        <w:t>вых мер и планов действий в этой области исходя из того, что первоочередное вн</w:t>
      </w:r>
      <w:r>
        <w:rPr>
          <w:b/>
        </w:rPr>
        <w:t>и</w:t>
      </w:r>
      <w:r>
        <w:rPr>
          <w:b/>
        </w:rPr>
        <w:t>мание в рамках такой деятельности должно уделяться обеспечению на</w:t>
      </w:r>
      <w:r>
        <w:rPr>
          <w:b/>
        </w:rPr>
        <w:t>и</w:t>
      </w:r>
      <w:r>
        <w:rPr>
          <w:b/>
        </w:rPr>
        <w:t>лучших интересов ребенка. Детям − жертвам торговли людьми должна оказываться соответствующая помощь и защита, при этом следует полн</w:t>
      </w:r>
      <w:r>
        <w:rPr>
          <w:b/>
        </w:rPr>
        <w:t>о</w:t>
      </w:r>
      <w:r>
        <w:rPr>
          <w:b/>
        </w:rPr>
        <w:t>стью учитывать их особую уязвимость, права и потребности. Гос</w:t>
      </w:r>
      <w:r>
        <w:rPr>
          <w:b/>
        </w:rPr>
        <w:t>у</w:t>
      </w:r>
      <w:r>
        <w:rPr>
          <w:b/>
        </w:rPr>
        <w:t>дарству-участнику следует также обеспечить, чтобы обстоятельства иностранных граждан, выступающих в качестве официальных свидетелей в ходе суде</w:t>
      </w:r>
      <w:r>
        <w:rPr>
          <w:b/>
        </w:rPr>
        <w:t>б</w:t>
      </w:r>
      <w:r>
        <w:rPr>
          <w:b/>
        </w:rPr>
        <w:t>ных процессов по делам о торговле людьми, рассматривались на индив</w:t>
      </w:r>
      <w:r>
        <w:rPr>
          <w:b/>
        </w:rPr>
        <w:t>и</w:t>
      </w:r>
      <w:r>
        <w:rPr>
          <w:b/>
        </w:rPr>
        <w:t>дуальной основе по завершении таких процессов с целью оценки того, у</w:t>
      </w:r>
      <w:r>
        <w:rPr>
          <w:b/>
        </w:rPr>
        <w:t>г</w:t>
      </w:r>
      <w:r>
        <w:rPr>
          <w:b/>
        </w:rPr>
        <w:t>рожает ли им опасность в случае возвращения в свою страну происхожд</w:t>
      </w:r>
      <w:r>
        <w:rPr>
          <w:b/>
        </w:rPr>
        <w:t>е</w:t>
      </w:r>
      <w:r>
        <w:rPr>
          <w:b/>
        </w:rPr>
        <w:t>ния.</w:t>
      </w:r>
    </w:p>
    <w:p w:rsidR="00000000" w:rsidRDefault="00000000">
      <w:pPr>
        <w:pStyle w:val="SingleTxtGR"/>
      </w:pPr>
      <w:r>
        <w:t>17.</w:t>
      </w:r>
      <w:r>
        <w:tab/>
        <w:t>Отмечая усилия, предпринятые государством-участником с целью укре</w:t>
      </w:r>
      <w:r>
        <w:t>п</w:t>
      </w:r>
      <w:r>
        <w:t>ления и обеспечения независимости судебной власти, например принятие нов</w:t>
      </w:r>
      <w:r>
        <w:t>о</w:t>
      </w:r>
      <w:r>
        <w:t>го Закона о судьях, Комитет озабочен проблемами, которые обусловлены неэ</w:t>
      </w:r>
      <w:r>
        <w:t>ф</w:t>
      </w:r>
      <w:r>
        <w:t>фективным отправлением правосудия судами и которые являются причиной н</w:t>
      </w:r>
      <w:r>
        <w:t>е</w:t>
      </w:r>
      <w:r>
        <w:t>оправданных задержек и других недостатков в системе судопроизводства. Кр</w:t>
      </w:r>
      <w:r>
        <w:t>о</w:t>
      </w:r>
      <w:r>
        <w:t>ме того, в связи со случаями отстранения судей от должности в ходе состоя</w:t>
      </w:r>
      <w:r>
        <w:t>в</w:t>
      </w:r>
      <w:r>
        <w:t>шихся в 2009 году перевыборов Комитет выражает озабоченность по поводу т</w:t>
      </w:r>
      <w:r>
        <w:t>о</w:t>
      </w:r>
      <w:r>
        <w:t>го, что перевыборы, цель которых состояла в укреплении судебной власти и р</w:t>
      </w:r>
      <w:r>
        <w:t>е</w:t>
      </w:r>
      <w:r>
        <w:t xml:space="preserve">зультатом которых явилось сокращение числа судей, не были достаточно </w:t>
      </w:r>
      <w:proofErr w:type="spellStart"/>
      <w:r>
        <w:t>тран</w:t>
      </w:r>
      <w:r>
        <w:t>с</w:t>
      </w:r>
      <w:r>
        <w:t>парентными</w:t>
      </w:r>
      <w:proofErr w:type="spellEnd"/>
      <w:r>
        <w:t>, не основывались на четких критериях и не предусматривали во</w:t>
      </w:r>
      <w:r>
        <w:t>з</w:t>
      </w:r>
      <w:r>
        <w:t>можность надлежащего пересмотра решений об отстранении соответству</w:t>
      </w:r>
      <w:r>
        <w:t>ю</w:t>
      </w:r>
      <w:r>
        <w:t>щих судей от должн</w:t>
      </w:r>
      <w:r>
        <w:t>о</w:t>
      </w:r>
      <w:r>
        <w:t>сти (статья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обеспечить строгое соблюдение принципа независимости судебной власти. Ему следует также обеспечить, чтобы судьям, которые не были переизбраны в 2009 году, были предоставлены все возможности для обжалования результатов перевыборов в судебном поря</w:t>
      </w:r>
      <w:r>
        <w:rPr>
          <w:b/>
        </w:rPr>
        <w:t>д</w:t>
      </w:r>
      <w:r>
        <w:rPr>
          <w:b/>
        </w:rPr>
        <w:t>ке. Государс</w:t>
      </w:r>
      <w:r>
        <w:rPr>
          <w:b/>
        </w:rPr>
        <w:t>т</w:t>
      </w:r>
      <w:r>
        <w:rPr>
          <w:b/>
        </w:rPr>
        <w:t>ву-участнику следует также рассмотреть вопрос о проведении всеобъемлющих законодательных и других реформ с целью повышения эффективности фун</w:t>
      </w:r>
      <w:r>
        <w:rPr>
          <w:b/>
        </w:rPr>
        <w:t>к</w:t>
      </w:r>
      <w:r>
        <w:rPr>
          <w:b/>
        </w:rPr>
        <w:t xml:space="preserve">ционирования его судов и всей системы отправления правосудия. </w:t>
      </w:r>
    </w:p>
    <w:p w:rsidR="00000000" w:rsidRDefault="00000000">
      <w:pPr>
        <w:pStyle w:val="SingleTxtGR"/>
      </w:pPr>
      <w:r>
        <w:t>18.</w:t>
      </w:r>
      <w:r>
        <w:tab/>
        <w:t>Отмечая представленную государством-участником информацию о том, что в соответствии с Законом об уголовном судопроизводстве в некоторых уг</w:t>
      </w:r>
      <w:r>
        <w:t>о</w:t>
      </w:r>
      <w:r>
        <w:t>ловных делах может предоставляться бесплатная юридическая помощь, Ком</w:t>
      </w:r>
      <w:r>
        <w:t>и</w:t>
      </w:r>
      <w:r>
        <w:t>тет озабочен тем, что в государстве-участнике отсутствует какая-либо ко</w:t>
      </w:r>
      <w:r>
        <w:t>м</w:t>
      </w:r>
      <w:r>
        <w:t>плексная система оказания юридической помощи и что ни в законодательстве, ни на практике не предусмотрена возможность оказания бесплатной юридич</w:t>
      </w:r>
      <w:r>
        <w:t>е</w:t>
      </w:r>
      <w:r>
        <w:t>ской помощи в гражданских делах (статьи 9 и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пересмотреть свою систему предо</w:t>
      </w:r>
      <w:r>
        <w:rPr>
          <w:b/>
        </w:rPr>
        <w:t>с</w:t>
      </w:r>
      <w:r>
        <w:rPr>
          <w:b/>
        </w:rPr>
        <w:t>тавления бесплатной юридической помощи, с тем чтобы юридическая помощь ок</w:t>
      </w:r>
      <w:r>
        <w:rPr>
          <w:b/>
        </w:rPr>
        <w:t>а</w:t>
      </w:r>
      <w:r>
        <w:rPr>
          <w:b/>
        </w:rPr>
        <w:t>зывалась на бесплатной основе во всех случаях, когда того требуют инт</w:t>
      </w:r>
      <w:r>
        <w:rPr>
          <w:b/>
        </w:rPr>
        <w:t>е</w:t>
      </w:r>
      <w:r>
        <w:rPr>
          <w:b/>
        </w:rPr>
        <w:t>ресы правосудия.</w:t>
      </w:r>
    </w:p>
    <w:p w:rsidR="00000000" w:rsidRDefault="00000000">
      <w:pPr>
        <w:pStyle w:val="SingleTxtGR"/>
      </w:pPr>
      <w:r>
        <w:t>19.</w:t>
      </w:r>
      <w:r>
        <w:tab/>
        <w:t>Несмотря на меры, принятые государством-участником с целью решения проблемы лиц без документов, удостоверяющих личность, включая лиц, пер</w:t>
      </w:r>
      <w:r>
        <w:t>е</w:t>
      </w:r>
      <w:r>
        <w:t>мещенных в результате имевших место в прошлом конфликтов, многие лица, находящиеся под юри</w:t>
      </w:r>
      <w:r>
        <w:t>с</w:t>
      </w:r>
      <w:r>
        <w:t>дикцией государства-участника, в основном рома, живут без таких документов, а власти никогда не регистрировали их рождение. Ком</w:t>
      </w:r>
      <w:r>
        <w:t>и</w:t>
      </w:r>
      <w:r>
        <w:t>тет считает, что из-за такой ситуации представители наиболее уязвимых групп в государстве-участнике, а именно рома, не могут пользоваться некоторыми пр</w:t>
      </w:r>
      <w:r>
        <w:t>а</w:t>
      </w:r>
      <w:r>
        <w:t>вами человека, в том числе правами, закрепленными в Пакте, а также, в частн</w:t>
      </w:r>
      <w:r>
        <w:t>о</w:t>
      </w:r>
      <w:r>
        <w:t>сти, социальными услугами, социальными пособиями и адекватным жильем, и имеют ограниче</w:t>
      </w:r>
      <w:r>
        <w:t>н</w:t>
      </w:r>
      <w:r>
        <w:t>ный доступ к трудоустройству (статьи 12, 24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продолжать предпринимать усилия с целью предоставления всем лицам под его юрисдикцией документов, удостов</w:t>
      </w:r>
      <w:r>
        <w:rPr>
          <w:b/>
        </w:rPr>
        <w:t>е</w:t>
      </w:r>
      <w:r>
        <w:rPr>
          <w:b/>
        </w:rPr>
        <w:t>ряющих личность, в частности лицам, которые никогда не были зарегис</w:t>
      </w:r>
      <w:r>
        <w:rPr>
          <w:b/>
        </w:rPr>
        <w:t>т</w:t>
      </w:r>
      <w:r>
        <w:rPr>
          <w:b/>
        </w:rPr>
        <w:t>рированы или не получали таких документов. Государству-участнику сл</w:t>
      </w:r>
      <w:r>
        <w:rPr>
          <w:b/>
        </w:rPr>
        <w:t>е</w:t>
      </w:r>
      <w:r>
        <w:rPr>
          <w:b/>
        </w:rPr>
        <w:t>дует активизировать усилия с целью обеспечения всем жертвам прошлых конфликтов, находящимся под его юрисдикцией, включая рома, эффе</w:t>
      </w:r>
      <w:r>
        <w:rPr>
          <w:b/>
        </w:rPr>
        <w:t>к</w:t>
      </w:r>
      <w:r>
        <w:rPr>
          <w:b/>
        </w:rPr>
        <w:t>тивный доступ к надлежащему жилью, соц</w:t>
      </w:r>
      <w:r>
        <w:rPr>
          <w:b/>
        </w:rPr>
        <w:t>и</w:t>
      </w:r>
      <w:r>
        <w:rPr>
          <w:b/>
        </w:rPr>
        <w:t>альным пособиям и услугам.</w:t>
      </w:r>
    </w:p>
    <w:p w:rsidR="00000000" w:rsidRDefault="00000000">
      <w:pPr>
        <w:pStyle w:val="SingleTxtGR"/>
      </w:pPr>
      <w:r>
        <w:t>20.</w:t>
      </w:r>
      <w:r>
        <w:tab/>
        <w:t>Несмотря на то, что в статье 44 Конституции государства-участника зая</w:t>
      </w:r>
      <w:r>
        <w:t>в</w:t>
      </w:r>
      <w:r>
        <w:t>ляется, что все церкви и религиозные общины равны, Комитет озабочен разл</w:t>
      </w:r>
      <w:r>
        <w:t>и</w:t>
      </w:r>
      <w:r>
        <w:t>чием, которое проводится в Законе о церквях и религиозных общинах между "традиционными" и другими религиями, в частности когда речь идет об офиц</w:t>
      </w:r>
      <w:r>
        <w:t>и</w:t>
      </w:r>
      <w:r>
        <w:t>альной регистрации церкви или религиозной общины и приобретении статуса юридического лица (статьи 18 и 26).</w:t>
      </w:r>
    </w:p>
    <w:p w:rsidR="00000000" w:rsidRDefault="00000000">
      <w:pPr>
        <w:pStyle w:val="SingleTxtGR"/>
        <w:rPr>
          <w:b/>
        </w:rPr>
      </w:pPr>
      <w:r>
        <w:t>Г</w:t>
      </w:r>
      <w:r>
        <w:rPr>
          <w:b/>
        </w:rPr>
        <w:t>осударству-участнику следует пересмотреть свое законодательство и практику с целью обеспечения полного соблюдения принципа равного о</w:t>
      </w:r>
      <w:r>
        <w:rPr>
          <w:b/>
        </w:rPr>
        <w:t>б</w:t>
      </w:r>
      <w:r>
        <w:rPr>
          <w:b/>
        </w:rPr>
        <w:t>ращения, провозглашенн</w:t>
      </w:r>
      <w:r>
        <w:rPr>
          <w:b/>
        </w:rPr>
        <w:t>о</w:t>
      </w:r>
      <w:r>
        <w:rPr>
          <w:b/>
        </w:rPr>
        <w:t>го в статье 44 его Конституции, и в соответствии с требованиями статей 18 и 26 Пакта.</w:t>
      </w:r>
    </w:p>
    <w:p w:rsidR="00000000" w:rsidRDefault="00000000">
      <w:pPr>
        <w:pStyle w:val="SingleTxtGR"/>
      </w:pPr>
      <w:r>
        <w:t>21.</w:t>
      </w:r>
      <w:r>
        <w:tab/>
        <w:t>Со ссылкой на свои предыдущие заключительные замечания (пункт 22) Комитет вновь выражает озабоченность по поводу продолжающих иметь место нападений на журналистов, правозащитников и сотрудников средств массовой информации, а также случаев их запугивания и убийства. Он также озабочен тем, что диффамация по-прежнему представляет собой преступление в соотве</w:t>
      </w:r>
      <w:r>
        <w:t>т</w:t>
      </w:r>
      <w:r>
        <w:t>ствии с национальным законодательством, особенно с учетом широкого испол</w:t>
      </w:r>
      <w:r>
        <w:t>ь</w:t>
      </w:r>
      <w:r>
        <w:t>зования жалоб на журналистов и правозащитников за диффамацию правител</w:t>
      </w:r>
      <w:r>
        <w:t>ь</w:t>
      </w:r>
      <w:r>
        <w:t>ственными и другими государственными должностными лицами (ст</w:t>
      </w:r>
      <w:r>
        <w:t>а</w:t>
      </w:r>
      <w:r>
        <w:t>тьи 6, 7 и 19).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принять необх</w:t>
      </w:r>
      <w:r>
        <w:rPr>
          <w:b/>
        </w:rPr>
        <w:t>о</w:t>
      </w:r>
      <w:r>
        <w:rPr>
          <w:b/>
        </w:rPr>
        <w:t>димые меры для обеспечения того, чтобы ограничения, вводимые в отн</w:t>
      </w:r>
      <w:r>
        <w:rPr>
          <w:b/>
        </w:rPr>
        <w:t>о</w:t>
      </w:r>
      <w:r>
        <w:rPr>
          <w:b/>
        </w:rPr>
        <w:t>шении права на свободу мнений и их свободное выражение, соответствов</w:t>
      </w:r>
      <w:r>
        <w:rPr>
          <w:b/>
        </w:rPr>
        <w:t>а</w:t>
      </w:r>
      <w:r>
        <w:rPr>
          <w:b/>
        </w:rPr>
        <w:t>ли положениям Пакта. Государству-участнику следует принять решител</w:t>
      </w:r>
      <w:r>
        <w:rPr>
          <w:b/>
        </w:rPr>
        <w:t>ь</w:t>
      </w:r>
      <w:r>
        <w:rPr>
          <w:b/>
        </w:rPr>
        <w:t>ные меры для обеспечения защиты журналистов, независимых представ</w:t>
      </w:r>
      <w:r>
        <w:rPr>
          <w:b/>
        </w:rPr>
        <w:t>и</w:t>
      </w:r>
      <w:r>
        <w:rPr>
          <w:b/>
        </w:rPr>
        <w:t>телей гражданского общества, включая представителей неправительс</w:t>
      </w:r>
      <w:r>
        <w:rPr>
          <w:b/>
        </w:rPr>
        <w:t>т</w:t>
      </w:r>
      <w:r>
        <w:rPr>
          <w:b/>
        </w:rPr>
        <w:t>венных организаций и средств массовой и</w:t>
      </w:r>
      <w:r>
        <w:rPr>
          <w:b/>
        </w:rPr>
        <w:t>н</w:t>
      </w:r>
      <w:r>
        <w:rPr>
          <w:b/>
        </w:rPr>
        <w:t>формации. Государству-участнику следует обеспечить установление личности, судебное преслед</w:t>
      </w:r>
      <w:r>
        <w:rPr>
          <w:b/>
        </w:rPr>
        <w:t>о</w:t>
      </w:r>
      <w:r>
        <w:rPr>
          <w:b/>
        </w:rPr>
        <w:t>вание и, в случае вынесения обвинительного приговора, соотве</w:t>
      </w:r>
      <w:r>
        <w:rPr>
          <w:b/>
        </w:rPr>
        <w:t>т</w:t>
      </w:r>
      <w:r>
        <w:rPr>
          <w:b/>
        </w:rPr>
        <w:t>ствующее наказание виновных в совершении преступлений против работников средств массовой информации и представителей гражданского общества. Государству-участнику следует также рассмотреть вопрос о декриминал</w:t>
      </w:r>
      <w:r>
        <w:rPr>
          <w:b/>
        </w:rPr>
        <w:t>и</w:t>
      </w:r>
      <w:r>
        <w:rPr>
          <w:b/>
        </w:rPr>
        <w:t>зации диффам</w:t>
      </w:r>
      <w:r>
        <w:rPr>
          <w:b/>
        </w:rPr>
        <w:t>а</w:t>
      </w:r>
      <w:r>
        <w:rPr>
          <w:b/>
        </w:rPr>
        <w:t>ции.</w:t>
      </w:r>
    </w:p>
    <w:p w:rsidR="00000000" w:rsidRDefault="00000000">
      <w:pPr>
        <w:pStyle w:val="SingleTxtGR"/>
      </w:pPr>
      <w:r>
        <w:t>22.</w:t>
      </w:r>
      <w:r>
        <w:tab/>
        <w:t>Отмечая усилия, предпринимаемые государством-участником с целью улучшения положения рома, в том числе принятие Стратегии по улучшению положения рома (2009 год) и сопутствующего плана действий, а также создание Правительственного совета по вопросам улучшения положения рома и осущ</w:t>
      </w:r>
      <w:r>
        <w:t>е</w:t>
      </w:r>
      <w:r>
        <w:t>ствление мероприятий по линии Десятилетия интеграции рома (2005−2015 г</w:t>
      </w:r>
      <w:r>
        <w:t>о</w:t>
      </w:r>
      <w:r>
        <w:t>ды), Комитет вновь выражает озабоченность по поводу широкой дискримин</w:t>
      </w:r>
      <w:r>
        <w:t>а</w:t>
      </w:r>
      <w:r>
        <w:t xml:space="preserve">ции и </w:t>
      </w:r>
      <w:proofErr w:type="spellStart"/>
      <w:r>
        <w:t>маргинализации</w:t>
      </w:r>
      <w:proofErr w:type="spellEnd"/>
      <w:r>
        <w:t xml:space="preserve"> рома в различных областях жи</w:t>
      </w:r>
      <w:r>
        <w:t>з</w:t>
      </w:r>
      <w:r>
        <w:t>ни, включая образование, обеспечение жильем, здравоохранение и участие в политической жизни (ст</w:t>
      </w:r>
      <w:r>
        <w:t>а</w:t>
      </w:r>
      <w:r>
        <w:t>тьи 2, 26 и 27).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наращивать свои усилия по искоренению стереотипов и широко распространенных злоупотреблений в отношении рома путем, в частности, активизации информационно-просветительских кампаний, содействующих терпимости и уважению разнообразия. Госуда</w:t>
      </w:r>
      <w:r>
        <w:rPr>
          <w:b/>
        </w:rPr>
        <w:t>р</w:t>
      </w:r>
      <w:r>
        <w:rPr>
          <w:b/>
        </w:rPr>
        <w:t>ству-участнику следует также принять меры для обеспечения рома доступа к различным возможностям и услугам на всех уровнях, в том числе, если необходимо, путем принятия време</w:t>
      </w:r>
      <w:r>
        <w:rPr>
          <w:b/>
        </w:rPr>
        <w:t>н</w:t>
      </w:r>
      <w:r>
        <w:rPr>
          <w:b/>
        </w:rPr>
        <w:t xml:space="preserve">ных специальных мер. </w:t>
      </w:r>
    </w:p>
    <w:p w:rsidR="00000000" w:rsidRDefault="00000000">
      <w:pPr>
        <w:pStyle w:val="SingleTxtGR"/>
      </w:pPr>
      <w:r>
        <w:t>23.</w:t>
      </w:r>
      <w:r>
        <w:tab/>
        <w:t>Признавая усилия, предпринятые государством-участником с целью п</w:t>
      </w:r>
      <w:r>
        <w:t>о</w:t>
      </w:r>
      <w:r>
        <w:t>вышения эффективности защиты представителей национальных меньшинств, включая принятие Закона о советах национальных меньшинств (2009 год), К</w:t>
      </w:r>
      <w:r>
        <w:t>о</w:t>
      </w:r>
      <w:r>
        <w:t xml:space="preserve">митет вновь выражает озабоченность по поводу низкого уровня </w:t>
      </w:r>
      <w:proofErr w:type="spellStart"/>
      <w:r>
        <w:t>представленн</w:t>
      </w:r>
      <w:r>
        <w:t>о</w:t>
      </w:r>
      <w:r>
        <w:t>сти</w:t>
      </w:r>
      <w:proofErr w:type="spellEnd"/>
      <w:r>
        <w:t xml:space="preserve"> меньшинств в государственных и местных органах власти. Комитет также озабочен отсутствием в стране системы сбора дезагрегированных статистич</w:t>
      </w:r>
      <w:r>
        <w:t>е</w:t>
      </w:r>
      <w:r>
        <w:t>ских данных, которые позволили бы лучше оценить фактическое пол</w:t>
      </w:r>
      <w:r>
        <w:t>о</w:t>
      </w:r>
      <w:r>
        <w:t xml:space="preserve">жение всех меньшинств (статьи 25, 26 и 27).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продолжать предпринимать усилия, н</w:t>
      </w:r>
      <w:r>
        <w:rPr>
          <w:b/>
        </w:rPr>
        <w:t>а</w:t>
      </w:r>
      <w:r>
        <w:rPr>
          <w:b/>
        </w:rPr>
        <w:t>правленные на обеспечение полной защиты представителей национальных меньшинств, находящихся под его юрисдикцией, и равного обращения с ними. Ему следует принять меры, включая, если необходимо, соответс</w:t>
      </w:r>
      <w:r>
        <w:rPr>
          <w:b/>
        </w:rPr>
        <w:t>т</w:t>
      </w:r>
      <w:r>
        <w:rPr>
          <w:b/>
        </w:rPr>
        <w:t xml:space="preserve">вующие временные специальные меры, для повышения уровня </w:t>
      </w:r>
      <w:proofErr w:type="spellStart"/>
      <w:r>
        <w:rPr>
          <w:b/>
        </w:rPr>
        <w:t>предста</w:t>
      </w:r>
      <w:r>
        <w:rPr>
          <w:b/>
        </w:rPr>
        <w:t>в</w:t>
      </w:r>
      <w:r>
        <w:rPr>
          <w:b/>
        </w:rPr>
        <w:t>ленности</w:t>
      </w:r>
      <w:proofErr w:type="spellEnd"/>
      <w:r>
        <w:rPr>
          <w:b/>
        </w:rPr>
        <w:t xml:space="preserve"> национальных меньшинств в государственных и местных орг</w:t>
      </w:r>
      <w:r>
        <w:rPr>
          <w:b/>
        </w:rPr>
        <w:t>а</w:t>
      </w:r>
      <w:r>
        <w:rPr>
          <w:b/>
        </w:rPr>
        <w:t>нах власти. Государству-участнику следует также осуществлять сбор ст</w:t>
      </w:r>
      <w:r>
        <w:rPr>
          <w:b/>
        </w:rPr>
        <w:t>а</w:t>
      </w:r>
      <w:r>
        <w:rPr>
          <w:b/>
        </w:rPr>
        <w:t>тистических данных о штате сотрудников центральных и м</w:t>
      </w:r>
      <w:r>
        <w:rPr>
          <w:b/>
        </w:rPr>
        <w:t>е</w:t>
      </w:r>
      <w:r>
        <w:rPr>
          <w:b/>
        </w:rPr>
        <w:t>стных органов в разбивке по этническим группам. Такая информация должна быть пре</w:t>
      </w:r>
      <w:r>
        <w:rPr>
          <w:b/>
        </w:rPr>
        <w:t>д</w:t>
      </w:r>
      <w:r>
        <w:rPr>
          <w:b/>
        </w:rPr>
        <w:t>ставлена Комитету в следующем периодическом докладе гос</w:t>
      </w:r>
      <w:r>
        <w:rPr>
          <w:b/>
        </w:rPr>
        <w:t>у</w:t>
      </w:r>
      <w:r>
        <w:rPr>
          <w:b/>
        </w:rPr>
        <w:t>дарства-участника.</w:t>
      </w:r>
    </w:p>
    <w:p w:rsidR="00000000" w:rsidRDefault="00000000">
      <w:pPr>
        <w:pStyle w:val="SingleTxtGR"/>
      </w:pPr>
      <w:r>
        <w:t>24.</w:t>
      </w:r>
      <w:r>
        <w:tab/>
        <w:t>Государству-участнику следует обеспечить широкое распространение Пакта и двух Факультативных протоколов к нему, а также текста второго пери</w:t>
      </w:r>
      <w:r>
        <w:t>о</w:t>
      </w:r>
      <w:r>
        <w:t>дического до</w:t>
      </w:r>
      <w:r>
        <w:t>к</w:t>
      </w:r>
      <w:r>
        <w:t>лада, письменных ответов на перечень вопросов, подготовленный Комитетом, и настоящих заключительных замечаний с целью повышения уро</w:t>
      </w:r>
      <w:r>
        <w:t>в</w:t>
      </w:r>
      <w:r>
        <w:t>ня информированности сотрудников судебных, законодательных и администр</w:t>
      </w:r>
      <w:r>
        <w:t>а</w:t>
      </w:r>
      <w:r>
        <w:t>тивных органов, действующих в стране организаций гражданского общества и неправительственных организаций, а также населения в целом. Комитет также просит государство-участник провести в рамках подготовки своего третьего п</w:t>
      </w:r>
      <w:r>
        <w:t>е</w:t>
      </w:r>
      <w:r>
        <w:t>риодического доклада широкие консультации с гражданским обществом и н</w:t>
      </w:r>
      <w:r>
        <w:t>е</w:t>
      </w:r>
      <w:r>
        <w:t>правительственными организациями. Государству-участнику следует обесп</w:t>
      </w:r>
      <w:r>
        <w:t>е</w:t>
      </w:r>
      <w:r>
        <w:t>чить, чтобы настоящие заключительные замечания были переведены на языки меньшинств, проживающих в государстве-участнике (статья 2).</w:t>
      </w:r>
    </w:p>
    <w:p w:rsidR="00000000" w:rsidRDefault="00000000">
      <w:pPr>
        <w:pStyle w:val="SingleTxtGR"/>
      </w:pPr>
      <w:r>
        <w:t>25.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сударство-участник должно в течение года представить информацию о выпо</w:t>
      </w:r>
      <w:r>
        <w:t>л</w:t>
      </w:r>
      <w:r>
        <w:t>нении рекомендаций Комитета, изложенных в пунктах 12, 17 и 22 настоящего документа.</w:t>
      </w:r>
    </w:p>
    <w:p w:rsidR="00000000" w:rsidRDefault="00000000">
      <w:pPr>
        <w:pStyle w:val="SingleTxtGR"/>
      </w:pPr>
      <w:r>
        <w:t>26.</w:t>
      </w:r>
      <w:r>
        <w:tab/>
        <w:t>Комитет просит государство-участник включить в свой третий период</w:t>
      </w:r>
      <w:r>
        <w:t>и</w:t>
      </w:r>
      <w:r>
        <w:t>ческий доклад, подлежащий представлению к 1 апреля 2015 года, конкретную и обновленную информацию о выполнении всех рекомендаций Комитета и об осуществлении Пакта в ц</w:t>
      </w:r>
      <w:r>
        <w:t>е</w:t>
      </w:r>
      <w:r>
        <w:t>лом.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GE.11-43188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GE.11-43188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GE.11-43188  (R)  300611  010711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</w:t>
    </w:r>
    <w:r>
      <w:rPr>
        <w:lang w:val="ru-RU"/>
      </w:rPr>
      <w:t>С</w:t>
    </w:r>
    <w:r>
      <w:rPr>
        <w:lang w:val="en-US"/>
      </w:rPr>
      <w:t>/SBR/CO/2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</w:t>
    </w:r>
    <w:r>
      <w:rPr>
        <w:lang w:val="ru-RU"/>
      </w:rPr>
      <w:t>С</w:t>
    </w:r>
    <w:r>
      <w:rPr>
        <w:lang w:val="en-US"/>
      </w:rPr>
      <w:t>/SBR/CO/2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9</Pages>
  <Words>3076</Words>
  <Characters>21477</Characters>
  <Application>Microsoft Office Word</Application>
  <DocSecurity>4</DocSecurity>
  <Lines>397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1143188</vt:lpstr>
    </vt:vector>
  </TitlesOfParts>
  <Company>CSD</Company>
  <LinksUpToDate>false</LinksUpToDate>
  <CharactersWithSpaces>24477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1143188</dc:title>
  <dc:subject>Tepliakov</dc:subject>
  <dc:creator>Tatiana Chvets</dc:creator>
  <cp:keywords/>
  <dc:description/>
  <cp:lastModifiedBy>Tatiana Chvets</cp:lastModifiedBy>
  <cp:revision>2</cp:revision>
  <cp:lastPrinted>1601-01-01T00:00:00Z</cp:lastPrinted>
  <dcterms:created xsi:type="dcterms:W3CDTF">2011-07-01T13:09:00Z</dcterms:created>
  <dcterms:modified xsi:type="dcterms:W3CDTF">2011-07-01T13:09:00Z</dcterms:modified>
</cp:coreProperties>
</file>