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EA2" w:rsidRDefault="00613EA2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613EA2" w:rsidRDefault="00613EA2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4786056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613EA2" w:rsidRDefault="00613EA2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613EA2" w:rsidRDefault="00613EA2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613EA2" w:rsidRDefault="00613EA2">
      <w:pPr>
        <w:rPr>
          <w:lang w:val="es-ES_tradnl"/>
        </w:rPr>
      </w:pPr>
    </w:p>
    <w:p w:rsidR="00613EA2" w:rsidRDefault="00613EA2">
      <w:pPr>
        <w:rPr>
          <w:lang w:val="es-ES_tradnl"/>
        </w:rPr>
      </w:pPr>
    </w:p>
    <w:p w:rsidR="00B24415" w:rsidRDefault="00B24415" w:rsidP="008661C2">
      <w:pPr>
        <w:spacing w:after="240"/>
        <w:ind w:left="7083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B24415" w:rsidRDefault="00B24415" w:rsidP="008661C2">
      <w:pPr>
        <w:spacing w:after="240"/>
        <w:ind w:left="7083"/>
        <w:rPr>
          <w:lang w:val="es-ES_tradnl"/>
        </w:rPr>
      </w:pPr>
      <w:r>
        <w:rPr>
          <w:lang w:val="es-ES_tradnl"/>
        </w:rPr>
        <w:t>CRC/C/OPAC/OMN/1</w:t>
      </w:r>
      <w:r>
        <w:rPr>
          <w:lang w:val="es-ES_tradnl"/>
        </w:rPr>
        <w:br/>
        <w:t>19 de enero de 2009</w:t>
      </w:r>
    </w:p>
    <w:p w:rsidR="00B24415" w:rsidRDefault="00B24415" w:rsidP="008661C2">
      <w:pPr>
        <w:spacing w:after="600"/>
        <w:ind w:left="7083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ÁRABE</w:t>
      </w:r>
    </w:p>
    <w:p w:rsidR="00B24415" w:rsidRDefault="00B24415" w:rsidP="00B24415">
      <w:pPr>
        <w:spacing w:after="840"/>
        <w:rPr>
          <w:lang w:val="es-ES_tradnl"/>
        </w:rPr>
      </w:pPr>
      <w:r>
        <w:rPr>
          <w:lang w:val="es-ES_tradnl"/>
        </w:rPr>
        <w:t>COMITÉ DE LOS DERECHOS DEL NIÑO</w:t>
      </w:r>
    </w:p>
    <w:tbl>
      <w:tblPr>
        <w:tblW w:w="0" w:type="auto"/>
        <w:jc w:val="center"/>
        <w:tblInd w:w="10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4"/>
      </w:tblGrid>
      <w:tr w:rsidR="00B24415" w:rsidTr="001D04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74" w:type="dxa"/>
          </w:tcPr>
          <w:p w:rsidR="00B24415" w:rsidRDefault="00B24415" w:rsidP="001D04B2">
            <w:pPr>
              <w:tabs>
                <w:tab w:val="center" w:pos="3759"/>
              </w:tabs>
              <w:spacing w:after="240"/>
              <w:jc w:val="both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 xml:space="preserve">EXAMEN DE LOS INFORMES PRESENTADOS POR LOS ESTADOS PARTES CON ARREGLO AL PÁRRAFO 1 DEL ARTÍCULO 8 DEL PROTOCOLO FACULTATIVO DE LA CONVENCIÓN SOBRE LOS </w:t>
            </w:r>
            <w:r w:rsidRPr="00597173">
              <w:rPr>
                <w:rFonts w:ascii="Times New Roman Negrita" w:hAnsi="Times New Roman Negrita"/>
                <w:b/>
                <w:bCs/>
                <w:spacing w:val="4"/>
                <w:lang w:val="es-ES_tradnl"/>
              </w:rPr>
              <w:t>DERECHOS DEL NIÑO RELATIVO A LA PARTICIPACIÓN DE</w:t>
            </w:r>
            <w:r>
              <w:rPr>
                <w:b/>
                <w:bCs/>
                <w:lang w:val="es-ES_tradnl"/>
              </w:rPr>
              <w:t xml:space="preserve"> </w:t>
            </w:r>
            <w:r>
              <w:rPr>
                <w:b/>
                <w:bCs/>
                <w:lang w:val="es-ES_tradnl"/>
              </w:rPr>
              <w:tab/>
              <w:t>NIÑOS EN LOS CONFLICTOS ARMADOS</w:t>
            </w:r>
          </w:p>
        </w:tc>
      </w:tr>
    </w:tbl>
    <w:p w:rsidR="00B24415" w:rsidRDefault="00B24415" w:rsidP="00B24415">
      <w:pPr>
        <w:spacing w:after="48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Informe inicial que los Estados partes debían presentar en 2006</w:t>
      </w:r>
    </w:p>
    <w:p w:rsidR="00B24415" w:rsidRDefault="00B24415" w:rsidP="00B24415">
      <w:pPr>
        <w:spacing w:after="48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OMÁN</w:t>
      </w:r>
    </w:p>
    <w:p w:rsidR="00B24415" w:rsidRDefault="00B24415" w:rsidP="00B24415">
      <w:pPr>
        <w:spacing w:after="240"/>
        <w:jc w:val="right"/>
        <w:rPr>
          <w:lang w:val="es-ES_tradnl"/>
        </w:rPr>
      </w:pPr>
      <w:r>
        <w:rPr>
          <w:lang w:val="es-ES_tradnl"/>
        </w:rPr>
        <w:t>[11 de octubre de 2007]</w:t>
      </w: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jc w:val="right"/>
        <w:rPr>
          <w:lang w:val="es-ES_tradnl"/>
        </w:rPr>
      </w:pPr>
    </w:p>
    <w:p w:rsidR="00B24415" w:rsidRDefault="00B24415" w:rsidP="00B24415">
      <w:pPr>
        <w:spacing w:after="240"/>
        <w:rPr>
          <w:lang w:val="es-ES_tradnl"/>
        </w:rPr>
      </w:pPr>
      <w:r>
        <w:rPr>
          <w:lang w:val="es-ES_tradnl"/>
        </w:rPr>
        <w:t>GE.09-40239  (S)    220109    230109</w:t>
      </w:r>
    </w:p>
    <w:p w:rsidR="00B24415" w:rsidRDefault="00B24415" w:rsidP="00B24415">
      <w:pPr>
        <w:spacing w:after="240"/>
        <w:jc w:val="center"/>
        <w:rPr>
          <w:b/>
          <w:bCs/>
          <w:color w:val="000000"/>
          <w:lang w:eastAsia="es-ES"/>
        </w:rPr>
      </w:pPr>
      <w:r>
        <w:rPr>
          <w:lang w:val="es-ES_tradnl"/>
        </w:rPr>
        <w:br w:type="page"/>
      </w:r>
      <w:r w:rsidRPr="00046281">
        <w:rPr>
          <w:b/>
          <w:bCs/>
          <w:color w:val="000000"/>
          <w:lang w:eastAsia="es-ES"/>
        </w:rPr>
        <w:t>COMITÉ DE SEGUIMIENTO DE LA APLICACIÓN DE LA</w:t>
      </w:r>
      <w:r>
        <w:rPr>
          <w:b/>
          <w:bCs/>
          <w:color w:val="000000"/>
          <w:lang w:eastAsia="es-ES"/>
        </w:rPr>
        <w:br/>
      </w:r>
      <w:r w:rsidRPr="00046281">
        <w:rPr>
          <w:b/>
          <w:bCs/>
          <w:color w:val="000000"/>
          <w:lang w:eastAsia="es-ES"/>
        </w:rPr>
        <w:t>CONVENCIÓN SOBRE LOS DERECHOS</w:t>
      </w:r>
      <w:r>
        <w:rPr>
          <w:b/>
          <w:bCs/>
          <w:color w:val="000000"/>
          <w:lang w:eastAsia="es-ES"/>
        </w:rPr>
        <w:t xml:space="preserve"> DEL NIÑO</w:t>
      </w:r>
    </w:p>
    <w:p w:rsidR="00B24415" w:rsidRDefault="00B24415" w:rsidP="00B24415">
      <w:pPr>
        <w:spacing w:after="240"/>
        <w:jc w:val="center"/>
        <w:rPr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MINISTERIO DE DESARROLLO SOCIAL</w:t>
      </w:r>
      <w:r w:rsidRPr="00046281">
        <w:rPr>
          <w:color w:val="000000"/>
          <w:lang w:eastAsia="es-ES"/>
        </w:rPr>
        <w:t xml:space="preserve"> </w:t>
      </w:r>
    </w:p>
    <w:p w:rsidR="00B24415" w:rsidRPr="00046281" w:rsidRDefault="00B24415" w:rsidP="00B24415">
      <w:pPr>
        <w:spacing w:after="240"/>
        <w:jc w:val="center"/>
        <w:rPr>
          <w:b/>
          <w:bCs/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 xml:space="preserve">A. </w:t>
      </w:r>
      <w:r>
        <w:rPr>
          <w:b/>
          <w:bCs/>
          <w:color w:val="000000"/>
          <w:lang w:eastAsia="es-ES"/>
        </w:rPr>
        <w:t xml:space="preserve"> </w:t>
      </w:r>
      <w:r w:rsidRPr="00046281">
        <w:rPr>
          <w:b/>
          <w:bCs/>
          <w:color w:val="000000"/>
          <w:lang w:eastAsia="es-ES"/>
        </w:rPr>
        <w:t>Introducción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La Sultanía de Omán tiene el honor de presentar su informe en virtud del apartado 1</w:t>
      </w:r>
      <w:r>
        <w:rPr>
          <w:color w:val="000000"/>
          <w:lang w:eastAsia="es-ES"/>
        </w:rPr>
        <w:t xml:space="preserve"> del artículo 8 del Protocolo f</w:t>
      </w:r>
      <w:r w:rsidRPr="00046281">
        <w:rPr>
          <w:color w:val="000000"/>
          <w:lang w:eastAsia="es-ES"/>
        </w:rPr>
        <w:t>acultativo de la Convención sobre los Derechos del Niño relativo a la participación de niños en los conflictos armados, que versa sobre las medidas que el Estado ha adop</w:t>
      </w:r>
      <w:r>
        <w:rPr>
          <w:color w:val="000000"/>
          <w:lang w:eastAsia="es-ES"/>
        </w:rPr>
        <w:t>tado para aplicar el Protocolo f</w:t>
      </w:r>
      <w:r w:rsidRPr="00046281">
        <w:rPr>
          <w:color w:val="000000"/>
          <w:lang w:eastAsia="es-ES"/>
        </w:rPr>
        <w:t xml:space="preserve">acultativo.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Reafirmamos que la legislación vigente en la Sultanía de Omán garantiza la protección de los derechos humanos, incluidos los derechos del niño, particularmente en lo que respecta a la participación de ni</w:t>
      </w:r>
      <w:r>
        <w:rPr>
          <w:color w:val="000000"/>
          <w:lang w:eastAsia="es-ES"/>
        </w:rPr>
        <w:t xml:space="preserve">ños en los conflictos armados.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La Sultanía de Omán aprovecha además esta oportunidad para reafirmar su compromiso con los tratados, convenciones y pactos internacionales en los que es parte y por los que está obligado en virtud del artículo 10 de </w:t>
      </w:r>
      <w:r>
        <w:rPr>
          <w:color w:val="000000"/>
          <w:lang w:eastAsia="es-ES"/>
        </w:rPr>
        <w:t xml:space="preserve">la Ley fundamental del Estado.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Además, la Sultanía de Omán, de conformidad co</w:t>
      </w:r>
      <w:r>
        <w:rPr>
          <w:color w:val="000000"/>
          <w:lang w:eastAsia="es-ES"/>
        </w:rPr>
        <w:t xml:space="preserve">n lo dispuesto en el párrafo 1 </w:t>
      </w:r>
      <w:r w:rsidRPr="00046281">
        <w:rPr>
          <w:color w:val="000000"/>
          <w:lang w:eastAsia="es-ES"/>
        </w:rPr>
        <w:t xml:space="preserve">b) del artículo 44 de la Convención sobre los Derechos del Niño, ha presentado dos informes nacionales sobre la Convención.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El primero de ellos figura en el documento CRC/C/78/Add.1 y el segundo en el documento CRC/C/OMN/2.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>En la preparación de ambos informes se han tenido en cuenta las directrices sobre la forma y el contenido de los informes periódicos, emitidas por la Secretaría de las Naciones Unidas y aprobadas por el Comité</w:t>
      </w:r>
      <w:r>
        <w:rPr>
          <w:color w:val="000000"/>
          <w:lang w:eastAsia="es-ES"/>
        </w:rPr>
        <w:t xml:space="preserve"> de los Derechos del Niño en su </w:t>
      </w:r>
      <w:r w:rsidRPr="00046281">
        <w:rPr>
          <w:color w:val="000000"/>
          <w:lang w:eastAsia="es-ES"/>
        </w:rPr>
        <w:t>13º</w:t>
      </w:r>
      <w:r>
        <w:rPr>
          <w:color w:val="000000"/>
          <w:lang w:eastAsia="es-ES"/>
        </w:rPr>
        <w:t> </w:t>
      </w:r>
      <w:r w:rsidRPr="00046281">
        <w:rPr>
          <w:color w:val="000000"/>
          <w:lang w:eastAsia="es-ES"/>
        </w:rPr>
        <w:t>período de sesiones, celebrado</w:t>
      </w:r>
      <w:r>
        <w:rPr>
          <w:color w:val="000000"/>
          <w:lang w:eastAsia="es-ES"/>
        </w:rPr>
        <w:t xml:space="preserve"> en octubre de 1996. 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La Sultanía de Omán reafirma su compromiso con la Convención sobre los Derechos del Niño y su aplicación (teniendo debidamente en cuenta las reservas que ha formulado a la Convención y que seguirán siendo de aplicación hasta que se hayan revisado o modificado). </w:t>
      </w:r>
    </w:p>
    <w:p w:rsidR="00B24415" w:rsidRPr="00046281" w:rsidRDefault="00B24415" w:rsidP="00B24415">
      <w:pPr>
        <w:spacing w:after="240"/>
        <w:jc w:val="center"/>
        <w:rPr>
          <w:b/>
          <w:bCs/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 xml:space="preserve">B. </w:t>
      </w:r>
      <w:r>
        <w:rPr>
          <w:b/>
          <w:bCs/>
          <w:color w:val="000000"/>
          <w:lang w:eastAsia="es-ES"/>
        </w:rPr>
        <w:t xml:space="preserve"> </w:t>
      </w:r>
      <w:r w:rsidRPr="00046281">
        <w:rPr>
          <w:b/>
          <w:bCs/>
          <w:color w:val="000000"/>
          <w:lang w:eastAsia="es-ES"/>
        </w:rPr>
        <w:t xml:space="preserve">Información relativa a los artículos 1 a 7 del Protocolo </w:t>
      </w:r>
      <w:r>
        <w:rPr>
          <w:b/>
          <w:bCs/>
          <w:color w:val="000000"/>
          <w:lang w:eastAsia="es-ES"/>
        </w:rPr>
        <w:t>f</w:t>
      </w:r>
      <w:r w:rsidRPr="00046281">
        <w:rPr>
          <w:b/>
          <w:bCs/>
          <w:color w:val="000000"/>
          <w:lang w:eastAsia="es-ES"/>
        </w:rPr>
        <w:t>acultativo</w:t>
      </w:r>
    </w:p>
    <w:p w:rsidR="00B24415" w:rsidRPr="00046281" w:rsidRDefault="00B24415" w:rsidP="00B24415">
      <w:pPr>
        <w:spacing w:after="240"/>
        <w:rPr>
          <w:b/>
          <w:bCs/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Artículos 1 a 3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La edad mínima legal para el alistamiento en las fuerzas armadas en Omán es de 18 años. </w:t>
      </w:r>
      <w:r>
        <w:rPr>
          <w:color w:val="000000"/>
          <w:lang w:eastAsia="es-ES"/>
        </w:rPr>
        <w:t xml:space="preserve"> La </w:t>
      </w:r>
      <w:r w:rsidRPr="00046281">
        <w:rPr>
          <w:color w:val="000000"/>
          <w:lang w:eastAsia="es-ES"/>
        </w:rPr>
        <w:t xml:space="preserve">exigencia de un certificado de nacimiento o certificado de estimación de edad, expedido por las autoridades gubernamentales competentes (el registro civil), es una medida de precaución que garantiza el respeto de este límite de edad.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El alistamiento es voluntario, no obligatorio. 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Igualmente, la Sultanía de Omán, gracias a sus esfuerzos en aras de la paz y la cooperación entre los pueblos y a su adhesión a los tratados y pactos internacionales en su condición de miembro de las Naciones Unidas, no está expuesta a ninguna de las situaciones mencionadas en el Protocolo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acultativo relativo a la participación de niños menores de 18 años en conflictos armados.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Por ello, no existen medidas jurídicas o de otro tipo en relación con esta cuestión. </w:t>
      </w:r>
      <w:r>
        <w:rPr>
          <w:color w:val="000000"/>
          <w:lang w:eastAsia="es-ES"/>
        </w:rPr>
        <w:t xml:space="preserve"> </w:t>
      </w:r>
    </w:p>
    <w:p w:rsidR="00B24415" w:rsidRPr="00046281" w:rsidRDefault="00B24415" w:rsidP="00B24415">
      <w:pPr>
        <w:keepNext/>
        <w:keepLines/>
        <w:spacing w:after="240"/>
        <w:rPr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Artículo 4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No hay organizaciones militares o paramilitares en la Sultanía de Omán.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El capítulo II de la Ley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undamental del Estado define los principios que guían la política del Estado.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Entre estos principios, que son pertinentes para la Convención sobre los Derechos del Niño y su Protocolo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acultativo sobre la participación de niños en los conflictos armados, se hace mención al párrafo 2 del artículo 14 de la Ley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undamental, que establece lo siguiente: </w:t>
      </w:r>
    </w:p>
    <w:p w:rsidR="00B24415" w:rsidRPr="00046281" w:rsidRDefault="00B24415" w:rsidP="00B24415">
      <w:pPr>
        <w:spacing w:after="240"/>
        <w:ind w:left="567"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"Sólo el Estado podrá constituir fuerzas armadas, organizaciones de seguridad pública y cualesquiera otras fuerzas.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Todas ellas pertenecen a la nación y su tarea es proteger el Estado, defender su integridad territorial y garantizar la seguridad y la tranquilidad de los ciudadanos.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 xml:space="preserve">Ninguna institución o grupo podrá establecer organizaciones militares o paramilitares.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>La ley regulará el servicio militar, la movilización general o parcial y los derechos, deberes y régimen disciplinario de las fuerzas armadas, las organizaciones de seguridad pública y otras fuerzas que el Estado pueda decidir establecer</w:t>
      </w:r>
      <w:r>
        <w:rPr>
          <w:color w:val="000000"/>
          <w:lang w:eastAsia="es-ES"/>
        </w:rPr>
        <w:t>.</w:t>
      </w:r>
      <w:r w:rsidRPr="00046281">
        <w:rPr>
          <w:color w:val="000000"/>
          <w:lang w:eastAsia="es-ES"/>
        </w:rPr>
        <w:t>"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El capítulo III de la Ley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undamental define los derechos y obligaciones que guardan relación con la Convención sobre los Derechos del Niño y el Protocolo </w:t>
      </w:r>
      <w:r>
        <w:rPr>
          <w:color w:val="000000"/>
          <w:lang w:eastAsia="es-ES"/>
        </w:rPr>
        <w:t>f</w:t>
      </w:r>
      <w:r w:rsidRPr="00046281">
        <w:rPr>
          <w:color w:val="000000"/>
          <w:lang w:eastAsia="es-ES"/>
        </w:rPr>
        <w:t xml:space="preserve">acultativo. </w:t>
      </w:r>
      <w:r>
        <w:rPr>
          <w:color w:val="000000"/>
          <w:lang w:eastAsia="es-ES"/>
        </w:rPr>
        <w:t xml:space="preserve"> El artículo </w:t>
      </w:r>
      <w:r w:rsidRPr="00046281">
        <w:rPr>
          <w:color w:val="000000"/>
          <w:lang w:eastAsia="es-ES"/>
        </w:rPr>
        <w:t>37 dispone que:</w:t>
      </w:r>
    </w:p>
    <w:p w:rsidR="00B24415" w:rsidRPr="00046281" w:rsidRDefault="00B24415" w:rsidP="00B24415">
      <w:pPr>
        <w:spacing w:after="240"/>
        <w:ind w:left="567"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"La defensa de la patria es un deber sagrado, y el servicio en las fuerzas armadas es un honor para los ciudadanos que está regulado por ley</w:t>
      </w:r>
      <w:r>
        <w:rPr>
          <w:color w:val="000000"/>
          <w:lang w:eastAsia="es-ES"/>
        </w:rPr>
        <w:t>.</w:t>
      </w:r>
      <w:r w:rsidRPr="00046281">
        <w:rPr>
          <w:color w:val="000000"/>
          <w:lang w:eastAsia="es-ES"/>
        </w:rPr>
        <w:t>"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Este servicio está limitado exclusivamente a las personas mayores de 18 años. </w:t>
      </w:r>
    </w:p>
    <w:p w:rsidR="00B24415" w:rsidRPr="00046281" w:rsidRDefault="00B24415" w:rsidP="00B24415">
      <w:pPr>
        <w:spacing w:after="240"/>
        <w:rPr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Artículo 5</w:t>
      </w:r>
      <w:r w:rsidRPr="00046281">
        <w:rPr>
          <w:color w:val="000000"/>
          <w:lang w:eastAsia="es-ES"/>
        </w:rPr>
        <w:t xml:space="preserve">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La Sultanía de Omán es Miembro de las Naciones Unidas desde 1971 y se atiene a las disposiciones de la Carta.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>Colabora eficazmente con todos los convenios y tratados que se examinan en el marco de las Naciones Unidas y participa activamente en las diferentes fases de la redacción de los convenios internacionales que se abren a la ratificación.</w:t>
      </w:r>
    </w:p>
    <w:p w:rsidR="00B24415" w:rsidRPr="00046281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La Sultanía de Omán se ha adherido a diversos tratados internacionales que guardan relación con los derechos del niño, entre ellos: </w:t>
      </w:r>
    </w:p>
    <w:p w:rsidR="00B24415" w:rsidRPr="00046281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 xml:space="preserve">La Convención Internacional sobre la Represión y el Castigo del Crimen </w:t>
      </w:r>
      <w:r w:rsidRPr="000E3E06">
        <w:rPr>
          <w:iCs/>
          <w:color w:val="000000"/>
          <w:lang w:eastAsia="es-ES"/>
        </w:rPr>
        <w:t>de</w:t>
      </w:r>
      <w:r w:rsidRPr="00046281">
        <w:rPr>
          <w:i/>
          <w:iCs/>
          <w:color w:val="000000"/>
          <w:lang w:eastAsia="es-ES"/>
        </w:rPr>
        <w:t xml:space="preserve"> Apartheid</w:t>
      </w:r>
      <w:r w:rsidRPr="00046281">
        <w:rPr>
          <w:color w:val="000000"/>
          <w:lang w:eastAsia="es-ES"/>
        </w:rPr>
        <w:t>, a la que se adhirió mediante el Decreto de la Sultanía Nº 80/1991;</w:t>
      </w:r>
    </w:p>
    <w:p w:rsidR="00B24415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 xml:space="preserve">El Convenio Nº </w:t>
      </w:r>
      <w:r>
        <w:rPr>
          <w:color w:val="000000"/>
          <w:lang w:eastAsia="es-ES"/>
        </w:rPr>
        <w:t>182 (1999) de la OIT, sobre la prohibición de las peores formas de trabajo infantil y la acción inmediata para su e</w:t>
      </w:r>
      <w:r w:rsidRPr="00046281">
        <w:rPr>
          <w:color w:val="000000"/>
          <w:lang w:eastAsia="es-ES"/>
        </w:rPr>
        <w:t xml:space="preserve">liminación, al que se adhirió mediante el Decreto de la Sultanía Nº 138/2001; </w:t>
      </w:r>
    </w:p>
    <w:p w:rsidR="00B24415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 xml:space="preserve">El Convenio Marco de Asistencia en materia de Protección Civil, al que se adhirió mediante el Decreto de la Sultanía Nº 119/2001; </w:t>
      </w:r>
    </w:p>
    <w:p w:rsidR="00B24415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>La Convención Internacional sobre la Eliminación de Todas las Formas de Discriminación Racial, a la que se adhirió mediante el Decreto de la Sultanía</w:t>
      </w:r>
      <w:r>
        <w:rPr>
          <w:color w:val="000000"/>
          <w:lang w:eastAsia="es-ES"/>
        </w:rPr>
        <w:t xml:space="preserve"> Nº </w:t>
      </w:r>
      <w:r w:rsidRPr="00046281">
        <w:rPr>
          <w:color w:val="000000"/>
          <w:lang w:eastAsia="es-ES"/>
        </w:rPr>
        <w:t>87/2002;</w:t>
      </w:r>
    </w:p>
    <w:p w:rsidR="00B24415" w:rsidRDefault="00B24415" w:rsidP="00B24415">
      <w:pPr>
        <w:spacing w:after="240"/>
        <w:ind w:left="924" w:hanging="357"/>
        <w:rPr>
          <w:color w:val="000000"/>
          <w:lang w:eastAsia="es-ES"/>
        </w:rPr>
      </w:pPr>
      <w:r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>Los Prot</w:t>
      </w:r>
      <w:r>
        <w:rPr>
          <w:color w:val="000000"/>
          <w:lang w:eastAsia="es-ES"/>
        </w:rPr>
        <w:t>ocolos f</w:t>
      </w:r>
      <w:r w:rsidRPr="00046281">
        <w:rPr>
          <w:color w:val="000000"/>
          <w:lang w:eastAsia="es-ES"/>
        </w:rPr>
        <w:t>acultativos de la Convención sobre los Derechos del Niño relativos a la participación de niños en los conflictos armados y a la venta de niños, la prostitución infantil y la utilización de niños en la pornografía, respectivamente, a los que se adhirió mediante el Decr</w:t>
      </w:r>
      <w:r>
        <w:rPr>
          <w:color w:val="000000"/>
          <w:lang w:eastAsia="es-ES"/>
        </w:rPr>
        <w:t>eto de la Sultanía Nº 41/2004;</w:t>
      </w:r>
    </w:p>
    <w:p w:rsidR="00B24415" w:rsidRPr="00046281" w:rsidRDefault="00B24415" w:rsidP="00B24415">
      <w:pPr>
        <w:spacing w:after="240"/>
        <w:ind w:left="924" w:hanging="357"/>
        <w:rPr>
          <w:color w:val="000000"/>
          <w:lang w:eastAsia="es-ES"/>
        </w:rPr>
      </w:pPr>
      <w:r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>La Convención de las Naciones Unidas contra la Delincuencia Organizada Transnacional y el Protocolo que complementa la Convención para prevenir, reprimir y sancionar la trata de personas, especialmente mujeres y niños (ratificado en 2005);</w:t>
      </w:r>
    </w:p>
    <w:p w:rsidR="00B24415" w:rsidRPr="00046281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 xml:space="preserve">La Convención sobre la eliminación de todas las formas de discriminación contra la mujer, a la que se adhirió mediante el Decreto de la Sultanía Nº 52/2005; </w:t>
      </w:r>
    </w:p>
    <w:p w:rsidR="00B24415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>Los cuatro Convenios de Ginebra de 1949 relativos a la mejora de la condición de los heridos y enfermos en las fuerzas armadas sobre el terreno; al alivio de</w:t>
      </w:r>
      <w:r w:rsidRPr="00046281">
        <w:rPr>
          <w:color w:val="000000"/>
        </w:rPr>
        <w:t xml:space="preserve"> la suerte que corren los heridos, los enfermos y los náufragos de las fuerzas armadas en el</w:t>
      </w:r>
      <w:bookmarkStart w:id="0" w:name="hit1"/>
      <w:bookmarkEnd w:id="0"/>
      <w:r w:rsidRPr="00046281">
        <w:rPr>
          <w:color w:val="000000"/>
        </w:rPr>
        <w:t xml:space="preserve"> mar</w:t>
      </w:r>
      <w:r w:rsidRPr="00046281">
        <w:rPr>
          <w:color w:val="000000"/>
          <w:lang w:eastAsia="es-ES"/>
        </w:rPr>
        <w:t xml:space="preserve">; al trato debido a los prisioneros de guerra; y a la protección debida a las personas civiles en tiempo de guerra, así como sus dos Protocolos Adicionales (en marzo de 1984); </w:t>
      </w:r>
    </w:p>
    <w:p w:rsidR="00B24415" w:rsidRPr="00046281" w:rsidRDefault="00B24415" w:rsidP="00B24415">
      <w:pPr>
        <w:spacing w:after="240"/>
        <w:ind w:left="924" w:hanging="35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-</w:t>
      </w:r>
      <w:r>
        <w:rPr>
          <w:color w:val="000000"/>
          <w:lang w:eastAsia="es-ES"/>
        </w:rPr>
        <w:tab/>
      </w:r>
      <w:r w:rsidRPr="00046281">
        <w:rPr>
          <w:color w:val="000000"/>
          <w:lang w:eastAsia="es-ES"/>
        </w:rPr>
        <w:t xml:space="preserve">Los dos Protocolos bajo supervisión del Comité Internacional de la Cruz Roja, a los que se adhirió mediante el Decreto de la Sultanía Nº 41/1981. </w:t>
      </w:r>
    </w:p>
    <w:p w:rsidR="00B24415" w:rsidRPr="00046281" w:rsidRDefault="00B24415" w:rsidP="00B24415">
      <w:pPr>
        <w:spacing w:after="240"/>
        <w:rPr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Artículo 6</w:t>
      </w:r>
      <w:r w:rsidRPr="00046281">
        <w:rPr>
          <w:color w:val="000000"/>
          <w:lang w:eastAsia="es-ES"/>
        </w:rPr>
        <w:t xml:space="preserve">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>
        <w:rPr>
          <w:color w:val="000000"/>
          <w:lang w:eastAsia="es-ES"/>
        </w:rPr>
        <w:t>La Ley f</w:t>
      </w:r>
      <w:r w:rsidRPr="00046281">
        <w:rPr>
          <w:color w:val="000000"/>
          <w:lang w:eastAsia="es-ES"/>
        </w:rPr>
        <w:t xml:space="preserve">undamental del Estado tiene precedencia sobre cualquier otra ley, legislación o medida de otro tipo.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>Los artículos 72, 76 y 80 esta</w:t>
      </w:r>
      <w:r>
        <w:rPr>
          <w:color w:val="000000"/>
          <w:lang w:eastAsia="es-ES"/>
        </w:rPr>
        <w:t>blecen con claridad que la Ley f</w:t>
      </w:r>
      <w:r w:rsidRPr="00046281">
        <w:rPr>
          <w:color w:val="000000"/>
          <w:lang w:eastAsia="es-ES"/>
        </w:rPr>
        <w:t xml:space="preserve">undamental se aplicará sin perjuicio de lo dispuesto en los tratados y convenciones que vinculen a la Sultanía de Omán con otros Estados e instituciones y organizaciones internacionales, y que serán de aplicación y tendrán precedencia sobre la legislación nacional. </w:t>
      </w:r>
      <w:r>
        <w:rPr>
          <w:color w:val="000000"/>
          <w:lang w:eastAsia="es-ES"/>
        </w:rPr>
        <w:t xml:space="preserve"> </w:t>
      </w:r>
      <w:r w:rsidRPr="00046281">
        <w:rPr>
          <w:color w:val="000000"/>
          <w:lang w:eastAsia="es-ES"/>
        </w:rPr>
        <w:t>Los tratados y convenciones internacionales pasan a formar parte de la legislació</w:t>
      </w:r>
      <w:r>
        <w:rPr>
          <w:color w:val="000000"/>
          <w:lang w:eastAsia="es-ES"/>
        </w:rPr>
        <w:t xml:space="preserve">n de Omán una vez ratificados.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 xml:space="preserve">Además, la legislación en vigor en la Sultanía no permite la participación de los niños en los conflictos armados, y las tradiciones omaníes derivadas del </w:t>
      </w:r>
      <w:r>
        <w:rPr>
          <w:color w:val="000000"/>
          <w:lang w:eastAsia="es-ES"/>
        </w:rPr>
        <w:t>i</w:t>
      </w:r>
      <w:r w:rsidRPr="00046281">
        <w:rPr>
          <w:color w:val="000000"/>
          <w:lang w:eastAsia="es-ES"/>
        </w:rPr>
        <w:t xml:space="preserve">slam -que es la fuente de la legislación- protegen a los niños en caso de conflictos armados y guerras. </w:t>
      </w:r>
    </w:p>
    <w:p w:rsidR="00B24415" w:rsidRDefault="00B24415" w:rsidP="00B24415">
      <w:pPr>
        <w:spacing w:after="240"/>
        <w:rPr>
          <w:color w:val="000000"/>
          <w:lang w:eastAsia="es-ES"/>
        </w:rPr>
      </w:pPr>
      <w:r w:rsidRPr="00046281">
        <w:rPr>
          <w:b/>
          <w:bCs/>
          <w:color w:val="000000"/>
          <w:lang w:eastAsia="es-ES"/>
        </w:rPr>
        <w:t>Artículo 7</w:t>
      </w:r>
      <w:r w:rsidRPr="00046281">
        <w:rPr>
          <w:color w:val="000000"/>
          <w:lang w:eastAsia="es-ES"/>
        </w:rPr>
        <w:t xml:space="preserve"> </w:t>
      </w:r>
    </w:p>
    <w:p w:rsidR="00B24415" w:rsidRDefault="00B24415" w:rsidP="00B24415">
      <w:pPr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La Sultanía de Omán no escatima medio alguno para cumplir plenamente con sus obligaciones en virtud de la Convención sobre los Derechos</w:t>
      </w:r>
      <w:r>
        <w:rPr>
          <w:color w:val="000000"/>
          <w:lang w:eastAsia="es-ES"/>
        </w:rPr>
        <w:t xml:space="preserve"> del Niño y sus dos Protocolos f</w:t>
      </w:r>
      <w:r w:rsidRPr="00046281">
        <w:rPr>
          <w:color w:val="000000"/>
          <w:lang w:eastAsia="es-ES"/>
        </w:rPr>
        <w:t xml:space="preserve">acultativos. </w:t>
      </w:r>
    </w:p>
    <w:p w:rsidR="00B24415" w:rsidRPr="00107FB0" w:rsidRDefault="00B24415" w:rsidP="00B24415">
      <w:pPr>
        <w:keepNext/>
        <w:keepLines/>
        <w:spacing w:after="240"/>
        <w:ind w:firstLine="567"/>
        <w:rPr>
          <w:color w:val="000000"/>
          <w:lang w:eastAsia="es-ES"/>
        </w:rPr>
      </w:pPr>
      <w:r w:rsidRPr="00046281">
        <w:rPr>
          <w:color w:val="000000"/>
          <w:lang w:eastAsia="es-ES"/>
        </w:rPr>
        <w:t>La Sultanía de Omán, a fin de cumplir sus compromisos internacionales, coopera continua y activamente con todas las organizaciones internacionales que se ocupan de las cuestiones de la infancia, tales como la Organización de las Naciones Unidas para la Educación, la Ciencia y la Cultura (UNESCO), el Fondo de las Naciones Unidas para la Infancia (UNICEF), la Organización Mundial de la Salud (OMS) y la Organización Internacional del Trabajo (OIT), en el diseño y ejecución de programas específicamente dirigidos a la infancia.</w:t>
      </w:r>
      <w:r w:rsidRPr="00107FB0">
        <w:rPr>
          <w:color w:val="000000"/>
          <w:lang w:eastAsia="es-ES"/>
        </w:rPr>
        <w:t xml:space="preserve"> </w:t>
      </w:r>
    </w:p>
    <w:p w:rsidR="00941D4E" w:rsidRPr="00C820BE" w:rsidRDefault="00B24415" w:rsidP="00B24415">
      <w:pPr>
        <w:spacing w:after="240"/>
        <w:jc w:val="center"/>
        <w:rPr>
          <w:snapToGrid w:val="0"/>
        </w:rPr>
      </w:pPr>
      <w:r w:rsidRPr="00D80657">
        <w:rPr>
          <w:color w:val="000000"/>
          <w:lang w:eastAsia="es-ES"/>
        </w:rPr>
        <w:t>-----</w:t>
      </w:r>
    </w:p>
    <w:sectPr w:rsidR="00941D4E" w:rsidRPr="00C820BE" w:rsidSect="00613EA2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4B2" w:rsidRDefault="001D04B2">
      <w:r>
        <w:separator/>
      </w:r>
    </w:p>
  </w:endnote>
  <w:endnote w:type="continuationSeparator" w:id="0">
    <w:p w:rsidR="001D04B2" w:rsidRDefault="001D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Negrit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4B2" w:rsidRDefault="001D04B2">
      <w:r>
        <w:separator/>
      </w:r>
    </w:p>
  </w:footnote>
  <w:footnote w:type="continuationSeparator" w:id="0">
    <w:p w:rsidR="001D04B2" w:rsidRDefault="001D0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EA2" w:rsidRDefault="00613EA2">
    <w:pPr>
      <w:pStyle w:val="Header"/>
    </w:pPr>
    <w:r>
      <w:t>CRC/C/OPAC/OMN/1</w:t>
    </w:r>
  </w:p>
  <w:p w:rsidR="00613EA2" w:rsidRDefault="00613EA2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FC306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EA2" w:rsidRDefault="00613EA2" w:rsidP="00A77334">
    <w:pPr>
      <w:tabs>
        <w:tab w:val="left" w:pos="7055"/>
      </w:tabs>
    </w:pPr>
    <w:r>
      <w:tab/>
      <w:t>CRC/C/OPAC/OMN/1</w:t>
    </w:r>
  </w:p>
  <w:p w:rsidR="00756401" w:rsidRDefault="00613EA2" w:rsidP="00A77334">
    <w:pPr>
      <w:tabs>
        <w:tab w:val="left" w:pos="7055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FC306B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2BB"/>
    <w:rsid w:val="000F18F3"/>
    <w:rsid w:val="001D04B2"/>
    <w:rsid w:val="001E79FD"/>
    <w:rsid w:val="001E7D80"/>
    <w:rsid w:val="002009CB"/>
    <w:rsid w:val="002426E2"/>
    <w:rsid w:val="00273020"/>
    <w:rsid w:val="00493B79"/>
    <w:rsid w:val="00613EA2"/>
    <w:rsid w:val="006541BE"/>
    <w:rsid w:val="006C222A"/>
    <w:rsid w:val="00716E4C"/>
    <w:rsid w:val="00756401"/>
    <w:rsid w:val="0077727F"/>
    <w:rsid w:val="007E1504"/>
    <w:rsid w:val="007E7BD0"/>
    <w:rsid w:val="008661C2"/>
    <w:rsid w:val="008C2547"/>
    <w:rsid w:val="00941D4E"/>
    <w:rsid w:val="00A502BB"/>
    <w:rsid w:val="00A528E7"/>
    <w:rsid w:val="00A77334"/>
    <w:rsid w:val="00AA0CDD"/>
    <w:rsid w:val="00AE40CB"/>
    <w:rsid w:val="00B24415"/>
    <w:rsid w:val="00BE1186"/>
    <w:rsid w:val="00C820BE"/>
    <w:rsid w:val="00E01E15"/>
    <w:rsid w:val="00F17191"/>
    <w:rsid w:val="00F7742E"/>
    <w:rsid w:val="00F82B34"/>
    <w:rsid w:val="00FC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613EA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1343</Words>
  <Characters>7392</Characters>
  <Application>Microsoft Office Word</Application>
  <DocSecurity>4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CRC/C/OPAC/OMN/1  -09-40239</vt:lpstr>
    </vt:vector>
  </TitlesOfParts>
  <Company>CSD</Company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CRC/C/OPAC/OMN/1  -09-40239</dc:title>
  <dc:subject>Final</dc:subject>
  <dc:creator>Romina Meriño</dc:creator>
  <cp:keywords/>
  <dc:description/>
  <cp:lastModifiedBy>Admieng</cp:lastModifiedBy>
  <cp:revision>2</cp:revision>
  <cp:lastPrinted>2001-03-13T13:07:00Z</cp:lastPrinted>
  <dcterms:created xsi:type="dcterms:W3CDTF">2009-01-23T07:10:00Z</dcterms:created>
  <dcterms:modified xsi:type="dcterms:W3CDTF">2009-01-23T07:10:00Z</dcterms:modified>
</cp:coreProperties>
</file>