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42A8288E" w14:textId="77777777" w:rsidTr="0008244E">
        <w:trPr>
          <w:trHeight w:hRule="exact" w:val="851"/>
        </w:trPr>
        <w:tc>
          <w:tcPr>
            <w:tcW w:w="1276" w:type="dxa"/>
            <w:tcBorders>
              <w:bottom w:val="single" w:sz="4" w:space="0" w:color="auto"/>
            </w:tcBorders>
          </w:tcPr>
          <w:p w14:paraId="75000A4A" w14:textId="77777777" w:rsidR="002D5AAC" w:rsidRPr="001359DC" w:rsidRDefault="002D5AAC" w:rsidP="007C0675">
            <w:pPr>
              <w:kinsoku w:val="0"/>
              <w:overflowPunct w:val="0"/>
              <w:autoSpaceDE w:val="0"/>
              <w:autoSpaceDN w:val="0"/>
              <w:adjustRightInd w:val="0"/>
              <w:snapToGrid w:val="0"/>
              <w:rPr>
                <w:lang w:val="es-ES"/>
              </w:rPr>
            </w:pPr>
          </w:p>
        </w:tc>
        <w:tc>
          <w:tcPr>
            <w:tcW w:w="2268" w:type="dxa"/>
            <w:tcBorders>
              <w:bottom w:val="single" w:sz="4" w:space="0" w:color="auto"/>
            </w:tcBorders>
            <w:vAlign w:val="bottom"/>
          </w:tcPr>
          <w:p w14:paraId="1D97AFB9"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73" w:type="dxa"/>
            <w:gridSpan w:val="2"/>
            <w:tcBorders>
              <w:bottom w:val="single" w:sz="4" w:space="0" w:color="auto"/>
            </w:tcBorders>
            <w:vAlign w:val="bottom"/>
          </w:tcPr>
          <w:p w14:paraId="5F3D02FA" w14:textId="537CA769" w:rsidR="002D5AAC" w:rsidRPr="001359DC" w:rsidRDefault="007C0675" w:rsidP="007C0675">
            <w:pPr>
              <w:jc w:val="right"/>
              <w:rPr>
                <w:lang w:val="es-ES"/>
              </w:rPr>
            </w:pPr>
            <w:r w:rsidRPr="007C0675">
              <w:rPr>
                <w:sz w:val="40"/>
                <w:lang w:val="es-ES"/>
              </w:rPr>
              <w:t>A</w:t>
            </w:r>
            <w:r>
              <w:rPr>
                <w:lang w:val="es-ES"/>
              </w:rPr>
              <w:t>/HRC/RES/59/5</w:t>
            </w:r>
          </w:p>
        </w:tc>
      </w:tr>
      <w:tr w:rsidR="002D5AAC" w:rsidRPr="001359DC" w14:paraId="7E1EADE5" w14:textId="77777777" w:rsidTr="0008244E">
        <w:trPr>
          <w:trHeight w:hRule="exact" w:val="2835"/>
        </w:trPr>
        <w:tc>
          <w:tcPr>
            <w:tcW w:w="1276" w:type="dxa"/>
            <w:tcBorders>
              <w:top w:val="single" w:sz="4" w:space="0" w:color="auto"/>
              <w:bottom w:val="single" w:sz="12" w:space="0" w:color="auto"/>
            </w:tcBorders>
          </w:tcPr>
          <w:p w14:paraId="4828B377" w14:textId="77777777" w:rsidR="002D5AAC" w:rsidRPr="001359DC" w:rsidRDefault="002E5067" w:rsidP="0008244E">
            <w:pPr>
              <w:spacing w:before="120"/>
              <w:jc w:val="center"/>
              <w:rPr>
                <w:lang w:val="es-ES"/>
              </w:rPr>
            </w:pPr>
            <w:r w:rsidRPr="001359DC">
              <w:rPr>
                <w:noProof/>
              </w:rPr>
              <w:drawing>
                <wp:inline distT="0" distB="0" distL="0" distR="0" wp14:anchorId="4209E074" wp14:editId="0FF49889">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C79BAF0"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3" w:type="dxa"/>
            <w:tcBorders>
              <w:top w:val="single" w:sz="4" w:space="0" w:color="auto"/>
              <w:bottom w:val="single" w:sz="12" w:space="0" w:color="auto"/>
            </w:tcBorders>
          </w:tcPr>
          <w:p w14:paraId="1F797593" w14:textId="77777777" w:rsidR="002D5AAC" w:rsidRDefault="007C0675" w:rsidP="0008244E">
            <w:pPr>
              <w:spacing w:before="240"/>
              <w:rPr>
                <w:lang w:val="es-ES"/>
              </w:rPr>
            </w:pPr>
            <w:r>
              <w:rPr>
                <w:lang w:val="es-ES"/>
              </w:rPr>
              <w:t>Distr. general</w:t>
            </w:r>
          </w:p>
          <w:p w14:paraId="7E556C4B" w14:textId="77777777" w:rsidR="007C0675" w:rsidRDefault="007C0675" w:rsidP="007C0675">
            <w:pPr>
              <w:spacing w:line="240" w:lineRule="exact"/>
              <w:rPr>
                <w:lang w:val="es-ES"/>
              </w:rPr>
            </w:pPr>
            <w:r>
              <w:rPr>
                <w:lang w:val="es-ES"/>
              </w:rPr>
              <w:t>8 de julio de 2025</w:t>
            </w:r>
          </w:p>
          <w:p w14:paraId="280A13DD" w14:textId="77777777" w:rsidR="007C0675" w:rsidRDefault="007C0675" w:rsidP="007C0675">
            <w:pPr>
              <w:spacing w:line="240" w:lineRule="exact"/>
              <w:rPr>
                <w:lang w:val="es-ES"/>
              </w:rPr>
            </w:pPr>
            <w:r>
              <w:rPr>
                <w:lang w:val="es-ES"/>
              </w:rPr>
              <w:t>Español</w:t>
            </w:r>
          </w:p>
          <w:p w14:paraId="450579CE" w14:textId="5AACDE7C" w:rsidR="007C0675" w:rsidRPr="001359DC" w:rsidRDefault="007C0675" w:rsidP="007C0675">
            <w:pPr>
              <w:spacing w:line="240" w:lineRule="exact"/>
              <w:rPr>
                <w:lang w:val="es-ES"/>
              </w:rPr>
            </w:pPr>
            <w:r>
              <w:rPr>
                <w:lang w:val="es-ES"/>
              </w:rPr>
              <w:t>Original: inglés</w:t>
            </w:r>
          </w:p>
        </w:tc>
      </w:tr>
    </w:tbl>
    <w:p w14:paraId="40D79F6E" w14:textId="77777777" w:rsidR="007C0675" w:rsidRPr="007C0675" w:rsidRDefault="007C0675" w:rsidP="007C0675">
      <w:pPr>
        <w:pStyle w:val="Textonotapie"/>
        <w:spacing w:before="120"/>
        <w:rPr>
          <w:b/>
          <w:bCs/>
          <w:sz w:val="24"/>
          <w:szCs w:val="28"/>
          <w:lang w:val="es-ES_tradnl"/>
        </w:rPr>
      </w:pPr>
      <w:r w:rsidRPr="007C0675">
        <w:rPr>
          <w:b/>
          <w:bCs/>
          <w:sz w:val="24"/>
          <w:szCs w:val="28"/>
          <w:lang w:val="es-ES_tradnl"/>
        </w:rPr>
        <w:t>Consejo de Derechos Humanos</w:t>
      </w:r>
    </w:p>
    <w:p w14:paraId="2B0C1FFF" w14:textId="77777777" w:rsidR="007C0675" w:rsidRPr="008E023E" w:rsidRDefault="007C0675" w:rsidP="007C0675">
      <w:pPr>
        <w:rPr>
          <w:b/>
          <w:bCs/>
          <w:lang w:val="es-ES_tradnl"/>
        </w:rPr>
      </w:pPr>
      <w:r w:rsidRPr="008E023E">
        <w:rPr>
          <w:b/>
          <w:bCs/>
          <w:lang w:val="es-ES_tradnl"/>
        </w:rPr>
        <w:t>59º período de sesiones</w:t>
      </w:r>
    </w:p>
    <w:p w14:paraId="0B3435BC" w14:textId="77777777" w:rsidR="007C0675" w:rsidRPr="008E023E" w:rsidRDefault="007C0675" w:rsidP="007C0675">
      <w:pPr>
        <w:rPr>
          <w:lang w:val="es-ES_tradnl"/>
        </w:rPr>
      </w:pPr>
      <w:r w:rsidRPr="008E023E">
        <w:rPr>
          <w:lang w:val="es-ES_tradnl"/>
        </w:rPr>
        <w:t>16 de junio a 8 de julio de 2025</w:t>
      </w:r>
    </w:p>
    <w:p w14:paraId="6CFE1455" w14:textId="77777777" w:rsidR="007C0675" w:rsidRPr="008E023E" w:rsidRDefault="007C0675" w:rsidP="007C0675">
      <w:pPr>
        <w:rPr>
          <w:lang w:val="es-ES_tradnl"/>
        </w:rPr>
      </w:pPr>
      <w:r w:rsidRPr="008E023E">
        <w:rPr>
          <w:lang w:val="es-ES_tradnl"/>
        </w:rPr>
        <w:t>Tema 3 de la agenda</w:t>
      </w:r>
    </w:p>
    <w:p w14:paraId="6A5EF311" w14:textId="75E149AB" w:rsidR="007C0675" w:rsidRPr="008E023E" w:rsidRDefault="007C0675" w:rsidP="007C0675">
      <w:pPr>
        <w:rPr>
          <w:b/>
          <w:lang w:val="es-ES_tradnl"/>
        </w:rPr>
      </w:pPr>
      <w:r w:rsidRPr="008E023E">
        <w:rPr>
          <w:b/>
          <w:bCs/>
          <w:lang w:val="es-ES_tradnl"/>
        </w:rPr>
        <w:t xml:space="preserve">Promoción y protección de todos los derechos humanos, </w:t>
      </w:r>
      <w:r>
        <w:rPr>
          <w:b/>
          <w:bCs/>
          <w:lang w:val="es-ES_tradnl"/>
        </w:rPr>
        <w:br/>
      </w:r>
      <w:r w:rsidRPr="008E023E">
        <w:rPr>
          <w:b/>
          <w:bCs/>
          <w:lang w:val="es-ES_tradnl"/>
        </w:rPr>
        <w:t>civiles, políticos, económicos, sociales y culturales,</w:t>
      </w:r>
      <w:r>
        <w:rPr>
          <w:b/>
          <w:bCs/>
          <w:lang w:val="es-ES_tradnl"/>
        </w:rPr>
        <w:br/>
      </w:r>
      <w:r w:rsidRPr="008E023E">
        <w:rPr>
          <w:b/>
          <w:bCs/>
          <w:lang w:val="es-ES_tradnl"/>
        </w:rPr>
        <w:t>incluido el derecho al desarrollo</w:t>
      </w:r>
    </w:p>
    <w:p w14:paraId="579FCC7C" w14:textId="088CFB18" w:rsidR="007C0675" w:rsidRPr="008E023E" w:rsidRDefault="007C0675" w:rsidP="007C0675">
      <w:pPr>
        <w:pStyle w:val="HChG"/>
        <w:rPr>
          <w:lang w:val="es-ES_tradnl"/>
        </w:rPr>
      </w:pPr>
      <w:r>
        <w:rPr>
          <w:lang w:val="es-ES_tradnl"/>
        </w:rPr>
        <w:tab/>
      </w:r>
      <w:r>
        <w:rPr>
          <w:lang w:val="es-ES_tradnl"/>
        </w:rPr>
        <w:tab/>
      </w:r>
      <w:r w:rsidRPr="008E023E">
        <w:rPr>
          <w:lang w:val="es-ES_tradnl"/>
        </w:rPr>
        <w:t>Resolución aprobada por el Consejo de Derechos Humanos el</w:t>
      </w:r>
      <w:r>
        <w:rPr>
          <w:lang w:val="es-ES_tradnl"/>
        </w:rPr>
        <w:t> </w:t>
      </w:r>
      <w:r w:rsidRPr="008E023E">
        <w:rPr>
          <w:lang w:val="es-ES_tradnl"/>
        </w:rPr>
        <w:t>7 de julio de 2025</w:t>
      </w:r>
    </w:p>
    <w:p w14:paraId="28748DCF" w14:textId="346C9F9C" w:rsidR="007C0675" w:rsidRPr="008E023E" w:rsidRDefault="007C0675" w:rsidP="007C0675">
      <w:pPr>
        <w:pStyle w:val="H1G"/>
        <w:rPr>
          <w:lang w:val="es-ES_tradnl"/>
        </w:rPr>
      </w:pPr>
      <w:r>
        <w:rPr>
          <w:lang w:val="es-ES_tradnl"/>
        </w:rPr>
        <w:tab/>
      </w:r>
      <w:r w:rsidRPr="008E023E">
        <w:rPr>
          <w:lang w:val="es-ES_tradnl"/>
        </w:rPr>
        <w:t>59/5.</w:t>
      </w:r>
      <w:r w:rsidRPr="008E023E">
        <w:rPr>
          <w:lang w:val="es-ES_tradnl"/>
        </w:rPr>
        <w:tab/>
        <w:t>Mandato de</w:t>
      </w:r>
      <w:r w:rsidR="001209CA">
        <w:rPr>
          <w:lang w:val="es-ES_tradnl"/>
        </w:rPr>
        <w:t>l</w:t>
      </w:r>
      <w:r w:rsidRPr="008E023E">
        <w:rPr>
          <w:lang w:val="es-ES_tradnl"/>
        </w:rPr>
        <w:t xml:space="preserve"> Experto Independiente sobre la protección contra la</w:t>
      </w:r>
      <w:r>
        <w:rPr>
          <w:lang w:val="es-ES_tradnl"/>
        </w:rPr>
        <w:t> </w:t>
      </w:r>
      <w:r w:rsidRPr="008E023E">
        <w:rPr>
          <w:lang w:val="es-ES_tradnl"/>
        </w:rPr>
        <w:t>violencia y la discriminación por motivos de orientación sexual</w:t>
      </w:r>
      <w:r>
        <w:rPr>
          <w:lang w:val="es-ES_tradnl"/>
        </w:rPr>
        <w:t> </w:t>
      </w:r>
      <w:r w:rsidRPr="008E023E">
        <w:rPr>
          <w:lang w:val="es-ES_tradnl"/>
        </w:rPr>
        <w:t>o</w:t>
      </w:r>
      <w:r>
        <w:rPr>
          <w:lang w:val="es-ES_tradnl"/>
        </w:rPr>
        <w:t> </w:t>
      </w:r>
      <w:r w:rsidRPr="008E023E">
        <w:rPr>
          <w:lang w:val="es-ES_tradnl"/>
        </w:rPr>
        <w:t>identidad de género</w:t>
      </w:r>
    </w:p>
    <w:p w14:paraId="1A711318" w14:textId="77777777" w:rsidR="007C0675" w:rsidRPr="008E023E" w:rsidRDefault="007C0675" w:rsidP="007C0675">
      <w:pPr>
        <w:pStyle w:val="SingleTxtG"/>
        <w:rPr>
          <w:lang w:val="es-ES_tradnl"/>
        </w:rPr>
      </w:pPr>
      <w:r>
        <w:rPr>
          <w:lang w:val="es-ES_tradnl"/>
        </w:rPr>
        <w:tab/>
      </w:r>
      <w:r w:rsidRPr="007C0675">
        <w:rPr>
          <w:i/>
          <w:iCs/>
          <w:lang w:val="es-ES_tradnl"/>
        </w:rPr>
        <w:t>El Consejo de Derechos Humanos</w:t>
      </w:r>
      <w:r w:rsidRPr="008E023E">
        <w:rPr>
          <w:lang w:val="es-ES_tradnl"/>
        </w:rPr>
        <w:t>,</w:t>
      </w:r>
    </w:p>
    <w:p w14:paraId="7EF651D6" w14:textId="0FF88378" w:rsidR="007C0675" w:rsidRPr="008E023E" w:rsidRDefault="007C0675" w:rsidP="007C0675">
      <w:pPr>
        <w:pStyle w:val="SingleTxtG"/>
        <w:rPr>
          <w:lang w:val="es-ES_tradnl"/>
        </w:rPr>
      </w:pPr>
      <w:r>
        <w:rPr>
          <w:i/>
          <w:iCs/>
          <w:lang w:val="es-ES_tradnl"/>
        </w:rPr>
        <w:tab/>
      </w:r>
      <w:r w:rsidRPr="008E023E">
        <w:rPr>
          <w:i/>
          <w:iCs/>
          <w:lang w:val="es-ES_tradnl"/>
        </w:rPr>
        <w:t>Reafirmando</w:t>
      </w:r>
      <w:r w:rsidRPr="008E023E">
        <w:rPr>
          <w:lang w:val="es-ES_tradnl"/>
        </w:rPr>
        <w:t xml:space="preserve"> la Declaración Universal de Derechos Humanos,</w:t>
      </w:r>
    </w:p>
    <w:p w14:paraId="4AAE81F1" w14:textId="4BD840F9" w:rsidR="007C0675" w:rsidRPr="008E023E" w:rsidRDefault="007C0675" w:rsidP="007C0675">
      <w:pPr>
        <w:pStyle w:val="SingleTxtG"/>
        <w:rPr>
          <w:lang w:val="es-ES_tradnl"/>
        </w:rPr>
      </w:pPr>
      <w:r>
        <w:rPr>
          <w:i/>
          <w:iCs/>
          <w:lang w:val="es-ES_tradnl"/>
        </w:rPr>
        <w:tab/>
      </w:r>
      <w:r w:rsidRPr="008E023E">
        <w:rPr>
          <w:i/>
          <w:iCs/>
          <w:lang w:val="es-ES_tradnl"/>
        </w:rPr>
        <w:t xml:space="preserve">Recordando </w:t>
      </w:r>
      <w:r w:rsidRPr="008E023E">
        <w:rPr>
          <w:lang w:val="es-ES_tradnl"/>
        </w:rPr>
        <w:t>la resolución 60/251 de la Asamblea General, de 15 de marzo de 2006, en la que la Asamblea dispuso que el Consejo de Derechos Humanos sería responsable de promover el respeto universal por la protección de todos los derechos humanos y libertades fundamentales de todas las personas, sin distinción de ningún tipo y de una manera justa y equitativa,</w:t>
      </w:r>
    </w:p>
    <w:p w14:paraId="23BBD67D" w14:textId="42417B01" w:rsidR="007C0675" w:rsidRPr="008E023E" w:rsidRDefault="007C0675" w:rsidP="007C0675">
      <w:pPr>
        <w:pStyle w:val="SingleTxtG"/>
        <w:rPr>
          <w:lang w:val="es-ES_tradnl"/>
        </w:rPr>
      </w:pPr>
      <w:r>
        <w:rPr>
          <w:i/>
          <w:iCs/>
          <w:lang w:val="es-ES_tradnl"/>
        </w:rPr>
        <w:tab/>
      </w:r>
      <w:r w:rsidRPr="008E023E">
        <w:rPr>
          <w:i/>
          <w:iCs/>
          <w:lang w:val="es-ES_tradnl"/>
        </w:rPr>
        <w:t>Recordando también</w:t>
      </w:r>
      <w:r w:rsidRPr="008E023E">
        <w:rPr>
          <w:lang w:val="es-ES_tradnl"/>
        </w:rPr>
        <w:t xml:space="preserve"> las resoluciones del Consejo de Derechos Humanos 17/19, de 17 de junio de 2011, 27/32, de 26 de septiembre de 2014, 32/2, de 30 de junio de 2016, 41/18, de 12 de julio de 2019, y 50/10, de 7 de julio de 2022,</w:t>
      </w:r>
    </w:p>
    <w:p w14:paraId="78204E60" w14:textId="6518BA71" w:rsidR="007C0675" w:rsidRPr="008E023E" w:rsidRDefault="007C0675" w:rsidP="007C0675">
      <w:pPr>
        <w:pStyle w:val="SingleTxtG"/>
        <w:rPr>
          <w:lang w:val="es-ES_tradnl"/>
        </w:rPr>
      </w:pPr>
      <w:r>
        <w:rPr>
          <w:i/>
          <w:iCs/>
          <w:lang w:val="es-ES_tradnl"/>
        </w:rPr>
        <w:tab/>
      </w:r>
      <w:r w:rsidRPr="008E023E">
        <w:rPr>
          <w:i/>
          <w:iCs/>
          <w:lang w:val="es-ES_tradnl"/>
        </w:rPr>
        <w:t>Recordando además</w:t>
      </w:r>
      <w:r w:rsidRPr="008E023E">
        <w:rPr>
          <w:lang w:val="es-ES_tradnl"/>
        </w:rPr>
        <w:t xml:space="preserve"> las resoluciones 5/1 y 5/2 del Consejo de Derechos Humanos, de 18 de junio de 2007,</w:t>
      </w:r>
    </w:p>
    <w:p w14:paraId="0A6BB855" w14:textId="00B55C2B" w:rsidR="007C0675" w:rsidRPr="008E023E" w:rsidRDefault="007C0675" w:rsidP="007C0675">
      <w:pPr>
        <w:pStyle w:val="SingleTxtG"/>
        <w:rPr>
          <w:lang w:val="es-ES_tradnl"/>
        </w:rPr>
      </w:pPr>
      <w:r>
        <w:rPr>
          <w:lang w:val="es-ES_tradnl"/>
        </w:rPr>
        <w:tab/>
      </w:r>
      <w:r w:rsidRPr="008E023E">
        <w:rPr>
          <w:lang w:val="es-ES_tradnl"/>
        </w:rPr>
        <w:t>1.</w:t>
      </w:r>
      <w:r w:rsidRPr="008E023E">
        <w:rPr>
          <w:lang w:val="es-ES_tradnl"/>
        </w:rPr>
        <w:tab/>
      </w:r>
      <w:r w:rsidRPr="008E023E">
        <w:rPr>
          <w:i/>
          <w:iCs/>
          <w:lang w:val="es-ES_tradnl"/>
        </w:rPr>
        <w:t>Acoge con beneplácito</w:t>
      </w:r>
      <w:r w:rsidRPr="008E023E">
        <w:rPr>
          <w:lang w:val="es-ES_tradnl"/>
        </w:rPr>
        <w:t xml:space="preserve"> la labor realizada por el Experto Independiente sobre la protección contra la violencia y la discriminación por motivos de orientación sexual o identidad de género en el marco de la ejecución de su mandato, las consultas amplias, transparentes e incluyentes celebradas con las partes interesadas, los informes temáticos presentados y las visitas realizadas a países de diferentes regiones</w:t>
      </w:r>
      <w:r w:rsidRPr="008E023E">
        <w:rPr>
          <w:rStyle w:val="Refdenotaalpie"/>
          <w:lang w:val="es-ES_tradnl"/>
        </w:rPr>
        <w:footnoteReference w:id="1"/>
      </w:r>
      <w:r w:rsidRPr="008E023E">
        <w:rPr>
          <w:lang w:val="es-ES_tradnl"/>
        </w:rPr>
        <w:t>;</w:t>
      </w:r>
    </w:p>
    <w:p w14:paraId="618B474E" w14:textId="489D8C4D" w:rsidR="007C0675" w:rsidRPr="008E023E" w:rsidRDefault="007C0675" w:rsidP="007C0675">
      <w:pPr>
        <w:pStyle w:val="SingleTxtG"/>
        <w:rPr>
          <w:lang w:val="es-ES_tradnl"/>
        </w:rPr>
      </w:pPr>
      <w:r>
        <w:rPr>
          <w:lang w:val="es-ES_tradnl"/>
        </w:rPr>
        <w:tab/>
      </w:r>
      <w:r w:rsidRPr="008E023E">
        <w:rPr>
          <w:lang w:val="es-ES_tradnl"/>
        </w:rPr>
        <w:t>2.</w:t>
      </w:r>
      <w:r w:rsidRPr="008E023E">
        <w:rPr>
          <w:lang w:val="es-ES_tradnl"/>
        </w:rPr>
        <w:tab/>
      </w:r>
      <w:r w:rsidRPr="008E023E">
        <w:rPr>
          <w:i/>
          <w:iCs/>
          <w:lang w:val="es-ES_tradnl"/>
        </w:rPr>
        <w:t xml:space="preserve">Decide </w:t>
      </w:r>
      <w:r w:rsidRPr="008E023E">
        <w:rPr>
          <w:lang w:val="es-ES_tradnl"/>
        </w:rPr>
        <w:t>prorrogar el mandato de Experto Independiente sobre la protección contra la violencia y la discriminación por motivos de orientación sexual o identidad de género por un período de tres años, para que su titular pueda proseguir su labor con arreglo al mandato establecido por el Consejo de Derechos Humanos en su resolución 32/2;</w:t>
      </w:r>
    </w:p>
    <w:p w14:paraId="373B5E8B" w14:textId="5F1C4608" w:rsidR="007C0675" w:rsidRPr="008E023E" w:rsidRDefault="007C0675" w:rsidP="007C0675">
      <w:pPr>
        <w:pStyle w:val="SingleTxtG"/>
        <w:rPr>
          <w:lang w:val="es-ES_tradnl"/>
        </w:rPr>
      </w:pPr>
      <w:r>
        <w:rPr>
          <w:lang w:val="es-ES_tradnl"/>
        </w:rPr>
        <w:tab/>
      </w:r>
      <w:r w:rsidRPr="008E023E">
        <w:rPr>
          <w:lang w:val="es-ES_tradnl"/>
        </w:rPr>
        <w:t>3.</w:t>
      </w:r>
      <w:r w:rsidRPr="008E023E">
        <w:rPr>
          <w:lang w:val="es-ES_tradnl"/>
        </w:rPr>
        <w:tab/>
      </w:r>
      <w:r w:rsidRPr="008E023E">
        <w:rPr>
          <w:i/>
          <w:iCs/>
          <w:lang w:val="es-ES_tradnl"/>
        </w:rPr>
        <w:t xml:space="preserve">Solicita </w:t>
      </w:r>
      <w:r w:rsidRPr="008E023E">
        <w:rPr>
          <w:lang w:val="es-ES_tradnl"/>
        </w:rPr>
        <w:t>al Secretario General y al Alto Comisionado de las Naciones Unidas para los Derechos Humanos que sigan facilitando al Experto Independiente todos los recursos humanos, técnicos y financieros necesarios para que siga cumpliendo eficazmente su mandato;</w:t>
      </w:r>
    </w:p>
    <w:p w14:paraId="7BA6C0DA" w14:textId="5AB780F7" w:rsidR="007C0675" w:rsidRPr="008E023E" w:rsidRDefault="007C0675" w:rsidP="007C0675">
      <w:pPr>
        <w:pStyle w:val="SingleTxtG"/>
        <w:rPr>
          <w:lang w:val="es-ES_tradnl"/>
        </w:rPr>
      </w:pPr>
      <w:r>
        <w:rPr>
          <w:lang w:val="es-ES_tradnl"/>
        </w:rPr>
        <w:lastRenderedPageBreak/>
        <w:tab/>
      </w:r>
      <w:r w:rsidRPr="008E023E">
        <w:rPr>
          <w:lang w:val="es-ES_tradnl"/>
        </w:rPr>
        <w:t>4.</w:t>
      </w:r>
      <w:r w:rsidRPr="008E023E">
        <w:rPr>
          <w:lang w:val="es-ES_tradnl"/>
        </w:rPr>
        <w:tab/>
      </w:r>
      <w:r w:rsidRPr="008E023E">
        <w:rPr>
          <w:i/>
          <w:iCs/>
          <w:lang w:val="es-ES_tradnl"/>
        </w:rPr>
        <w:t xml:space="preserve">Exhorta </w:t>
      </w:r>
      <w:r w:rsidRPr="008E023E">
        <w:rPr>
          <w:lang w:val="es-ES_tradnl"/>
        </w:rPr>
        <w:t>a todos los Gobiernos a que cooperen con el Experto Independiente y le presten asistencia en su tarea, facilitándole toda la información necesaria que solicite y respondiendo favorablemente a las solicitudes del Experto Independiente para visitar su país a fin de que pueda cumplir más eficazmente su mandato;</w:t>
      </w:r>
    </w:p>
    <w:p w14:paraId="47415A8A" w14:textId="4CDB5853" w:rsidR="007C0675" w:rsidRPr="008E023E" w:rsidRDefault="007C0675" w:rsidP="007C0675">
      <w:pPr>
        <w:pStyle w:val="SingleTxtG"/>
        <w:rPr>
          <w:lang w:val="es-ES_tradnl"/>
        </w:rPr>
      </w:pPr>
      <w:r>
        <w:rPr>
          <w:lang w:val="es-ES_tradnl"/>
        </w:rPr>
        <w:tab/>
      </w:r>
      <w:r w:rsidRPr="008E023E">
        <w:rPr>
          <w:lang w:val="es-ES_tradnl"/>
        </w:rPr>
        <w:t>5.</w:t>
      </w:r>
      <w:r w:rsidRPr="008E023E">
        <w:rPr>
          <w:lang w:val="es-ES_tradnl"/>
        </w:rPr>
        <w:tab/>
      </w:r>
      <w:r w:rsidRPr="008E023E">
        <w:rPr>
          <w:i/>
          <w:iCs/>
          <w:lang w:val="es-ES_tradnl"/>
        </w:rPr>
        <w:t xml:space="preserve">Solicita </w:t>
      </w:r>
      <w:r w:rsidRPr="008E023E">
        <w:rPr>
          <w:lang w:val="es-ES_tradnl"/>
        </w:rPr>
        <w:t>al Experto Independiente que siga presentando un informe anual sobre la ejecución del mandato al Consejo de Derechos Humanos y a la Asamblea General, de conformidad con sus programas de trabajo respectivos.</w:t>
      </w:r>
    </w:p>
    <w:p w14:paraId="47B8DC4D" w14:textId="576994DD" w:rsidR="007C0675" w:rsidRPr="008E023E" w:rsidRDefault="007C0675" w:rsidP="007C0675">
      <w:pPr>
        <w:pStyle w:val="SingleTxtG"/>
        <w:jc w:val="right"/>
        <w:rPr>
          <w:i/>
          <w:iCs/>
          <w:lang w:val="es-ES_tradnl"/>
        </w:rPr>
      </w:pPr>
      <w:bookmarkStart w:id="0" w:name="_Hlk194507369"/>
      <w:r w:rsidRPr="008E023E">
        <w:rPr>
          <w:i/>
          <w:iCs/>
          <w:lang w:val="es-ES_tradnl"/>
        </w:rPr>
        <w:t>31ª sesión</w:t>
      </w:r>
      <w:r>
        <w:rPr>
          <w:i/>
          <w:iCs/>
          <w:lang w:val="es-ES_tradnl"/>
        </w:rPr>
        <w:br/>
      </w:r>
      <w:r w:rsidRPr="008E023E">
        <w:rPr>
          <w:i/>
          <w:iCs/>
          <w:lang w:val="es-ES_tradnl"/>
        </w:rPr>
        <w:t>7 de julio de 2025</w:t>
      </w:r>
    </w:p>
    <w:p w14:paraId="19E85AC1" w14:textId="77777777" w:rsidR="007C0675" w:rsidRPr="008E023E" w:rsidRDefault="007C0675" w:rsidP="007C0675">
      <w:pPr>
        <w:pStyle w:val="SingleTxtG"/>
        <w:rPr>
          <w:lang w:val="es-ES_tradnl"/>
        </w:rPr>
      </w:pPr>
      <w:r w:rsidRPr="008E023E">
        <w:rPr>
          <w:lang w:val="es-ES_tradnl"/>
        </w:rPr>
        <w:t>[Aprobada en votación registrada por 29 votos contra 15 y 3 abstenciones. El resultado de la votación fue el siguiente:</w:t>
      </w:r>
    </w:p>
    <w:p w14:paraId="01EE5D5B" w14:textId="77777777" w:rsidR="007C0675" w:rsidRPr="008E023E" w:rsidRDefault="007C0675" w:rsidP="007C0675">
      <w:pPr>
        <w:pStyle w:val="SingleTxtG"/>
        <w:keepNext/>
        <w:keepLines/>
        <w:spacing w:after="0"/>
        <w:ind w:left="1701"/>
        <w:rPr>
          <w:lang w:val="es-ES_tradnl"/>
        </w:rPr>
      </w:pPr>
      <w:r w:rsidRPr="008E023E">
        <w:rPr>
          <w:i/>
          <w:iCs/>
          <w:lang w:val="es-ES_tradnl"/>
        </w:rPr>
        <w:t>Votos a favor:</w:t>
      </w:r>
      <w:r w:rsidRPr="008E023E">
        <w:rPr>
          <w:lang w:val="es-ES_tradnl"/>
        </w:rPr>
        <w:t xml:space="preserve"> </w:t>
      </w:r>
    </w:p>
    <w:p w14:paraId="30802B39" w14:textId="66085DC7" w:rsidR="007C0675" w:rsidRPr="008E023E" w:rsidRDefault="00872DB8" w:rsidP="007C0675">
      <w:pPr>
        <w:pStyle w:val="SingleTxtG"/>
        <w:ind w:left="2268"/>
        <w:rPr>
          <w:lang w:val="es-ES_tradnl"/>
        </w:rPr>
      </w:pPr>
      <w:r w:rsidRPr="008E023E">
        <w:rPr>
          <w:lang w:val="es-ES_tradnl"/>
        </w:rPr>
        <w:t>Albania</w:t>
      </w:r>
      <w:r>
        <w:rPr>
          <w:lang w:val="es-ES_tradnl"/>
        </w:rPr>
        <w:t xml:space="preserve">, </w:t>
      </w:r>
      <w:r w:rsidRPr="00FC03B8">
        <w:t>Alemania</w:t>
      </w:r>
      <w:r>
        <w:t xml:space="preserve">, </w:t>
      </w:r>
      <w:r w:rsidRPr="008E023E">
        <w:rPr>
          <w:lang w:val="es-ES_tradnl"/>
        </w:rPr>
        <w:t>Bélgica</w:t>
      </w:r>
      <w:r>
        <w:rPr>
          <w:lang w:val="es-ES_tradnl"/>
        </w:rPr>
        <w:t xml:space="preserve">, </w:t>
      </w:r>
      <w:r w:rsidRPr="008E023E">
        <w:rPr>
          <w:lang w:val="es-ES_tradnl"/>
        </w:rPr>
        <w:t>Bolivia (Estado Plurinacional de)</w:t>
      </w:r>
      <w:r>
        <w:rPr>
          <w:lang w:val="es-ES_tradnl"/>
        </w:rPr>
        <w:t xml:space="preserve">, </w:t>
      </w:r>
      <w:r w:rsidRPr="008E023E">
        <w:rPr>
          <w:lang w:val="es-ES_tradnl"/>
        </w:rPr>
        <w:t>Brasil</w:t>
      </w:r>
      <w:r>
        <w:rPr>
          <w:lang w:val="es-ES_tradnl"/>
        </w:rPr>
        <w:t xml:space="preserve">, </w:t>
      </w:r>
      <w:r w:rsidRPr="008E023E">
        <w:rPr>
          <w:lang w:val="es-ES_tradnl"/>
        </w:rPr>
        <w:t>Bulgaria</w:t>
      </w:r>
      <w:r>
        <w:rPr>
          <w:lang w:val="es-ES_tradnl"/>
        </w:rPr>
        <w:t xml:space="preserve">, </w:t>
      </w:r>
      <w:r w:rsidR="006A430B" w:rsidRPr="008E023E">
        <w:rPr>
          <w:lang w:val="es-ES_tradnl"/>
        </w:rPr>
        <w:t>Chequia</w:t>
      </w:r>
      <w:r w:rsidR="006A430B">
        <w:rPr>
          <w:lang w:val="es-ES_tradnl"/>
        </w:rPr>
        <w:t xml:space="preserve">, </w:t>
      </w:r>
      <w:r w:rsidR="006A430B" w:rsidRPr="008E023E">
        <w:rPr>
          <w:lang w:val="es-ES_tradnl"/>
        </w:rPr>
        <w:t>Chile</w:t>
      </w:r>
      <w:r w:rsidR="006A430B">
        <w:rPr>
          <w:lang w:val="es-ES_tradnl"/>
        </w:rPr>
        <w:t xml:space="preserve">, </w:t>
      </w:r>
      <w:r w:rsidR="006A430B" w:rsidRPr="008E023E">
        <w:rPr>
          <w:lang w:val="es-ES_tradnl"/>
        </w:rPr>
        <w:t>Chipre</w:t>
      </w:r>
      <w:r w:rsidR="006A430B">
        <w:rPr>
          <w:lang w:val="es-ES_tradnl"/>
        </w:rPr>
        <w:t xml:space="preserve">, </w:t>
      </w:r>
      <w:r w:rsidRPr="008E023E">
        <w:rPr>
          <w:lang w:val="es-ES_tradnl"/>
        </w:rPr>
        <w:t>Colombia</w:t>
      </w:r>
      <w:r>
        <w:rPr>
          <w:lang w:val="es-ES_tradnl"/>
        </w:rPr>
        <w:t xml:space="preserve">, </w:t>
      </w:r>
      <w:r w:rsidRPr="008E023E">
        <w:rPr>
          <w:lang w:val="es-ES_tradnl"/>
        </w:rPr>
        <w:t>Costa Rica</w:t>
      </w:r>
      <w:r>
        <w:rPr>
          <w:lang w:val="es-ES_tradnl"/>
        </w:rPr>
        <w:t xml:space="preserve">, </w:t>
      </w:r>
      <w:r w:rsidRPr="008E023E">
        <w:rPr>
          <w:lang w:val="es-ES_tradnl"/>
        </w:rPr>
        <w:t>Cuba</w:t>
      </w:r>
      <w:r>
        <w:rPr>
          <w:lang w:val="es-ES_tradnl"/>
        </w:rPr>
        <w:t xml:space="preserve">, </w:t>
      </w:r>
      <w:r w:rsidRPr="008E023E">
        <w:rPr>
          <w:lang w:val="es-ES_tradnl"/>
        </w:rPr>
        <w:t>España</w:t>
      </w:r>
      <w:r>
        <w:rPr>
          <w:lang w:val="es-ES_tradnl"/>
        </w:rPr>
        <w:t xml:space="preserve">, </w:t>
      </w:r>
      <w:r w:rsidRPr="008E023E">
        <w:rPr>
          <w:lang w:val="es-ES_tradnl"/>
        </w:rPr>
        <w:t>Francia</w:t>
      </w:r>
      <w:r>
        <w:rPr>
          <w:lang w:val="es-ES_tradnl"/>
        </w:rPr>
        <w:t xml:space="preserve">, </w:t>
      </w:r>
      <w:r w:rsidRPr="00FC03B8">
        <w:t>Georgia</w:t>
      </w:r>
      <w:r>
        <w:t xml:space="preserve">, </w:t>
      </w:r>
      <w:r w:rsidRPr="00FC03B8">
        <w:t>Islandia</w:t>
      </w:r>
      <w:r>
        <w:t xml:space="preserve">, </w:t>
      </w:r>
      <w:r w:rsidRPr="00FC03B8">
        <w:t>Islas Marshall</w:t>
      </w:r>
      <w:r>
        <w:t xml:space="preserve">, </w:t>
      </w:r>
      <w:r w:rsidRPr="00FC03B8">
        <w:t>Japón</w:t>
      </w:r>
      <w:r>
        <w:t xml:space="preserve">, </w:t>
      </w:r>
      <w:proofErr w:type="spellStart"/>
      <w:r w:rsidRPr="00FC03B8">
        <w:t>Kenya</w:t>
      </w:r>
      <w:proofErr w:type="spellEnd"/>
      <w:r>
        <w:t xml:space="preserve">, </w:t>
      </w:r>
      <w:r w:rsidRPr="008E023E">
        <w:rPr>
          <w:lang w:val="es-ES_tradnl"/>
        </w:rPr>
        <w:t>Macedonia del Norte</w:t>
      </w:r>
      <w:r>
        <w:rPr>
          <w:lang w:val="es-ES_tradnl"/>
        </w:rPr>
        <w:t xml:space="preserve">, </w:t>
      </w:r>
      <w:r w:rsidRPr="008E023E">
        <w:rPr>
          <w:lang w:val="es-ES_tradnl"/>
        </w:rPr>
        <w:t>México</w:t>
      </w:r>
      <w:r>
        <w:rPr>
          <w:lang w:val="es-ES_tradnl"/>
        </w:rPr>
        <w:t xml:space="preserve">, </w:t>
      </w:r>
      <w:r w:rsidRPr="008E023E">
        <w:rPr>
          <w:lang w:val="es-ES_tradnl"/>
        </w:rPr>
        <w:t>Países Bajos (Reino de los)</w:t>
      </w:r>
      <w:r>
        <w:rPr>
          <w:lang w:val="es-ES_tradnl"/>
        </w:rPr>
        <w:t xml:space="preserve">, </w:t>
      </w:r>
      <w:r w:rsidRPr="008E023E">
        <w:rPr>
          <w:lang w:val="es-ES_tradnl"/>
        </w:rPr>
        <w:t>República de Corea</w:t>
      </w:r>
      <w:r>
        <w:rPr>
          <w:lang w:val="es-ES_tradnl"/>
        </w:rPr>
        <w:t xml:space="preserve">, </w:t>
      </w:r>
      <w:r w:rsidRPr="008E023E">
        <w:rPr>
          <w:lang w:val="es-ES_tradnl"/>
        </w:rPr>
        <w:t>República Dominicana</w:t>
      </w:r>
      <w:r>
        <w:rPr>
          <w:lang w:val="es-ES_tradnl"/>
        </w:rPr>
        <w:t xml:space="preserve">, </w:t>
      </w:r>
      <w:r w:rsidRPr="008E023E">
        <w:rPr>
          <w:lang w:val="es-ES_tradnl"/>
        </w:rPr>
        <w:t>Rumanía</w:t>
      </w:r>
      <w:r>
        <w:rPr>
          <w:lang w:val="es-ES_tradnl"/>
        </w:rPr>
        <w:t xml:space="preserve">, </w:t>
      </w:r>
      <w:r w:rsidRPr="008E023E">
        <w:rPr>
          <w:lang w:val="es-ES_tradnl"/>
        </w:rPr>
        <w:t>Sudáfrica</w:t>
      </w:r>
      <w:r>
        <w:rPr>
          <w:lang w:val="es-ES_tradnl"/>
        </w:rPr>
        <w:t xml:space="preserve">, </w:t>
      </w:r>
      <w:r w:rsidRPr="008E023E">
        <w:rPr>
          <w:lang w:val="es-ES_tradnl"/>
        </w:rPr>
        <w:t>Suiza</w:t>
      </w:r>
      <w:r>
        <w:rPr>
          <w:lang w:val="es-ES_tradnl"/>
        </w:rPr>
        <w:t xml:space="preserve">, </w:t>
      </w:r>
      <w:r w:rsidRPr="008E023E">
        <w:rPr>
          <w:lang w:val="es-ES_tradnl"/>
        </w:rPr>
        <w:t>Tailandia</w:t>
      </w:r>
      <w:r>
        <w:rPr>
          <w:lang w:val="es-ES_tradnl"/>
        </w:rPr>
        <w:t xml:space="preserve">, </w:t>
      </w:r>
      <w:proofErr w:type="spellStart"/>
      <w:r w:rsidRPr="008E023E">
        <w:rPr>
          <w:lang w:val="es-ES_tradnl"/>
        </w:rPr>
        <w:t>Viet</w:t>
      </w:r>
      <w:proofErr w:type="spellEnd"/>
      <w:r w:rsidRPr="008E023E">
        <w:rPr>
          <w:lang w:val="es-ES_tradnl"/>
        </w:rPr>
        <w:t xml:space="preserve"> </w:t>
      </w:r>
      <w:proofErr w:type="spellStart"/>
      <w:r w:rsidRPr="008E023E">
        <w:rPr>
          <w:lang w:val="es-ES_tradnl"/>
        </w:rPr>
        <w:t>Nam</w:t>
      </w:r>
      <w:proofErr w:type="spellEnd"/>
      <w:r w:rsidR="007C0675">
        <w:rPr>
          <w:lang w:val="es-ES_tradnl"/>
        </w:rPr>
        <w:t>.</w:t>
      </w:r>
    </w:p>
    <w:p w14:paraId="40070845" w14:textId="77777777" w:rsidR="007C0675" w:rsidRPr="008E023E" w:rsidRDefault="007C0675" w:rsidP="007C0675">
      <w:pPr>
        <w:pStyle w:val="SingleTxtG"/>
        <w:keepNext/>
        <w:keepLines/>
        <w:spacing w:after="0"/>
        <w:ind w:left="1701"/>
        <w:rPr>
          <w:lang w:val="es-ES_tradnl"/>
        </w:rPr>
      </w:pPr>
      <w:r w:rsidRPr="008E023E">
        <w:rPr>
          <w:i/>
          <w:iCs/>
          <w:lang w:val="es-ES_tradnl"/>
        </w:rPr>
        <w:t>Votos en contra:</w:t>
      </w:r>
    </w:p>
    <w:p w14:paraId="68D51262" w14:textId="39AE0A42" w:rsidR="007C0675" w:rsidRPr="008E023E" w:rsidRDefault="00872DB8" w:rsidP="007C0675">
      <w:pPr>
        <w:pStyle w:val="SingleTxtG"/>
        <w:ind w:left="2268"/>
        <w:rPr>
          <w:lang w:val="es-ES_tradnl"/>
        </w:rPr>
      </w:pPr>
      <w:r w:rsidRPr="008E023E">
        <w:rPr>
          <w:lang w:val="es-ES_tradnl"/>
        </w:rPr>
        <w:t>Argelia</w:t>
      </w:r>
      <w:r>
        <w:rPr>
          <w:lang w:val="es-ES_tradnl"/>
        </w:rPr>
        <w:t xml:space="preserve">, </w:t>
      </w:r>
      <w:r w:rsidRPr="008E023E">
        <w:rPr>
          <w:lang w:val="es-ES_tradnl"/>
        </w:rPr>
        <w:t>Bangladesh</w:t>
      </w:r>
      <w:r>
        <w:rPr>
          <w:lang w:val="es-ES_tradnl"/>
        </w:rPr>
        <w:t xml:space="preserve">, </w:t>
      </w:r>
      <w:r w:rsidRPr="008E023E">
        <w:rPr>
          <w:lang w:val="es-ES_tradnl"/>
        </w:rPr>
        <w:t>Burundi</w:t>
      </w:r>
      <w:r>
        <w:rPr>
          <w:lang w:val="es-ES_tradnl"/>
        </w:rPr>
        <w:t xml:space="preserve">, </w:t>
      </w:r>
      <w:r w:rsidR="006A430B" w:rsidRPr="008E023E">
        <w:rPr>
          <w:lang w:val="es-ES_tradnl"/>
        </w:rPr>
        <w:t>China</w:t>
      </w:r>
      <w:r w:rsidR="006A430B">
        <w:rPr>
          <w:lang w:val="es-ES_tradnl"/>
        </w:rPr>
        <w:t>,</w:t>
      </w:r>
      <w:r w:rsidR="006A430B">
        <w:rPr>
          <w:lang w:val="es-ES_tradnl"/>
        </w:rPr>
        <w:t xml:space="preserve"> </w:t>
      </w:r>
      <w:proofErr w:type="spellStart"/>
      <w:r w:rsidRPr="008E023E">
        <w:rPr>
          <w:lang w:val="es-ES_tradnl"/>
        </w:rPr>
        <w:t>Côte</w:t>
      </w:r>
      <w:proofErr w:type="spellEnd"/>
      <w:r w:rsidRPr="008E023E">
        <w:rPr>
          <w:lang w:val="es-ES_tradnl"/>
        </w:rPr>
        <w:t xml:space="preserve"> </w:t>
      </w:r>
      <w:proofErr w:type="spellStart"/>
      <w:r w:rsidRPr="008E023E">
        <w:rPr>
          <w:lang w:val="es-ES_tradnl"/>
        </w:rPr>
        <w:t>d’Ivoire</w:t>
      </w:r>
      <w:proofErr w:type="spellEnd"/>
      <w:r>
        <w:rPr>
          <w:lang w:val="es-ES_tradnl"/>
        </w:rPr>
        <w:t xml:space="preserve">, </w:t>
      </w:r>
      <w:r w:rsidRPr="008E023E">
        <w:rPr>
          <w:lang w:val="es-ES_tradnl"/>
        </w:rPr>
        <w:t>Etiopía</w:t>
      </w:r>
      <w:r>
        <w:rPr>
          <w:lang w:val="es-ES_tradnl"/>
        </w:rPr>
        <w:t xml:space="preserve">, </w:t>
      </w:r>
      <w:r w:rsidRPr="008E023E">
        <w:rPr>
          <w:lang w:val="es-ES_tradnl"/>
        </w:rPr>
        <w:t>Gambia</w:t>
      </w:r>
      <w:r>
        <w:rPr>
          <w:lang w:val="es-ES_tradnl"/>
        </w:rPr>
        <w:t xml:space="preserve">, </w:t>
      </w:r>
      <w:r w:rsidRPr="008E023E">
        <w:rPr>
          <w:lang w:val="es-ES_tradnl"/>
        </w:rPr>
        <w:t>Indonesia</w:t>
      </w:r>
      <w:r>
        <w:rPr>
          <w:lang w:val="es-ES_tradnl"/>
        </w:rPr>
        <w:t xml:space="preserve">, </w:t>
      </w:r>
      <w:r w:rsidRPr="008E023E">
        <w:rPr>
          <w:lang w:val="es-ES_tradnl"/>
        </w:rPr>
        <w:t>Kuwait</w:t>
      </w:r>
      <w:r>
        <w:rPr>
          <w:lang w:val="es-ES_tradnl"/>
        </w:rPr>
        <w:t xml:space="preserve">, </w:t>
      </w:r>
      <w:r w:rsidRPr="008E023E">
        <w:rPr>
          <w:lang w:val="es-ES_tradnl"/>
        </w:rPr>
        <w:t>Malawi</w:t>
      </w:r>
      <w:r>
        <w:rPr>
          <w:lang w:val="es-ES_tradnl"/>
        </w:rPr>
        <w:t xml:space="preserve">, </w:t>
      </w:r>
      <w:r w:rsidRPr="008E023E">
        <w:rPr>
          <w:lang w:val="es-ES_tradnl"/>
        </w:rPr>
        <w:t>Maldivas</w:t>
      </w:r>
      <w:r>
        <w:rPr>
          <w:lang w:val="es-ES_tradnl"/>
        </w:rPr>
        <w:t xml:space="preserve">, </w:t>
      </w:r>
      <w:r w:rsidRPr="008E023E">
        <w:rPr>
          <w:lang w:val="es-ES_tradnl"/>
        </w:rPr>
        <w:t>Marruecos</w:t>
      </w:r>
      <w:r>
        <w:rPr>
          <w:lang w:val="es-ES_tradnl"/>
        </w:rPr>
        <w:t xml:space="preserve">, </w:t>
      </w:r>
      <w:r w:rsidRPr="008E023E">
        <w:rPr>
          <w:lang w:val="es-ES_tradnl"/>
        </w:rPr>
        <w:t>Qatar</w:t>
      </w:r>
      <w:r>
        <w:rPr>
          <w:lang w:val="es-ES_tradnl"/>
        </w:rPr>
        <w:t xml:space="preserve">, </w:t>
      </w:r>
      <w:r w:rsidRPr="008E023E">
        <w:rPr>
          <w:lang w:val="es-ES_tradnl"/>
        </w:rPr>
        <w:t>República Democrática del Congo</w:t>
      </w:r>
      <w:r>
        <w:rPr>
          <w:lang w:val="es-ES_tradnl"/>
        </w:rPr>
        <w:t xml:space="preserve">, </w:t>
      </w:r>
      <w:r w:rsidRPr="008E023E">
        <w:rPr>
          <w:lang w:val="es-ES_tradnl"/>
        </w:rPr>
        <w:t>Sudán</w:t>
      </w:r>
      <w:r w:rsidR="007C0675">
        <w:rPr>
          <w:lang w:val="es-ES_tradnl"/>
        </w:rPr>
        <w:t>.</w:t>
      </w:r>
    </w:p>
    <w:p w14:paraId="512F3934" w14:textId="77777777" w:rsidR="007C0675" w:rsidRPr="008E023E" w:rsidRDefault="007C0675" w:rsidP="007C0675">
      <w:pPr>
        <w:pStyle w:val="SingleTxtG"/>
        <w:keepNext/>
        <w:keepLines/>
        <w:spacing w:after="0"/>
        <w:ind w:left="1701"/>
        <w:rPr>
          <w:lang w:val="es-ES_tradnl"/>
        </w:rPr>
      </w:pPr>
      <w:r w:rsidRPr="008E023E">
        <w:rPr>
          <w:i/>
          <w:iCs/>
          <w:lang w:val="es-ES_tradnl"/>
        </w:rPr>
        <w:t xml:space="preserve">Abstenciones: </w:t>
      </w:r>
    </w:p>
    <w:p w14:paraId="0D4DCBDD" w14:textId="5C91A72F" w:rsidR="00381C24" w:rsidRDefault="007C0675" w:rsidP="007C0675">
      <w:pPr>
        <w:pStyle w:val="SingleTxtG"/>
        <w:ind w:left="2268"/>
        <w:rPr>
          <w:lang w:val="es-ES_tradnl"/>
        </w:rPr>
      </w:pPr>
      <w:r w:rsidRPr="008E023E">
        <w:rPr>
          <w:lang w:val="es-ES_tradnl"/>
        </w:rPr>
        <w:t>Benin, Ghana, Kirguistán</w:t>
      </w:r>
      <w:r>
        <w:rPr>
          <w:lang w:val="es-ES_tradnl"/>
        </w:rPr>
        <w:t>.</w:t>
      </w:r>
      <w:r w:rsidRPr="008E023E">
        <w:rPr>
          <w:lang w:val="es-ES_tradnl"/>
        </w:rPr>
        <w:t>]</w:t>
      </w:r>
      <w:bookmarkEnd w:id="0"/>
      <w:r w:rsidR="008A234C">
        <w:rPr>
          <w:lang w:val="es-ES_tradnl"/>
        </w:rPr>
        <w:t xml:space="preserve"> </w:t>
      </w:r>
    </w:p>
    <w:p w14:paraId="587DD48D" w14:textId="6E500C65" w:rsidR="007C0675" w:rsidRPr="007C0675" w:rsidRDefault="007C0675" w:rsidP="007C0675">
      <w:pPr>
        <w:pStyle w:val="SingleTxtG"/>
        <w:suppressAutoHyphens/>
        <w:spacing w:before="240" w:after="0"/>
        <w:jc w:val="center"/>
        <w:rPr>
          <w:u w:val="single"/>
        </w:rPr>
      </w:pPr>
      <w:r>
        <w:rPr>
          <w:u w:val="single"/>
        </w:rPr>
        <w:tab/>
      </w:r>
      <w:r>
        <w:rPr>
          <w:u w:val="single"/>
        </w:rPr>
        <w:tab/>
      </w:r>
      <w:r>
        <w:rPr>
          <w:u w:val="single"/>
        </w:rPr>
        <w:tab/>
      </w:r>
    </w:p>
    <w:sectPr w:rsidR="007C0675" w:rsidRPr="007C0675" w:rsidSect="007C067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218C85" w14:textId="77777777" w:rsidR="0089292C" w:rsidRPr="00A312BC" w:rsidRDefault="0089292C" w:rsidP="00A312BC">
      <w:pPr>
        <w:pStyle w:val="Piedepgina"/>
      </w:pPr>
    </w:p>
  </w:endnote>
  <w:endnote w:type="continuationSeparator" w:id="0">
    <w:p w14:paraId="1C5AC1CA" w14:textId="77777777" w:rsidR="0089292C" w:rsidRPr="00A312BC" w:rsidRDefault="0089292C"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FE38C" w14:textId="2675EEDA" w:rsidR="007C0675" w:rsidRPr="007C0675" w:rsidRDefault="007C0675" w:rsidP="007C0675">
    <w:pPr>
      <w:pStyle w:val="Piedepgina"/>
      <w:tabs>
        <w:tab w:val="right" w:pos="9638"/>
      </w:tabs>
    </w:pPr>
    <w:r w:rsidRPr="007C0675">
      <w:rPr>
        <w:b/>
        <w:sz w:val="18"/>
      </w:rPr>
      <w:fldChar w:fldCharType="begin"/>
    </w:r>
    <w:r w:rsidRPr="007C0675">
      <w:rPr>
        <w:b/>
        <w:sz w:val="18"/>
      </w:rPr>
      <w:instrText xml:space="preserve"> PAGE  \* MERGEFORMAT </w:instrText>
    </w:r>
    <w:r w:rsidRPr="007C0675">
      <w:rPr>
        <w:b/>
        <w:sz w:val="18"/>
      </w:rPr>
      <w:fldChar w:fldCharType="separate"/>
    </w:r>
    <w:r w:rsidRPr="007C0675">
      <w:rPr>
        <w:b/>
        <w:noProof/>
        <w:sz w:val="18"/>
      </w:rPr>
      <w:t>2</w:t>
    </w:r>
    <w:r w:rsidRPr="007C0675">
      <w:rPr>
        <w:b/>
        <w:sz w:val="18"/>
      </w:rPr>
      <w:fldChar w:fldCharType="end"/>
    </w:r>
    <w:r>
      <w:rPr>
        <w:b/>
        <w:sz w:val="18"/>
      </w:rPr>
      <w:tab/>
    </w:r>
    <w:r>
      <w:t>GE.25-11106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95654" w14:textId="645CFBD3" w:rsidR="007C0675" w:rsidRPr="007C0675" w:rsidRDefault="007C0675" w:rsidP="007C0675">
    <w:pPr>
      <w:pStyle w:val="Piedepgina"/>
      <w:tabs>
        <w:tab w:val="right" w:pos="9638"/>
      </w:tabs>
      <w:rPr>
        <w:b/>
        <w:sz w:val="18"/>
      </w:rPr>
    </w:pPr>
    <w:r>
      <w:t>GE.25-11106</w:t>
    </w:r>
    <w:r>
      <w:tab/>
    </w:r>
    <w:r w:rsidRPr="007C0675">
      <w:rPr>
        <w:b/>
        <w:sz w:val="18"/>
      </w:rPr>
      <w:fldChar w:fldCharType="begin"/>
    </w:r>
    <w:r w:rsidRPr="007C0675">
      <w:rPr>
        <w:b/>
        <w:sz w:val="18"/>
      </w:rPr>
      <w:instrText xml:space="preserve"> PAGE  \* MERGEFORMAT </w:instrText>
    </w:r>
    <w:r w:rsidRPr="007C0675">
      <w:rPr>
        <w:b/>
        <w:sz w:val="18"/>
      </w:rPr>
      <w:fldChar w:fldCharType="separate"/>
    </w:r>
    <w:r w:rsidRPr="007C0675">
      <w:rPr>
        <w:b/>
        <w:noProof/>
        <w:sz w:val="18"/>
      </w:rPr>
      <w:t>3</w:t>
    </w:r>
    <w:r w:rsidRPr="007C067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07EA5" w14:textId="79DAE2C9" w:rsidR="00042B72" w:rsidRPr="007C0675" w:rsidRDefault="007C0675" w:rsidP="007C0675">
    <w:pPr>
      <w:pStyle w:val="Piedepgina"/>
      <w:spacing w:before="120" w:line="240" w:lineRule="auto"/>
      <w:rPr>
        <w:sz w:val="20"/>
      </w:rPr>
    </w:pPr>
    <w:proofErr w:type="spellStart"/>
    <w:r>
      <w:rPr>
        <w:sz w:val="20"/>
      </w:rPr>
      <w:t>GE.</w:t>
    </w:r>
    <w:r w:rsidR="002E5067">
      <w:rPr>
        <w:noProof/>
      </w:rPr>
      <w:drawing>
        <wp:anchor distT="0" distB="0" distL="114300" distR="114300" simplePos="0" relativeHeight="251657728" behindDoc="0" locked="1" layoutInCell="1" allowOverlap="1" wp14:anchorId="072C0FFA" wp14:editId="202E3B1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-11106  (S)</w:t>
    </w:r>
    <w:r>
      <w:rPr>
        <w:noProof/>
        <w:sz w:val="20"/>
      </w:rPr>
      <w:drawing>
        <wp:anchor distT="0" distB="0" distL="114300" distR="114300" simplePos="0" relativeHeight="251658752" behindDoc="0" locked="0" layoutInCell="1" allowOverlap="1" wp14:anchorId="42506A0D" wp14:editId="5E8B1A81">
          <wp:simplePos x="0" y="0"/>
          <wp:positionH relativeFrom="margin">
            <wp:posOffset>5489575</wp:posOffset>
          </wp:positionH>
          <wp:positionV relativeFrom="margin">
            <wp:posOffset>8891905</wp:posOffset>
          </wp:positionV>
          <wp:extent cx="628650" cy="628650"/>
          <wp:effectExtent l="0" t="0" r="0" b="0"/>
          <wp:wrapNone/>
          <wp:docPr id="8714111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EC1728">
      <w:rPr>
        <w:sz w:val="20"/>
      </w:rPr>
      <w:t xml:space="preserve">    040825    050825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A94CFA" w14:textId="77777777" w:rsidR="0089292C" w:rsidRPr="001075E9" w:rsidRDefault="0089292C" w:rsidP="001075E9">
      <w:pPr>
        <w:tabs>
          <w:tab w:val="right" w:pos="2155"/>
        </w:tabs>
        <w:spacing w:after="80" w:line="240" w:lineRule="auto"/>
        <w:ind w:left="680"/>
        <w:rPr>
          <w:u w:val="single"/>
        </w:rPr>
      </w:pPr>
      <w:r>
        <w:rPr>
          <w:u w:val="single"/>
        </w:rPr>
        <w:tab/>
      </w:r>
    </w:p>
  </w:footnote>
  <w:footnote w:type="continuationSeparator" w:id="0">
    <w:p w14:paraId="65C2F0A4" w14:textId="77777777" w:rsidR="0089292C" w:rsidRDefault="0089292C" w:rsidP="00407B78">
      <w:pPr>
        <w:tabs>
          <w:tab w:val="right" w:pos="2155"/>
        </w:tabs>
        <w:spacing w:after="80"/>
        <w:ind w:left="680"/>
        <w:rPr>
          <w:u w:val="single"/>
        </w:rPr>
      </w:pPr>
      <w:r>
        <w:rPr>
          <w:u w:val="single"/>
        </w:rPr>
        <w:tab/>
      </w:r>
    </w:p>
  </w:footnote>
  <w:footnote w:id="1">
    <w:p w14:paraId="23DDA6ED" w14:textId="5378E67C" w:rsidR="007C0675" w:rsidRPr="008E023E" w:rsidRDefault="007C0675" w:rsidP="007C0675">
      <w:pPr>
        <w:pStyle w:val="Textonotapie"/>
      </w:pPr>
      <w:r w:rsidRPr="008E023E">
        <w:tab/>
      </w:r>
      <w:r w:rsidRPr="008E023E">
        <w:rPr>
          <w:rStyle w:val="Refdenotaalpie"/>
        </w:rPr>
        <w:footnoteRef/>
      </w:r>
      <w:r w:rsidRPr="008E023E">
        <w:tab/>
        <w:t xml:space="preserve">Véanse </w:t>
      </w:r>
      <w:hyperlink r:id="rId1" w:history="1">
        <w:r w:rsidRPr="007C0675">
          <w:rPr>
            <w:rStyle w:val="Hipervnculo"/>
          </w:rPr>
          <w:t>A/HRC/59/43</w:t>
        </w:r>
      </w:hyperlink>
      <w:r w:rsidRPr="008E023E">
        <w:t xml:space="preserve">, </w:t>
      </w:r>
      <w:hyperlink r:id="rId2" w:history="1">
        <w:r w:rsidRPr="007C0675">
          <w:rPr>
            <w:rStyle w:val="Hipervnculo"/>
          </w:rPr>
          <w:t>A/HRC/59/43/Add.1</w:t>
        </w:r>
      </w:hyperlink>
      <w:r w:rsidRPr="008E023E">
        <w:t xml:space="preserve"> y </w:t>
      </w:r>
      <w:hyperlink r:id="rId3" w:history="1">
        <w:r w:rsidRPr="007C0675">
          <w:rPr>
            <w:rStyle w:val="Hipervnculo"/>
          </w:rPr>
          <w:t>A/HRC/59/43/Add.2</w:t>
        </w:r>
      </w:hyperlink>
      <w:r w:rsidRPr="008E023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547B7" w14:textId="6703C17A" w:rsidR="007C0675" w:rsidRPr="007C0675" w:rsidRDefault="007C0675">
    <w:pPr>
      <w:pStyle w:val="Encabezado"/>
    </w:pPr>
    <w:fldSimple w:instr=" TITLE  \* MERGEFORMAT ">
      <w:r w:rsidR="00EC1728">
        <w:t>A/HRC/RES/59/5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33C83" w14:textId="3F10E933" w:rsidR="007C0675" w:rsidRPr="007C0675" w:rsidRDefault="007C0675" w:rsidP="007C0675">
    <w:pPr>
      <w:pStyle w:val="Encabezado"/>
      <w:jc w:val="right"/>
    </w:pPr>
    <w:fldSimple w:instr=" TITLE  \* MERGEFORMAT ">
      <w:r w:rsidR="00EC1728">
        <w:t>A/HRC/RES/59/5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45100692">
    <w:abstractNumId w:val="14"/>
  </w:num>
  <w:num w:numId="2" w16cid:durableId="322320172">
    <w:abstractNumId w:val="11"/>
  </w:num>
  <w:num w:numId="3" w16cid:durableId="119803278">
    <w:abstractNumId w:val="16"/>
  </w:num>
  <w:num w:numId="4" w16cid:durableId="1496342668">
    <w:abstractNumId w:val="15"/>
  </w:num>
  <w:num w:numId="5" w16cid:durableId="23219510">
    <w:abstractNumId w:val="13"/>
  </w:num>
  <w:num w:numId="6" w16cid:durableId="1958290831">
    <w:abstractNumId w:val="8"/>
  </w:num>
  <w:num w:numId="7" w16cid:durableId="1886793498">
    <w:abstractNumId w:val="3"/>
  </w:num>
  <w:num w:numId="8" w16cid:durableId="93717235">
    <w:abstractNumId w:val="2"/>
  </w:num>
  <w:num w:numId="9" w16cid:durableId="64840072">
    <w:abstractNumId w:val="1"/>
  </w:num>
  <w:num w:numId="10" w16cid:durableId="75979837">
    <w:abstractNumId w:val="0"/>
  </w:num>
  <w:num w:numId="11" w16cid:durableId="1752461705">
    <w:abstractNumId w:val="9"/>
  </w:num>
  <w:num w:numId="12" w16cid:durableId="765657629">
    <w:abstractNumId w:val="7"/>
  </w:num>
  <w:num w:numId="13" w16cid:durableId="873999987">
    <w:abstractNumId w:val="6"/>
  </w:num>
  <w:num w:numId="14" w16cid:durableId="571544194">
    <w:abstractNumId w:val="5"/>
  </w:num>
  <w:num w:numId="15" w16cid:durableId="692191591">
    <w:abstractNumId w:val="4"/>
  </w:num>
  <w:num w:numId="16" w16cid:durableId="2142650032">
    <w:abstractNumId w:val="10"/>
  </w:num>
  <w:num w:numId="17" w16cid:durableId="695304123">
    <w:abstractNumId w:val="14"/>
  </w:num>
  <w:num w:numId="18" w16cid:durableId="1049912854">
    <w:abstractNumId w:val="11"/>
  </w:num>
  <w:num w:numId="19" w16cid:durableId="255093135">
    <w:abstractNumId w:val="10"/>
  </w:num>
  <w:num w:numId="20" w16cid:durableId="1814980917">
    <w:abstractNumId w:val="16"/>
  </w:num>
  <w:num w:numId="21" w16cid:durableId="2045396831">
    <w:abstractNumId w:val="15"/>
  </w:num>
  <w:num w:numId="22" w16cid:durableId="407463530">
    <w:abstractNumId w:val="12"/>
  </w:num>
  <w:num w:numId="23" w16cid:durableId="1134518035">
    <w:abstractNumId w:val="12"/>
  </w:num>
  <w:num w:numId="24" w16cid:durableId="272785152">
    <w:abstractNumId w:val="13"/>
  </w:num>
  <w:num w:numId="25" w16cid:durableId="295643641">
    <w:abstractNumId w:val="9"/>
  </w:num>
  <w:num w:numId="26" w16cid:durableId="28575713">
    <w:abstractNumId w:val="7"/>
  </w:num>
  <w:num w:numId="27" w16cid:durableId="2010020927">
    <w:abstractNumId w:val="6"/>
  </w:num>
  <w:num w:numId="28" w16cid:durableId="409281004">
    <w:abstractNumId w:val="5"/>
  </w:num>
  <w:num w:numId="29" w16cid:durableId="1113283268">
    <w:abstractNumId w:val="4"/>
  </w:num>
  <w:num w:numId="30" w16cid:durableId="1827433516">
    <w:abstractNumId w:val="8"/>
  </w:num>
  <w:num w:numId="31" w16cid:durableId="1407996115">
    <w:abstractNumId w:val="3"/>
  </w:num>
  <w:num w:numId="32" w16cid:durableId="1658220488">
    <w:abstractNumId w:val="2"/>
  </w:num>
  <w:num w:numId="33" w16cid:durableId="667909219">
    <w:abstractNumId w:val="1"/>
  </w:num>
  <w:num w:numId="34" w16cid:durableId="70355330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92C"/>
    <w:rsid w:val="00033EE1"/>
    <w:rsid w:val="00042B72"/>
    <w:rsid w:val="000558BD"/>
    <w:rsid w:val="0008244E"/>
    <w:rsid w:val="00095626"/>
    <w:rsid w:val="000B57E7"/>
    <w:rsid w:val="000B6373"/>
    <w:rsid w:val="000F09DF"/>
    <w:rsid w:val="000F61B2"/>
    <w:rsid w:val="001075E9"/>
    <w:rsid w:val="001116B4"/>
    <w:rsid w:val="001209CA"/>
    <w:rsid w:val="001359DC"/>
    <w:rsid w:val="00180183"/>
    <w:rsid w:val="0018024D"/>
    <w:rsid w:val="0018649F"/>
    <w:rsid w:val="00196389"/>
    <w:rsid w:val="001B3EF6"/>
    <w:rsid w:val="001B7276"/>
    <w:rsid w:val="001C7A89"/>
    <w:rsid w:val="002624B6"/>
    <w:rsid w:val="002A2EFC"/>
    <w:rsid w:val="002C0E18"/>
    <w:rsid w:val="002D5AAC"/>
    <w:rsid w:val="002E5067"/>
    <w:rsid w:val="002F405F"/>
    <w:rsid w:val="002F7EEC"/>
    <w:rsid w:val="00301299"/>
    <w:rsid w:val="00307FB6"/>
    <w:rsid w:val="00317339"/>
    <w:rsid w:val="00322004"/>
    <w:rsid w:val="00336E0C"/>
    <w:rsid w:val="003402C2"/>
    <w:rsid w:val="00381C24"/>
    <w:rsid w:val="003958D0"/>
    <w:rsid w:val="003B00E5"/>
    <w:rsid w:val="003E402A"/>
    <w:rsid w:val="00407B78"/>
    <w:rsid w:val="00424203"/>
    <w:rsid w:val="00452493"/>
    <w:rsid w:val="00454E07"/>
    <w:rsid w:val="00472C5C"/>
    <w:rsid w:val="0050108D"/>
    <w:rsid w:val="00513081"/>
    <w:rsid w:val="00517901"/>
    <w:rsid w:val="00526683"/>
    <w:rsid w:val="005709E0"/>
    <w:rsid w:val="00572E19"/>
    <w:rsid w:val="005961C8"/>
    <w:rsid w:val="005D7914"/>
    <w:rsid w:val="005E277E"/>
    <w:rsid w:val="005E2B41"/>
    <w:rsid w:val="005F0B42"/>
    <w:rsid w:val="00681A10"/>
    <w:rsid w:val="006A1ED8"/>
    <w:rsid w:val="006A430B"/>
    <w:rsid w:val="006A4F89"/>
    <w:rsid w:val="006C2031"/>
    <w:rsid w:val="006D461A"/>
    <w:rsid w:val="006F35EE"/>
    <w:rsid w:val="007021FF"/>
    <w:rsid w:val="00712895"/>
    <w:rsid w:val="00757357"/>
    <w:rsid w:val="007C0675"/>
    <w:rsid w:val="007D7D27"/>
    <w:rsid w:val="00825F8D"/>
    <w:rsid w:val="00834B71"/>
    <w:rsid w:val="0086445C"/>
    <w:rsid w:val="00872DB8"/>
    <w:rsid w:val="0089292C"/>
    <w:rsid w:val="00894693"/>
    <w:rsid w:val="008A08D7"/>
    <w:rsid w:val="008A234C"/>
    <w:rsid w:val="008B6909"/>
    <w:rsid w:val="00906890"/>
    <w:rsid w:val="00911BE4"/>
    <w:rsid w:val="00951972"/>
    <w:rsid w:val="009608F3"/>
    <w:rsid w:val="00982D57"/>
    <w:rsid w:val="009A24AC"/>
    <w:rsid w:val="00A0100B"/>
    <w:rsid w:val="00A312BC"/>
    <w:rsid w:val="00A84021"/>
    <w:rsid w:val="00A84D35"/>
    <w:rsid w:val="00A90665"/>
    <w:rsid w:val="00A917B3"/>
    <w:rsid w:val="00A978F1"/>
    <w:rsid w:val="00AB4B51"/>
    <w:rsid w:val="00B10CC7"/>
    <w:rsid w:val="00B42844"/>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90138"/>
    <w:rsid w:val="00E040BD"/>
    <w:rsid w:val="00E728B5"/>
    <w:rsid w:val="00E73F76"/>
    <w:rsid w:val="00EA2C9F"/>
    <w:rsid w:val="00EC1728"/>
    <w:rsid w:val="00ED0BDA"/>
    <w:rsid w:val="00EF1360"/>
    <w:rsid w:val="00EF3220"/>
    <w:rsid w:val="00F94155"/>
    <w:rsid w:val="00F9783F"/>
    <w:rsid w:val="00FD2EF7"/>
    <w:rsid w:val="00FE34EB"/>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CB15CE"/>
  <w15:docId w15:val="{EA272788-AF7B-422A-96EE-610D20843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s/A/HRC/59/43/Add.2" TargetMode="External"/><Relationship Id="rId2" Type="http://schemas.openxmlformats.org/officeDocument/2006/relationships/hyperlink" Target="https://docs.un.org/es/A/HRC/59/43/Add.1" TargetMode="External"/><Relationship Id="rId1" Type="http://schemas.openxmlformats.org/officeDocument/2006/relationships/hyperlink" Target="https://docs.un.org/es/A/HRC/59/4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550</Words>
  <Characters>3136</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A/HRC/RES/59/5</vt:lpstr>
    </vt:vector>
  </TitlesOfParts>
  <Company>DCM</Company>
  <LinksUpToDate>false</LinksUpToDate>
  <CharactersWithSpaces>3679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A/HRC/RES/59/5</dc:title>
  <dc:subject/>
  <dc:creator>Carlos Ariel BRAGUNDE LOPEZ</dc:creator>
  <cp:keywords/>
  <cp:lastModifiedBy>Carlos Bragunde Lopez</cp:lastModifiedBy>
  <cp:revision>2</cp:revision>
  <cp:lastPrinted>2025-08-05T06:16:00Z</cp:lastPrinted>
  <dcterms:created xsi:type="dcterms:W3CDTF">2025-08-05T06:17:00Z</dcterms:created>
  <dcterms:modified xsi:type="dcterms:W3CDTF">2025-08-05T06:17:00Z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