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416377" w14:textId="77777777" w:rsidR="00B45F6F" w:rsidRPr="00703FE6" w:rsidRDefault="00B45F6F" w:rsidP="00B45F6F">
      <w:pPr>
        <w:spacing w:after="1800"/>
        <w:jc w:val="right"/>
        <w:rPr>
          <w:bCs/>
        </w:rPr>
      </w:pPr>
      <w:bookmarkStart w:id="0" w:name="_Hlk75416288"/>
      <w:r w:rsidRPr="00703FE6">
        <w:rPr>
          <w:bCs/>
        </w:rPr>
        <w:t>A/76/</w:t>
      </w:r>
      <w:r>
        <w:rPr>
          <w:bCs/>
        </w:rPr>
        <w:t>56</w:t>
      </w:r>
    </w:p>
    <w:p w14:paraId="3C91C517" w14:textId="77777777" w:rsidR="00B45F6F" w:rsidRPr="00E352F4" w:rsidRDefault="00B45F6F" w:rsidP="00B45F6F">
      <w:pPr>
        <w:pStyle w:val="SLG"/>
        <w:spacing w:before="0" w:after="0"/>
        <w:rPr>
          <w:sz w:val="20"/>
        </w:rPr>
      </w:pPr>
      <w:bookmarkStart w:id="1" w:name="_Hlk75416166"/>
      <w:r w:rsidRPr="00313CDA">
        <w:rPr>
          <w:noProof/>
          <w:lang w:eastAsia="en-GB"/>
        </w:rPr>
        <w:drawing>
          <wp:anchor distT="0" distB="0" distL="114300" distR="114300" simplePos="0" relativeHeight="251659264" behindDoc="1" locked="0" layoutInCell="1" allowOverlap="1" wp14:anchorId="3C90D1E7" wp14:editId="1AD161C3">
            <wp:simplePos x="0" y="0"/>
            <wp:positionH relativeFrom="column">
              <wp:posOffset>720783</wp:posOffset>
            </wp:positionH>
            <wp:positionV relativeFrom="paragraph">
              <wp:posOffset>-720898</wp:posOffset>
            </wp:positionV>
            <wp:extent cx="1191260" cy="1017270"/>
            <wp:effectExtent l="0" t="0" r="8890" b="0"/>
            <wp:wrapTight wrapText="bothSides">
              <wp:wrapPolygon edited="0">
                <wp:start x="8290" y="0"/>
                <wp:lineTo x="4490" y="809"/>
                <wp:lineTo x="0" y="4449"/>
                <wp:lineTo x="0" y="10517"/>
                <wp:lineTo x="345" y="15775"/>
                <wp:lineTo x="4836" y="19820"/>
                <wp:lineTo x="7254" y="21034"/>
                <wp:lineTo x="13817" y="21034"/>
                <wp:lineTo x="16235" y="19820"/>
                <wp:lineTo x="21070" y="15371"/>
                <wp:lineTo x="21416" y="4449"/>
                <wp:lineTo x="16925" y="809"/>
                <wp:lineTo x="12780" y="0"/>
                <wp:lineTo x="8290" y="0"/>
              </wp:wrapPolygon>
            </wp:wrapTight>
            <wp:docPr id="7" name="Picture 7"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1260" cy="1017270"/>
                    </a:xfrm>
                    <a:prstGeom prst="rect">
                      <a:avLst/>
                    </a:prstGeom>
                    <a:noFill/>
                    <a:ln>
                      <a:noFill/>
                    </a:ln>
                  </pic:spPr>
                </pic:pic>
              </a:graphicData>
            </a:graphic>
          </wp:anchor>
        </w:drawing>
      </w:r>
    </w:p>
    <w:p w14:paraId="3F42DCAC" w14:textId="77777777" w:rsidR="00B45F6F" w:rsidRPr="00313CDA" w:rsidRDefault="00B45F6F" w:rsidP="00B45F6F">
      <w:pPr>
        <w:pStyle w:val="SMG"/>
        <w:spacing w:after="1080"/>
      </w:pPr>
      <w:r w:rsidRPr="00313CDA">
        <w:t>United Nations</w:t>
      </w:r>
    </w:p>
    <w:bookmarkEnd w:id="0"/>
    <w:bookmarkEnd w:id="1"/>
    <w:p w14:paraId="031879BF" w14:textId="77777777" w:rsidR="00B45F6F" w:rsidRPr="00DB5C95" w:rsidRDefault="00B45F6F" w:rsidP="00B45F6F">
      <w:pPr>
        <w:pStyle w:val="SLG"/>
        <w:spacing w:after="960"/>
        <w:rPr>
          <w:sz w:val="57"/>
          <w:szCs w:val="57"/>
        </w:rPr>
      </w:pPr>
      <w:r w:rsidRPr="00CC7CE8">
        <w:rPr>
          <w:sz w:val="57"/>
          <w:szCs w:val="57"/>
        </w:rPr>
        <w:t>Report of the Committee on</w:t>
      </w:r>
      <w:r>
        <w:rPr>
          <w:sz w:val="57"/>
          <w:szCs w:val="57"/>
        </w:rPr>
        <w:br/>
      </w:r>
      <w:r w:rsidRPr="00CC7CE8">
        <w:rPr>
          <w:sz w:val="57"/>
          <w:szCs w:val="57"/>
        </w:rPr>
        <w:t>Enforced Disappearances</w:t>
      </w:r>
    </w:p>
    <w:p w14:paraId="5D033DE5" w14:textId="77777777" w:rsidR="00B45F6F" w:rsidRPr="00DB5C95" w:rsidRDefault="00B45F6F" w:rsidP="00B45F6F">
      <w:pPr>
        <w:spacing w:after="120"/>
        <w:ind w:left="1134"/>
        <w:rPr>
          <w:rFonts w:eastAsia="Times New Roman"/>
          <w:b/>
          <w:sz w:val="40"/>
          <w:szCs w:val="40"/>
        </w:rPr>
      </w:pPr>
      <w:r w:rsidRPr="00CC7CE8">
        <w:rPr>
          <w:rFonts w:eastAsia="Times New Roman"/>
          <w:b/>
          <w:sz w:val="40"/>
          <w:szCs w:val="40"/>
        </w:rPr>
        <w:t>Nineteenth session</w:t>
      </w:r>
      <w:r>
        <w:rPr>
          <w:rFonts w:eastAsia="Times New Roman"/>
          <w:b/>
          <w:sz w:val="40"/>
          <w:szCs w:val="40"/>
        </w:rPr>
        <w:br/>
      </w:r>
      <w:r w:rsidRPr="00CC7CE8">
        <w:rPr>
          <w:rFonts w:eastAsia="Times New Roman"/>
          <w:b/>
          <w:sz w:val="40"/>
          <w:szCs w:val="40"/>
        </w:rPr>
        <w:t>(7 September–25 November 2020)</w:t>
      </w:r>
    </w:p>
    <w:p w14:paraId="606A6C28" w14:textId="77777777" w:rsidR="00B45F6F" w:rsidRPr="00DB5C95" w:rsidRDefault="00B45F6F" w:rsidP="00B45F6F">
      <w:pPr>
        <w:spacing w:after="2400"/>
        <w:ind w:left="1134"/>
        <w:rPr>
          <w:b/>
          <w:sz w:val="40"/>
          <w:szCs w:val="40"/>
        </w:rPr>
      </w:pPr>
      <w:r w:rsidRPr="00CC7CE8">
        <w:rPr>
          <w:rFonts w:eastAsia="Times New Roman"/>
          <w:b/>
          <w:sz w:val="40"/>
          <w:szCs w:val="40"/>
        </w:rPr>
        <w:t>Twentieth session</w:t>
      </w:r>
      <w:r w:rsidRPr="00DB5C95">
        <w:rPr>
          <w:rFonts w:eastAsia="Times New Roman"/>
          <w:b/>
          <w:sz w:val="40"/>
          <w:szCs w:val="40"/>
        </w:rPr>
        <w:br/>
      </w:r>
      <w:r w:rsidRPr="00CC7CE8">
        <w:rPr>
          <w:rFonts w:eastAsia="Times New Roman"/>
          <w:b/>
          <w:sz w:val="40"/>
          <w:szCs w:val="40"/>
        </w:rPr>
        <w:t>(12 April–7 May 2021)</w:t>
      </w:r>
    </w:p>
    <w:p w14:paraId="6DC435F0" w14:textId="77777777" w:rsidR="00B45F6F" w:rsidRPr="00313CDA" w:rsidRDefault="00B45F6F" w:rsidP="00B45F6F">
      <w:pPr>
        <w:pStyle w:val="SMG"/>
        <w:spacing w:before="0" w:after="0"/>
      </w:pPr>
      <w:r w:rsidRPr="00313CDA">
        <w:t>General Assembly</w:t>
      </w:r>
    </w:p>
    <w:p w14:paraId="1B561840" w14:textId="77777777" w:rsidR="00B45F6F" w:rsidRPr="00313CDA" w:rsidRDefault="00B45F6F" w:rsidP="00B45F6F">
      <w:pPr>
        <w:ind w:left="1134"/>
        <w:rPr>
          <w:b/>
          <w:sz w:val="28"/>
          <w:szCs w:val="28"/>
        </w:rPr>
      </w:pPr>
      <w:r w:rsidRPr="00313CDA">
        <w:rPr>
          <w:b/>
          <w:sz w:val="28"/>
          <w:szCs w:val="28"/>
        </w:rPr>
        <w:t>Official Records</w:t>
      </w:r>
    </w:p>
    <w:p w14:paraId="50ECFDA1" w14:textId="77777777" w:rsidR="00B45F6F" w:rsidRPr="00313CDA" w:rsidRDefault="00B45F6F" w:rsidP="00B45F6F">
      <w:pPr>
        <w:ind w:left="1134"/>
        <w:rPr>
          <w:b/>
          <w:sz w:val="28"/>
          <w:szCs w:val="28"/>
        </w:rPr>
      </w:pPr>
      <w:r w:rsidRPr="00313CDA">
        <w:rPr>
          <w:b/>
          <w:sz w:val="28"/>
          <w:szCs w:val="28"/>
        </w:rPr>
        <w:t>Seventy-</w:t>
      </w:r>
      <w:r>
        <w:rPr>
          <w:b/>
          <w:sz w:val="28"/>
          <w:szCs w:val="28"/>
        </w:rPr>
        <w:t>sixt</w:t>
      </w:r>
      <w:r w:rsidRPr="00313CDA">
        <w:rPr>
          <w:b/>
          <w:sz w:val="28"/>
          <w:szCs w:val="28"/>
        </w:rPr>
        <w:t>h Session</w:t>
      </w:r>
    </w:p>
    <w:p w14:paraId="2ECAF40A" w14:textId="77777777" w:rsidR="00B45F6F" w:rsidRPr="00313CDA" w:rsidRDefault="00B45F6F" w:rsidP="00B45F6F">
      <w:pPr>
        <w:ind w:left="1134"/>
        <w:rPr>
          <w:b/>
          <w:sz w:val="28"/>
          <w:szCs w:val="28"/>
        </w:rPr>
      </w:pPr>
      <w:r w:rsidRPr="00313CDA">
        <w:rPr>
          <w:b/>
          <w:sz w:val="28"/>
          <w:szCs w:val="28"/>
        </w:rPr>
        <w:t xml:space="preserve">Supplement No. </w:t>
      </w:r>
      <w:r>
        <w:rPr>
          <w:b/>
          <w:sz w:val="28"/>
          <w:szCs w:val="28"/>
        </w:rPr>
        <w:t>56</w:t>
      </w:r>
    </w:p>
    <w:p w14:paraId="3B00E259" w14:textId="77777777" w:rsidR="00B45F6F" w:rsidRDefault="00B45F6F" w:rsidP="00B45F6F">
      <w:r>
        <w:br w:type="page"/>
      </w:r>
    </w:p>
    <w:p w14:paraId="2BF84B72" w14:textId="77777777" w:rsidR="00B45F6F" w:rsidRPr="00F6395B" w:rsidRDefault="00B45F6F" w:rsidP="00B45F6F">
      <w:pPr>
        <w:pageBreakBefore/>
        <w:framePr w:w="288" w:h="2880" w:hSpace="180" w:wrap="notBeside" w:vAnchor="page" w:hAnchor="page" w:x="11118" w:y="1475" w:anchorLock="1"/>
        <w:textDirection w:val="tbRl"/>
      </w:pPr>
      <w:bookmarkStart w:id="2" w:name="_Hlk75415981"/>
      <w:r w:rsidRPr="00F6395B">
        <w:lastRenderedPageBreak/>
        <w:t>A/76/</w:t>
      </w:r>
      <w:r>
        <w:t>56</w:t>
      </w:r>
    </w:p>
    <w:bookmarkEnd w:id="2"/>
    <w:p w14:paraId="6F732975" w14:textId="77777777" w:rsidR="00B45F6F" w:rsidRDefault="00B45F6F" w:rsidP="00B45F6F">
      <w:r>
        <w:br w:type="page"/>
      </w:r>
    </w:p>
    <w:p w14:paraId="300A4D90" w14:textId="77777777" w:rsidR="00B45F6F" w:rsidRPr="00D822B8" w:rsidRDefault="00B45F6F" w:rsidP="00B45F6F">
      <w:pPr>
        <w:spacing w:after="1200"/>
        <w:jc w:val="right"/>
        <w:rPr>
          <w:bCs/>
        </w:rPr>
      </w:pPr>
      <w:r w:rsidRPr="00D822B8">
        <w:rPr>
          <w:bCs/>
        </w:rPr>
        <w:lastRenderedPageBreak/>
        <w:t>A/76/</w:t>
      </w:r>
      <w:r>
        <w:rPr>
          <w:bCs/>
        </w:rPr>
        <w:t>56</w:t>
      </w:r>
    </w:p>
    <w:p w14:paraId="164E620F" w14:textId="77777777" w:rsidR="00B45F6F" w:rsidRPr="00313CDA" w:rsidRDefault="00B45F6F" w:rsidP="00B45F6F">
      <w:pPr>
        <w:rPr>
          <w:b/>
          <w:sz w:val="24"/>
          <w:szCs w:val="24"/>
        </w:rPr>
      </w:pPr>
      <w:r w:rsidRPr="00313CDA">
        <w:rPr>
          <w:b/>
          <w:sz w:val="24"/>
          <w:szCs w:val="24"/>
        </w:rPr>
        <w:t>General Assembly</w:t>
      </w:r>
    </w:p>
    <w:p w14:paraId="58149DA2" w14:textId="77777777" w:rsidR="00B45F6F" w:rsidRPr="00313CDA" w:rsidRDefault="00B45F6F" w:rsidP="00B45F6F">
      <w:pPr>
        <w:rPr>
          <w:sz w:val="24"/>
          <w:szCs w:val="24"/>
        </w:rPr>
      </w:pPr>
      <w:r w:rsidRPr="00313CDA">
        <w:rPr>
          <w:sz w:val="24"/>
          <w:szCs w:val="24"/>
        </w:rPr>
        <w:t>Official Records</w:t>
      </w:r>
    </w:p>
    <w:p w14:paraId="29F034EE" w14:textId="77777777" w:rsidR="00B45F6F" w:rsidRPr="00313CDA" w:rsidRDefault="00B45F6F" w:rsidP="00B45F6F">
      <w:pPr>
        <w:rPr>
          <w:sz w:val="24"/>
          <w:szCs w:val="24"/>
        </w:rPr>
      </w:pPr>
      <w:r w:rsidRPr="00313CDA">
        <w:rPr>
          <w:sz w:val="24"/>
          <w:szCs w:val="24"/>
        </w:rPr>
        <w:t>Seventy-</w:t>
      </w:r>
      <w:r>
        <w:rPr>
          <w:sz w:val="24"/>
          <w:szCs w:val="24"/>
        </w:rPr>
        <w:t>six</w:t>
      </w:r>
      <w:r w:rsidRPr="00313CDA">
        <w:rPr>
          <w:sz w:val="24"/>
          <w:szCs w:val="24"/>
        </w:rPr>
        <w:t>th Session</w:t>
      </w:r>
    </w:p>
    <w:p w14:paraId="7F2B6992" w14:textId="77777777" w:rsidR="00B45F6F" w:rsidRPr="00313CDA" w:rsidRDefault="00B45F6F" w:rsidP="00B45F6F">
      <w:pPr>
        <w:spacing w:after="1080"/>
        <w:rPr>
          <w:rFonts w:eastAsia="Times New Roman"/>
          <w:b/>
          <w:sz w:val="24"/>
          <w:szCs w:val="24"/>
        </w:rPr>
      </w:pPr>
      <w:r w:rsidRPr="00313CDA">
        <w:rPr>
          <w:sz w:val="24"/>
          <w:szCs w:val="24"/>
        </w:rPr>
        <w:t xml:space="preserve">Supplement No. </w:t>
      </w:r>
      <w:r>
        <w:rPr>
          <w:sz w:val="24"/>
          <w:szCs w:val="24"/>
        </w:rPr>
        <w:t>56</w:t>
      </w:r>
    </w:p>
    <w:p w14:paraId="3F7E0172" w14:textId="77777777" w:rsidR="00B45F6F" w:rsidRPr="00313CDA" w:rsidRDefault="00B45F6F" w:rsidP="00B45F6F">
      <w:pPr>
        <w:keepNext/>
        <w:keepLines/>
        <w:spacing w:before="240" w:after="840" w:line="420" w:lineRule="exact"/>
        <w:ind w:left="1134" w:right="1134"/>
        <w:rPr>
          <w:rFonts w:eastAsia="Times New Roman"/>
          <w:b/>
          <w:sz w:val="40"/>
        </w:rPr>
      </w:pPr>
      <w:r w:rsidRPr="00CC7CE8">
        <w:rPr>
          <w:rFonts w:eastAsia="Times New Roman"/>
          <w:b/>
          <w:sz w:val="40"/>
        </w:rPr>
        <w:t xml:space="preserve">Report of the Committee on </w:t>
      </w:r>
      <w:r>
        <w:rPr>
          <w:rFonts w:eastAsia="Times New Roman"/>
          <w:b/>
          <w:sz w:val="40"/>
        </w:rPr>
        <w:br/>
      </w:r>
      <w:r w:rsidRPr="00CC7CE8">
        <w:rPr>
          <w:rFonts w:eastAsia="Times New Roman"/>
          <w:b/>
          <w:sz w:val="40"/>
        </w:rPr>
        <w:t>Enforced Disappearances</w:t>
      </w:r>
    </w:p>
    <w:p w14:paraId="600A528C" w14:textId="77777777" w:rsidR="00B45F6F" w:rsidRPr="00DB5C95" w:rsidRDefault="00B45F6F" w:rsidP="00B45F6F">
      <w:pPr>
        <w:spacing w:after="120"/>
        <w:ind w:left="1134"/>
        <w:rPr>
          <w:rFonts w:eastAsia="Times New Roman"/>
          <w:b/>
          <w:sz w:val="28"/>
          <w:szCs w:val="28"/>
        </w:rPr>
      </w:pPr>
      <w:r w:rsidRPr="00CC7CE8">
        <w:rPr>
          <w:rFonts w:eastAsia="Times New Roman"/>
          <w:b/>
          <w:sz w:val="28"/>
          <w:szCs w:val="28"/>
        </w:rPr>
        <w:t>Nineteenth session</w:t>
      </w:r>
      <w:r w:rsidRPr="00DB5C95">
        <w:rPr>
          <w:rFonts w:eastAsia="Times New Roman"/>
          <w:b/>
          <w:sz w:val="28"/>
          <w:szCs w:val="28"/>
        </w:rPr>
        <w:br/>
      </w:r>
      <w:r w:rsidRPr="00CC7CE8">
        <w:rPr>
          <w:rFonts w:eastAsia="Times New Roman"/>
          <w:b/>
          <w:sz w:val="28"/>
          <w:szCs w:val="28"/>
        </w:rPr>
        <w:t>(7 September–25 November 2020)</w:t>
      </w:r>
    </w:p>
    <w:p w14:paraId="070DA06D" w14:textId="77777777" w:rsidR="00B45F6F" w:rsidRPr="00313CDA" w:rsidRDefault="00B45F6F" w:rsidP="00B45F6F">
      <w:pPr>
        <w:spacing w:after="4800"/>
        <w:ind w:left="1134"/>
        <w:rPr>
          <w:rFonts w:eastAsia="Times New Roman"/>
          <w:b/>
          <w:sz w:val="36"/>
          <w:szCs w:val="36"/>
        </w:rPr>
      </w:pPr>
      <w:r w:rsidRPr="00CC7CE8">
        <w:rPr>
          <w:rFonts w:eastAsia="Times New Roman"/>
          <w:b/>
          <w:sz w:val="28"/>
          <w:szCs w:val="28"/>
        </w:rPr>
        <w:t>Twentieth session</w:t>
      </w:r>
      <w:r w:rsidRPr="00DB5C95">
        <w:rPr>
          <w:rFonts w:eastAsia="Times New Roman"/>
          <w:b/>
          <w:sz w:val="28"/>
          <w:szCs w:val="28"/>
        </w:rPr>
        <w:br/>
      </w:r>
      <w:r w:rsidRPr="00CC7CE8">
        <w:rPr>
          <w:rFonts w:eastAsia="Times New Roman"/>
          <w:b/>
          <w:sz w:val="28"/>
          <w:szCs w:val="28"/>
        </w:rPr>
        <w:t>(12 April–7 May 2021)</w:t>
      </w:r>
    </w:p>
    <w:p w14:paraId="30D027BA" w14:textId="77777777" w:rsidR="00B45F6F" w:rsidRPr="00F6395B" w:rsidRDefault="00B45F6F" w:rsidP="00B45F6F">
      <w:pPr>
        <w:ind w:left="1134"/>
        <w:rPr>
          <w:rFonts w:eastAsia="Times New Roman"/>
          <w:bCs/>
          <w:sz w:val="28"/>
          <w:szCs w:val="28"/>
        </w:rPr>
      </w:pPr>
      <w:r w:rsidRPr="00F6395B">
        <w:rPr>
          <w:rFonts w:eastAsia="Times New Roman"/>
          <w:bCs/>
          <w:noProof/>
          <w:sz w:val="28"/>
          <w:szCs w:val="28"/>
          <w:lang w:eastAsia="en-GB"/>
        </w:rPr>
        <w:drawing>
          <wp:anchor distT="0" distB="0" distL="114300" distR="114300" simplePos="0" relativeHeight="251660288" behindDoc="0" locked="1" layoutInCell="1" allowOverlap="0" wp14:anchorId="6DA03D52" wp14:editId="375D5792">
            <wp:simplePos x="0" y="0"/>
            <wp:positionH relativeFrom="column">
              <wp:posOffset>702945</wp:posOffset>
            </wp:positionH>
            <wp:positionV relativeFrom="paragraph">
              <wp:posOffset>-544195</wp:posOffset>
            </wp:positionV>
            <wp:extent cx="536575" cy="4984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395B">
        <w:rPr>
          <w:rFonts w:eastAsia="Times New Roman"/>
          <w:bCs/>
          <w:sz w:val="28"/>
          <w:szCs w:val="28"/>
        </w:rPr>
        <w:t>United Nations • New York, 2021</w:t>
      </w:r>
    </w:p>
    <w:p w14:paraId="77657989" w14:textId="77777777" w:rsidR="00FC5D4A" w:rsidRDefault="00FC5D4A" w:rsidP="00FC5D4A">
      <w:pPr>
        <w:spacing w:before="5160" w:after="120"/>
        <w:ind w:left="1134"/>
        <w:outlineLvl w:val="0"/>
      </w:pPr>
      <w:r>
        <w:br w:type="page"/>
      </w:r>
    </w:p>
    <w:p w14:paraId="0AF4855E" w14:textId="77777777" w:rsidR="00FC5D4A" w:rsidRDefault="00FC5D4A" w:rsidP="00FC5D4A">
      <w:pPr>
        <w:spacing w:before="5160" w:after="120"/>
        <w:ind w:left="1134"/>
        <w:outlineLvl w:val="0"/>
      </w:pPr>
    </w:p>
    <w:p w14:paraId="61AD1FB8" w14:textId="77777777" w:rsidR="00FC5D4A" w:rsidRPr="00445913" w:rsidRDefault="00FC5D4A" w:rsidP="00B45F6F">
      <w:pPr>
        <w:spacing w:before="4560" w:after="120"/>
        <w:ind w:left="1134"/>
        <w:rPr>
          <w:i/>
        </w:rPr>
      </w:pPr>
      <w:r w:rsidRPr="00445913">
        <w:rPr>
          <w:i/>
        </w:rPr>
        <w:t>Note</w:t>
      </w:r>
    </w:p>
    <w:p w14:paraId="49A6B501" w14:textId="6AD3E9AC" w:rsidR="00FC5D4A" w:rsidRDefault="00FC5D4A" w:rsidP="00FC5D4A">
      <w:pPr>
        <w:pStyle w:val="SingleTxtG"/>
      </w:pPr>
      <w:r>
        <w:tab/>
      </w:r>
      <w:r w:rsidRPr="00FC5D4A">
        <w:t>Symbols of United Nations documents are composed of letters combined with figures. Mention of such a symbol indicates a reference to a United Nations document.</w:t>
      </w:r>
    </w:p>
    <w:p w14:paraId="1B7AB511" w14:textId="77777777" w:rsidR="00FC5D4A" w:rsidRDefault="00FC5D4A" w:rsidP="00FC5D4A">
      <w:pPr>
        <w:spacing w:after="120"/>
      </w:pPr>
    </w:p>
    <w:p w14:paraId="4D810E83" w14:textId="77777777" w:rsidR="00FC5D4A" w:rsidRDefault="00FC5D4A" w:rsidP="00FC5D4A">
      <w:pPr>
        <w:spacing w:after="120"/>
        <w:sectPr w:rsidR="00FC5D4A" w:rsidSect="00EF1BB1">
          <w:footerReference w:type="default" r:id="rId10"/>
          <w:endnotePr>
            <w:numFmt w:val="decimal"/>
          </w:endnotePr>
          <w:type w:val="oddPage"/>
          <w:pgSz w:w="11907" w:h="16840" w:code="9"/>
          <w:pgMar w:top="1418" w:right="1134" w:bottom="1134" w:left="1134" w:header="851" w:footer="567" w:gutter="0"/>
          <w:paperSrc w:first="15" w:other="15"/>
          <w:cols w:space="720"/>
        </w:sectPr>
      </w:pPr>
    </w:p>
    <w:p w14:paraId="2D5E27E1" w14:textId="4F0C179A" w:rsidR="00FC5D4A" w:rsidRDefault="00FC5D4A" w:rsidP="00FC5D4A">
      <w:pPr>
        <w:spacing w:after="120"/>
        <w:rPr>
          <w:sz w:val="28"/>
        </w:rPr>
      </w:pPr>
      <w:r>
        <w:rPr>
          <w:sz w:val="28"/>
        </w:rPr>
        <w:lastRenderedPageBreak/>
        <w:t>Contents</w:t>
      </w:r>
    </w:p>
    <w:p w14:paraId="1DF24D95" w14:textId="1BED6CA0" w:rsidR="00FC5D4A" w:rsidRDefault="00FC5D4A" w:rsidP="00FC5D4A">
      <w:pPr>
        <w:tabs>
          <w:tab w:val="right" w:pos="9638"/>
        </w:tabs>
        <w:spacing w:after="120"/>
        <w:ind w:left="283"/>
        <w:rPr>
          <w:sz w:val="18"/>
        </w:rPr>
      </w:pPr>
      <w:r>
        <w:rPr>
          <w:i/>
          <w:sz w:val="18"/>
        </w:rPr>
        <w:t>Chapter</w:t>
      </w:r>
      <w:r>
        <w:rPr>
          <w:i/>
          <w:sz w:val="18"/>
        </w:rPr>
        <w:tab/>
        <w:t>Page</w:t>
      </w:r>
    </w:p>
    <w:p w14:paraId="625755B2" w14:textId="285B363C" w:rsidR="00FC5D4A" w:rsidRPr="00C91BFC" w:rsidRDefault="00FC5D4A" w:rsidP="00FC5D4A">
      <w:pPr>
        <w:tabs>
          <w:tab w:val="right" w:pos="850"/>
          <w:tab w:val="left" w:pos="1134"/>
          <w:tab w:val="left" w:pos="1559"/>
          <w:tab w:val="left" w:pos="1984"/>
          <w:tab w:val="left" w:leader="dot" w:pos="8787"/>
          <w:tab w:val="right" w:pos="9638"/>
        </w:tabs>
        <w:spacing w:after="120"/>
      </w:pPr>
      <w:r w:rsidRPr="00C91BFC">
        <w:tab/>
        <w:t>I.</w:t>
      </w:r>
      <w:r w:rsidRPr="00C91BFC">
        <w:tab/>
        <w:t>Organizational and other matters</w:t>
      </w:r>
      <w:r w:rsidRPr="00C91BFC">
        <w:tab/>
      </w:r>
      <w:r w:rsidRPr="00C91BFC">
        <w:tab/>
      </w:r>
      <w:r w:rsidR="004F5EA0">
        <w:t>1</w:t>
      </w:r>
    </w:p>
    <w:p w14:paraId="4B7F8972" w14:textId="4E3C696C" w:rsidR="00FC5D4A" w:rsidRPr="00C91BFC" w:rsidRDefault="00FC5D4A" w:rsidP="00FC5D4A">
      <w:pPr>
        <w:tabs>
          <w:tab w:val="right" w:pos="850"/>
          <w:tab w:val="left" w:pos="1134"/>
          <w:tab w:val="left" w:pos="1559"/>
          <w:tab w:val="left" w:pos="1984"/>
          <w:tab w:val="left" w:leader="dot" w:pos="8787"/>
          <w:tab w:val="right" w:pos="9638"/>
        </w:tabs>
        <w:spacing w:after="120"/>
      </w:pPr>
      <w:r w:rsidRPr="00C91BFC">
        <w:tab/>
      </w:r>
      <w:r w:rsidRPr="00C91BFC">
        <w:tab/>
        <w:t>A.</w:t>
      </w:r>
      <w:r w:rsidRPr="00C91BFC">
        <w:tab/>
        <w:t>States parties to the Convention</w:t>
      </w:r>
      <w:r w:rsidRPr="00C91BFC">
        <w:tab/>
      </w:r>
      <w:r w:rsidRPr="00C91BFC">
        <w:tab/>
      </w:r>
      <w:r w:rsidR="004F5EA0">
        <w:t>1</w:t>
      </w:r>
    </w:p>
    <w:p w14:paraId="76C8B6F3" w14:textId="7EA534F7" w:rsidR="00FC5D4A" w:rsidRPr="00C91BFC" w:rsidRDefault="00FC5D4A" w:rsidP="00FC5D4A">
      <w:pPr>
        <w:tabs>
          <w:tab w:val="right" w:pos="850"/>
          <w:tab w:val="left" w:pos="1134"/>
          <w:tab w:val="left" w:pos="1559"/>
          <w:tab w:val="left" w:pos="1984"/>
          <w:tab w:val="left" w:leader="dot" w:pos="8787"/>
          <w:tab w:val="right" w:pos="9638"/>
        </w:tabs>
        <w:spacing w:after="120"/>
      </w:pPr>
      <w:r w:rsidRPr="00C91BFC">
        <w:tab/>
      </w:r>
      <w:r w:rsidRPr="00C91BFC">
        <w:tab/>
        <w:t>B.</w:t>
      </w:r>
      <w:r w:rsidRPr="00C91BFC">
        <w:tab/>
        <w:t>Meetings and sessions</w:t>
      </w:r>
      <w:r w:rsidRPr="00C91BFC">
        <w:tab/>
      </w:r>
      <w:r w:rsidRPr="00C91BFC">
        <w:tab/>
      </w:r>
      <w:r w:rsidR="004F5EA0">
        <w:t>1</w:t>
      </w:r>
    </w:p>
    <w:p w14:paraId="0D1F6EA2" w14:textId="3616993D" w:rsidR="00FC5D4A" w:rsidRPr="00C91BFC" w:rsidRDefault="00FC5D4A" w:rsidP="00FC5D4A">
      <w:pPr>
        <w:tabs>
          <w:tab w:val="right" w:pos="850"/>
          <w:tab w:val="left" w:pos="1134"/>
          <w:tab w:val="left" w:pos="1559"/>
          <w:tab w:val="left" w:pos="1984"/>
          <w:tab w:val="left" w:leader="dot" w:pos="8787"/>
          <w:tab w:val="right" w:pos="9638"/>
        </w:tabs>
        <w:spacing w:after="120"/>
      </w:pPr>
      <w:r w:rsidRPr="00C91BFC">
        <w:tab/>
      </w:r>
      <w:r w:rsidRPr="00C91BFC">
        <w:tab/>
        <w:t>C.</w:t>
      </w:r>
      <w:r w:rsidRPr="00C91BFC">
        <w:tab/>
        <w:t>Membership and attendance</w:t>
      </w:r>
      <w:r w:rsidRPr="00C91BFC">
        <w:tab/>
      </w:r>
      <w:r w:rsidRPr="00C91BFC">
        <w:tab/>
      </w:r>
      <w:r w:rsidR="0036433E">
        <w:t>2</w:t>
      </w:r>
    </w:p>
    <w:p w14:paraId="09E3F520" w14:textId="1C017987" w:rsidR="00FC5D4A" w:rsidRPr="00C91BFC" w:rsidRDefault="00FC5D4A" w:rsidP="00FC5D4A">
      <w:pPr>
        <w:tabs>
          <w:tab w:val="right" w:pos="850"/>
          <w:tab w:val="left" w:pos="1134"/>
          <w:tab w:val="left" w:pos="1559"/>
          <w:tab w:val="left" w:pos="1984"/>
          <w:tab w:val="left" w:leader="dot" w:pos="8787"/>
          <w:tab w:val="right" w:pos="9638"/>
        </w:tabs>
        <w:spacing w:after="120"/>
      </w:pPr>
      <w:r w:rsidRPr="00C91BFC">
        <w:tab/>
      </w:r>
      <w:r w:rsidRPr="00C91BFC">
        <w:tab/>
        <w:t>D.</w:t>
      </w:r>
      <w:r w:rsidRPr="00C91BFC">
        <w:tab/>
        <w:t>Decisions of the Committee</w:t>
      </w:r>
      <w:r w:rsidRPr="00C91BFC">
        <w:tab/>
      </w:r>
      <w:r w:rsidRPr="00C91BFC">
        <w:tab/>
      </w:r>
      <w:r w:rsidR="0036433E">
        <w:t>2</w:t>
      </w:r>
    </w:p>
    <w:p w14:paraId="093F8FEA" w14:textId="7F9FE4A4" w:rsidR="00FC5D4A" w:rsidRPr="00C91BFC" w:rsidRDefault="00FC5D4A" w:rsidP="00FC5D4A">
      <w:pPr>
        <w:tabs>
          <w:tab w:val="right" w:pos="850"/>
          <w:tab w:val="left" w:pos="1134"/>
          <w:tab w:val="left" w:pos="1559"/>
          <w:tab w:val="left" w:pos="1984"/>
          <w:tab w:val="left" w:leader="dot" w:pos="8787"/>
          <w:tab w:val="right" w:pos="9638"/>
        </w:tabs>
        <w:spacing w:after="120"/>
      </w:pPr>
      <w:r w:rsidRPr="00C91BFC">
        <w:tab/>
      </w:r>
      <w:r w:rsidRPr="00C91BFC">
        <w:tab/>
        <w:t>E.</w:t>
      </w:r>
      <w:r w:rsidRPr="00C91BFC">
        <w:tab/>
        <w:t>Adoption of the annual report</w:t>
      </w:r>
      <w:r w:rsidRPr="00C91BFC">
        <w:tab/>
      </w:r>
      <w:r w:rsidRPr="00C91BFC">
        <w:tab/>
      </w:r>
      <w:r w:rsidR="0036433E">
        <w:t>4</w:t>
      </w:r>
    </w:p>
    <w:p w14:paraId="6680BBD4" w14:textId="3413550D" w:rsidR="00FC5D4A" w:rsidRPr="00C91BFC" w:rsidRDefault="00FC5D4A" w:rsidP="00FC5D4A">
      <w:pPr>
        <w:tabs>
          <w:tab w:val="right" w:pos="850"/>
          <w:tab w:val="left" w:pos="1134"/>
          <w:tab w:val="left" w:pos="1559"/>
          <w:tab w:val="left" w:pos="1984"/>
          <w:tab w:val="left" w:leader="dot" w:pos="8787"/>
          <w:tab w:val="right" w:pos="9638"/>
        </w:tabs>
        <w:spacing w:after="120"/>
      </w:pPr>
      <w:r w:rsidRPr="00C91BFC">
        <w:tab/>
        <w:t>II.</w:t>
      </w:r>
      <w:r w:rsidRPr="00C91BFC">
        <w:tab/>
        <w:t>Methods of work</w:t>
      </w:r>
      <w:r w:rsidRPr="00C91BFC">
        <w:tab/>
      </w:r>
      <w:r w:rsidRPr="00C91BFC">
        <w:tab/>
      </w:r>
      <w:r w:rsidR="0036433E">
        <w:t>5</w:t>
      </w:r>
    </w:p>
    <w:p w14:paraId="73B29A37" w14:textId="64B295BC" w:rsidR="00FC5D4A" w:rsidRPr="00C91BFC" w:rsidRDefault="00FC5D4A" w:rsidP="00FC5D4A">
      <w:pPr>
        <w:tabs>
          <w:tab w:val="right" w:pos="850"/>
          <w:tab w:val="left" w:pos="1134"/>
          <w:tab w:val="left" w:pos="1559"/>
          <w:tab w:val="left" w:pos="1984"/>
          <w:tab w:val="left" w:leader="dot" w:pos="8787"/>
          <w:tab w:val="right" w:pos="9638"/>
        </w:tabs>
        <w:spacing w:after="120"/>
      </w:pPr>
      <w:r w:rsidRPr="00C91BFC">
        <w:tab/>
        <w:t>III.</w:t>
      </w:r>
      <w:r w:rsidRPr="00C91BFC">
        <w:tab/>
        <w:t>Relations with stakeholders</w:t>
      </w:r>
      <w:r w:rsidRPr="00C91BFC">
        <w:tab/>
      </w:r>
      <w:r w:rsidRPr="00C91BFC">
        <w:tab/>
      </w:r>
      <w:r w:rsidR="0036433E">
        <w:t>6</w:t>
      </w:r>
    </w:p>
    <w:p w14:paraId="25D326E5" w14:textId="3227281C" w:rsidR="00FC5D4A" w:rsidRPr="00C91BFC" w:rsidRDefault="00CF6CB6" w:rsidP="00FC5D4A">
      <w:pPr>
        <w:tabs>
          <w:tab w:val="right" w:pos="850"/>
          <w:tab w:val="left" w:pos="1134"/>
          <w:tab w:val="left" w:pos="1559"/>
          <w:tab w:val="left" w:pos="1984"/>
          <w:tab w:val="left" w:leader="dot" w:pos="8787"/>
          <w:tab w:val="right" w:pos="9638"/>
        </w:tabs>
        <w:spacing w:after="120"/>
      </w:pPr>
      <w:r>
        <w:tab/>
      </w:r>
      <w:r>
        <w:tab/>
      </w:r>
      <w:r w:rsidR="00FC5D4A" w:rsidRPr="00C91BFC">
        <w:t>A.</w:t>
      </w:r>
      <w:r w:rsidR="00FC5D4A" w:rsidRPr="00C91BFC">
        <w:tab/>
        <w:t>Interaction with other human rights mechanisms</w:t>
      </w:r>
      <w:r w:rsidR="00FC5D4A" w:rsidRPr="00C91BFC">
        <w:tab/>
      </w:r>
      <w:r w:rsidR="00FC5D4A" w:rsidRPr="00C91BFC">
        <w:tab/>
      </w:r>
      <w:r w:rsidR="0036433E">
        <w:t>6</w:t>
      </w:r>
    </w:p>
    <w:p w14:paraId="3087DCDC" w14:textId="233A99B5" w:rsidR="00FC5D4A" w:rsidRPr="00C91BFC" w:rsidRDefault="00CF6CB6" w:rsidP="00FC5D4A">
      <w:pPr>
        <w:tabs>
          <w:tab w:val="right" w:pos="850"/>
          <w:tab w:val="left" w:pos="1134"/>
          <w:tab w:val="left" w:pos="1559"/>
          <w:tab w:val="left" w:pos="1984"/>
          <w:tab w:val="left" w:leader="dot" w:pos="8787"/>
          <w:tab w:val="right" w:pos="9638"/>
        </w:tabs>
        <w:spacing w:after="120"/>
      </w:pPr>
      <w:r>
        <w:tab/>
      </w:r>
      <w:r>
        <w:tab/>
      </w:r>
      <w:r w:rsidR="00FC5D4A" w:rsidRPr="00C91BFC">
        <w:t>B.</w:t>
      </w:r>
      <w:r w:rsidR="00FC5D4A" w:rsidRPr="00C91BFC">
        <w:tab/>
        <w:t>Interaction with Member States</w:t>
      </w:r>
      <w:r w:rsidR="00FC5D4A" w:rsidRPr="00C91BFC">
        <w:tab/>
      </w:r>
      <w:r w:rsidR="00FC5D4A" w:rsidRPr="00C91BFC">
        <w:tab/>
      </w:r>
      <w:r w:rsidR="0036433E">
        <w:t>6</w:t>
      </w:r>
    </w:p>
    <w:p w14:paraId="6730AA34" w14:textId="1A277EF0" w:rsidR="00FC5D4A" w:rsidRPr="00C91BFC" w:rsidRDefault="00FC5D4A" w:rsidP="00FC5D4A">
      <w:pPr>
        <w:tabs>
          <w:tab w:val="right" w:pos="850"/>
          <w:tab w:val="left" w:pos="1134"/>
          <w:tab w:val="left" w:pos="1559"/>
          <w:tab w:val="left" w:pos="1984"/>
          <w:tab w:val="left" w:leader="dot" w:pos="8787"/>
          <w:tab w:val="right" w:pos="9638"/>
        </w:tabs>
        <w:spacing w:after="120"/>
      </w:pPr>
      <w:r w:rsidRPr="00C91BFC">
        <w:tab/>
      </w:r>
      <w:r w:rsidRPr="00C91BFC">
        <w:tab/>
        <w:t>C.</w:t>
      </w:r>
      <w:r w:rsidRPr="00C91BFC">
        <w:tab/>
        <w:t>Interaction with United Nations agencies</w:t>
      </w:r>
      <w:r w:rsidRPr="00C91BFC">
        <w:tab/>
      </w:r>
      <w:r w:rsidRPr="00C91BFC">
        <w:tab/>
      </w:r>
      <w:r w:rsidR="0036433E">
        <w:t>6</w:t>
      </w:r>
    </w:p>
    <w:p w14:paraId="50FE7544" w14:textId="783D69EB" w:rsidR="00FC5D4A" w:rsidRPr="00C91BFC" w:rsidRDefault="00FC5D4A" w:rsidP="00FC5D4A">
      <w:pPr>
        <w:tabs>
          <w:tab w:val="right" w:pos="850"/>
          <w:tab w:val="left" w:pos="1134"/>
          <w:tab w:val="left" w:pos="1559"/>
          <w:tab w:val="left" w:pos="1984"/>
          <w:tab w:val="left" w:leader="dot" w:pos="8787"/>
          <w:tab w:val="right" w:pos="9638"/>
        </w:tabs>
        <w:spacing w:after="120"/>
      </w:pPr>
      <w:r w:rsidRPr="00C91BFC">
        <w:tab/>
      </w:r>
      <w:r w:rsidRPr="00C91BFC">
        <w:tab/>
        <w:t>D.</w:t>
      </w:r>
      <w:r w:rsidRPr="00C91BFC">
        <w:tab/>
        <w:t>Interaction with victims, non-governmental organizations and other civil society actors</w:t>
      </w:r>
      <w:r w:rsidRPr="00C91BFC">
        <w:tab/>
      </w:r>
      <w:r w:rsidRPr="00C91BFC">
        <w:tab/>
      </w:r>
      <w:r w:rsidR="0036433E">
        <w:t>7</w:t>
      </w:r>
    </w:p>
    <w:p w14:paraId="4CE58C84" w14:textId="67154711" w:rsidR="00FC5D4A" w:rsidRPr="00C91BFC" w:rsidRDefault="00FC5D4A" w:rsidP="00FC5D4A">
      <w:pPr>
        <w:tabs>
          <w:tab w:val="right" w:pos="850"/>
          <w:tab w:val="left" w:pos="1134"/>
          <w:tab w:val="left" w:pos="1559"/>
          <w:tab w:val="left" w:pos="1984"/>
          <w:tab w:val="left" w:leader="dot" w:pos="8787"/>
          <w:tab w:val="right" w:pos="9638"/>
        </w:tabs>
        <w:spacing w:after="120"/>
      </w:pPr>
      <w:r w:rsidRPr="00C91BFC">
        <w:tab/>
      </w:r>
      <w:r w:rsidRPr="00C91BFC">
        <w:tab/>
        <w:t>E.</w:t>
      </w:r>
      <w:r w:rsidRPr="00C91BFC">
        <w:tab/>
        <w:t>Interaction with national human rights institutions</w:t>
      </w:r>
      <w:r w:rsidRPr="00C91BFC">
        <w:tab/>
      </w:r>
      <w:r w:rsidRPr="00C91BFC">
        <w:tab/>
      </w:r>
      <w:r w:rsidR="0036433E">
        <w:t>7</w:t>
      </w:r>
    </w:p>
    <w:p w14:paraId="1D4C837D" w14:textId="36544A31" w:rsidR="00FC5D4A" w:rsidRPr="00C91BFC" w:rsidRDefault="00FC5D4A" w:rsidP="00FC5D4A">
      <w:pPr>
        <w:tabs>
          <w:tab w:val="right" w:pos="850"/>
          <w:tab w:val="left" w:pos="1134"/>
          <w:tab w:val="left" w:pos="1559"/>
          <w:tab w:val="left" w:pos="1984"/>
          <w:tab w:val="left" w:leader="dot" w:pos="8787"/>
          <w:tab w:val="right" w:pos="9638"/>
        </w:tabs>
        <w:spacing w:after="120"/>
      </w:pPr>
      <w:r w:rsidRPr="00C91BFC">
        <w:tab/>
      </w:r>
      <w:r w:rsidRPr="00C91BFC">
        <w:tab/>
        <w:t>F.</w:t>
      </w:r>
      <w:r w:rsidRPr="00C91BFC">
        <w:tab/>
        <w:t>Interaction with other stakeholders</w:t>
      </w:r>
      <w:r w:rsidRPr="00C91BFC">
        <w:tab/>
      </w:r>
      <w:r w:rsidRPr="00C91BFC">
        <w:tab/>
      </w:r>
      <w:r w:rsidR="0036433E">
        <w:t>7</w:t>
      </w:r>
    </w:p>
    <w:p w14:paraId="1B5D1C97" w14:textId="5AAF0CAC" w:rsidR="00FC5D4A" w:rsidRPr="00C91BFC" w:rsidRDefault="00FC5D4A" w:rsidP="00FC5D4A">
      <w:pPr>
        <w:tabs>
          <w:tab w:val="right" w:pos="850"/>
          <w:tab w:val="left" w:pos="1134"/>
          <w:tab w:val="left" w:pos="1559"/>
          <w:tab w:val="left" w:pos="1984"/>
          <w:tab w:val="left" w:leader="dot" w:pos="8787"/>
          <w:tab w:val="right" w:pos="9638"/>
        </w:tabs>
        <w:spacing w:after="120"/>
      </w:pPr>
      <w:r w:rsidRPr="00C91BFC">
        <w:tab/>
        <w:t>IV.</w:t>
      </w:r>
      <w:r w:rsidRPr="00C91BFC">
        <w:tab/>
        <w:t>Consideration of reports submitted by States parties under article 29 (1) of the Convention</w:t>
      </w:r>
      <w:r w:rsidRPr="00C91BFC">
        <w:tab/>
      </w:r>
      <w:r w:rsidRPr="00C91BFC">
        <w:tab/>
      </w:r>
      <w:r w:rsidR="0036433E">
        <w:t>8</w:t>
      </w:r>
    </w:p>
    <w:p w14:paraId="5E1E9FF3" w14:textId="0885F848" w:rsidR="00FC5D4A" w:rsidRPr="00C91BFC" w:rsidRDefault="00FC5D4A" w:rsidP="00FC5D4A">
      <w:pPr>
        <w:tabs>
          <w:tab w:val="right" w:pos="850"/>
          <w:tab w:val="left" w:pos="1134"/>
          <w:tab w:val="left" w:pos="1559"/>
          <w:tab w:val="left" w:pos="1984"/>
          <w:tab w:val="left" w:leader="dot" w:pos="8787"/>
          <w:tab w:val="right" w:pos="9638"/>
        </w:tabs>
        <w:spacing w:after="120"/>
      </w:pPr>
      <w:r w:rsidRPr="00C91BFC">
        <w:tab/>
        <w:t>V.</w:t>
      </w:r>
      <w:r w:rsidRPr="00C91BFC">
        <w:tab/>
        <w:t>Adoption of the report on follow-up to concluding observations</w:t>
      </w:r>
      <w:r w:rsidRPr="00C91BFC">
        <w:tab/>
      </w:r>
      <w:r w:rsidRPr="00C91BFC">
        <w:tab/>
      </w:r>
      <w:r w:rsidR="0036433E">
        <w:t>9</w:t>
      </w:r>
    </w:p>
    <w:p w14:paraId="57EB17F9" w14:textId="10639AF3" w:rsidR="00FC5D4A" w:rsidRPr="00C91BFC" w:rsidRDefault="00FC5D4A" w:rsidP="00FC5D4A">
      <w:pPr>
        <w:tabs>
          <w:tab w:val="right" w:pos="850"/>
          <w:tab w:val="left" w:pos="1134"/>
          <w:tab w:val="left" w:pos="1559"/>
          <w:tab w:val="left" w:pos="1984"/>
          <w:tab w:val="left" w:leader="dot" w:pos="8787"/>
          <w:tab w:val="right" w:pos="9638"/>
        </w:tabs>
        <w:spacing w:after="120"/>
      </w:pPr>
      <w:r w:rsidRPr="00C91BFC">
        <w:tab/>
        <w:t>VI.</w:t>
      </w:r>
      <w:r w:rsidRPr="00C91BFC">
        <w:tab/>
        <w:t xml:space="preserve">Consideration of additional information submitted by States parties under </w:t>
      </w:r>
      <w:r w:rsidRPr="00C91BFC">
        <w:br/>
      </w:r>
      <w:r w:rsidRPr="00C91BFC">
        <w:tab/>
      </w:r>
      <w:r w:rsidRPr="00C91BFC">
        <w:tab/>
        <w:t>article 29 (4) of the Convention</w:t>
      </w:r>
      <w:r w:rsidRPr="00C91BFC">
        <w:tab/>
      </w:r>
      <w:r w:rsidRPr="00C91BFC">
        <w:tab/>
      </w:r>
      <w:r w:rsidR="0036433E">
        <w:t>10</w:t>
      </w:r>
    </w:p>
    <w:p w14:paraId="71039E78" w14:textId="142F4589" w:rsidR="00FC5D4A" w:rsidRPr="00C91BFC" w:rsidRDefault="00FC5D4A" w:rsidP="00FC5D4A">
      <w:pPr>
        <w:tabs>
          <w:tab w:val="right" w:pos="850"/>
          <w:tab w:val="left" w:pos="1134"/>
          <w:tab w:val="left" w:pos="1559"/>
          <w:tab w:val="left" w:pos="1984"/>
          <w:tab w:val="left" w:leader="dot" w:pos="8787"/>
          <w:tab w:val="right" w:pos="9638"/>
        </w:tabs>
        <w:spacing w:after="120"/>
      </w:pPr>
      <w:r w:rsidRPr="00C91BFC">
        <w:tab/>
        <w:t>VII.</w:t>
      </w:r>
      <w:r w:rsidRPr="00C91BFC">
        <w:tab/>
        <w:t>Adoption of lists of issues</w:t>
      </w:r>
      <w:r w:rsidRPr="00C91BFC">
        <w:tab/>
      </w:r>
      <w:r w:rsidRPr="00C91BFC">
        <w:tab/>
      </w:r>
      <w:r w:rsidR="0036433E">
        <w:t>11</w:t>
      </w:r>
    </w:p>
    <w:p w14:paraId="32E35AD4" w14:textId="22AA9403" w:rsidR="00FC5D4A" w:rsidRPr="00C91BFC" w:rsidRDefault="00FC5D4A" w:rsidP="00FC5D4A">
      <w:pPr>
        <w:tabs>
          <w:tab w:val="right" w:pos="850"/>
          <w:tab w:val="left" w:pos="1134"/>
          <w:tab w:val="left" w:pos="1559"/>
          <w:tab w:val="left" w:pos="1984"/>
          <w:tab w:val="left" w:leader="dot" w:pos="8787"/>
          <w:tab w:val="right" w:pos="9638"/>
        </w:tabs>
        <w:spacing w:after="120"/>
      </w:pPr>
      <w:r w:rsidRPr="00C91BFC">
        <w:tab/>
        <w:t>VIII.</w:t>
      </w:r>
      <w:r w:rsidRPr="00C91BFC">
        <w:tab/>
        <w:t>Reporting under the Convention</w:t>
      </w:r>
      <w:r w:rsidRPr="00C91BFC">
        <w:tab/>
      </w:r>
      <w:r w:rsidRPr="00C91BFC">
        <w:tab/>
      </w:r>
      <w:r w:rsidR="0036433E">
        <w:t>12</w:t>
      </w:r>
    </w:p>
    <w:p w14:paraId="57204CF5" w14:textId="7979E369" w:rsidR="00FC5D4A" w:rsidRPr="00C91BFC" w:rsidRDefault="00FC5D4A" w:rsidP="002D56EE">
      <w:pPr>
        <w:tabs>
          <w:tab w:val="right" w:pos="850"/>
          <w:tab w:val="left" w:pos="1134"/>
          <w:tab w:val="left" w:leader="dot" w:pos="8787"/>
          <w:tab w:val="right" w:pos="9638"/>
        </w:tabs>
        <w:spacing w:after="120"/>
      </w:pPr>
      <w:r w:rsidRPr="00C91BFC">
        <w:tab/>
        <w:t>IX.</w:t>
      </w:r>
      <w:r w:rsidRPr="00C91BFC">
        <w:tab/>
        <w:t>Reprisals</w:t>
      </w:r>
      <w:r w:rsidRPr="00C91BFC">
        <w:tab/>
      </w:r>
      <w:r>
        <w:tab/>
      </w:r>
      <w:r w:rsidR="0036433E">
        <w:t>13</w:t>
      </w:r>
    </w:p>
    <w:p w14:paraId="0D3539F5" w14:textId="6EDA1BD3" w:rsidR="00FC5D4A" w:rsidRPr="00C91BFC" w:rsidRDefault="00CF6CB6" w:rsidP="00FC5D4A">
      <w:pPr>
        <w:tabs>
          <w:tab w:val="right" w:pos="850"/>
          <w:tab w:val="left" w:pos="1134"/>
          <w:tab w:val="left" w:pos="1559"/>
          <w:tab w:val="left" w:pos="1984"/>
          <w:tab w:val="left" w:leader="dot" w:pos="8787"/>
          <w:tab w:val="right" w:pos="9638"/>
        </w:tabs>
        <w:spacing w:after="120"/>
      </w:pPr>
      <w:r>
        <w:tab/>
      </w:r>
      <w:r w:rsidR="00FC5D4A" w:rsidRPr="00C91BFC">
        <w:t>X.</w:t>
      </w:r>
      <w:r w:rsidR="00FC5D4A" w:rsidRPr="00C91BFC">
        <w:tab/>
        <w:t>Urgent action procedure under article 30 of the Convention</w:t>
      </w:r>
      <w:r w:rsidR="00FC5D4A" w:rsidRPr="00C91BFC">
        <w:tab/>
      </w:r>
      <w:r w:rsidR="00FC5D4A" w:rsidRPr="00C91BFC">
        <w:tab/>
      </w:r>
      <w:r w:rsidR="0036433E">
        <w:t>14</w:t>
      </w:r>
    </w:p>
    <w:p w14:paraId="4DFD3582" w14:textId="0EFFE378" w:rsidR="00FC5D4A" w:rsidRPr="00C91BFC" w:rsidRDefault="00FC5D4A" w:rsidP="00FC5D4A">
      <w:pPr>
        <w:tabs>
          <w:tab w:val="right" w:pos="850"/>
          <w:tab w:val="left" w:pos="1134"/>
          <w:tab w:val="left" w:pos="1559"/>
          <w:tab w:val="left" w:pos="1984"/>
          <w:tab w:val="left" w:leader="dot" w:pos="8787"/>
          <w:tab w:val="right" w:pos="9638"/>
        </w:tabs>
        <w:spacing w:after="120"/>
      </w:pPr>
      <w:r w:rsidRPr="00C91BFC">
        <w:tab/>
      </w:r>
      <w:r w:rsidRPr="00C91BFC">
        <w:tab/>
        <w:t>A.</w:t>
      </w:r>
      <w:r w:rsidRPr="00C91BFC">
        <w:tab/>
        <w:t xml:space="preserve">Requests for urgent action received and registered since the establishment </w:t>
      </w:r>
      <w:r w:rsidRPr="00C91BFC">
        <w:br/>
      </w:r>
      <w:r w:rsidRPr="00C91BFC">
        <w:tab/>
      </w:r>
      <w:r w:rsidRPr="00C91BFC">
        <w:tab/>
      </w:r>
      <w:r w:rsidRPr="00C91BFC">
        <w:tab/>
        <w:t>of the Committee</w:t>
      </w:r>
      <w:r w:rsidRPr="00C91BFC">
        <w:tab/>
      </w:r>
      <w:r w:rsidRPr="00C91BFC">
        <w:tab/>
      </w:r>
      <w:r w:rsidR="0036433E">
        <w:t>14</w:t>
      </w:r>
    </w:p>
    <w:p w14:paraId="05FA9D56" w14:textId="1552A850" w:rsidR="00FC5D4A" w:rsidRPr="00C91BFC" w:rsidRDefault="00FC5D4A" w:rsidP="00FC5D4A">
      <w:pPr>
        <w:tabs>
          <w:tab w:val="right" w:pos="850"/>
          <w:tab w:val="left" w:pos="1134"/>
          <w:tab w:val="left" w:pos="1559"/>
          <w:tab w:val="left" w:pos="1984"/>
          <w:tab w:val="left" w:leader="dot" w:pos="8787"/>
          <w:tab w:val="right" w:pos="9638"/>
        </w:tabs>
        <w:spacing w:after="120"/>
      </w:pPr>
      <w:r w:rsidRPr="00C91BFC">
        <w:tab/>
      </w:r>
      <w:r w:rsidRPr="00C91BFC">
        <w:tab/>
        <w:t>B.</w:t>
      </w:r>
      <w:r w:rsidRPr="00C91BFC">
        <w:tab/>
        <w:t xml:space="preserve">Process after registration of urgent action requests: developments observed </w:t>
      </w:r>
      <w:r w:rsidRPr="00C91BFC">
        <w:br/>
      </w:r>
      <w:r w:rsidRPr="00C91BFC">
        <w:tab/>
      </w:r>
      <w:r w:rsidRPr="00C91BFC">
        <w:tab/>
      </w:r>
      <w:r w:rsidRPr="00C91BFC">
        <w:tab/>
        <w:t>since the eighteenth session (to 1 April 2021)</w:t>
      </w:r>
      <w:r w:rsidRPr="00C91BFC">
        <w:tab/>
      </w:r>
      <w:r w:rsidRPr="00C91BFC">
        <w:tab/>
      </w:r>
      <w:r w:rsidR="0036433E">
        <w:t>14</w:t>
      </w:r>
    </w:p>
    <w:p w14:paraId="7A72AF4D" w14:textId="3A358BA6" w:rsidR="00FC5D4A" w:rsidRPr="00C91BFC" w:rsidRDefault="00FC5D4A" w:rsidP="00FC5D4A">
      <w:pPr>
        <w:tabs>
          <w:tab w:val="right" w:pos="850"/>
          <w:tab w:val="left" w:pos="1134"/>
          <w:tab w:val="left" w:pos="1559"/>
          <w:tab w:val="left" w:pos="1984"/>
          <w:tab w:val="left" w:leader="dot" w:pos="8787"/>
          <w:tab w:val="right" w:pos="9638"/>
        </w:tabs>
        <w:spacing w:after="120"/>
      </w:pPr>
      <w:r w:rsidRPr="00C91BFC">
        <w:tab/>
      </w:r>
      <w:r w:rsidRPr="00C91BFC">
        <w:tab/>
        <w:t>C.</w:t>
      </w:r>
      <w:r w:rsidRPr="00C91BFC">
        <w:tab/>
        <w:t xml:space="preserve">Urgent actions discontinued, closed or kept open for the protection </w:t>
      </w:r>
      <w:r w:rsidRPr="00C91BFC">
        <w:br/>
      </w:r>
      <w:r w:rsidRPr="00C91BFC">
        <w:tab/>
      </w:r>
      <w:r w:rsidRPr="00C91BFC">
        <w:tab/>
      </w:r>
      <w:r w:rsidRPr="00C91BFC">
        <w:tab/>
        <w:t>of persons for whom interim measures have been taken</w:t>
      </w:r>
      <w:r w:rsidRPr="00C91BFC">
        <w:tab/>
      </w:r>
      <w:r w:rsidRPr="00C91BFC">
        <w:tab/>
      </w:r>
      <w:r w:rsidR="0036433E">
        <w:t>20</w:t>
      </w:r>
    </w:p>
    <w:p w14:paraId="1CBC0C9E" w14:textId="016B195C" w:rsidR="00FC5D4A" w:rsidRPr="00C91BFC" w:rsidRDefault="00FC5D4A" w:rsidP="00FC5D4A">
      <w:pPr>
        <w:tabs>
          <w:tab w:val="right" w:pos="850"/>
          <w:tab w:val="left" w:pos="1134"/>
          <w:tab w:val="left" w:pos="1559"/>
          <w:tab w:val="left" w:pos="1984"/>
          <w:tab w:val="left" w:leader="dot" w:pos="8787"/>
          <w:tab w:val="right" w:pos="9638"/>
        </w:tabs>
        <w:spacing w:after="120"/>
      </w:pPr>
      <w:r w:rsidRPr="00C91BFC">
        <w:tab/>
      </w:r>
      <w:r w:rsidRPr="00C91BFC">
        <w:tab/>
        <w:t>D.</w:t>
      </w:r>
      <w:r w:rsidRPr="00C91BFC">
        <w:tab/>
        <w:t>Decisions taken by the Committee at its nineteenth and twentieth sessions</w:t>
      </w:r>
      <w:r w:rsidRPr="00C91BFC">
        <w:tab/>
      </w:r>
      <w:r w:rsidRPr="00C91BFC">
        <w:tab/>
      </w:r>
      <w:r w:rsidR="0036433E">
        <w:t>21</w:t>
      </w:r>
    </w:p>
    <w:p w14:paraId="753CD5BF" w14:textId="37C7B5F8" w:rsidR="00FC5D4A" w:rsidRPr="00C91BFC" w:rsidRDefault="00FC5D4A" w:rsidP="00FC5D4A">
      <w:pPr>
        <w:tabs>
          <w:tab w:val="right" w:pos="850"/>
          <w:tab w:val="left" w:pos="1134"/>
          <w:tab w:val="left" w:pos="1559"/>
          <w:tab w:val="left" w:pos="1984"/>
          <w:tab w:val="left" w:leader="dot" w:pos="8787"/>
          <w:tab w:val="right" w:pos="9638"/>
        </w:tabs>
        <w:spacing w:after="120"/>
      </w:pPr>
      <w:r w:rsidRPr="00C91BFC">
        <w:tab/>
        <w:t>XI.</w:t>
      </w:r>
      <w:r w:rsidRPr="00C91BFC">
        <w:tab/>
        <w:t>Communications procedure under article 31 of the Convention</w:t>
      </w:r>
      <w:r w:rsidRPr="00C91BFC">
        <w:tab/>
      </w:r>
      <w:r w:rsidRPr="00C91BFC">
        <w:tab/>
      </w:r>
      <w:r w:rsidR="0036433E">
        <w:t>22</w:t>
      </w:r>
    </w:p>
    <w:p w14:paraId="39E1041D" w14:textId="30A773AE" w:rsidR="00FC5D4A" w:rsidRPr="00C91BFC" w:rsidRDefault="00FC5D4A" w:rsidP="00FC5D4A">
      <w:pPr>
        <w:tabs>
          <w:tab w:val="right" w:pos="850"/>
          <w:tab w:val="left" w:pos="1134"/>
          <w:tab w:val="left" w:pos="1559"/>
          <w:tab w:val="left" w:pos="1984"/>
          <w:tab w:val="left" w:leader="dot" w:pos="8787"/>
          <w:tab w:val="right" w:pos="9638"/>
        </w:tabs>
        <w:spacing w:after="120"/>
      </w:pPr>
      <w:r w:rsidRPr="00C91BFC">
        <w:tab/>
        <w:t>XII.</w:t>
      </w:r>
      <w:r w:rsidRPr="00C91BFC">
        <w:tab/>
        <w:t>Visits under article 33 of the Convention</w:t>
      </w:r>
      <w:r w:rsidRPr="00C91BFC">
        <w:tab/>
      </w:r>
      <w:r w:rsidRPr="00C91BFC">
        <w:tab/>
      </w:r>
      <w:r w:rsidR="0036433E">
        <w:t>23</w:t>
      </w:r>
    </w:p>
    <w:p w14:paraId="08678C9A" w14:textId="5D03C7F3" w:rsidR="00FC5D4A" w:rsidRPr="00C91BFC" w:rsidRDefault="00FC5D4A" w:rsidP="00FC5D4A">
      <w:pPr>
        <w:tabs>
          <w:tab w:val="right" w:pos="850"/>
          <w:tab w:val="left" w:pos="1134"/>
          <w:tab w:val="left" w:pos="1559"/>
          <w:tab w:val="left" w:pos="1984"/>
          <w:tab w:val="left" w:leader="dot" w:pos="8787"/>
          <w:tab w:val="right" w:pos="9638"/>
        </w:tabs>
        <w:spacing w:after="120"/>
      </w:pPr>
      <w:r w:rsidRPr="00C91BFC">
        <w:tab/>
        <w:t>XIII.</w:t>
      </w:r>
      <w:r w:rsidRPr="00C91BFC">
        <w:tab/>
        <w:t>Guiding principles for the search for disappeared persons</w:t>
      </w:r>
      <w:r w:rsidRPr="00C91BFC">
        <w:tab/>
      </w:r>
      <w:r w:rsidRPr="00C91BFC">
        <w:tab/>
      </w:r>
      <w:r w:rsidR="0036433E">
        <w:t>24</w:t>
      </w:r>
    </w:p>
    <w:p w14:paraId="0789AF0A" w14:textId="77777777" w:rsidR="00FC5D4A" w:rsidRPr="00C91BFC" w:rsidRDefault="00FC5D4A" w:rsidP="00FC5D4A">
      <w:pPr>
        <w:tabs>
          <w:tab w:val="right" w:pos="850"/>
          <w:tab w:val="left" w:pos="1134"/>
          <w:tab w:val="left" w:pos="1559"/>
          <w:tab w:val="left" w:pos="1984"/>
          <w:tab w:val="left" w:leader="dot" w:pos="8787"/>
          <w:tab w:val="right" w:pos="9638"/>
        </w:tabs>
        <w:spacing w:after="120"/>
      </w:pPr>
      <w:r w:rsidRPr="00C91BFC">
        <w:tab/>
        <w:t>Annex</w:t>
      </w:r>
    </w:p>
    <w:p w14:paraId="480CC3DC" w14:textId="14E2EA3F" w:rsidR="00FC5D4A" w:rsidRDefault="00FC5D4A" w:rsidP="00FC5D4A">
      <w:pPr>
        <w:tabs>
          <w:tab w:val="right" w:pos="850"/>
          <w:tab w:val="left" w:pos="1134"/>
          <w:tab w:val="left" w:pos="1559"/>
          <w:tab w:val="left" w:pos="1984"/>
          <w:tab w:val="left" w:leader="dot" w:pos="8787"/>
          <w:tab w:val="right" w:pos="9638"/>
        </w:tabs>
        <w:spacing w:after="120"/>
      </w:pPr>
      <w:r w:rsidRPr="00C91BFC">
        <w:tab/>
      </w:r>
      <w:r w:rsidRPr="00C91BFC">
        <w:tab/>
        <w:t>States parties to the Convention as at 7 May 202</w:t>
      </w:r>
      <w:r w:rsidR="00737DFF">
        <w:t>1</w:t>
      </w:r>
      <w:r w:rsidRPr="00C91BFC">
        <w:t xml:space="preserve"> and their reporting status</w:t>
      </w:r>
      <w:r w:rsidRPr="00C91BFC">
        <w:tab/>
      </w:r>
      <w:r w:rsidRPr="00C91BFC">
        <w:tab/>
      </w:r>
      <w:r w:rsidR="0036433E">
        <w:t>25</w:t>
      </w:r>
    </w:p>
    <w:p w14:paraId="0A8AF931" w14:textId="77777777" w:rsidR="00B45F6F" w:rsidRPr="00C91BFC" w:rsidRDefault="00B45F6F" w:rsidP="00FC5D4A">
      <w:pPr>
        <w:tabs>
          <w:tab w:val="right" w:pos="850"/>
          <w:tab w:val="left" w:pos="1134"/>
          <w:tab w:val="left" w:pos="1559"/>
          <w:tab w:val="left" w:pos="1984"/>
          <w:tab w:val="left" w:leader="dot" w:pos="8787"/>
          <w:tab w:val="right" w:pos="9638"/>
        </w:tabs>
        <w:spacing w:after="120"/>
      </w:pPr>
    </w:p>
    <w:p w14:paraId="4EB6A406" w14:textId="77777777" w:rsidR="00A21E7B" w:rsidRDefault="00A21E7B" w:rsidP="005E716E">
      <w:pPr>
        <w:sectPr w:rsidR="00A21E7B" w:rsidSect="00A21E7B">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7" w:right="1134" w:bottom="1134" w:left="1134" w:header="850" w:footer="567" w:gutter="0"/>
          <w:pgNumType w:fmt="lowerRoman" w:start="3"/>
          <w:cols w:space="720"/>
          <w:titlePg/>
          <w:docGrid w:linePitch="272"/>
        </w:sectPr>
      </w:pPr>
    </w:p>
    <w:p w14:paraId="29C193D3" w14:textId="77777777" w:rsidR="00EF1BB1" w:rsidRPr="00C91BFC" w:rsidRDefault="00EF1BB1" w:rsidP="00EF1BB1">
      <w:pPr>
        <w:pStyle w:val="HChG"/>
      </w:pPr>
      <w:r w:rsidRPr="00C91BFC">
        <w:lastRenderedPageBreak/>
        <w:tab/>
      </w:r>
      <w:r w:rsidRPr="00C91BFC">
        <w:tab/>
      </w:r>
      <w:bookmarkStart w:id="4" w:name="_Toc326162631"/>
      <w:bookmarkStart w:id="5" w:name="_Toc326220746"/>
      <w:bookmarkStart w:id="6" w:name="_Toc460489528"/>
      <w:bookmarkStart w:id="7" w:name="_Toc522200453"/>
      <w:bookmarkStart w:id="8" w:name="_Toc43905464"/>
      <w:bookmarkStart w:id="9" w:name="_Toc43906545"/>
      <w:bookmarkStart w:id="10" w:name="_Toc43996416"/>
      <w:bookmarkStart w:id="11" w:name="_Toc75349898"/>
      <w:r w:rsidRPr="00C91BFC">
        <w:t>Chapter I</w:t>
      </w:r>
      <w:r w:rsidRPr="00C91BFC">
        <w:br/>
      </w:r>
      <w:bookmarkEnd w:id="4"/>
      <w:bookmarkEnd w:id="5"/>
      <w:r w:rsidRPr="00C91BFC">
        <w:t>Organizational and other matters</w:t>
      </w:r>
      <w:bookmarkEnd w:id="6"/>
      <w:bookmarkEnd w:id="7"/>
      <w:bookmarkEnd w:id="8"/>
      <w:bookmarkEnd w:id="9"/>
      <w:bookmarkEnd w:id="10"/>
      <w:bookmarkEnd w:id="11"/>
    </w:p>
    <w:p w14:paraId="0250CF63" w14:textId="77777777" w:rsidR="00EF1BB1" w:rsidRPr="00C91BFC" w:rsidRDefault="00EF1BB1" w:rsidP="00EF1BB1">
      <w:pPr>
        <w:pStyle w:val="H1G"/>
      </w:pPr>
      <w:r w:rsidRPr="00C91BFC">
        <w:tab/>
      </w:r>
      <w:bookmarkStart w:id="12" w:name="_Toc326162632"/>
      <w:bookmarkStart w:id="13" w:name="_Toc326220747"/>
      <w:bookmarkStart w:id="14" w:name="_Toc460489529"/>
      <w:bookmarkStart w:id="15" w:name="_Toc522200454"/>
      <w:bookmarkStart w:id="16" w:name="_Toc43905465"/>
      <w:bookmarkStart w:id="17" w:name="_Toc43906546"/>
      <w:bookmarkStart w:id="18" w:name="_Toc43996417"/>
      <w:bookmarkStart w:id="19" w:name="_Toc75349899"/>
      <w:r w:rsidRPr="00C91BFC">
        <w:t>A.</w:t>
      </w:r>
      <w:r w:rsidRPr="00C91BFC">
        <w:tab/>
        <w:t>States parties to the Convention</w:t>
      </w:r>
      <w:bookmarkEnd w:id="12"/>
      <w:bookmarkEnd w:id="13"/>
      <w:bookmarkEnd w:id="14"/>
      <w:bookmarkEnd w:id="15"/>
      <w:bookmarkEnd w:id="16"/>
      <w:bookmarkEnd w:id="17"/>
      <w:bookmarkEnd w:id="18"/>
      <w:bookmarkEnd w:id="19"/>
    </w:p>
    <w:p w14:paraId="7130B23F" w14:textId="77777777" w:rsidR="00EF1BB1" w:rsidRPr="00C91BFC" w:rsidRDefault="00EF1BB1" w:rsidP="00EF1BB1">
      <w:pPr>
        <w:pStyle w:val="SingleTxtG"/>
      </w:pPr>
      <w:r w:rsidRPr="00C91BFC">
        <w:t>1.</w:t>
      </w:r>
      <w:r w:rsidRPr="00C91BFC">
        <w:tab/>
        <w:t xml:space="preserve">As at 12 April 2021, the opening date of the twentieth session of the Committee on Enforced Disappearances, there were 63 States parties and 98 signatory States to the International Convention for the Protection of All Persons from Enforced Disappearance. Of the 63 States parties to the Convention, 23 had declared that they recognized the competence of the Committee to receive and consider individual and/or inter-State communications. In accordance with its article 39 (1), the Convention entered into force on 23 December 2010. </w:t>
      </w:r>
    </w:p>
    <w:p w14:paraId="74331E4F" w14:textId="77777777" w:rsidR="00EF1BB1" w:rsidRPr="00C91BFC" w:rsidRDefault="00EF1BB1" w:rsidP="00EF1BB1">
      <w:pPr>
        <w:pStyle w:val="SingleTxtG"/>
      </w:pPr>
      <w:r w:rsidRPr="00C91BFC">
        <w:t>2.</w:t>
      </w:r>
      <w:r w:rsidRPr="00C91BFC">
        <w:tab/>
        <w:t>The updated list of States parties to the Convention, as well as information on declarations made under articles 31 and 32 and reservations, is available on the website of the Office of Legal Affairs of the Secretariat.</w:t>
      </w:r>
      <w:r w:rsidRPr="00EF1BB1">
        <w:rPr>
          <w:rStyle w:val="FootnoteReference"/>
        </w:rPr>
        <w:footnoteReference w:id="2"/>
      </w:r>
    </w:p>
    <w:p w14:paraId="681EC48B" w14:textId="77777777" w:rsidR="00EF1BB1" w:rsidRPr="00C91BFC" w:rsidRDefault="00EF1BB1" w:rsidP="00EF1BB1">
      <w:pPr>
        <w:pStyle w:val="H1G"/>
      </w:pPr>
      <w:r w:rsidRPr="00C91BFC">
        <w:tab/>
      </w:r>
      <w:bookmarkStart w:id="20" w:name="_Toc326162633"/>
      <w:bookmarkStart w:id="21" w:name="_Toc326220748"/>
      <w:bookmarkStart w:id="22" w:name="_Toc460489530"/>
      <w:bookmarkStart w:id="23" w:name="_Toc522200455"/>
      <w:bookmarkStart w:id="24" w:name="_Toc43905466"/>
      <w:bookmarkStart w:id="25" w:name="_Toc43906547"/>
      <w:bookmarkStart w:id="26" w:name="_Toc43996418"/>
      <w:bookmarkStart w:id="27" w:name="_Toc75349900"/>
      <w:r w:rsidRPr="00C91BFC">
        <w:t>B.</w:t>
      </w:r>
      <w:r w:rsidRPr="00C91BFC">
        <w:tab/>
        <w:t>Meetings and sessions</w:t>
      </w:r>
      <w:bookmarkEnd w:id="20"/>
      <w:bookmarkEnd w:id="21"/>
      <w:bookmarkEnd w:id="22"/>
      <w:bookmarkEnd w:id="23"/>
      <w:bookmarkEnd w:id="24"/>
      <w:bookmarkEnd w:id="25"/>
      <w:bookmarkEnd w:id="26"/>
      <w:bookmarkEnd w:id="27"/>
    </w:p>
    <w:p w14:paraId="7F66EE78" w14:textId="77777777" w:rsidR="00EF1BB1" w:rsidRPr="00C91BFC" w:rsidRDefault="00EF1BB1" w:rsidP="00EF1BB1">
      <w:pPr>
        <w:pStyle w:val="SingleTxtG"/>
      </w:pPr>
      <w:r w:rsidRPr="00C91BFC">
        <w:t>3.</w:t>
      </w:r>
      <w:r w:rsidRPr="00C91BFC">
        <w:tab/>
        <w:t>In accordance with precautionary measures taken in the context of the coronavirus disease (COVID-19) pandemic, the Committee held its nineteenth session online from 7 September to 25 November 2020. It held 21 plenary meetings. The agenda (</w:t>
      </w:r>
      <w:hyperlink r:id="rId17" w:history="1">
        <w:r w:rsidRPr="004969C5">
          <w:rPr>
            <w:rStyle w:val="Hyperlink"/>
          </w:rPr>
          <w:t>CED/C/19/1</w:t>
        </w:r>
      </w:hyperlink>
      <w:r w:rsidRPr="00C91BFC">
        <w:t xml:space="preserve">) was adopted by the Committee at its 316th meeting. The nineteenth session was opened by the Director of the Human Rights Council and Treaty Mechanisms Division of the </w:t>
      </w:r>
      <w:bookmarkStart w:id="28" w:name="_Hlk14448626"/>
      <w:r w:rsidRPr="00C91BFC">
        <w:t>Office of the United Nations High Commissioner for Human Rights (OHCHR)</w:t>
      </w:r>
      <w:bookmarkEnd w:id="28"/>
      <w:r w:rsidRPr="00C91BFC">
        <w:t xml:space="preserve">. </w:t>
      </w:r>
    </w:p>
    <w:p w14:paraId="2AD779F7" w14:textId="1B188FCD" w:rsidR="00EF1BB1" w:rsidRPr="00C91BFC" w:rsidRDefault="00EF1BB1" w:rsidP="00EF1BB1">
      <w:pPr>
        <w:pStyle w:val="SingleTxtG"/>
      </w:pPr>
      <w:r w:rsidRPr="00C91BFC">
        <w:t>4.</w:t>
      </w:r>
      <w:r w:rsidRPr="00C91BFC">
        <w:tab/>
        <w:t>In his opening statement, the Director noted that despite the particularly challenging context, the Committee had maintained its firm commitment to supporting States and victims in combating enforced disappearance. He particularly welcomed the Committee</w:t>
      </w:r>
      <w:r w:rsidR="00FA39D9">
        <w:t>’</w:t>
      </w:r>
      <w:r w:rsidRPr="00C91BFC">
        <w:t>s readiness to hold the first ever online dialogue with a State party for its consideration of the additional information submitted by Iraq. The Director further welcomed the accession of the newest State party to the Convention – Oman – and referred to the importance of promoting further ratification. He provided an update on the General Assembly</w:t>
      </w:r>
      <w:r w:rsidR="00FA39D9">
        <w:t>’</w:t>
      </w:r>
      <w:r w:rsidRPr="00C91BFC">
        <w:t>s 2020 review under its resolution 68/268 on strengthening and enhancing the effective functioning of the human rights treaty body system. The Chairs of the human rights treaty bodies had made a comprehensive submission to the co-facilitators appointed to oversee the review process, including a specific submission to support the work of the Committee under articles 29 (4) and 30 of the Convention. He looked forward to a positive outcome to that process, in particular through the allocation of sufficient human and financial resources.</w:t>
      </w:r>
    </w:p>
    <w:p w14:paraId="276EC2B0" w14:textId="080FDB49" w:rsidR="00EF1BB1" w:rsidRPr="00C91BFC" w:rsidRDefault="00EF1BB1" w:rsidP="00EF1BB1">
      <w:pPr>
        <w:pStyle w:val="SingleTxtG"/>
      </w:pPr>
      <w:r w:rsidRPr="00C91BFC">
        <w:t>5.</w:t>
      </w:r>
      <w:r w:rsidRPr="00C91BFC">
        <w:tab/>
        <w:t>In his opening statement, the Chair of the Committee stressed that it was a priority for the Committee to resume its activities in person, in particular in the context of dialogues with States. In the meantime, victims of enforced disappearance, States, civil society and all other stakeholders could count on its commitment to pursue all of its activities to the extent possible. He explained the Committee</w:t>
      </w:r>
      <w:r w:rsidR="00FA39D9">
        <w:t>’</w:t>
      </w:r>
      <w:r w:rsidRPr="00C91BFC">
        <w:t>s progress regarding its working methods with respect to article 29 (4) of the Convention. He welcomed the readiness of Iraq to participate in the online dialogue under the additional information procedure, and highlighted the importance of the support of field presences in preparing for the dialogue.</w:t>
      </w:r>
    </w:p>
    <w:p w14:paraId="5F2F9820" w14:textId="625C9AF9" w:rsidR="00EF1BB1" w:rsidRPr="00C91BFC" w:rsidRDefault="00EF1BB1" w:rsidP="00EF1BB1">
      <w:pPr>
        <w:pStyle w:val="SingleTxtG"/>
      </w:pPr>
      <w:r w:rsidRPr="00C91BFC">
        <w:t>6.</w:t>
      </w:r>
      <w:r w:rsidRPr="00C91BFC">
        <w:tab/>
        <w:t>The Committee held its twentieth session online from 12 April to 7 May 2021. It held 24 plenary meetings. The agenda (</w:t>
      </w:r>
      <w:hyperlink r:id="rId18" w:history="1">
        <w:r w:rsidRPr="004969C5">
          <w:rPr>
            <w:rStyle w:val="Hyperlink"/>
          </w:rPr>
          <w:t>CED/C/20/1</w:t>
        </w:r>
      </w:hyperlink>
      <w:r w:rsidRPr="00C91BFC">
        <w:t xml:space="preserve">) was adopted by the Committee at its 337th meeting. The twentieth session was opened by the Chief of the Human Rights Treaties Branch of OHCHR. He highlighted that over the previous year of working online, the Committee had done commendable work, often at personal cost to the members, to support States, victims, civil society actors and national human rights institutions in their efforts to eradicate and prevent enforced disappearance. The Committee had continued its work under </w:t>
      </w:r>
      <w:r w:rsidRPr="00C91BFC">
        <w:lastRenderedPageBreak/>
        <w:t>the urgent action procedure, having registered 44 new requests since the nineteenth session, reaching a total of 1,013 requests since 2012. He commended the Committee for its decision to hold its dialogues with States parties remotely in-person meetings remained impossible owing to the pandemic. He described the Committee</w:t>
      </w:r>
      <w:r w:rsidR="00FA39D9">
        <w:t>’</w:t>
      </w:r>
      <w:r w:rsidRPr="00C91BFC">
        <w:t xml:space="preserve">s efforts to promote universal ratification of the Convention, including a social media campaign in December 2020. He noted with regret that the General Assembly had not approved the requested staff resources to support the increased workload of the treaty bodies, and reaffirmed that OHCHR would continue to do its utmost to ensure adequate support for the Committee. </w:t>
      </w:r>
    </w:p>
    <w:p w14:paraId="3FEBFAB0" w14:textId="6E0574FE" w:rsidR="00EF1BB1" w:rsidRPr="00C91BFC" w:rsidRDefault="00EF1BB1" w:rsidP="00EF1BB1">
      <w:pPr>
        <w:pStyle w:val="SingleTxtG"/>
      </w:pPr>
      <w:r w:rsidRPr="00C91BFC">
        <w:t>7.</w:t>
      </w:r>
      <w:r w:rsidRPr="00C91BFC">
        <w:tab/>
        <w:t>In his opening statement, the Chair of the Committee noted that the current session was the third to be held online, and he reaffirmed the unwavering commitment of the Committee. He expressed regret that no new States had ratified the Convention since the nineteenth session, and stressed that the Committee and its secretariat remained at the disposal of States wishing to receive information or technical guidance with a view to ratifying the Convention and recognizing the Committee</w:t>
      </w:r>
      <w:r w:rsidR="00FA39D9">
        <w:t>’</w:t>
      </w:r>
      <w:r w:rsidRPr="00C91BFC">
        <w:t>s competence to receive and consider individual and inter-State communications. It was vital for all actors to take action immediately in that respect. He welcomed the steps taken by the Government of the Sudan on 23 February 2021 to approve the ratification of the Convention, noting that the Committee looked forward to the formalization of that important decision with the Secretary-General. He reiterated his call to all States that had not yet done so to formally demonstrate their commitment to the eradication of enforced disappearance by ratifying the Convention.</w:t>
      </w:r>
    </w:p>
    <w:p w14:paraId="5AFCFD77" w14:textId="77777777" w:rsidR="00EF1BB1" w:rsidRPr="00C91BFC" w:rsidRDefault="00EF1BB1" w:rsidP="00EF1BB1">
      <w:pPr>
        <w:pStyle w:val="H1G"/>
      </w:pPr>
      <w:r w:rsidRPr="00C91BFC">
        <w:tab/>
      </w:r>
      <w:bookmarkStart w:id="29" w:name="_Toc326162634"/>
      <w:bookmarkStart w:id="30" w:name="_Toc326220749"/>
      <w:bookmarkStart w:id="31" w:name="_Toc460489531"/>
      <w:bookmarkStart w:id="32" w:name="_Toc522200456"/>
      <w:bookmarkStart w:id="33" w:name="_Toc43905467"/>
      <w:bookmarkStart w:id="34" w:name="_Toc43906548"/>
      <w:bookmarkStart w:id="35" w:name="_Toc43996419"/>
      <w:bookmarkStart w:id="36" w:name="_Toc75349901"/>
      <w:r w:rsidRPr="00C91BFC">
        <w:t>C.</w:t>
      </w:r>
      <w:r w:rsidRPr="00C91BFC">
        <w:tab/>
        <w:t>Membership and attendance</w:t>
      </w:r>
      <w:bookmarkEnd w:id="29"/>
      <w:bookmarkEnd w:id="30"/>
      <w:bookmarkEnd w:id="31"/>
      <w:bookmarkEnd w:id="32"/>
      <w:bookmarkEnd w:id="33"/>
      <w:bookmarkEnd w:id="34"/>
      <w:bookmarkEnd w:id="35"/>
      <w:bookmarkEnd w:id="36"/>
    </w:p>
    <w:p w14:paraId="14785941" w14:textId="77777777" w:rsidR="00ED6BA0" w:rsidRDefault="00EF1BB1" w:rsidP="00EF1BB1">
      <w:pPr>
        <w:pStyle w:val="SingleTxtG"/>
      </w:pPr>
      <w:r w:rsidRPr="00C91BFC">
        <w:t>8.</w:t>
      </w:r>
      <w:r w:rsidRPr="00C91BFC">
        <w:tab/>
        <w:t xml:space="preserve">One member of the Committee was excused for health reasons during the nineteenth session. All the members attended the twentieth session. A list of the current members, indicating the duration of their terms of office, is available at </w:t>
      </w:r>
      <w:hyperlink r:id="rId19" w:history="1">
        <w:r w:rsidR="00F43BE2" w:rsidRPr="004969C5">
          <w:rPr>
            <w:rStyle w:val="Hyperlink"/>
          </w:rPr>
          <w:t>www.ohchr.org/EN/HRBodies/CED/Pages/Membership.aspx</w:t>
        </w:r>
      </w:hyperlink>
      <w:r w:rsidRPr="00C91BFC">
        <w:t>.</w:t>
      </w:r>
    </w:p>
    <w:p w14:paraId="7E24B600" w14:textId="310C1BD8" w:rsidR="00EF1BB1" w:rsidRPr="00C91BFC" w:rsidRDefault="00EF1BB1" w:rsidP="00EF1BB1">
      <w:pPr>
        <w:pStyle w:val="SingleTxtG"/>
      </w:pPr>
      <w:r w:rsidRPr="00C91BFC">
        <w:t>9.</w:t>
      </w:r>
      <w:r w:rsidRPr="00C91BFC">
        <w:tab/>
      </w:r>
      <w:r w:rsidRPr="00ED6BA0">
        <w:t xml:space="preserve">On </w:t>
      </w:r>
      <w:r w:rsidRPr="00FF0906">
        <w:t>1</w:t>
      </w:r>
      <w:r w:rsidRPr="00ED6BA0">
        <w:t xml:space="preserve">6 </w:t>
      </w:r>
      <w:r w:rsidRPr="00C91BFC">
        <w:t xml:space="preserve">October 2020, Cheikh Ahmed </w:t>
      </w:r>
      <w:proofErr w:type="spellStart"/>
      <w:r w:rsidRPr="00C91BFC">
        <w:t>Tidiane</w:t>
      </w:r>
      <w:proofErr w:type="spellEnd"/>
      <w:r w:rsidRPr="00C91BFC">
        <w:t xml:space="preserve"> Coulibaly resigned following his appointment as First President of the Supreme Court of Senegal. In accordance with article 26 (5) of the Convention, </w:t>
      </w:r>
      <w:proofErr w:type="spellStart"/>
      <w:r w:rsidRPr="00C91BFC">
        <w:t>Matar</w:t>
      </w:r>
      <w:proofErr w:type="spellEnd"/>
      <w:r w:rsidRPr="00C91BFC">
        <w:t xml:space="preserve"> Diop was appointed as member of the Committee to serve out Mr. </w:t>
      </w:r>
      <w:proofErr w:type="spellStart"/>
      <w:r w:rsidRPr="00C91BFC">
        <w:t>Tidiane</w:t>
      </w:r>
      <w:proofErr w:type="spellEnd"/>
      <w:r w:rsidRPr="00C91BFC">
        <w:t xml:space="preserve"> Coulibaly</w:t>
      </w:r>
      <w:r w:rsidR="00FA39D9">
        <w:t>’</w:t>
      </w:r>
      <w:r w:rsidRPr="00C91BFC">
        <w:t>s term, from 11 December 2020 to 20 June 2023. Mr. Diop made his solemn declaration in writing in order to be able to participate in the Committee</w:t>
      </w:r>
      <w:r w:rsidR="00FA39D9">
        <w:t>’</w:t>
      </w:r>
      <w:r w:rsidRPr="00C91BFC">
        <w:t xml:space="preserve">s intersessional meetings, and renewed his solemn declaration publicly at the opening of the twentieth session. He also attended an online induction course for new members, held on 2, 3 and 11 February 2021. </w:t>
      </w:r>
    </w:p>
    <w:p w14:paraId="616717C2" w14:textId="77777777" w:rsidR="00EF1BB1" w:rsidRPr="00C91BFC" w:rsidRDefault="00EF1BB1" w:rsidP="00EF1BB1">
      <w:pPr>
        <w:pStyle w:val="H1G"/>
      </w:pPr>
      <w:r w:rsidRPr="00C91BFC">
        <w:tab/>
      </w:r>
      <w:bookmarkStart w:id="37" w:name="_Toc326162639"/>
      <w:bookmarkStart w:id="38" w:name="_Toc326220754"/>
      <w:bookmarkStart w:id="39" w:name="_Toc460489532"/>
      <w:bookmarkStart w:id="40" w:name="_Toc522200457"/>
      <w:bookmarkStart w:id="41" w:name="_Toc43905468"/>
      <w:bookmarkStart w:id="42" w:name="_Toc43906549"/>
      <w:bookmarkStart w:id="43" w:name="_Toc43996420"/>
      <w:bookmarkStart w:id="44" w:name="_Toc75349902"/>
      <w:bookmarkStart w:id="45" w:name="_Toc326162635"/>
      <w:bookmarkStart w:id="46" w:name="_Toc326220750"/>
      <w:r w:rsidRPr="00C91BFC">
        <w:t>D.</w:t>
      </w:r>
      <w:r w:rsidRPr="00C91BFC">
        <w:tab/>
        <w:t>Decisions of the Committee</w:t>
      </w:r>
      <w:bookmarkEnd w:id="37"/>
      <w:bookmarkEnd w:id="38"/>
      <w:bookmarkEnd w:id="39"/>
      <w:bookmarkEnd w:id="40"/>
      <w:bookmarkEnd w:id="41"/>
      <w:bookmarkEnd w:id="42"/>
      <w:bookmarkEnd w:id="43"/>
      <w:bookmarkEnd w:id="44"/>
    </w:p>
    <w:p w14:paraId="4B074DC2" w14:textId="77777777" w:rsidR="00EF1BB1" w:rsidRPr="00C91BFC" w:rsidRDefault="00EF1BB1" w:rsidP="00EF1BB1">
      <w:pPr>
        <w:pStyle w:val="SingleTxtG"/>
      </w:pPr>
      <w:r w:rsidRPr="00C91BFC">
        <w:t>10.</w:t>
      </w:r>
      <w:r w:rsidRPr="00C91BFC">
        <w:tab/>
        <w:t>At its nineteenth session, the Committee adopted the following documents:</w:t>
      </w:r>
    </w:p>
    <w:p w14:paraId="723EF4F9" w14:textId="3C74B479" w:rsidR="00EF1BB1" w:rsidRPr="00C91BFC" w:rsidRDefault="00EF1BB1" w:rsidP="00EF1BB1">
      <w:pPr>
        <w:pStyle w:val="SingleTxtG"/>
      </w:pPr>
      <w:r>
        <w:tab/>
      </w:r>
      <w:r w:rsidRPr="00C91BFC">
        <w:t>(a)</w:t>
      </w:r>
      <w:r w:rsidRPr="00C91BFC">
        <w:tab/>
        <w:t>Lists of issues in relation to the reports submitted by Czechia, Greece and the Niger under article 29 (1) of the Convention, and a list of issues in the absence of the report of Mali;</w:t>
      </w:r>
    </w:p>
    <w:p w14:paraId="7448EB11" w14:textId="0EFA7842" w:rsidR="00EF1BB1" w:rsidRPr="00C91BFC" w:rsidRDefault="00EF1BB1" w:rsidP="00EF1BB1">
      <w:pPr>
        <w:pStyle w:val="SingleTxtG"/>
      </w:pPr>
      <w:r>
        <w:tab/>
      </w:r>
      <w:r w:rsidRPr="00C91BFC">
        <w:t>(b)</w:t>
      </w:r>
      <w:r w:rsidRPr="00C91BFC">
        <w:tab/>
        <w:t>Concluding observations on the additional information submitted by Iraq under article 29 (4) of the Convention (</w:t>
      </w:r>
      <w:hyperlink r:id="rId20" w:history="1">
        <w:r w:rsidRPr="00ED6BA0">
          <w:rPr>
            <w:rStyle w:val="Hyperlink"/>
          </w:rPr>
          <w:t>CED/C/IRQ/OAI/1</w:t>
        </w:r>
      </w:hyperlink>
      <w:r w:rsidRPr="00C91BFC">
        <w:t>);</w:t>
      </w:r>
    </w:p>
    <w:p w14:paraId="2C6ED9B2" w14:textId="471E5550" w:rsidR="00EF1BB1" w:rsidRPr="00C91BFC" w:rsidRDefault="00EF1BB1" w:rsidP="00EF1BB1">
      <w:pPr>
        <w:pStyle w:val="SingleTxtG"/>
      </w:pPr>
      <w:r>
        <w:tab/>
      </w:r>
      <w:r w:rsidRPr="00C91BFC">
        <w:t>(c)</w:t>
      </w:r>
      <w:r w:rsidRPr="00C91BFC">
        <w:tab/>
        <w:t>A report on requests for urgent action (</w:t>
      </w:r>
      <w:hyperlink r:id="rId21" w:history="1">
        <w:r w:rsidRPr="00ED6BA0">
          <w:rPr>
            <w:rStyle w:val="Hyperlink"/>
          </w:rPr>
          <w:t>CED/C/19/2</w:t>
        </w:r>
      </w:hyperlink>
      <w:r w:rsidRPr="00C91BFC">
        <w:t>);</w:t>
      </w:r>
    </w:p>
    <w:p w14:paraId="33A25882" w14:textId="4C387EE4" w:rsidR="00EF1BB1" w:rsidRPr="00C91BFC" w:rsidRDefault="00EF1BB1" w:rsidP="00EF1BB1">
      <w:pPr>
        <w:pStyle w:val="SingleTxtG"/>
      </w:pPr>
      <w:r>
        <w:tab/>
      </w:r>
      <w:r w:rsidRPr="00C91BFC">
        <w:t>(d)</w:t>
      </w:r>
      <w:r w:rsidRPr="00C91BFC">
        <w:tab/>
        <w:t>A report on follow-up to concluding observations, containing assessments of the follow-up information submitted by eight States parties (</w:t>
      </w:r>
      <w:hyperlink r:id="rId22" w:history="1">
        <w:r w:rsidRPr="00ED6BA0">
          <w:rPr>
            <w:rStyle w:val="Hyperlink"/>
          </w:rPr>
          <w:t>CED/C/19/4</w:t>
        </w:r>
      </w:hyperlink>
      <w:r w:rsidRPr="00C91BFC">
        <w:t>);</w:t>
      </w:r>
    </w:p>
    <w:p w14:paraId="762A3AB5" w14:textId="1264BE22" w:rsidR="00EF1BB1" w:rsidRPr="00C91BFC" w:rsidRDefault="00EF1BB1" w:rsidP="00EF1BB1">
      <w:pPr>
        <w:pStyle w:val="SingleTxtG"/>
      </w:pPr>
      <w:r>
        <w:tab/>
      </w:r>
      <w:r w:rsidRPr="00C91BFC">
        <w:t>(e)</w:t>
      </w:r>
      <w:r w:rsidRPr="00C91BFC">
        <w:tab/>
        <w:t xml:space="preserve">Views in </w:t>
      </w:r>
      <w:r w:rsidRPr="00F11573">
        <w:rPr>
          <w:i/>
          <w:iCs/>
        </w:rPr>
        <w:t>E.L.A. v. France</w:t>
      </w:r>
      <w:r w:rsidRPr="00C91BFC">
        <w:t xml:space="preserve"> (</w:t>
      </w:r>
      <w:hyperlink r:id="rId23" w:history="1">
        <w:r w:rsidRPr="00ED6BA0">
          <w:rPr>
            <w:rStyle w:val="Hyperlink"/>
          </w:rPr>
          <w:t>CED/C/19/D/3/2019</w:t>
        </w:r>
      </w:hyperlink>
      <w:r w:rsidRPr="00C91BFC">
        <w:t>);</w:t>
      </w:r>
    </w:p>
    <w:p w14:paraId="4D1B1688" w14:textId="0AB6B0AA" w:rsidR="00EF1BB1" w:rsidRPr="00C91BFC" w:rsidRDefault="00EF1BB1" w:rsidP="00EF1BB1">
      <w:pPr>
        <w:pStyle w:val="SingleTxtG"/>
      </w:pPr>
      <w:r>
        <w:tab/>
      </w:r>
      <w:r w:rsidRPr="00C91BFC">
        <w:t>(f)</w:t>
      </w:r>
      <w:r w:rsidRPr="00C91BFC">
        <w:tab/>
        <w:t>A follow-up progress report on individual communications (</w:t>
      </w:r>
      <w:hyperlink r:id="rId24" w:history="1">
        <w:r w:rsidRPr="004969C5">
          <w:rPr>
            <w:rStyle w:val="Hyperlink"/>
          </w:rPr>
          <w:t>CED/C/19/3</w:t>
        </w:r>
      </w:hyperlink>
      <w:r w:rsidRPr="00C91BFC">
        <w:t xml:space="preserve">), in which it decided to continue the follow-up procedure regarding </w:t>
      </w:r>
      <w:proofErr w:type="spellStart"/>
      <w:r w:rsidRPr="00F11573">
        <w:rPr>
          <w:i/>
          <w:iCs/>
        </w:rPr>
        <w:t>Yrusta</w:t>
      </w:r>
      <w:proofErr w:type="spellEnd"/>
      <w:r w:rsidRPr="00F11573">
        <w:rPr>
          <w:i/>
          <w:iCs/>
        </w:rPr>
        <w:t xml:space="preserve"> and Del Valle </w:t>
      </w:r>
      <w:proofErr w:type="spellStart"/>
      <w:r w:rsidRPr="00F11573">
        <w:rPr>
          <w:i/>
          <w:iCs/>
        </w:rPr>
        <w:t>Yrusta</w:t>
      </w:r>
      <w:proofErr w:type="spellEnd"/>
      <w:r w:rsidRPr="00F11573">
        <w:rPr>
          <w:i/>
          <w:iCs/>
        </w:rPr>
        <w:t xml:space="preserve"> v. Argentina</w:t>
      </w:r>
      <w:r w:rsidRPr="00C91BFC">
        <w:t xml:space="preserve"> (</w:t>
      </w:r>
      <w:hyperlink r:id="rId25" w:history="1">
        <w:r w:rsidRPr="004969C5">
          <w:rPr>
            <w:rStyle w:val="Hyperlink"/>
          </w:rPr>
          <w:t>CED/C/10/D/1/2013</w:t>
        </w:r>
      </w:hyperlink>
      <w:r w:rsidRPr="00C91BFC">
        <w:t>);</w:t>
      </w:r>
    </w:p>
    <w:p w14:paraId="233C4516" w14:textId="3A252DF0" w:rsidR="00EF1BB1" w:rsidRPr="00C91BFC" w:rsidRDefault="00EF1BB1" w:rsidP="00EF1BB1">
      <w:pPr>
        <w:pStyle w:val="SingleTxtG"/>
      </w:pPr>
      <w:r>
        <w:tab/>
      </w:r>
      <w:r w:rsidRPr="00C91BFC">
        <w:t>(g)</w:t>
      </w:r>
      <w:r w:rsidRPr="00C91BFC">
        <w:tab/>
        <w:t>Key guidelines on enforced disappearance in the context of the COVID-19 pandemic, jointly with the Working Group on Enforced or Involuntary Disappearances;</w:t>
      </w:r>
    </w:p>
    <w:p w14:paraId="5A332320" w14:textId="77777777" w:rsidR="00EF1BB1" w:rsidRPr="00C91BFC" w:rsidRDefault="00EF1BB1" w:rsidP="00EF1BB1">
      <w:pPr>
        <w:pStyle w:val="SingleTxtG"/>
      </w:pPr>
      <w:r w:rsidRPr="00C91BFC">
        <w:lastRenderedPageBreak/>
        <w:t>11.</w:t>
      </w:r>
      <w:r w:rsidRPr="00C91BFC">
        <w:tab/>
        <w:t xml:space="preserve">Also at its nineteenth session, the Committee decided: </w:t>
      </w:r>
    </w:p>
    <w:p w14:paraId="76D75D0F" w14:textId="6630AC1C" w:rsidR="00EF1BB1" w:rsidRPr="00C91BFC" w:rsidRDefault="00EF1BB1" w:rsidP="00EF1BB1">
      <w:pPr>
        <w:pStyle w:val="SingleTxtG"/>
      </w:pPr>
      <w:r>
        <w:tab/>
      </w:r>
      <w:r w:rsidRPr="00C91BFC">
        <w:t>(a)</w:t>
      </w:r>
      <w:r w:rsidRPr="00C91BFC">
        <w:tab/>
        <w:t>To request the Rapporteur on reprisals to prepare draft guidelines on the management of reprisal allegations received by the Committee, to be adopted at its twentieth session;</w:t>
      </w:r>
    </w:p>
    <w:p w14:paraId="3F1A11DE" w14:textId="7C3BB314" w:rsidR="00EF1BB1" w:rsidRPr="00C91BFC" w:rsidRDefault="00EF1BB1" w:rsidP="00EF1BB1">
      <w:pPr>
        <w:pStyle w:val="SingleTxtG"/>
      </w:pPr>
      <w:r>
        <w:tab/>
      </w:r>
      <w:r w:rsidRPr="00C91BFC">
        <w:t>(b)</w:t>
      </w:r>
      <w:r w:rsidRPr="00C91BFC">
        <w:tab/>
        <w:t>To hold online dialogues at its twentieth session for its consideration of the reports submitted by Mongolia and Switzerland under article 29 (1) of the Convention and the additional information submitted by Colombia under article 29 (4) of the Convention, which had been scheduled for the eighteenth and nineteenth sessions but had been postponed because of the prevailing circumstances related to the COVID-19 pandemic;</w:t>
      </w:r>
    </w:p>
    <w:p w14:paraId="662C5095" w14:textId="7B41F62A" w:rsidR="00EF1BB1" w:rsidRPr="00C91BFC" w:rsidRDefault="00EF1BB1" w:rsidP="00EF1BB1">
      <w:pPr>
        <w:pStyle w:val="SingleTxtG"/>
      </w:pPr>
      <w:r>
        <w:tab/>
      </w:r>
      <w:r w:rsidRPr="00C91BFC">
        <w:t>(c)</w:t>
      </w:r>
      <w:r w:rsidRPr="00C91BFC">
        <w:tab/>
        <w:t>To adopt a list of issues in the absence of the report of Zambia at its twentieth session;</w:t>
      </w:r>
    </w:p>
    <w:p w14:paraId="4D1C434A" w14:textId="50F00E18" w:rsidR="00EF1BB1" w:rsidRPr="00C91BFC" w:rsidRDefault="00EF1BB1" w:rsidP="00EF1BB1">
      <w:pPr>
        <w:pStyle w:val="SingleTxtG"/>
      </w:pPr>
      <w:r>
        <w:tab/>
      </w:r>
      <w:r w:rsidRPr="00C91BFC">
        <w:t>(d)</w:t>
      </w:r>
      <w:r w:rsidRPr="00C91BFC">
        <w:tab/>
        <w:t xml:space="preserve">To hold a joint meeting at its twentieth session with the Committee on the Protection of the Rights of All Migrant Workers and Members of Their Families and the Working Group on Enforced or Involuntary Disappearances on the issue of enforced disappearance in the context of migration; </w:t>
      </w:r>
    </w:p>
    <w:p w14:paraId="504E3B95" w14:textId="1BC43182" w:rsidR="00EF1BB1" w:rsidRPr="00C91BFC" w:rsidRDefault="00EF1BB1" w:rsidP="00EF1BB1">
      <w:pPr>
        <w:pStyle w:val="SingleTxtG"/>
      </w:pPr>
      <w:r>
        <w:tab/>
      </w:r>
      <w:r w:rsidRPr="00C91BFC">
        <w:t>(e)</w:t>
      </w:r>
      <w:r w:rsidRPr="00C91BFC">
        <w:tab/>
        <w:t xml:space="preserve">To consider, at its twenty-first session, the additional information submitted by France and Spain under article 29 (4) of the Convention through the modality of a desk review combined with a short dialogue with each State party, and to send a list of questions to the States parties concerned to enable updates and clarifications; </w:t>
      </w:r>
    </w:p>
    <w:p w14:paraId="6450AAD4" w14:textId="74733110" w:rsidR="00EF1BB1" w:rsidRPr="00C91BFC" w:rsidRDefault="00EF1BB1" w:rsidP="00EF1BB1">
      <w:pPr>
        <w:pStyle w:val="SingleTxtG"/>
      </w:pPr>
      <w:r>
        <w:tab/>
      </w:r>
      <w:r w:rsidRPr="00C91BFC">
        <w:t>(f)</w:t>
      </w:r>
      <w:r w:rsidRPr="00C91BFC">
        <w:tab/>
        <w:t>To further develop its working methods, particularly in relation to additional information submitted by States parties under article 29 (4) of the Convention.</w:t>
      </w:r>
    </w:p>
    <w:p w14:paraId="05B66FD8" w14:textId="77777777" w:rsidR="00EF1BB1" w:rsidRPr="00C91BFC" w:rsidRDefault="00EF1BB1" w:rsidP="00EF1BB1">
      <w:pPr>
        <w:pStyle w:val="SingleTxtG"/>
      </w:pPr>
      <w:r w:rsidRPr="00C91BFC">
        <w:t>12.</w:t>
      </w:r>
      <w:r w:rsidRPr="00C91BFC">
        <w:tab/>
      </w:r>
      <w:bookmarkStart w:id="47" w:name="_Hlk75290778"/>
      <w:r w:rsidRPr="00C91BFC">
        <w:t>At its twentieth session, the Committee adopted the following documents:</w:t>
      </w:r>
      <w:bookmarkEnd w:id="47"/>
    </w:p>
    <w:p w14:paraId="42ED695E" w14:textId="45A1A05B" w:rsidR="00EF1BB1" w:rsidRPr="00C91BFC" w:rsidRDefault="00EF1BB1" w:rsidP="00EF1BB1">
      <w:pPr>
        <w:pStyle w:val="SingleTxtG"/>
      </w:pPr>
      <w:r>
        <w:tab/>
      </w:r>
      <w:r w:rsidRPr="00C91BFC">
        <w:t>(a)</w:t>
      </w:r>
      <w:r>
        <w:tab/>
      </w:r>
      <w:r w:rsidRPr="00C91BFC">
        <w:t>A list of issues in the absence of the report of Zambia;</w:t>
      </w:r>
    </w:p>
    <w:p w14:paraId="28F001F5" w14:textId="24F1EEC6" w:rsidR="00EF1BB1" w:rsidRPr="00C91BFC" w:rsidRDefault="00EF1BB1" w:rsidP="00EF1BB1">
      <w:pPr>
        <w:pStyle w:val="SingleTxtG"/>
      </w:pPr>
      <w:r>
        <w:tab/>
      </w:r>
      <w:r w:rsidRPr="00C91BFC">
        <w:t>(b)</w:t>
      </w:r>
      <w:r w:rsidRPr="00C91BFC">
        <w:tab/>
        <w:t>Concluding observations on the reports submitted by Mongolia and Switzerland under article 29 (1) of the Convention, and concluding observations on the additional information submitted by Colombia under article 29 (4) of the Convention;</w:t>
      </w:r>
    </w:p>
    <w:p w14:paraId="1A87E06F" w14:textId="0521CE33" w:rsidR="00EF1BB1" w:rsidRPr="00C91BFC" w:rsidRDefault="00EF1BB1" w:rsidP="00EF1BB1">
      <w:pPr>
        <w:pStyle w:val="SingleTxtG"/>
      </w:pPr>
      <w:r>
        <w:tab/>
      </w:r>
      <w:r w:rsidRPr="00C91BFC">
        <w:t>(c)</w:t>
      </w:r>
      <w:r w:rsidRPr="00C91BFC">
        <w:tab/>
        <w:t>A report on requests for urgent action (</w:t>
      </w:r>
      <w:hyperlink r:id="rId26" w:history="1">
        <w:r w:rsidRPr="00ED6BA0">
          <w:rPr>
            <w:rStyle w:val="Hyperlink"/>
          </w:rPr>
          <w:t>CED/C/20/2</w:t>
        </w:r>
      </w:hyperlink>
      <w:r w:rsidRPr="00C91BFC">
        <w:t>);</w:t>
      </w:r>
    </w:p>
    <w:p w14:paraId="69B9C04A" w14:textId="2B84D4AE" w:rsidR="00EF1BB1" w:rsidRPr="00C91BFC" w:rsidRDefault="00EF1BB1" w:rsidP="00EF1BB1">
      <w:pPr>
        <w:pStyle w:val="SingleTxtG"/>
      </w:pPr>
      <w:r>
        <w:tab/>
      </w:r>
      <w:r w:rsidRPr="00C91BFC">
        <w:t>(d)</w:t>
      </w:r>
      <w:r w:rsidRPr="00C91BFC">
        <w:tab/>
        <w:t>Its annual report to the General Assembly for submission at the seventy-sixth session of the Assembly;</w:t>
      </w:r>
    </w:p>
    <w:p w14:paraId="1612B90B" w14:textId="541865D7" w:rsidR="00EF1BB1" w:rsidRPr="00C91BFC" w:rsidRDefault="00EF1BB1" w:rsidP="00EF1BB1">
      <w:pPr>
        <w:pStyle w:val="SingleTxtG"/>
      </w:pPr>
      <w:r>
        <w:tab/>
      </w:r>
      <w:r w:rsidRPr="00C91BFC">
        <w:t>(e)</w:t>
      </w:r>
      <w:r w:rsidRPr="00C91BFC">
        <w:tab/>
        <w:t>Guidelines to prevent and address intimidation and reprisals against individuals and groups cooperating with the Committee (</w:t>
      </w:r>
      <w:hyperlink r:id="rId27" w:history="1">
        <w:r w:rsidRPr="00ED6BA0">
          <w:rPr>
            <w:rStyle w:val="Hyperlink"/>
          </w:rPr>
          <w:t>CED/C/8</w:t>
        </w:r>
      </w:hyperlink>
      <w:r w:rsidRPr="00C91BFC">
        <w:t>);</w:t>
      </w:r>
    </w:p>
    <w:p w14:paraId="67518C86" w14:textId="10352697" w:rsidR="00EF1BB1" w:rsidRPr="00C91BFC" w:rsidRDefault="00EF1BB1" w:rsidP="00EF1BB1">
      <w:pPr>
        <w:pStyle w:val="SingleTxtG"/>
      </w:pPr>
      <w:r>
        <w:tab/>
      </w:r>
      <w:r w:rsidRPr="00C91BFC">
        <w:t>(f)</w:t>
      </w:r>
      <w:r w:rsidRPr="00C91BFC">
        <w:tab/>
        <w:t>A new format for the submission of requests for urgent action to the Committee.</w:t>
      </w:r>
    </w:p>
    <w:p w14:paraId="3E88CCFE" w14:textId="77777777" w:rsidR="00EF1BB1" w:rsidRPr="00C91BFC" w:rsidRDefault="00EF1BB1" w:rsidP="00EF1BB1">
      <w:pPr>
        <w:pStyle w:val="SingleTxtG"/>
      </w:pPr>
      <w:r w:rsidRPr="00C91BFC">
        <w:t>13.</w:t>
      </w:r>
      <w:r w:rsidRPr="00C91BFC">
        <w:tab/>
        <w:t>Also at its twentieth session, the Committee decided:</w:t>
      </w:r>
    </w:p>
    <w:p w14:paraId="212CFDB9" w14:textId="07077EDB" w:rsidR="00EF1BB1" w:rsidRPr="00C91BFC" w:rsidRDefault="00EF1BB1" w:rsidP="00EF1BB1">
      <w:pPr>
        <w:pStyle w:val="SingleTxtG"/>
      </w:pPr>
      <w:r>
        <w:tab/>
      </w:r>
      <w:r w:rsidRPr="00C91BFC">
        <w:t>(a)</w:t>
      </w:r>
      <w:r w:rsidRPr="00C91BFC">
        <w:tab/>
        <w:t>To consider, at its twenty-first session, the reports submitted by Brazil and Panama under article 29 (1) of the Convention;</w:t>
      </w:r>
    </w:p>
    <w:p w14:paraId="560E66B1" w14:textId="4AD8CE78" w:rsidR="00EF1BB1" w:rsidRPr="00C91BFC" w:rsidRDefault="00EF1BB1" w:rsidP="00EF1BB1">
      <w:pPr>
        <w:pStyle w:val="SingleTxtG"/>
      </w:pPr>
      <w:r>
        <w:tab/>
      </w:r>
      <w:r w:rsidRPr="00C91BFC">
        <w:t>(b)</w:t>
      </w:r>
      <w:r w:rsidRPr="00C91BFC">
        <w:tab/>
        <w:t>To consider, at its twenty-first session, the additional information submitted by France and Spain under article 29 (4) of the Convention;</w:t>
      </w:r>
    </w:p>
    <w:p w14:paraId="01866EE5" w14:textId="0DCBC3AF" w:rsidR="00EF1BB1" w:rsidRPr="00C91BFC" w:rsidRDefault="00EF1BB1" w:rsidP="00EF1BB1">
      <w:pPr>
        <w:pStyle w:val="SingleTxtG"/>
      </w:pPr>
      <w:r>
        <w:tab/>
      </w:r>
      <w:r w:rsidRPr="00C91BFC">
        <w:t>(c)</w:t>
      </w:r>
      <w:r w:rsidRPr="00C91BFC">
        <w:tab/>
        <w:t>To adopt, at its twenty-first session, lists of issues in relation to the reports submitted by Costa Rica, Mali and Mauritania;</w:t>
      </w:r>
    </w:p>
    <w:p w14:paraId="1D58EB76" w14:textId="7F73C27A" w:rsidR="00EF1BB1" w:rsidRPr="00C91BFC" w:rsidRDefault="00EF1BB1" w:rsidP="00EF1BB1">
      <w:pPr>
        <w:pStyle w:val="SingleTxtG"/>
      </w:pPr>
      <w:r>
        <w:tab/>
      </w:r>
      <w:r w:rsidRPr="00C91BFC">
        <w:t>(d)</w:t>
      </w:r>
      <w:r w:rsidRPr="00C91BFC">
        <w:tab/>
        <w:t>To adopt, at its twenty-first session, a report on follow-up to concluding observations;</w:t>
      </w:r>
    </w:p>
    <w:p w14:paraId="774DBE0B" w14:textId="6267C81D" w:rsidR="00EF1BB1" w:rsidRPr="00C91BFC" w:rsidRDefault="00EF1BB1" w:rsidP="00EF1BB1">
      <w:pPr>
        <w:pStyle w:val="SingleTxtG"/>
      </w:pPr>
      <w:r>
        <w:tab/>
      </w:r>
      <w:r w:rsidRPr="00C91BFC">
        <w:t>(e)</w:t>
      </w:r>
      <w:r w:rsidRPr="00C91BFC">
        <w:tab/>
        <w:t>To adopt, at its twenty-first session, a report on requests for urgent action;</w:t>
      </w:r>
    </w:p>
    <w:p w14:paraId="7C80AFD4" w14:textId="17C5083B" w:rsidR="00EF1BB1" w:rsidRPr="00C91BFC" w:rsidRDefault="00EF1BB1" w:rsidP="00EF1BB1">
      <w:pPr>
        <w:pStyle w:val="SingleTxtG"/>
      </w:pPr>
      <w:r>
        <w:tab/>
      </w:r>
      <w:r w:rsidRPr="00C91BFC">
        <w:t>(f)</w:t>
      </w:r>
      <w:r w:rsidRPr="00C91BFC">
        <w:tab/>
        <w:t>To adopt, at its twenty-first session, a follow-up progress report on individual communications;</w:t>
      </w:r>
    </w:p>
    <w:p w14:paraId="6FE65BF6" w14:textId="3F506CD7" w:rsidR="00EF1BB1" w:rsidRPr="00C91BFC" w:rsidRDefault="00EF1BB1" w:rsidP="00EF1BB1">
      <w:pPr>
        <w:pStyle w:val="SingleTxtG"/>
      </w:pPr>
      <w:r>
        <w:tab/>
      </w:r>
      <w:r w:rsidRPr="00C91BFC">
        <w:t>(g)</w:t>
      </w:r>
      <w:r w:rsidRPr="00C91BFC">
        <w:tab/>
        <w:t>To pursue, at its twenty-first session, its discussions on its working methods in relation to its consideration of additional information submitted by States parties under article 29 (4) of the Convention, and organize a one-day retreat for the Committee to that end;</w:t>
      </w:r>
    </w:p>
    <w:p w14:paraId="7362E79F" w14:textId="53FA19F7" w:rsidR="00EF1BB1" w:rsidRPr="00C91BFC" w:rsidRDefault="00EF1BB1" w:rsidP="00EF1BB1">
      <w:pPr>
        <w:pStyle w:val="SingleTxtG"/>
      </w:pPr>
      <w:r>
        <w:lastRenderedPageBreak/>
        <w:tab/>
      </w:r>
      <w:r w:rsidRPr="00C91BFC">
        <w:t>(h)</w:t>
      </w:r>
      <w:r w:rsidRPr="00C91BFC">
        <w:tab/>
        <w:t>To initiate, at its twenty-first session, a review of its rules of procedure, its internal guidelines for the review of States parties in the absence of a report and its methods of work;</w:t>
      </w:r>
    </w:p>
    <w:p w14:paraId="345CB753" w14:textId="206A3F7C" w:rsidR="00EF1BB1" w:rsidRPr="00C91BFC" w:rsidRDefault="00EF1BB1" w:rsidP="00EF1BB1">
      <w:pPr>
        <w:pStyle w:val="SingleTxtG"/>
      </w:pPr>
      <w:r>
        <w:tab/>
      </w:r>
      <w:r w:rsidRPr="00C91BFC">
        <w:t>(</w:t>
      </w:r>
      <w:proofErr w:type="spellStart"/>
      <w:r w:rsidRPr="00C91BFC">
        <w:t>i</w:t>
      </w:r>
      <w:proofErr w:type="spellEnd"/>
      <w:r w:rsidRPr="00C91BFC">
        <w:t>)</w:t>
      </w:r>
      <w:r w:rsidRPr="00C91BFC">
        <w:tab/>
        <w:t>To pursue, at its twenty-first session, its work on enforced disappearance in the context of migration and relating to non-State actors;</w:t>
      </w:r>
    </w:p>
    <w:p w14:paraId="63F1A8AB" w14:textId="237CCF07" w:rsidR="00EF1BB1" w:rsidRPr="00C91BFC" w:rsidRDefault="00EF1BB1" w:rsidP="00EF1BB1">
      <w:pPr>
        <w:pStyle w:val="SingleTxtG"/>
      </w:pPr>
      <w:r>
        <w:tab/>
      </w:r>
      <w:r w:rsidRPr="00C91BFC">
        <w:t>(j)</w:t>
      </w:r>
      <w:r w:rsidRPr="00C91BFC">
        <w:tab/>
        <w:t>To pursue, at its twenty-first session, its activities to promote universal ratification of the Convention, including in follow-up to the actions recommended during a webinar held on 3 March 2021.</w:t>
      </w:r>
    </w:p>
    <w:p w14:paraId="48E086D5" w14:textId="77777777" w:rsidR="00EF1BB1" w:rsidRPr="00C91BFC" w:rsidRDefault="00EF1BB1" w:rsidP="00EF1BB1">
      <w:pPr>
        <w:pStyle w:val="H1G"/>
      </w:pPr>
      <w:bookmarkStart w:id="48" w:name="_Toc326162644"/>
      <w:bookmarkStart w:id="49" w:name="_Toc326220759"/>
      <w:bookmarkEnd w:id="45"/>
      <w:bookmarkEnd w:id="46"/>
      <w:r w:rsidRPr="00C91BFC">
        <w:tab/>
      </w:r>
      <w:bookmarkStart w:id="50" w:name="_Toc460489533"/>
      <w:bookmarkStart w:id="51" w:name="_Toc522200458"/>
      <w:bookmarkStart w:id="52" w:name="_Toc43905469"/>
      <w:bookmarkStart w:id="53" w:name="_Toc43906550"/>
      <w:bookmarkStart w:id="54" w:name="_Toc43996421"/>
      <w:bookmarkStart w:id="55" w:name="_Toc75349903"/>
      <w:r w:rsidRPr="00C91BFC">
        <w:t>E.</w:t>
      </w:r>
      <w:r w:rsidRPr="00C91BFC">
        <w:tab/>
        <w:t>Adoption of the annual report</w:t>
      </w:r>
      <w:bookmarkEnd w:id="48"/>
      <w:bookmarkEnd w:id="49"/>
      <w:bookmarkEnd w:id="50"/>
      <w:bookmarkEnd w:id="51"/>
      <w:bookmarkEnd w:id="52"/>
      <w:bookmarkEnd w:id="53"/>
      <w:bookmarkEnd w:id="54"/>
      <w:bookmarkEnd w:id="55"/>
    </w:p>
    <w:p w14:paraId="68A163A1" w14:textId="77777777" w:rsidR="00EF1BB1" w:rsidRPr="00C91BFC" w:rsidRDefault="00EF1BB1" w:rsidP="00EF1BB1">
      <w:pPr>
        <w:pStyle w:val="SingleTxtG"/>
      </w:pPr>
      <w:r w:rsidRPr="00C91BFC">
        <w:t>14.</w:t>
      </w:r>
      <w:r w:rsidRPr="00C91BFC">
        <w:tab/>
        <w:t xml:space="preserve">At the end of its twentieth session, the Committee adopted its tenth report to the General Assembly, on its nineteenth and twentieth sessions, in compliance with article 36 (1) of the Convention. Prior to adoption, the rapporteur of the Committee shared the draft report with the Committee members, who then had one week to make comments and suggestions in writing. All input provided was included in the draft report. </w:t>
      </w:r>
    </w:p>
    <w:p w14:paraId="127817EB" w14:textId="77777777" w:rsidR="00EF1BB1" w:rsidRPr="00C91BFC" w:rsidRDefault="00EF1BB1" w:rsidP="00EF1BB1">
      <w:pPr>
        <w:pStyle w:val="HChG"/>
      </w:pPr>
      <w:r w:rsidRPr="00C91BFC">
        <w:br w:type="page"/>
      </w:r>
      <w:bookmarkStart w:id="56" w:name="_Toc326162645"/>
      <w:bookmarkStart w:id="57" w:name="_Toc326220760"/>
      <w:r w:rsidRPr="00C91BFC">
        <w:lastRenderedPageBreak/>
        <w:tab/>
      </w:r>
      <w:r w:rsidRPr="00C91BFC">
        <w:tab/>
      </w:r>
      <w:bookmarkStart w:id="58" w:name="_Toc460489535"/>
      <w:bookmarkStart w:id="59" w:name="_Toc522200459"/>
      <w:bookmarkStart w:id="60" w:name="_Toc43905470"/>
      <w:bookmarkStart w:id="61" w:name="_Toc43906551"/>
      <w:bookmarkStart w:id="62" w:name="_Toc43996422"/>
      <w:bookmarkStart w:id="63" w:name="_Toc75349904"/>
      <w:r w:rsidRPr="00C91BFC">
        <w:t>Chapter II</w:t>
      </w:r>
      <w:r w:rsidRPr="00C91BFC">
        <w:br/>
      </w:r>
      <w:bookmarkEnd w:id="56"/>
      <w:bookmarkEnd w:id="57"/>
      <w:r w:rsidRPr="00C91BFC">
        <w:t>Methods of work</w:t>
      </w:r>
      <w:bookmarkEnd w:id="58"/>
      <w:bookmarkEnd w:id="59"/>
      <w:bookmarkEnd w:id="60"/>
      <w:bookmarkEnd w:id="61"/>
      <w:bookmarkEnd w:id="62"/>
      <w:bookmarkEnd w:id="63"/>
    </w:p>
    <w:p w14:paraId="243A5296" w14:textId="77777777" w:rsidR="00EF1BB1" w:rsidRPr="00C91BFC" w:rsidRDefault="00EF1BB1" w:rsidP="00EF1BB1">
      <w:pPr>
        <w:pStyle w:val="SingleTxtG"/>
      </w:pPr>
      <w:r w:rsidRPr="00C91BFC">
        <w:t>15.</w:t>
      </w:r>
      <w:r w:rsidRPr="00C91BFC">
        <w:tab/>
        <w:t>During its nineteenth session, the Committee used English, French and Spanish as working languages, and Arabic during its dialogue with Iraq and its meetings with civil society representatives and the national human rights institution of Iraq. During its twentieth session, the Committee used English, French and Spanish as working languages.</w:t>
      </w:r>
    </w:p>
    <w:p w14:paraId="6C7F1184" w14:textId="77777777" w:rsidR="00EF1BB1" w:rsidRPr="00C91BFC" w:rsidRDefault="00EF1BB1" w:rsidP="00EF1BB1">
      <w:pPr>
        <w:pStyle w:val="SingleTxtG"/>
      </w:pPr>
      <w:r w:rsidRPr="00C91BFC">
        <w:t>16.</w:t>
      </w:r>
      <w:r w:rsidRPr="00C91BFC">
        <w:tab/>
        <w:t>During its nineteenth session, the Committee discussed the following issues:</w:t>
      </w:r>
    </w:p>
    <w:p w14:paraId="61CFEAAA" w14:textId="63EF7F8D" w:rsidR="00EF1BB1" w:rsidRPr="00C91BFC" w:rsidRDefault="00EF1BB1" w:rsidP="00EF1BB1">
      <w:pPr>
        <w:pStyle w:val="SingleTxtG"/>
      </w:pPr>
      <w:r>
        <w:tab/>
      </w:r>
      <w:r w:rsidRPr="00C91BFC">
        <w:t>(a)</w:t>
      </w:r>
      <w:r w:rsidRPr="00C91BFC">
        <w:tab/>
        <w:t>The requirements of online sessions in terms of methodology, technical resources and possible agenda;</w:t>
      </w:r>
      <w:r w:rsidR="00FA39D9">
        <w:t xml:space="preserve"> </w:t>
      </w:r>
    </w:p>
    <w:p w14:paraId="006A6363" w14:textId="020802D7" w:rsidR="00EF1BB1" w:rsidRPr="00C91BFC" w:rsidRDefault="003834E2" w:rsidP="00EF1BB1">
      <w:pPr>
        <w:pStyle w:val="SingleTxtG"/>
      </w:pPr>
      <w:r>
        <w:tab/>
      </w:r>
      <w:r w:rsidR="00EF1BB1" w:rsidRPr="00C91BFC">
        <w:t>(b)</w:t>
      </w:r>
      <w:r w:rsidR="00EF1BB1" w:rsidRPr="00C91BFC">
        <w:tab/>
        <w:t>Methods of work related to article 29 (4) of the Convention;</w:t>
      </w:r>
    </w:p>
    <w:p w14:paraId="0C738876" w14:textId="54AB46A3" w:rsidR="00EF1BB1" w:rsidRPr="00C91BFC" w:rsidRDefault="00EF1BB1" w:rsidP="00EF1BB1">
      <w:pPr>
        <w:pStyle w:val="SingleTxtG"/>
      </w:pPr>
      <w:r>
        <w:tab/>
      </w:r>
      <w:r w:rsidRPr="00C91BFC">
        <w:t>(c)</w:t>
      </w:r>
      <w:r w:rsidRPr="00C91BFC">
        <w:tab/>
        <w:t>Strategy to increase ratification of the Convention;</w:t>
      </w:r>
    </w:p>
    <w:p w14:paraId="4746D2E3" w14:textId="267CB512" w:rsidR="00EF1BB1" w:rsidRPr="00C91BFC" w:rsidRDefault="00EF1BB1" w:rsidP="00EF1BB1">
      <w:pPr>
        <w:pStyle w:val="SingleTxtG"/>
      </w:pPr>
      <w:r>
        <w:tab/>
      </w:r>
      <w:r w:rsidRPr="00C91BFC">
        <w:t>(d)</w:t>
      </w:r>
      <w:r w:rsidRPr="00C91BFC">
        <w:tab/>
        <w:t>Resources allocated to the Committee;</w:t>
      </w:r>
    </w:p>
    <w:p w14:paraId="03152067" w14:textId="117C2647" w:rsidR="00EF1BB1" w:rsidRPr="00C91BFC" w:rsidRDefault="00EF1BB1" w:rsidP="00EF1BB1">
      <w:pPr>
        <w:pStyle w:val="SingleTxtG"/>
      </w:pPr>
      <w:r>
        <w:tab/>
      </w:r>
      <w:r w:rsidRPr="00C91BFC">
        <w:t>(e)</w:t>
      </w:r>
      <w:r w:rsidRPr="00C91BFC">
        <w:tab/>
        <w:t>Strategies to address enforced disappearance in the context of migration;</w:t>
      </w:r>
    </w:p>
    <w:p w14:paraId="5C88C79D" w14:textId="45191F56" w:rsidR="00EF1BB1" w:rsidRPr="00C91BFC" w:rsidRDefault="00EF1BB1" w:rsidP="00EF1BB1">
      <w:pPr>
        <w:pStyle w:val="SingleTxtG"/>
      </w:pPr>
      <w:r>
        <w:tab/>
      </w:r>
      <w:r w:rsidRPr="00C91BFC">
        <w:t>(f)</w:t>
      </w:r>
      <w:r w:rsidRPr="00C91BFC">
        <w:tab/>
        <w:t>The need to enhance the Committee</w:t>
      </w:r>
      <w:r w:rsidR="00FA39D9">
        <w:t>’</w:t>
      </w:r>
      <w:r w:rsidRPr="00C91BFC">
        <w:t>s interaction with regional human rights mechanisms, the special procedures of the Human Rights Council and the International Committee of the Red Cross (ICRC), and the way forward in that respect;</w:t>
      </w:r>
    </w:p>
    <w:p w14:paraId="065EB4B9" w14:textId="564AB717" w:rsidR="00EF1BB1" w:rsidRPr="00C91BFC" w:rsidRDefault="00EF1BB1" w:rsidP="00EF1BB1">
      <w:pPr>
        <w:pStyle w:val="SingleTxtG"/>
      </w:pPr>
      <w:r>
        <w:tab/>
      </w:r>
      <w:r w:rsidRPr="00C91BFC">
        <w:t>(g)</w:t>
      </w:r>
      <w:r w:rsidRPr="00C91BFC">
        <w:tab/>
        <w:t>Other matters.</w:t>
      </w:r>
    </w:p>
    <w:p w14:paraId="7A47C9C9" w14:textId="77777777" w:rsidR="00EF1BB1" w:rsidRPr="00C91BFC" w:rsidRDefault="00EF1BB1" w:rsidP="00EF1BB1">
      <w:pPr>
        <w:pStyle w:val="SingleTxtG"/>
      </w:pPr>
      <w:r w:rsidRPr="00C91BFC">
        <w:t>17.</w:t>
      </w:r>
      <w:r w:rsidRPr="00C91BFC">
        <w:tab/>
        <w:t xml:space="preserve">During its twentieth session, the Committee discussed the following issues: </w:t>
      </w:r>
    </w:p>
    <w:p w14:paraId="2F152725" w14:textId="47044988" w:rsidR="00EF1BB1" w:rsidRPr="00C91BFC" w:rsidRDefault="00EF1BB1" w:rsidP="00EF1BB1">
      <w:pPr>
        <w:pStyle w:val="SingleTxtG"/>
      </w:pPr>
      <w:r>
        <w:tab/>
      </w:r>
      <w:r w:rsidRPr="00C91BFC">
        <w:t>(a)</w:t>
      </w:r>
      <w:r w:rsidRPr="00C91BFC">
        <w:tab/>
        <w:t>Activities of the members of the Committee since the nineteenth session;</w:t>
      </w:r>
    </w:p>
    <w:p w14:paraId="598B8B7C" w14:textId="0B5ED0CA" w:rsidR="00EF1BB1" w:rsidRPr="00C91BFC" w:rsidRDefault="00EF1BB1" w:rsidP="00EF1BB1">
      <w:pPr>
        <w:pStyle w:val="SingleTxtG"/>
      </w:pPr>
      <w:r>
        <w:tab/>
      </w:r>
      <w:r w:rsidRPr="00C91BFC">
        <w:t>(b)</w:t>
      </w:r>
      <w:r w:rsidRPr="00C91BFC">
        <w:tab/>
        <w:t>Enforced disappearance in the context of migration;</w:t>
      </w:r>
    </w:p>
    <w:p w14:paraId="5972F41B" w14:textId="47808A51" w:rsidR="00EF1BB1" w:rsidRPr="00C91BFC" w:rsidRDefault="00EF1BB1" w:rsidP="00EF1BB1">
      <w:pPr>
        <w:pStyle w:val="SingleTxtG"/>
      </w:pPr>
      <w:r>
        <w:tab/>
      </w:r>
      <w:r w:rsidRPr="00C91BFC">
        <w:t>(c)</w:t>
      </w:r>
      <w:r w:rsidRPr="00C91BFC">
        <w:tab/>
        <w:t>Non-State actors;</w:t>
      </w:r>
    </w:p>
    <w:p w14:paraId="2A0B8468" w14:textId="4F7C8A48" w:rsidR="00EF1BB1" w:rsidRPr="00C91BFC" w:rsidRDefault="00EF1BB1" w:rsidP="00EF1BB1">
      <w:pPr>
        <w:pStyle w:val="SingleTxtG"/>
      </w:pPr>
      <w:r>
        <w:tab/>
      </w:r>
      <w:r w:rsidRPr="00C91BFC">
        <w:t>(d)</w:t>
      </w:r>
      <w:r w:rsidRPr="00C91BFC">
        <w:tab/>
        <w:t>Updates and next steps with regard to Committee publications and documents, including a publication for the tenth anniversary of the entry into force of the Convention and an OHCHR manual on the Committee;</w:t>
      </w:r>
    </w:p>
    <w:p w14:paraId="16E34008" w14:textId="31BB06D2" w:rsidR="00EF1BB1" w:rsidRPr="00C91BFC" w:rsidRDefault="00EF1BB1" w:rsidP="00EF1BB1">
      <w:pPr>
        <w:pStyle w:val="SingleTxtG"/>
      </w:pPr>
      <w:r>
        <w:tab/>
      </w:r>
      <w:r w:rsidRPr="00C91BFC">
        <w:t>(e)</w:t>
      </w:r>
      <w:r w:rsidRPr="00C91BFC">
        <w:tab/>
        <w:t>Coordination of the Committee</w:t>
      </w:r>
      <w:r w:rsidR="00FA39D9">
        <w:t>’</w:t>
      </w:r>
      <w:r w:rsidRPr="00C91BFC">
        <w:t>s review of the ICRC draft guiding principles for the dignified management of the dead in humanitarian emergencies and draft guidelines on coordination and information exchange mechanisms for the search for missing migrants;</w:t>
      </w:r>
    </w:p>
    <w:p w14:paraId="271C39DD" w14:textId="063784F2" w:rsidR="00EF1BB1" w:rsidRPr="00C91BFC" w:rsidRDefault="00EF1BB1" w:rsidP="00EF1BB1">
      <w:pPr>
        <w:pStyle w:val="SingleTxtG"/>
      </w:pPr>
      <w:r>
        <w:tab/>
      </w:r>
      <w:r w:rsidRPr="00C91BFC">
        <w:t>(f)</w:t>
      </w:r>
      <w:r w:rsidRPr="00C91BFC">
        <w:tab/>
        <w:t>Annual report to the General Assembly;</w:t>
      </w:r>
    </w:p>
    <w:p w14:paraId="00E4ADA7" w14:textId="1C0FDC31" w:rsidR="00EF1BB1" w:rsidRPr="00C91BFC" w:rsidRDefault="00EF1BB1" w:rsidP="00EF1BB1">
      <w:pPr>
        <w:pStyle w:val="SingleTxtG"/>
      </w:pPr>
      <w:r>
        <w:tab/>
      </w:r>
      <w:r w:rsidRPr="00C91BFC">
        <w:t>(g)</w:t>
      </w:r>
      <w:r w:rsidRPr="00C91BFC">
        <w:tab/>
        <w:t>Strategy to increase ratification of the Convention;</w:t>
      </w:r>
    </w:p>
    <w:p w14:paraId="5FE69564" w14:textId="26F0CB6C" w:rsidR="00EF1BB1" w:rsidRPr="00C91BFC" w:rsidRDefault="00EF1BB1" w:rsidP="00EF1BB1">
      <w:pPr>
        <w:pStyle w:val="SingleTxtG"/>
      </w:pPr>
      <w:r>
        <w:tab/>
      </w:r>
      <w:r w:rsidRPr="00C91BFC">
        <w:t>(h)</w:t>
      </w:r>
      <w:r w:rsidRPr="00C91BFC">
        <w:tab/>
        <w:t>Nomination of task forces to refine the procedure related to non-reporting States and to review the Committee</w:t>
      </w:r>
      <w:r w:rsidR="00FA39D9">
        <w:t>’</w:t>
      </w:r>
      <w:r w:rsidRPr="00C91BFC">
        <w:t>s rules of procedure;</w:t>
      </w:r>
    </w:p>
    <w:p w14:paraId="2BFE003C" w14:textId="17F04A6C" w:rsidR="00EF1BB1" w:rsidRPr="00C91BFC" w:rsidRDefault="00EF1BB1" w:rsidP="00EF1BB1">
      <w:pPr>
        <w:pStyle w:val="SingleTxtG"/>
      </w:pPr>
      <w:r>
        <w:tab/>
      </w:r>
      <w:r w:rsidRPr="00C91BFC">
        <w:t>(</w:t>
      </w:r>
      <w:proofErr w:type="spellStart"/>
      <w:r w:rsidRPr="00C91BFC">
        <w:t>i</w:t>
      </w:r>
      <w:proofErr w:type="spellEnd"/>
      <w:r w:rsidRPr="00C91BFC">
        <w:t>)</w:t>
      </w:r>
      <w:r w:rsidRPr="00C91BFC">
        <w:tab/>
        <w:t>Coordination of joint activities with the Working Group on Enforced or Involuntary Disappearances;</w:t>
      </w:r>
    </w:p>
    <w:p w14:paraId="4A5BDA1C" w14:textId="298C289D" w:rsidR="00EF1BB1" w:rsidRPr="00C91BFC" w:rsidRDefault="00EF1BB1" w:rsidP="00EF1BB1">
      <w:pPr>
        <w:pStyle w:val="SingleTxtG"/>
      </w:pPr>
      <w:r>
        <w:tab/>
      </w:r>
      <w:r w:rsidRPr="00C91BFC">
        <w:t>(j)</w:t>
      </w:r>
      <w:r w:rsidRPr="00C91BFC">
        <w:tab/>
        <w:t>Nomination of thematic rapporteurs for all the issues to be included in the provisional agenda of the twenty-first session;</w:t>
      </w:r>
    </w:p>
    <w:p w14:paraId="40CB359F" w14:textId="4CEB3A0C" w:rsidR="00EF1BB1" w:rsidRPr="00C91BFC" w:rsidRDefault="00EF1BB1" w:rsidP="00EF1BB1">
      <w:pPr>
        <w:pStyle w:val="SingleTxtG"/>
      </w:pPr>
      <w:r>
        <w:tab/>
      </w:r>
      <w:r w:rsidRPr="00C91BFC">
        <w:t>(k)</w:t>
      </w:r>
      <w:r w:rsidRPr="00C91BFC">
        <w:tab/>
        <w:t>Visits to Mexico and Iraq under article 33 of the Convention;</w:t>
      </w:r>
    </w:p>
    <w:p w14:paraId="4ED4D93F" w14:textId="73227BEA" w:rsidR="00EF1BB1" w:rsidRPr="00C91BFC" w:rsidRDefault="00EF1BB1" w:rsidP="00EF1BB1">
      <w:pPr>
        <w:pStyle w:val="SingleTxtG"/>
      </w:pPr>
      <w:r>
        <w:tab/>
      </w:r>
      <w:r w:rsidRPr="00C91BFC">
        <w:t>(l)</w:t>
      </w:r>
      <w:r w:rsidRPr="00C91BFC">
        <w:tab/>
        <w:t>Other matters.</w:t>
      </w:r>
    </w:p>
    <w:p w14:paraId="31ADB2F3" w14:textId="77777777" w:rsidR="00EF1BB1" w:rsidRPr="00C91BFC" w:rsidRDefault="00EF1BB1" w:rsidP="00EF1BB1">
      <w:pPr>
        <w:pStyle w:val="SingleTxtG"/>
      </w:pPr>
      <w:r w:rsidRPr="00C91BFC">
        <w:br w:type="page"/>
      </w:r>
    </w:p>
    <w:p w14:paraId="6FB6EAD1" w14:textId="77777777" w:rsidR="00EF1BB1" w:rsidRPr="00C91BFC" w:rsidRDefault="00EF1BB1" w:rsidP="00EF1BB1">
      <w:pPr>
        <w:pStyle w:val="HChG"/>
      </w:pPr>
      <w:r w:rsidRPr="00C91BFC">
        <w:lastRenderedPageBreak/>
        <w:tab/>
      </w:r>
      <w:r w:rsidRPr="00C91BFC">
        <w:tab/>
      </w:r>
      <w:bookmarkStart w:id="64" w:name="_Toc460489537"/>
      <w:bookmarkStart w:id="65" w:name="_Toc522200460"/>
      <w:bookmarkStart w:id="66" w:name="_Toc43905471"/>
      <w:bookmarkStart w:id="67" w:name="_Toc43906552"/>
      <w:bookmarkStart w:id="68" w:name="_Toc43996423"/>
      <w:bookmarkStart w:id="69" w:name="_Toc75349905"/>
      <w:r w:rsidRPr="00C91BFC">
        <w:t>Chapter III</w:t>
      </w:r>
      <w:r w:rsidRPr="00C91BFC">
        <w:br/>
        <w:t>Relations with stakeholders</w:t>
      </w:r>
      <w:bookmarkEnd w:id="64"/>
      <w:bookmarkEnd w:id="65"/>
      <w:bookmarkEnd w:id="66"/>
      <w:bookmarkEnd w:id="67"/>
      <w:bookmarkEnd w:id="68"/>
      <w:bookmarkEnd w:id="69"/>
    </w:p>
    <w:p w14:paraId="575B4C42" w14:textId="77777777" w:rsidR="00EF1BB1" w:rsidRPr="00C91BFC" w:rsidRDefault="00EF1BB1" w:rsidP="00EF1BB1">
      <w:pPr>
        <w:pStyle w:val="H1G"/>
      </w:pPr>
      <w:bookmarkStart w:id="70" w:name="_Toc326162650"/>
      <w:bookmarkStart w:id="71" w:name="_Toc326220765"/>
      <w:r w:rsidRPr="00C91BFC">
        <w:tab/>
      </w:r>
      <w:bookmarkStart w:id="72" w:name="_Toc75349906"/>
      <w:bookmarkStart w:id="73" w:name="_Toc460489538"/>
      <w:bookmarkStart w:id="74" w:name="_Toc522200461"/>
      <w:bookmarkStart w:id="75" w:name="_Toc43905472"/>
      <w:bookmarkStart w:id="76" w:name="_Toc43906553"/>
      <w:bookmarkStart w:id="77" w:name="_Toc43996424"/>
      <w:r w:rsidRPr="00C91BFC">
        <w:t>A.</w:t>
      </w:r>
      <w:r w:rsidRPr="00C91BFC">
        <w:tab/>
        <w:t>Interaction with other human rights mechanisms</w:t>
      </w:r>
      <w:bookmarkEnd w:id="72"/>
    </w:p>
    <w:p w14:paraId="64897563" w14:textId="05DB29FC" w:rsidR="00EF1BB1" w:rsidRPr="00C91BFC" w:rsidRDefault="00EF1BB1" w:rsidP="00EF1BB1">
      <w:pPr>
        <w:pStyle w:val="SingleTxtG"/>
      </w:pPr>
      <w:r w:rsidRPr="00C91BFC">
        <w:t>18.</w:t>
      </w:r>
      <w:r w:rsidRPr="00C91BFC">
        <w:tab/>
        <w:t>The Committee pursued its cooperation with the Working Group on Enforced or Involuntary Disappearances, holding two meetings to enhance the coordination of their work. At the Committee</w:t>
      </w:r>
      <w:r w:rsidR="00FA39D9">
        <w:t>’</w:t>
      </w:r>
      <w:r w:rsidRPr="00C91BFC">
        <w:t>s nineteenth session, two joint webinars to mark the tenth anniversary of the entry into force of the Convention and fortieth anniversary of the establishment of the Working Group. On 3 March 2021, they held a joint webinar with the International Coalition against Enforced Disappearances to share experiences of action taken to promote the ratification of the Convention and to discuss the way forward in that respect. The Committee and the Working Group adopted joint key guidelines on enforced disappearance in the context of the COVID-19 pandemic.</w:t>
      </w:r>
      <w:r w:rsidRPr="00EF1BB1">
        <w:rPr>
          <w:rStyle w:val="FootnoteReference"/>
        </w:rPr>
        <w:footnoteReference w:id="3"/>
      </w:r>
      <w:r w:rsidRPr="00C91BFC">
        <w:t xml:space="preserve"> The Committee also held meetings with the African Commission on Human and Peoples</w:t>
      </w:r>
      <w:r w:rsidR="00FA39D9">
        <w:t>’</w:t>
      </w:r>
      <w:r w:rsidRPr="00C91BFC">
        <w:t xml:space="preserve"> Rights and the Special Rapporteur on trafficking in persons, especially women and children, with a view to enhancing cooperation in their work. </w:t>
      </w:r>
    </w:p>
    <w:p w14:paraId="08694902" w14:textId="77777777" w:rsidR="00EF1BB1" w:rsidRPr="00C91BFC" w:rsidRDefault="00EF1BB1" w:rsidP="00EF1BB1">
      <w:pPr>
        <w:pStyle w:val="H1G"/>
      </w:pPr>
      <w:r w:rsidRPr="00C91BFC">
        <w:tab/>
      </w:r>
      <w:bookmarkStart w:id="79" w:name="_Toc75349907"/>
      <w:r w:rsidRPr="00C91BFC">
        <w:t>B.</w:t>
      </w:r>
      <w:r w:rsidRPr="00C91BFC">
        <w:tab/>
        <w:t>Interaction with Member States</w:t>
      </w:r>
      <w:bookmarkEnd w:id="70"/>
      <w:bookmarkEnd w:id="71"/>
      <w:bookmarkEnd w:id="73"/>
      <w:bookmarkEnd w:id="74"/>
      <w:bookmarkEnd w:id="75"/>
      <w:bookmarkEnd w:id="76"/>
      <w:bookmarkEnd w:id="77"/>
      <w:bookmarkEnd w:id="79"/>
    </w:p>
    <w:p w14:paraId="4A2296BC" w14:textId="77777777" w:rsidR="00EF1BB1" w:rsidRPr="00C91BFC" w:rsidRDefault="00EF1BB1" w:rsidP="00EF1BB1">
      <w:pPr>
        <w:pStyle w:val="SingleTxtG"/>
      </w:pPr>
      <w:r w:rsidRPr="00C91BFC">
        <w:t>19.</w:t>
      </w:r>
      <w:r w:rsidRPr="00C91BFC">
        <w:tab/>
        <w:t>In accordance with the precautionary measures taken in the context of the COVID-19 pandemic, and in view of the tight restrictions imposed on treaty bodies in terms of meeting time with simultaneous interpretation, the Committee has been unable to hold public meetings with Member States over the period under review. The Committee has scheduled such a meeting at its twenty-first session, to be confirmed depending on the evolution of the pandemic and the availability of sufficient meeting time.</w:t>
      </w:r>
    </w:p>
    <w:p w14:paraId="2BFD8F4D" w14:textId="77777777" w:rsidR="00EF1BB1" w:rsidRPr="00C91BFC" w:rsidRDefault="00EF1BB1" w:rsidP="00EF1BB1">
      <w:pPr>
        <w:pStyle w:val="SingleTxtG"/>
      </w:pPr>
      <w:r w:rsidRPr="00C91BFC">
        <w:t>20.</w:t>
      </w:r>
      <w:r w:rsidRPr="00C91BFC">
        <w:tab/>
        <w:t xml:space="preserve">The Committee did interact directly with some Member States, however, on the occasion of the webinars organized jointly with the Working Group on Enforced or Involuntary Disappearances and held during its nineteenth session. In the course of the webinars, Argentina, France, Japan and Morocco made statements. Such interaction also took place during the joint webinar held on 3 March 2021, at which panel speakers included high-level State representatives from Argentina, France, Mexico, Norway and the Sudan. The webinar was also attended online by representatives of 26 Members States as participants. Representatives who took the floor all underlined that enforced disappearance remained a worldwide scourge that could amount to a crime against humanity, and that all States had the responsibility to eradicate and prevent it, including through ratification of the Convention. They also insisted on the key role of the action taken to that end by civil society, national human rights institutions and human rights mechanisms. Argentina and France reiterated their commitment to support the ratification of the Convention, including through a third ratification campaign. Norway described its experience of the process of signing and ratifying the Convention, and shared substantive concerns and political challenges in that context. </w:t>
      </w:r>
      <w:bookmarkStart w:id="80" w:name="_Hlk75277136"/>
      <w:r w:rsidRPr="00C91BFC">
        <w:t>Mexico described the process of ratifying the Convention and of submitting a declaration, on 2 October 2020, in which it recognized the competence of the Committee to receive and consider individual communications</w:t>
      </w:r>
      <w:bookmarkEnd w:id="80"/>
      <w:r w:rsidRPr="00C91BFC">
        <w:t xml:space="preserve">. The Sudan reported that on 23 February 2021, the Government had approved the ratification of the Convention. </w:t>
      </w:r>
    </w:p>
    <w:p w14:paraId="396F511E" w14:textId="77777777" w:rsidR="00EF1BB1" w:rsidRPr="00C91BFC" w:rsidRDefault="00EF1BB1" w:rsidP="00EF1BB1">
      <w:pPr>
        <w:pStyle w:val="H1G"/>
      </w:pPr>
      <w:bookmarkStart w:id="81" w:name="_Toc460489541"/>
      <w:bookmarkStart w:id="82" w:name="_Toc522200463"/>
      <w:bookmarkStart w:id="83" w:name="_Toc326162654"/>
      <w:bookmarkStart w:id="84" w:name="_Toc326220769"/>
      <w:r w:rsidRPr="00C91BFC">
        <w:tab/>
      </w:r>
      <w:bookmarkStart w:id="85" w:name="_Toc43905473"/>
      <w:bookmarkStart w:id="86" w:name="_Toc43906554"/>
      <w:bookmarkStart w:id="87" w:name="_Toc43996425"/>
      <w:bookmarkStart w:id="88" w:name="_Toc75349908"/>
      <w:r w:rsidRPr="00C91BFC">
        <w:t>C.</w:t>
      </w:r>
      <w:r w:rsidRPr="00C91BFC">
        <w:tab/>
        <w:t xml:space="preserve">Interaction with </w:t>
      </w:r>
      <w:bookmarkEnd w:id="81"/>
      <w:bookmarkEnd w:id="82"/>
      <w:r w:rsidRPr="00C91BFC">
        <w:t>United Nations agencies</w:t>
      </w:r>
      <w:bookmarkEnd w:id="85"/>
      <w:bookmarkEnd w:id="86"/>
      <w:bookmarkEnd w:id="87"/>
      <w:bookmarkEnd w:id="88"/>
    </w:p>
    <w:p w14:paraId="7E87C50F" w14:textId="77777777" w:rsidR="00EF1BB1" w:rsidRPr="00C91BFC" w:rsidRDefault="00EF1BB1" w:rsidP="00EF1BB1">
      <w:pPr>
        <w:pStyle w:val="SingleTxtG"/>
      </w:pPr>
      <w:r w:rsidRPr="00C91BFC">
        <w:t>21.</w:t>
      </w:r>
      <w:r w:rsidRPr="00C91BFC">
        <w:tab/>
        <w:t xml:space="preserve">During its nineteenth and twentieth sessions, the Committee held private meetings with the Chief of the OHCHR Human Rights Treaties Branch to discuss the progress of the 2020 review of treaty bodies, past and future meetings of the Chairs of the treaty bodies, and the impact of the COVID-19 pandemic on the work of treaty bodies. </w:t>
      </w:r>
    </w:p>
    <w:p w14:paraId="399FD67F" w14:textId="539B3F60" w:rsidR="00EF1BB1" w:rsidRPr="00C91BFC" w:rsidRDefault="00EF1BB1" w:rsidP="00EF1BB1">
      <w:pPr>
        <w:pStyle w:val="SingleTxtG"/>
      </w:pPr>
      <w:r w:rsidRPr="00C91BFC">
        <w:t>22.</w:t>
      </w:r>
      <w:r w:rsidRPr="00C91BFC">
        <w:tab/>
        <w:t xml:space="preserve">During its nineteenth session, the Committee cooperated and interacted closely with the United Nations Assistance Mission for Iraq and the United Nations Investigative Team </w:t>
      </w:r>
      <w:r w:rsidRPr="00C91BFC">
        <w:lastRenderedPageBreak/>
        <w:t>to Promote Accountability for Crimes Committed by Da</w:t>
      </w:r>
      <w:r w:rsidR="00FA39D9">
        <w:t>’</w:t>
      </w:r>
      <w:r w:rsidRPr="00C91BFC">
        <w:t xml:space="preserve">esh/Islamic State in Iraq and the Levant during its consideration of the additional information submitted by Iraq under article 29 (4) of the Convention. During the twentieth session, the Committee interacted directly with the OHCHR Office in Colombia in preparation for its consideration of the additional information submitted by Colombia under article 29 (4) of the Convention. </w:t>
      </w:r>
    </w:p>
    <w:p w14:paraId="43F49E54" w14:textId="77777777" w:rsidR="00EF1BB1" w:rsidRPr="00C91BFC" w:rsidRDefault="00EF1BB1" w:rsidP="00EF1BB1">
      <w:pPr>
        <w:pStyle w:val="H1G"/>
      </w:pPr>
      <w:r w:rsidRPr="00C91BFC">
        <w:tab/>
      </w:r>
      <w:bookmarkStart w:id="89" w:name="_Toc460489542"/>
      <w:bookmarkStart w:id="90" w:name="_Toc522200464"/>
      <w:bookmarkStart w:id="91" w:name="_Toc43905474"/>
      <w:bookmarkStart w:id="92" w:name="_Toc43906555"/>
      <w:bookmarkStart w:id="93" w:name="_Toc43996426"/>
      <w:bookmarkStart w:id="94" w:name="_Toc75349909"/>
      <w:r w:rsidRPr="00C91BFC">
        <w:t>D.</w:t>
      </w:r>
      <w:r w:rsidRPr="00C91BFC">
        <w:tab/>
        <w:t xml:space="preserve">Interaction with victims, non-governmental organizations and </w:t>
      </w:r>
      <w:bookmarkEnd w:id="89"/>
      <w:r w:rsidRPr="00C91BFC">
        <w:t>other civil society</w:t>
      </w:r>
      <w:bookmarkEnd w:id="90"/>
      <w:bookmarkEnd w:id="91"/>
      <w:bookmarkEnd w:id="92"/>
      <w:bookmarkEnd w:id="93"/>
      <w:r w:rsidRPr="00C91BFC">
        <w:t xml:space="preserve"> actors</w:t>
      </w:r>
      <w:bookmarkEnd w:id="94"/>
    </w:p>
    <w:p w14:paraId="1A6ACE57" w14:textId="77777777" w:rsidR="00EF1BB1" w:rsidRPr="00C91BFC" w:rsidRDefault="00EF1BB1" w:rsidP="00EF1BB1">
      <w:pPr>
        <w:pStyle w:val="SingleTxtG"/>
      </w:pPr>
      <w:r w:rsidRPr="00C91BFC">
        <w:t>23.</w:t>
      </w:r>
      <w:r w:rsidRPr="00C91BFC">
        <w:tab/>
        <w:t xml:space="preserve">Over the period under review, the Committee has further expanded its database of civil society actors to which it periodically sends information on upcoming events and adopted decisions. At its nineteenth and twentieth sessions, the Committee invited victims of enforced disappearance from the Gambia and Mexico to share their testimony, under the agenda item on paying tribute to victims of enforced disappearance. </w:t>
      </w:r>
    </w:p>
    <w:p w14:paraId="0E7AA092" w14:textId="773A05CA" w:rsidR="00EF1BB1" w:rsidRPr="00C91BFC" w:rsidRDefault="00EF1BB1" w:rsidP="00EF1BB1">
      <w:pPr>
        <w:pStyle w:val="SingleTxtG"/>
      </w:pPr>
      <w:r w:rsidRPr="00C91BFC">
        <w:t>24.</w:t>
      </w:r>
      <w:r w:rsidRPr="00C91BFC">
        <w:tab/>
        <w:t xml:space="preserve">The Committee received written contributions for both sessions from a wide range of civil society actors. The Committee held private meetings online with the participation of representatives of more than 13 organizations from Iraq, 53 civil society actors from Colombia and </w:t>
      </w:r>
      <w:r w:rsidR="003834E2">
        <w:t>1</w:t>
      </w:r>
      <w:r w:rsidRPr="00C91BFC">
        <w:t xml:space="preserve"> non-governmental organization from Switzerland.</w:t>
      </w:r>
    </w:p>
    <w:p w14:paraId="116EC706" w14:textId="110B04D4" w:rsidR="00EF1BB1" w:rsidRPr="00C91BFC" w:rsidRDefault="00EF1BB1" w:rsidP="00EF1BB1">
      <w:pPr>
        <w:pStyle w:val="SingleTxtG"/>
      </w:pPr>
      <w:r w:rsidRPr="00C91BFC">
        <w:t>25.</w:t>
      </w:r>
      <w:r w:rsidRPr="00C91BFC">
        <w:tab/>
        <w:t>On 3 March 2021, at the Committee</w:t>
      </w:r>
      <w:r w:rsidR="00FA39D9">
        <w:t>’</w:t>
      </w:r>
      <w:r w:rsidRPr="00C91BFC">
        <w:t xml:space="preserve">s joint webinar with the International Coalition against Enforced Disappearances and the Working Group on Enforced or Involuntary Disappearances, </w:t>
      </w:r>
      <w:r w:rsidR="003834E2">
        <w:t>7</w:t>
      </w:r>
      <w:r w:rsidRPr="00C91BFC">
        <w:t xml:space="preserve"> civil society actors made statements and more than 250 civil society representatives from all regions participated. </w:t>
      </w:r>
    </w:p>
    <w:p w14:paraId="61D5FDAE" w14:textId="6EC4FACD" w:rsidR="00EF1BB1" w:rsidRPr="00C91BFC" w:rsidRDefault="00EF1BB1" w:rsidP="00EF1BB1">
      <w:pPr>
        <w:pStyle w:val="H1G"/>
      </w:pPr>
      <w:r w:rsidRPr="00C91BFC">
        <w:tab/>
      </w:r>
      <w:bookmarkStart w:id="95" w:name="_Toc75349910"/>
      <w:bookmarkStart w:id="96" w:name="_Toc43905475"/>
      <w:bookmarkStart w:id="97" w:name="_Toc43906556"/>
      <w:bookmarkStart w:id="98" w:name="_Toc43996427"/>
      <w:r w:rsidRPr="00C91BFC">
        <w:t>E.</w:t>
      </w:r>
      <w:r w:rsidRPr="00C91BFC">
        <w:tab/>
        <w:t>Interaction with national human rights institutions</w:t>
      </w:r>
      <w:bookmarkEnd w:id="95"/>
    </w:p>
    <w:p w14:paraId="6971E782" w14:textId="15D676BF" w:rsidR="00EF1BB1" w:rsidRPr="00C91BFC" w:rsidRDefault="00EF1BB1" w:rsidP="00EF1BB1">
      <w:pPr>
        <w:pStyle w:val="SingleTxtG"/>
      </w:pPr>
      <w:r w:rsidRPr="00C91BFC">
        <w:t>26.</w:t>
      </w:r>
      <w:r w:rsidRPr="00C91BFC">
        <w:tab/>
        <w:t>Before the nineteenth and twentieth sessions, the Committee informed the national human rights institutions of the States parties concerned that it would be considering the State</w:t>
      </w:r>
      <w:r w:rsidR="003834E2">
        <w:t>s</w:t>
      </w:r>
      <w:r w:rsidRPr="00C91BFC">
        <w:t xml:space="preserve"> parties</w:t>
      </w:r>
      <w:r w:rsidR="00FA39D9">
        <w:t>’</w:t>
      </w:r>
      <w:r w:rsidRPr="00C91BFC">
        <w:t xml:space="preserve"> reports or adopting lists of issues in relation to or in the absence of their reports. During the nineteenth session, the national human rights institution of Iraq contributed through written input and an oral statement to the Committee. Written contributions were received from the national institutions of Czechia and Greece. During the twentieth session, the national human rights institution of Colombia participated in the dialogue as part of the State party</w:t>
      </w:r>
      <w:r w:rsidR="00FA39D9">
        <w:t>’</w:t>
      </w:r>
      <w:r w:rsidRPr="00C91BFC">
        <w:t xml:space="preserve">s delegation. </w:t>
      </w:r>
    </w:p>
    <w:p w14:paraId="51CB4443" w14:textId="77777777" w:rsidR="00EF1BB1" w:rsidRPr="00C91BFC" w:rsidRDefault="00EF1BB1" w:rsidP="00EF1BB1">
      <w:pPr>
        <w:pStyle w:val="SingleTxtG"/>
      </w:pPr>
      <w:r w:rsidRPr="00C91BFC">
        <w:t>27.</w:t>
      </w:r>
      <w:r w:rsidRPr="00C91BFC">
        <w:tab/>
        <w:t xml:space="preserve">At the joint webinar on 3 March 2021, 10 national human rights institutions participated, including one of the Human Rights Ombudspersons of Bosnia and Herzegovina as a speaker. </w:t>
      </w:r>
    </w:p>
    <w:p w14:paraId="7E06969A" w14:textId="5F9642FE" w:rsidR="00EF1BB1" w:rsidRPr="00C91BFC" w:rsidRDefault="00EF1BB1" w:rsidP="00EF1BB1">
      <w:pPr>
        <w:pStyle w:val="H1G"/>
      </w:pPr>
      <w:r w:rsidRPr="00C91BFC">
        <w:tab/>
      </w:r>
      <w:bookmarkStart w:id="99" w:name="_Toc75349911"/>
      <w:r w:rsidRPr="00C91BFC">
        <w:t>F.</w:t>
      </w:r>
      <w:r w:rsidRPr="00C91BFC">
        <w:tab/>
        <w:t>Interaction with other stakeholders</w:t>
      </w:r>
      <w:bookmarkEnd w:id="96"/>
      <w:bookmarkEnd w:id="97"/>
      <w:bookmarkEnd w:id="98"/>
      <w:bookmarkEnd w:id="99"/>
    </w:p>
    <w:p w14:paraId="5DCC9119" w14:textId="77777777" w:rsidR="00EF1BB1" w:rsidRPr="00C91BFC" w:rsidRDefault="00EF1BB1" w:rsidP="00EF1BB1">
      <w:pPr>
        <w:pStyle w:val="SingleTxtG"/>
      </w:pPr>
      <w:r w:rsidRPr="00C91BFC">
        <w:t>28.</w:t>
      </w:r>
      <w:r w:rsidRPr="00C91BFC">
        <w:tab/>
        <w:t xml:space="preserve">On 21 September 2020, the Committee held an online meeting with representatives of the ICRC missing persons project to exchange information about planned activities and discuss modalities for their interaction. </w:t>
      </w:r>
    </w:p>
    <w:p w14:paraId="0BE74F5E" w14:textId="77777777" w:rsidR="00EF1BB1" w:rsidRPr="00C91BFC" w:rsidRDefault="00EF1BB1" w:rsidP="00EF1BB1">
      <w:pPr>
        <w:pStyle w:val="SingleTxtG"/>
      </w:pPr>
      <w:r w:rsidRPr="00C91BFC">
        <w:br w:type="page"/>
      </w:r>
    </w:p>
    <w:p w14:paraId="43DC701C" w14:textId="77777777" w:rsidR="00EF1BB1" w:rsidRPr="00C91BFC" w:rsidRDefault="00EF1BB1" w:rsidP="00EF1BB1">
      <w:pPr>
        <w:pStyle w:val="HChG"/>
      </w:pPr>
      <w:r w:rsidRPr="00C91BFC">
        <w:lastRenderedPageBreak/>
        <w:tab/>
      </w:r>
      <w:r w:rsidRPr="00C91BFC">
        <w:tab/>
      </w:r>
      <w:bookmarkStart w:id="100" w:name="_Toc460489543"/>
      <w:bookmarkStart w:id="101" w:name="_Toc522200465"/>
      <w:bookmarkStart w:id="102" w:name="_Toc43905476"/>
      <w:bookmarkStart w:id="103" w:name="_Toc43906557"/>
      <w:bookmarkStart w:id="104" w:name="_Toc43996428"/>
      <w:bookmarkStart w:id="105" w:name="_Toc75349912"/>
      <w:r w:rsidRPr="00C91BFC">
        <w:t>Chapter IV</w:t>
      </w:r>
      <w:r w:rsidRPr="00C91BFC">
        <w:br/>
        <w:t xml:space="preserve">Consideration </w:t>
      </w:r>
      <w:bookmarkStart w:id="106" w:name="_Hlk14698671"/>
      <w:r w:rsidRPr="00C91BFC">
        <w:t>of reports submitted by States parties under article 29 (1) of the Convention</w:t>
      </w:r>
      <w:bookmarkEnd w:id="100"/>
      <w:bookmarkEnd w:id="101"/>
      <w:bookmarkEnd w:id="102"/>
      <w:bookmarkEnd w:id="103"/>
      <w:bookmarkEnd w:id="104"/>
      <w:bookmarkEnd w:id="105"/>
      <w:bookmarkEnd w:id="106"/>
    </w:p>
    <w:bookmarkEnd w:id="83"/>
    <w:bookmarkEnd w:id="84"/>
    <w:p w14:paraId="7AC5CD64" w14:textId="77777777" w:rsidR="00EF1BB1" w:rsidRPr="00C91BFC" w:rsidRDefault="00EF1BB1" w:rsidP="00EF1BB1">
      <w:pPr>
        <w:pStyle w:val="SingleTxtG"/>
      </w:pPr>
      <w:r w:rsidRPr="00C91BFC">
        <w:t>29.</w:t>
      </w:r>
      <w:r w:rsidRPr="00C91BFC">
        <w:tab/>
        <w:t>In accordance with precautionary measures taken in the context of the COVID-19 pandemic, and in view of the limitations imposed on the Committee in terms of access to the online platform for interpretation, the interactive dialogues scheduled for the nineteenth session for the consideration of the reports of Mongolia (</w:t>
      </w:r>
      <w:hyperlink r:id="rId28" w:history="1">
        <w:r w:rsidRPr="004969C5">
          <w:rPr>
            <w:rStyle w:val="Hyperlink"/>
          </w:rPr>
          <w:t>CED/C/MNG/1</w:t>
        </w:r>
      </w:hyperlink>
      <w:r w:rsidRPr="00C91BFC">
        <w:t>) and Switzerland (</w:t>
      </w:r>
      <w:hyperlink r:id="rId29" w:history="1">
        <w:r w:rsidRPr="004969C5">
          <w:rPr>
            <w:rStyle w:val="Hyperlink"/>
          </w:rPr>
          <w:t>CED/C/CHE/1</w:t>
        </w:r>
      </w:hyperlink>
      <w:r w:rsidRPr="00C91BFC">
        <w:t xml:space="preserve">) were postponed to the twentieth session. </w:t>
      </w:r>
    </w:p>
    <w:p w14:paraId="116572C3" w14:textId="6B2ABCF5" w:rsidR="00EF1BB1" w:rsidRPr="00C91BFC" w:rsidRDefault="00EF1BB1" w:rsidP="00EF1BB1">
      <w:pPr>
        <w:pStyle w:val="SingleTxtG"/>
      </w:pPr>
      <w:r w:rsidRPr="00C91BFC">
        <w:t>30.</w:t>
      </w:r>
      <w:r w:rsidRPr="00C91BFC">
        <w:tab/>
        <w:t>At its twentieth session, the Committee considered the reports of Mongolia and Switzerland, and adopted concluding observations on those reports (</w:t>
      </w:r>
      <w:hyperlink r:id="rId30" w:history="1">
        <w:r w:rsidRPr="004969C5">
          <w:rPr>
            <w:rStyle w:val="Hyperlink"/>
          </w:rPr>
          <w:t>CED/C/MNG/CO/1</w:t>
        </w:r>
      </w:hyperlink>
      <w:r w:rsidRPr="00C91BFC">
        <w:t xml:space="preserve"> and </w:t>
      </w:r>
      <w:hyperlink r:id="rId31" w:history="1">
        <w:r w:rsidRPr="004969C5">
          <w:rPr>
            <w:rStyle w:val="Hyperlink"/>
          </w:rPr>
          <w:t>CED/C/CHE/CO/1</w:t>
        </w:r>
      </w:hyperlink>
      <w:r w:rsidRPr="00C91BFC">
        <w:t>). The six-hour dialogues were held online in three slots of two hours, with the active participation of delegates by videoconference.</w:t>
      </w:r>
    </w:p>
    <w:p w14:paraId="7BF05902" w14:textId="77777777" w:rsidR="00EF1BB1" w:rsidRPr="00C91BFC" w:rsidRDefault="00EF1BB1" w:rsidP="00EF1BB1">
      <w:pPr>
        <w:pStyle w:val="SingleTxtG"/>
      </w:pPr>
      <w:r w:rsidRPr="00C91BFC">
        <w:br w:type="page"/>
      </w:r>
    </w:p>
    <w:p w14:paraId="4E93AE71" w14:textId="77777777" w:rsidR="00EF1BB1" w:rsidRPr="00C91BFC" w:rsidRDefault="00EF1BB1" w:rsidP="00EF1BB1">
      <w:pPr>
        <w:pStyle w:val="HChG"/>
      </w:pPr>
      <w:r w:rsidRPr="00C91BFC">
        <w:lastRenderedPageBreak/>
        <w:tab/>
      </w:r>
      <w:r w:rsidRPr="00C91BFC">
        <w:tab/>
      </w:r>
      <w:bookmarkStart w:id="107" w:name="_Toc460489544"/>
      <w:bookmarkStart w:id="108" w:name="_Toc522200466"/>
      <w:bookmarkStart w:id="109" w:name="_Toc43905477"/>
      <w:bookmarkStart w:id="110" w:name="_Toc43906558"/>
      <w:bookmarkStart w:id="111" w:name="_Toc43996429"/>
      <w:bookmarkStart w:id="112" w:name="_Toc75349913"/>
      <w:r w:rsidRPr="00C91BFC">
        <w:t>Chapter V</w:t>
      </w:r>
      <w:r w:rsidRPr="00C91BFC">
        <w:br/>
        <w:t>Adoption of the report on follow-up to concluding observations</w:t>
      </w:r>
      <w:bookmarkEnd w:id="107"/>
      <w:bookmarkEnd w:id="108"/>
      <w:bookmarkEnd w:id="109"/>
      <w:bookmarkEnd w:id="110"/>
      <w:bookmarkEnd w:id="111"/>
      <w:bookmarkEnd w:id="112"/>
    </w:p>
    <w:p w14:paraId="129803B0" w14:textId="2681E277" w:rsidR="00EF1BB1" w:rsidRPr="00C91BFC" w:rsidRDefault="00EF1BB1" w:rsidP="00EF1BB1">
      <w:pPr>
        <w:pStyle w:val="SingleTxtG"/>
      </w:pPr>
      <w:r w:rsidRPr="00C91BFC">
        <w:t>31.</w:t>
      </w:r>
      <w:r>
        <w:tab/>
      </w:r>
      <w:r w:rsidRPr="00C91BFC">
        <w:t>At its nineteenth session, the Committee adopted its report on follow-up to concluding observations, which reflected the information received by the Committee between its fifteenth and nineteenth sessions concerning the status of implementation of its concluding observations on Albania (</w:t>
      </w:r>
      <w:hyperlink r:id="rId32" w:history="1">
        <w:r w:rsidRPr="004969C5">
          <w:rPr>
            <w:rStyle w:val="Hyperlink"/>
          </w:rPr>
          <w:t>CED/C/ALB/FCO/1</w:t>
        </w:r>
      </w:hyperlink>
      <w:r w:rsidRPr="00C91BFC">
        <w:t>), Austria (</w:t>
      </w:r>
      <w:hyperlink r:id="rId33" w:history="1">
        <w:r w:rsidRPr="004969C5">
          <w:rPr>
            <w:rStyle w:val="Hyperlink"/>
          </w:rPr>
          <w:t>CED/C/AUT/FCO/1</w:t>
        </w:r>
      </w:hyperlink>
      <w:r w:rsidRPr="00C91BFC">
        <w:t>), Chile (</w:t>
      </w:r>
      <w:hyperlink r:id="rId34" w:history="1">
        <w:r w:rsidRPr="004969C5">
          <w:rPr>
            <w:rStyle w:val="Hyperlink"/>
          </w:rPr>
          <w:t>CED/C/CHL/FCO/1</w:t>
        </w:r>
      </w:hyperlink>
      <w:r w:rsidRPr="00C91BFC">
        <w:t>), Gabon (</w:t>
      </w:r>
      <w:hyperlink r:id="rId35" w:history="1">
        <w:r w:rsidRPr="004969C5">
          <w:rPr>
            <w:rStyle w:val="Hyperlink"/>
          </w:rPr>
          <w:t>CED/C/GAB/CO/1/Add.1</w:t>
        </w:r>
      </w:hyperlink>
      <w:r w:rsidRPr="00C91BFC">
        <w:t>), Honduras (</w:t>
      </w:r>
      <w:hyperlink r:id="rId36" w:history="1">
        <w:r w:rsidRPr="004969C5">
          <w:rPr>
            <w:rStyle w:val="Hyperlink"/>
          </w:rPr>
          <w:t>CED/C/HND/CO/1/Add.1</w:t>
        </w:r>
      </w:hyperlink>
      <w:r w:rsidRPr="00C91BFC">
        <w:t>), Italy (</w:t>
      </w:r>
      <w:hyperlink r:id="rId37" w:history="1">
        <w:r w:rsidRPr="004969C5">
          <w:rPr>
            <w:rStyle w:val="Hyperlink"/>
          </w:rPr>
          <w:t>CED/C/ITA/FCO/1</w:t>
        </w:r>
      </w:hyperlink>
      <w:r w:rsidRPr="00C91BFC">
        <w:t>), Japan (</w:t>
      </w:r>
      <w:hyperlink r:id="rId38" w:history="1">
        <w:r w:rsidRPr="004969C5">
          <w:rPr>
            <w:rStyle w:val="Hyperlink"/>
          </w:rPr>
          <w:t>CED/C/JPN/FCO/1</w:t>
        </w:r>
      </w:hyperlink>
      <w:r w:rsidRPr="00C91BFC">
        <w:t>), Lithuania (</w:t>
      </w:r>
      <w:hyperlink r:id="rId39" w:history="1">
        <w:r w:rsidRPr="00FF0906">
          <w:rPr>
            <w:rStyle w:val="Hyperlink"/>
          </w:rPr>
          <w:t>CED/C/LTU/CO/1/Add.1</w:t>
        </w:r>
      </w:hyperlink>
      <w:r w:rsidRPr="00C91BFC">
        <w:t>) and Portugal (</w:t>
      </w:r>
      <w:hyperlink r:id="rId40" w:history="1">
        <w:r w:rsidRPr="004969C5">
          <w:rPr>
            <w:rStyle w:val="Hyperlink"/>
          </w:rPr>
          <w:t>CED/C/PRT/FCO/1</w:t>
        </w:r>
      </w:hyperlink>
      <w:r w:rsidRPr="00C91BFC">
        <w:t>) and the assessments and decisions that it adopted at its nineteenth session. The Rapporteurs for follow-up to concluding observations sent letters to each of the States parties concerned, sharing the Committee</w:t>
      </w:r>
      <w:r w:rsidR="00FA39D9">
        <w:t>’</w:t>
      </w:r>
      <w:r w:rsidRPr="00C91BFC">
        <w:t>s recommendations. No information had been received in follow-up to the Committee</w:t>
      </w:r>
      <w:r w:rsidR="00FA39D9">
        <w:t>’</w:t>
      </w:r>
      <w:r w:rsidRPr="00C91BFC">
        <w:t>s concluding observations on Peru (</w:t>
      </w:r>
      <w:hyperlink r:id="rId41" w:history="1">
        <w:r w:rsidRPr="00ED6BA0">
          <w:rPr>
            <w:rStyle w:val="Hyperlink"/>
          </w:rPr>
          <w:t>CED/C/PER/CO/1</w:t>
        </w:r>
      </w:hyperlink>
      <w:r w:rsidRPr="00C91BFC">
        <w:t>). The Committee sent reminders to the State party.</w:t>
      </w:r>
    </w:p>
    <w:p w14:paraId="58107AE4" w14:textId="77777777" w:rsidR="00EF1BB1" w:rsidRPr="00C91BFC" w:rsidRDefault="00EF1BB1" w:rsidP="00EF1BB1">
      <w:pPr>
        <w:pStyle w:val="SingleTxtG"/>
      </w:pPr>
      <w:r w:rsidRPr="00C91BFC">
        <w:br w:type="page"/>
      </w:r>
    </w:p>
    <w:p w14:paraId="0B47631C" w14:textId="77777777" w:rsidR="00EF1BB1" w:rsidRPr="00C91BFC" w:rsidRDefault="00EF1BB1" w:rsidP="00EF1BB1">
      <w:pPr>
        <w:pStyle w:val="HChG"/>
      </w:pPr>
      <w:r w:rsidRPr="00C91BFC">
        <w:lastRenderedPageBreak/>
        <w:tab/>
      </w:r>
      <w:r w:rsidRPr="00C91BFC">
        <w:tab/>
      </w:r>
      <w:bookmarkStart w:id="113" w:name="_Toc75349914"/>
      <w:r w:rsidRPr="00C91BFC">
        <w:t>Chapter VI</w:t>
      </w:r>
      <w:bookmarkStart w:id="114" w:name="_Toc43905481"/>
      <w:bookmarkStart w:id="115" w:name="_Toc43906562"/>
      <w:bookmarkStart w:id="116" w:name="_Toc43996433"/>
      <w:r w:rsidRPr="00C91BFC">
        <w:br/>
        <w:t>Consideration of additional information submitted by States parties under article 29 (4) of the Convention</w:t>
      </w:r>
      <w:bookmarkEnd w:id="113"/>
      <w:bookmarkEnd w:id="114"/>
      <w:bookmarkEnd w:id="115"/>
      <w:bookmarkEnd w:id="116"/>
    </w:p>
    <w:p w14:paraId="4CB1DA53" w14:textId="2714F974" w:rsidR="00EF1BB1" w:rsidRPr="00C91BFC" w:rsidRDefault="00EF1BB1" w:rsidP="00EF1BB1">
      <w:pPr>
        <w:pStyle w:val="SingleTxtG"/>
      </w:pPr>
      <w:r w:rsidRPr="00C91BFC">
        <w:t>32.</w:t>
      </w:r>
      <w:r w:rsidRPr="00C91BFC">
        <w:tab/>
        <w:t>During the period covered by the present report, the Committee received additional information from Belgium (</w:t>
      </w:r>
      <w:hyperlink r:id="rId42" w:history="1">
        <w:r w:rsidRPr="00D316F0">
          <w:rPr>
            <w:rStyle w:val="Hyperlink"/>
          </w:rPr>
          <w:t>CED/C/BEL/AI/1</w:t>
        </w:r>
      </w:hyperlink>
      <w:r w:rsidRPr="00C91BFC">
        <w:t>), Germany (</w:t>
      </w:r>
      <w:hyperlink r:id="rId43" w:history="1">
        <w:r w:rsidRPr="004969C5">
          <w:rPr>
            <w:rStyle w:val="Hyperlink"/>
          </w:rPr>
          <w:t>CED/C/DEU/AI/1</w:t>
        </w:r>
      </w:hyperlink>
      <w:r w:rsidRPr="00C91BFC">
        <w:t>) and the Netherlands (</w:t>
      </w:r>
      <w:hyperlink r:id="rId44" w:history="1">
        <w:r w:rsidRPr="004969C5">
          <w:rPr>
            <w:rStyle w:val="Hyperlink"/>
          </w:rPr>
          <w:t>CED/C/NLD/AI/1</w:t>
        </w:r>
      </w:hyperlink>
      <w:r w:rsidRPr="00C91BFC">
        <w:t>).</w:t>
      </w:r>
    </w:p>
    <w:p w14:paraId="5E1181FC" w14:textId="036C9917" w:rsidR="00EF1BB1" w:rsidRPr="00C91BFC" w:rsidRDefault="00EF1BB1" w:rsidP="00EF1BB1">
      <w:pPr>
        <w:pStyle w:val="SingleTxtG"/>
      </w:pPr>
      <w:r w:rsidRPr="00C91BFC">
        <w:t>33.</w:t>
      </w:r>
      <w:r w:rsidRPr="00C91BFC">
        <w:tab/>
        <w:t>At its nineteenth session, the Committee held an online interactive dialogue for its consideration of the additional information submitted by Iraq (</w:t>
      </w:r>
      <w:hyperlink r:id="rId45" w:history="1">
        <w:r w:rsidRPr="00ED6BA0">
          <w:rPr>
            <w:rStyle w:val="Hyperlink"/>
          </w:rPr>
          <w:t>CED/C/IRQ/AI/1</w:t>
        </w:r>
      </w:hyperlink>
      <w:r w:rsidRPr="00C91BFC">
        <w:t xml:space="preserve">). It was the first online dialogue ever held by a treaty body. </w:t>
      </w:r>
    </w:p>
    <w:p w14:paraId="60B48699" w14:textId="6B0BD40F" w:rsidR="00EF1BB1" w:rsidRPr="00C91BFC" w:rsidRDefault="00EF1BB1" w:rsidP="00EF1BB1">
      <w:pPr>
        <w:pStyle w:val="SingleTxtG"/>
      </w:pPr>
      <w:r w:rsidRPr="00C91BFC">
        <w:t>34.</w:t>
      </w:r>
      <w:r w:rsidRPr="00C91BFC">
        <w:tab/>
        <w:t>At its twentieth session, the Committee held an online interactive dialogue for its consideration of the additional information submitted by Colombia (</w:t>
      </w:r>
      <w:hyperlink r:id="rId46" w:history="1">
        <w:r w:rsidRPr="00ED6BA0">
          <w:rPr>
            <w:rStyle w:val="Hyperlink"/>
          </w:rPr>
          <w:t>CED/C/COL/AI/1</w:t>
        </w:r>
      </w:hyperlink>
      <w:r w:rsidRPr="00C91BFC">
        <w:t>).</w:t>
      </w:r>
    </w:p>
    <w:p w14:paraId="089C848F" w14:textId="77777777" w:rsidR="00EF1BB1" w:rsidRPr="00C91BFC" w:rsidRDefault="00EF1BB1" w:rsidP="00EF1BB1">
      <w:pPr>
        <w:pStyle w:val="SingleTxtG"/>
      </w:pPr>
      <w:r w:rsidRPr="00C91BFC">
        <w:br w:type="page"/>
      </w:r>
    </w:p>
    <w:p w14:paraId="779627C8" w14:textId="77777777" w:rsidR="00EF1BB1" w:rsidRPr="00C91BFC" w:rsidRDefault="00EF1BB1" w:rsidP="00EF1BB1">
      <w:pPr>
        <w:pStyle w:val="HChG"/>
      </w:pPr>
      <w:bookmarkStart w:id="117" w:name="_Toc460489545"/>
      <w:bookmarkStart w:id="118" w:name="_Toc522200467"/>
      <w:bookmarkStart w:id="119" w:name="_Toc43905478"/>
      <w:bookmarkStart w:id="120" w:name="_Toc43906559"/>
      <w:bookmarkStart w:id="121" w:name="_Toc43996430"/>
      <w:r w:rsidRPr="00C91BFC">
        <w:lastRenderedPageBreak/>
        <w:tab/>
      </w:r>
      <w:r w:rsidRPr="00C91BFC">
        <w:tab/>
      </w:r>
      <w:bookmarkStart w:id="122" w:name="_Toc75349915"/>
      <w:r w:rsidRPr="00C91BFC">
        <w:t>Chapter VII</w:t>
      </w:r>
      <w:r w:rsidRPr="00C91BFC">
        <w:br/>
        <w:t>Adoption of lists of issues</w:t>
      </w:r>
      <w:bookmarkEnd w:id="117"/>
      <w:bookmarkEnd w:id="118"/>
      <w:bookmarkEnd w:id="119"/>
      <w:bookmarkEnd w:id="120"/>
      <w:bookmarkEnd w:id="121"/>
      <w:bookmarkEnd w:id="122"/>
    </w:p>
    <w:p w14:paraId="56810895" w14:textId="3F9AA96A" w:rsidR="00EF1BB1" w:rsidRPr="00C91BFC" w:rsidRDefault="00EF1BB1" w:rsidP="00EF1BB1">
      <w:pPr>
        <w:pStyle w:val="SingleTxtG"/>
      </w:pPr>
      <w:r w:rsidRPr="00C91BFC">
        <w:t>35.</w:t>
      </w:r>
      <w:r>
        <w:tab/>
      </w:r>
      <w:r w:rsidRPr="00C91BFC">
        <w:t>At its nineteenth session, the Committee adopted the lists of issues on Czechia (</w:t>
      </w:r>
      <w:hyperlink r:id="rId47" w:history="1">
        <w:r w:rsidRPr="004969C5">
          <w:rPr>
            <w:rStyle w:val="Hyperlink"/>
          </w:rPr>
          <w:t>CED/C/CZE/Q/1</w:t>
        </w:r>
      </w:hyperlink>
      <w:r w:rsidRPr="00C91BFC">
        <w:t>), Greece (</w:t>
      </w:r>
      <w:hyperlink r:id="rId48" w:history="1">
        <w:r w:rsidRPr="004969C5">
          <w:rPr>
            <w:rStyle w:val="Hyperlink"/>
          </w:rPr>
          <w:t>CED/C/GRC/Q/1</w:t>
        </w:r>
      </w:hyperlink>
      <w:r w:rsidRPr="00C91BFC">
        <w:t>) and the Niger (</w:t>
      </w:r>
      <w:hyperlink r:id="rId49" w:history="1">
        <w:r w:rsidRPr="004969C5">
          <w:rPr>
            <w:rStyle w:val="Hyperlink"/>
          </w:rPr>
          <w:t>CED/C/NER/Q/1</w:t>
        </w:r>
      </w:hyperlink>
      <w:r w:rsidRPr="00C91BFC">
        <w:t>) and the list of issues in absence of the report of Mali (</w:t>
      </w:r>
      <w:hyperlink r:id="rId50" w:history="1">
        <w:r w:rsidRPr="004969C5">
          <w:rPr>
            <w:rStyle w:val="Hyperlink"/>
          </w:rPr>
          <w:t>CED/C/MLI/QAR/1</w:t>
        </w:r>
      </w:hyperlink>
      <w:r w:rsidRPr="00C91BFC">
        <w:t>). Upon receipt of the list of issues in absence of its report, Mali submitted its initial report (</w:t>
      </w:r>
      <w:hyperlink r:id="rId51" w:history="1">
        <w:r w:rsidRPr="00ED6BA0">
          <w:rPr>
            <w:rStyle w:val="Hyperlink"/>
          </w:rPr>
          <w:t>CED/C/MLI/1</w:t>
        </w:r>
      </w:hyperlink>
      <w:r w:rsidRPr="00C91BFC">
        <w:t>), which had been overdue since 2012. Pursuant to the Committee</w:t>
      </w:r>
      <w:r w:rsidR="00FA39D9">
        <w:t>’</w:t>
      </w:r>
      <w:r w:rsidRPr="00C91BFC">
        <w:t>s working methods (para. 28), the normal process of consideration of State</w:t>
      </w:r>
      <w:r w:rsidR="00FA39D9">
        <w:t>’</w:t>
      </w:r>
      <w:r w:rsidRPr="00C91BFC">
        <w:t xml:space="preserve">s report had thus begun. The Committee will adopt a list of issues at its twenty-first session in relation to the report submitted by Mali. </w:t>
      </w:r>
    </w:p>
    <w:p w14:paraId="2F332FBF" w14:textId="77777777" w:rsidR="00EF1BB1" w:rsidRPr="00C91BFC" w:rsidRDefault="00EF1BB1" w:rsidP="00EF1BB1">
      <w:pPr>
        <w:pStyle w:val="SingleTxtG"/>
      </w:pPr>
      <w:r w:rsidRPr="00C91BFC">
        <w:t>36.</w:t>
      </w:r>
      <w:r w:rsidRPr="00C91BFC">
        <w:tab/>
        <w:t>At its twentieth session, the Committee adopted the list of issues in the absence of the report of Zambia (</w:t>
      </w:r>
      <w:hyperlink r:id="rId52" w:history="1">
        <w:r w:rsidRPr="004969C5">
          <w:rPr>
            <w:rStyle w:val="Hyperlink"/>
          </w:rPr>
          <w:t>CED/C/ZMB/QAR/1</w:t>
        </w:r>
      </w:hyperlink>
      <w:r w:rsidRPr="00C91BFC">
        <w:t>).</w:t>
      </w:r>
    </w:p>
    <w:p w14:paraId="06CF2EFC" w14:textId="77777777" w:rsidR="00EF1BB1" w:rsidRPr="00C91BFC" w:rsidRDefault="00EF1BB1" w:rsidP="00EF1BB1">
      <w:pPr>
        <w:pStyle w:val="SingleTxtG"/>
      </w:pPr>
      <w:r w:rsidRPr="00C91BFC">
        <w:br w:type="page"/>
      </w:r>
    </w:p>
    <w:p w14:paraId="554A2F32" w14:textId="77777777" w:rsidR="00EF1BB1" w:rsidRPr="00C91BFC" w:rsidRDefault="00EF1BB1" w:rsidP="00EF1BB1">
      <w:pPr>
        <w:pStyle w:val="HChG"/>
      </w:pPr>
      <w:r w:rsidRPr="00C91BFC">
        <w:lastRenderedPageBreak/>
        <w:tab/>
      </w:r>
      <w:r w:rsidRPr="00C91BFC">
        <w:tab/>
      </w:r>
      <w:bookmarkStart w:id="123" w:name="_Toc460489546"/>
      <w:bookmarkStart w:id="124" w:name="_Toc522200468"/>
      <w:bookmarkStart w:id="125" w:name="_Toc43905479"/>
      <w:bookmarkStart w:id="126" w:name="_Toc43906560"/>
      <w:bookmarkStart w:id="127" w:name="_Toc43996431"/>
      <w:bookmarkStart w:id="128" w:name="_Toc75349916"/>
      <w:r w:rsidRPr="00C91BFC">
        <w:t>Chapter VIII</w:t>
      </w:r>
      <w:r w:rsidRPr="00C91BFC">
        <w:br/>
      </w:r>
      <w:bookmarkEnd w:id="123"/>
      <w:bookmarkEnd w:id="124"/>
      <w:r w:rsidRPr="00C91BFC">
        <w:t>Reporting under the Convention</w:t>
      </w:r>
      <w:bookmarkEnd w:id="125"/>
      <w:bookmarkEnd w:id="126"/>
      <w:bookmarkEnd w:id="127"/>
      <w:bookmarkEnd w:id="128"/>
      <w:r w:rsidRPr="00C91BFC">
        <w:t xml:space="preserve"> </w:t>
      </w:r>
    </w:p>
    <w:p w14:paraId="1A016D1B" w14:textId="3D584D55" w:rsidR="00EF1BB1" w:rsidRPr="00C91BFC" w:rsidRDefault="00EF1BB1" w:rsidP="00EF1BB1">
      <w:pPr>
        <w:pStyle w:val="SingleTxtG"/>
      </w:pPr>
      <w:r w:rsidRPr="00C91BFC">
        <w:t>37.</w:t>
      </w:r>
      <w:r w:rsidRPr="00C91BFC">
        <w:tab/>
        <w:t>A full list of the States parties and the status of their reports is included in the annex to the present report. Over the reporting period, reports were submitted under article 29 (1) of the Convention by Costa Rica (</w:t>
      </w:r>
      <w:hyperlink r:id="rId53" w:history="1">
        <w:r w:rsidRPr="00ED6BA0">
          <w:rPr>
            <w:rStyle w:val="Hyperlink"/>
          </w:rPr>
          <w:t>CED/C/CRI/1</w:t>
        </w:r>
      </w:hyperlink>
      <w:r w:rsidRPr="00C91BFC">
        <w:t>), the Gambia (</w:t>
      </w:r>
      <w:hyperlink r:id="rId54" w:history="1">
        <w:r w:rsidRPr="00ED6BA0">
          <w:rPr>
            <w:rStyle w:val="Hyperlink"/>
          </w:rPr>
          <w:t>CED/C/GMB/1</w:t>
        </w:r>
      </w:hyperlink>
      <w:r w:rsidRPr="00C91BFC">
        <w:t>), Mali (</w:t>
      </w:r>
      <w:hyperlink r:id="rId55" w:history="1">
        <w:r w:rsidRPr="00ED6BA0">
          <w:rPr>
            <w:rStyle w:val="Hyperlink"/>
          </w:rPr>
          <w:t>CED/C/MLI/1</w:t>
        </w:r>
      </w:hyperlink>
      <w:r w:rsidRPr="00C91BFC">
        <w:t>), Mauritania (</w:t>
      </w:r>
      <w:hyperlink r:id="rId56" w:history="1">
        <w:r w:rsidRPr="00ED6BA0">
          <w:rPr>
            <w:rStyle w:val="Hyperlink"/>
          </w:rPr>
          <w:t>CED/C/MRT/1</w:t>
        </w:r>
      </w:hyperlink>
      <w:r w:rsidRPr="00C91BFC">
        <w:t>) and Nigeria (</w:t>
      </w:r>
      <w:hyperlink r:id="rId57" w:history="1">
        <w:r w:rsidRPr="00ED6BA0">
          <w:rPr>
            <w:rStyle w:val="Hyperlink"/>
          </w:rPr>
          <w:t>CED/C/NGA/1</w:t>
        </w:r>
      </w:hyperlink>
      <w:r w:rsidRPr="00C91BFC">
        <w:t xml:space="preserve">). </w:t>
      </w:r>
    </w:p>
    <w:p w14:paraId="43C3536A" w14:textId="7870A1E1" w:rsidR="00EF1BB1" w:rsidRPr="00C91BFC" w:rsidRDefault="00EF1BB1" w:rsidP="00EF1BB1">
      <w:pPr>
        <w:pStyle w:val="SingleTxtG"/>
      </w:pPr>
      <w:r w:rsidRPr="00C91BFC">
        <w:t>38.</w:t>
      </w:r>
      <w:r>
        <w:tab/>
      </w:r>
      <w:r w:rsidRPr="00C91BFC">
        <w:t xml:space="preserve">At its twentieth session, the Committee noted that the reports of Belize, Benin, Cambodia, the Central African Republic, Lesotho, Malawi, Malta, Morocco, Samoa, Seychelles, Sri Lanka, Togo, Ukraine and Zambia under article 29 (1) of the Convention had still not been submitted. It also noted that the additional information that the Committee had requested from Armenia, Gabon, Paraguay and Serbia under article 29 (4) of the Convention was overdue. </w:t>
      </w:r>
    </w:p>
    <w:p w14:paraId="3763E299" w14:textId="77777777" w:rsidR="00EF1BB1" w:rsidRPr="00C91BFC" w:rsidRDefault="00EF1BB1" w:rsidP="00EF1BB1">
      <w:pPr>
        <w:pStyle w:val="SingleTxtG"/>
      </w:pPr>
      <w:r w:rsidRPr="00C91BFC">
        <w:t>39.</w:t>
      </w:r>
      <w:r w:rsidRPr="00C91BFC">
        <w:tab/>
        <w:t xml:space="preserve">In February 2021, a second reminder was sent to Benin, Malawi and Seychelles; a third reminder was sent to the Central African Republic and Sri Lanka; a fourth reminder was sent to Belize, Malta and Ukraine; a fifth reminder was sent to Lesotho and Togo; a sixth reminder was sent to Cambodia and Morocco; and a seventh reminder was sent to Samoa. At the end of the twentieth session, the Chair requested that new reminders be sent to all States parties concerned. </w:t>
      </w:r>
    </w:p>
    <w:p w14:paraId="0DF8E04D" w14:textId="77777777" w:rsidR="00EF1BB1" w:rsidRPr="00C91BFC" w:rsidRDefault="00EF1BB1" w:rsidP="00EF1BB1">
      <w:pPr>
        <w:pStyle w:val="SingleTxtG"/>
      </w:pPr>
      <w:r w:rsidRPr="00C91BFC">
        <w:br w:type="page"/>
      </w:r>
    </w:p>
    <w:p w14:paraId="1FC19FD9" w14:textId="77777777" w:rsidR="00EF1BB1" w:rsidRPr="00C91BFC" w:rsidRDefault="00EF1BB1" w:rsidP="00EF1BB1">
      <w:pPr>
        <w:pStyle w:val="HChG"/>
      </w:pPr>
      <w:r w:rsidRPr="00C91BFC">
        <w:lastRenderedPageBreak/>
        <w:tab/>
      </w:r>
      <w:r w:rsidRPr="00C91BFC">
        <w:tab/>
      </w:r>
      <w:bookmarkStart w:id="129" w:name="_Toc460489547"/>
      <w:bookmarkStart w:id="130" w:name="_Toc522200469"/>
      <w:bookmarkStart w:id="131" w:name="_Toc43905480"/>
      <w:bookmarkStart w:id="132" w:name="_Toc43906561"/>
      <w:bookmarkStart w:id="133" w:name="_Toc43996432"/>
      <w:bookmarkStart w:id="134" w:name="_Toc75349917"/>
      <w:r w:rsidRPr="00C91BFC">
        <w:t>Chapter IX</w:t>
      </w:r>
      <w:r w:rsidRPr="00C91BFC">
        <w:br/>
        <w:t>Reprisals</w:t>
      </w:r>
      <w:bookmarkEnd w:id="129"/>
      <w:bookmarkEnd w:id="130"/>
      <w:bookmarkEnd w:id="131"/>
      <w:bookmarkEnd w:id="132"/>
      <w:bookmarkEnd w:id="133"/>
      <w:bookmarkEnd w:id="134"/>
    </w:p>
    <w:p w14:paraId="621E124F" w14:textId="40112300" w:rsidR="00EF1BB1" w:rsidRPr="00C91BFC" w:rsidRDefault="00EF1BB1" w:rsidP="00EF1BB1">
      <w:pPr>
        <w:pStyle w:val="SingleTxtG"/>
      </w:pPr>
      <w:r w:rsidRPr="00C91BFC">
        <w:t>40.</w:t>
      </w:r>
      <w:r>
        <w:tab/>
      </w:r>
      <w:r w:rsidRPr="00C91BFC">
        <w:t>Over the reporting period, the Committee received two allegations of harassment, surveillance and criminalization by State actors of staff members of an organization and a victim</w:t>
      </w:r>
      <w:r w:rsidR="00FA39D9">
        <w:t>’</w:t>
      </w:r>
      <w:r w:rsidRPr="00C91BFC">
        <w:t>s relative in Mexico, following the submission to the Committee of requests for urgent action. In these cases, the Committee requested the State party to take protection measures, and has followed up on the situation of the alleged victims.</w:t>
      </w:r>
    </w:p>
    <w:p w14:paraId="36B14FAB" w14:textId="7BEDA54D" w:rsidR="00EF1BB1" w:rsidRPr="00C91BFC" w:rsidRDefault="00EF1BB1" w:rsidP="00EF1BB1">
      <w:pPr>
        <w:pStyle w:val="SingleTxtG"/>
      </w:pPr>
      <w:r w:rsidRPr="00C91BFC">
        <w:t>41.</w:t>
      </w:r>
      <w:r w:rsidRPr="00C91BFC">
        <w:tab/>
        <w:t>At its nineteenth session, the Committee requested its Rapporteur on reprisals to prepare draft guidelines on the management of allegations of reprisals submitted to it, to clarify the procedure</w:t>
      </w:r>
      <w:r w:rsidR="00FA39D9">
        <w:t>’</w:t>
      </w:r>
      <w:r w:rsidRPr="00C91BFC">
        <w:t>s scope, the steps involved and the division of responsibilities between the various actors in the treatment of such allegations. At its twentieth session, the Committee adopted its guidelines to prevent and address intimidation and reprisals against individuals and groups cooperating with the Committee (</w:t>
      </w:r>
      <w:hyperlink r:id="rId58" w:history="1">
        <w:r w:rsidRPr="00ED6BA0">
          <w:rPr>
            <w:rStyle w:val="Hyperlink"/>
          </w:rPr>
          <w:t>CED/C/8</w:t>
        </w:r>
      </w:hyperlink>
      <w:r w:rsidRPr="00C91BFC">
        <w:t>).</w:t>
      </w:r>
    </w:p>
    <w:p w14:paraId="77BA0A64" w14:textId="77777777" w:rsidR="00EF1BB1" w:rsidRPr="00C91BFC" w:rsidRDefault="00EF1BB1" w:rsidP="00EF1BB1">
      <w:pPr>
        <w:pStyle w:val="HChG"/>
      </w:pPr>
      <w:r w:rsidRPr="00C91BFC">
        <w:br w:type="page"/>
      </w:r>
      <w:r w:rsidRPr="00C91BFC">
        <w:lastRenderedPageBreak/>
        <w:tab/>
      </w:r>
      <w:r w:rsidRPr="00C91BFC">
        <w:tab/>
      </w:r>
      <w:bookmarkStart w:id="135" w:name="_Toc460489548"/>
      <w:bookmarkStart w:id="136" w:name="_Toc522200470"/>
      <w:bookmarkStart w:id="137" w:name="_Toc43905482"/>
      <w:bookmarkStart w:id="138" w:name="_Toc43906563"/>
      <w:bookmarkStart w:id="139" w:name="_Toc43996434"/>
      <w:bookmarkStart w:id="140" w:name="_Toc75349918"/>
      <w:r w:rsidRPr="00C91BFC">
        <w:t>Chapter X</w:t>
      </w:r>
      <w:r w:rsidRPr="00C91BFC">
        <w:br/>
        <w:t>Urgent action procedure under article 30 of the Convention</w:t>
      </w:r>
      <w:bookmarkStart w:id="141" w:name="_Toc460489549"/>
      <w:bookmarkEnd w:id="135"/>
      <w:bookmarkEnd w:id="136"/>
      <w:bookmarkEnd w:id="137"/>
      <w:bookmarkEnd w:id="138"/>
      <w:bookmarkEnd w:id="139"/>
      <w:bookmarkEnd w:id="140"/>
    </w:p>
    <w:p w14:paraId="372D897A" w14:textId="4738BCE0" w:rsidR="00EF1BB1" w:rsidRPr="00C91BFC" w:rsidRDefault="00EF1BB1" w:rsidP="00EF1BB1">
      <w:pPr>
        <w:pStyle w:val="H1G"/>
      </w:pPr>
      <w:r>
        <w:tab/>
      </w:r>
      <w:bookmarkStart w:id="142" w:name="_Toc75349919"/>
      <w:r w:rsidRPr="00C91BFC">
        <w:t>A.</w:t>
      </w:r>
      <w:r w:rsidRPr="00C91BFC">
        <w:tab/>
      </w:r>
      <w:bookmarkStart w:id="143" w:name="_Toc522200471"/>
      <w:bookmarkStart w:id="144" w:name="_Toc43905483"/>
      <w:bookmarkStart w:id="145" w:name="_Toc43906564"/>
      <w:bookmarkStart w:id="146" w:name="_Toc43996435"/>
      <w:r w:rsidRPr="00C91BFC">
        <w:t>Requests for urgent action received and registered since the establishment of the Committee</w:t>
      </w:r>
      <w:bookmarkEnd w:id="142"/>
      <w:bookmarkEnd w:id="143"/>
      <w:bookmarkEnd w:id="144"/>
      <w:bookmarkEnd w:id="145"/>
      <w:bookmarkEnd w:id="146"/>
    </w:p>
    <w:p w14:paraId="68FFDD91" w14:textId="77777777" w:rsidR="00EF1BB1" w:rsidRPr="00C91BFC" w:rsidRDefault="00EF1BB1" w:rsidP="00EF1BB1">
      <w:pPr>
        <w:pStyle w:val="SingleTxtG"/>
      </w:pPr>
      <w:r w:rsidRPr="00C91BFC">
        <w:t>42.</w:t>
      </w:r>
      <w:r w:rsidRPr="00C91BFC">
        <w:tab/>
        <w:t xml:space="preserve">As at 12 April 2021, the date of the opening of the twentieth session, the Committee had registered a total of 1,013 requests for urgent action since 2012. </w:t>
      </w:r>
    </w:p>
    <w:p w14:paraId="3AE3F21F" w14:textId="77777777" w:rsidR="00EF1BB1" w:rsidRPr="00C91BFC" w:rsidRDefault="00EF1BB1" w:rsidP="00EF1BB1">
      <w:pPr>
        <w:pStyle w:val="SingleTxtG"/>
      </w:pPr>
      <w:r w:rsidRPr="00C91BFC">
        <w:t>43.</w:t>
      </w:r>
      <w:r w:rsidRPr="00C91BFC">
        <w:tab/>
        <w:t>The table below shows the requests for urgent action that were registered by the Committee from 2012 to 1 April 2021, by year and State party.</w:t>
      </w:r>
    </w:p>
    <w:p w14:paraId="55CC5F0F" w14:textId="0F6C3290" w:rsidR="00EF1BB1" w:rsidRPr="00C91BFC" w:rsidRDefault="00EF1BB1" w:rsidP="00EF1BB1">
      <w:pPr>
        <w:pStyle w:val="H23G"/>
        <w:tabs>
          <w:tab w:val="clear" w:pos="851"/>
          <w:tab w:val="right" w:pos="1134"/>
        </w:tabs>
        <w:ind w:left="567" w:hanging="567"/>
      </w:pPr>
      <w:r>
        <w:tab/>
      </w:r>
      <w:r w:rsidRPr="00C91BFC">
        <w:t>Urgent action requests registered to 1 April 2021, by year and by State party</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40"/>
        <w:gridCol w:w="361"/>
        <w:gridCol w:w="361"/>
        <w:gridCol w:w="360"/>
        <w:gridCol w:w="361"/>
        <w:gridCol w:w="360"/>
        <w:gridCol w:w="361"/>
        <w:gridCol w:w="373"/>
        <w:gridCol w:w="361"/>
        <w:gridCol w:w="370"/>
        <w:gridCol w:w="428"/>
        <w:gridCol w:w="361"/>
        <w:gridCol w:w="361"/>
        <w:gridCol w:w="360"/>
        <w:gridCol w:w="361"/>
        <w:gridCol w:w="415"/>
        <w:gridCol w:w="361"/>
        <w:gridCol w:w="360"/>
        <w:gridCol w:w="369"/>
        <w:gridCol w:w="369"/>
        <w:gridCol w:w="361"/>
        <w:gridCol w:w="360"/>
        <w:gridCol w:w="370"/>
        <w:gridCol w:w="370"/>
        <w:gridCol w:w="625"/>
      </w:tblGrid>
      <w:tr w:rsidR="00EF1BB1" w:rsidRPr="00EF1BB1" w14:paraId="6ABFFEBD" w14:textId="77777777" w:rsidTr="00EF1BB1">
        <w:trPr>
          <w:cantSplit/>
          <w:trHeight w:val="2174"/>
          <w:tblHeader/>
        </w:trPr>
        <w:tc>
          <w:tcPr>
            <w:tcW w:w="549" w:type="dxa"/>
            <w:tcBorders>
              <w:top w:val="single" w:sz="4" w:space="0" w:color="auto"/>
              <w:bottom w:val="single" w:sz="12" w:space="0" w:color="auto"/>
            </w:tcBorders>
            <w:shd w:val="clear" w:color="auto" w:fill="auto"/>
            <w:vAlign w:val="bottom"/>
            <w:hideMark/>
          </w:tcPr>
          <w:p w14:paraId="6F6FF795" w14:textId="77777777" w:rsidR="00EF1BB1" w:rsidRPr="00EF1BB1" w:rsidRDefault="00EF1BB1" w:rsidP="00EF1BB1">
            <w:pPr>
              <w:suppressAutoHyphens w:val="0"/>
              <w:spacing w:before="80" w:after="80" w:line="200" w:lineRule="exact"/>
              <w:ind w:right="113"/>
              <w:rPr>
                <w:i/>
                <w:sz w:val="16"/>
              </w:rPr>
            </w:pPr>
            <w:r w:rsidRPr="00EF1BB1">
              <w:rPr>
                <w:i/>
                <w:sz w:val="16"/>
              </w:rPr>
              <w:t>Year</w:t>
            </w:r>
          </w:p>
        </w:tc>
        <w:tc>
          <w:tcPr>
            <w:tcW w:w="366" w:type="dxa"/>
            <w:tcBorders>
              <w:top w:val="single" w:sz="4" w:space="0" w:color="auto"/>
              <w:bottom w:val="single" w:sz="12" w:space="0" w:color="auto"/>
            </w:tcBorders>
            <w:shd w:val="clear" w:color="auto" w:fill="auto"/>
            <w:textDirection w:val="btLr"/>
            <w:vAlign w:val="bottom"/>
            <w:hideMark/>
          </w:tcPr>
          <w:p w14:paraId="357A12DB" w14:textId="77777777" w:rsidR="00EF1BB1" w:rsidRPr="00EF1BB1" w:rsidRDefault="00EF1BB1" w:rsidP="002E025D">
            <w:pPr>
              <w:suppressAutoHyphens w:val="0"/>
              <w:spacing w:before="80" w:after="80" w:line="200" w:lineRule="exact"/>
              <w:ind w:right="113"/>
              <w:rPr>
                <w:i/>
                <w:sz w:val="16"/>
              </w:rPr>
            </w:pPr>
            <w:r w:rsidRPr="00EF1BB1">
              <w:rPr>
                <w:i/>
                <w:sz w:val="16"/>
              </w:rPr>
              <w:t>Argentina</w:t>
            </w:r>
          </w:p>
        </w:tc>
        <w:tc>
          <w:tcPr>
            <w:tcW w:w="366" w:type="dxa"/>
            <w:tcBorders>
              <w:top w:val="single" w:sz="4" w:space="0" w:color="auto"/>
              <w:bottom w:val="single" w:sz="12" w:space="0" w:color="auto"/>
            </w:tcBorders>
            <w:shd w:val="clear" w:color="auto" w:fill="auto"/>
            <w:textDirection w:val="btLr"/>
            <w:vAlign w:val="bottom"/>
            <w:hideMark/>
          </w:tcPr>
          <w:p w14:paraId="27321BA0" w14:textId="77777777" w:rsidR="00EF1BB1" w:rsidRPr="00EF1BB1" w:rsidRDefault="00EF1BB1" w:rsidP="002E025D">
            <w:pPr>
              <w:suppressAutoHyphens w:val="0"/>
              <w:spacing w:before="80" w:after="80" w:line="200" w:lineRule="exact"/>
              <w:ind w:right="113"/>
              <w:rPr>
                <w:i/>
                <w:sz w:val="16"/>
              </w:rPr>
            </w:pPr>
            <w:r w:rsidRPr="00EF1BB1">
              <w:rPr>
                <w:i/>
                <w:sz w:val="16"/>
              </w:rPr>
              <w:t>Armenia</w:t>
            </w:r>
          </w:p>
        </w:tc>
        <w:tc>
          <w:tcPr>
            <w:tcW w:w="366" w:type="dxa"/>
            <w:tcBorders>
              <w:top w:val="single" w:sz="4" w:space="0" w:color="auto"/>
              <w:bottom w:val="single" w:sz="12" w:space="0" w:color="auto"/>
            </w:tcBorders>
            <w:shd w:val="clear" w:color="auto" w:fill="auto"/>
            <w:textDirection w:val="btLr"/>
            <w:vAlign w:val="bottom"/>
            <w:hideMark/>
          </w:tcPr>
          <w:p w14:paraId="485A8837" w14:textId="77777777" w:rsidR="00EF1BB1" w:rsidRPr="00EF1BB1" w:rsidRDefault="00EF1BB1" w:rsidP="002E025D">
            <w:pPr>
              <w:suppressAutoHyphens w:val="0"/>
              <w:spacing w:before="80" w:after="80" w:line="200" w:lineRule="exact"/>
              <w:ind w:right="113"/>
              <w:rPr>
                <w:i/>
                <w:iCs/>
                <w:sz w:val="16"/>
                <w:szCs w:val="16"/>
              </w:rPr>
            </w:pPr>
            <w:r w:rsidRPr="00EF1BB1">
              <w:rPr>
                <w:i/>
                <w:iCs/>
                <w:sz w:val="16"/>
                <w:szCs w:val="16"/>
              </w:rPr>
              <w:t>Bolivia (</w:t>
            </w:r>
            <w:proofErr w:type="spellStart"/>
            <w:r w:rsidRPr="00EF1BB1">
              <w:rPr>
                <w:i/>
                <w:iCs/>
                <w:sz w:val="16"/>
                <w:szCs w:val="16"/>
              </w:rPr>
              <w:t>Plurinational</w:t>
            </w:r>
            <w:proofErr w:type="spellEnd"/>
            <w:r w:rsidRPr="00EF1BB1">
              <w:rPr>
                <w:i/>
                <w:iCs/>
                <w:sz w:val="16"/>
                <w:szCs w:val="16"/>
              </w:rPr>
              <w:t xml:space="preserve"> State of)</w:t>
            </w:r>
          </w:p>
        </w:tc>
        <w:tc>
          <w:tcPr>
            <w:tcW w:w="366" w:type="dxa"/>
            <w:tcBorders>
              <w:top w:val="single" w:sz="4" w:space="0" w:color="auto"/>
              <w:bottom w:val="single" w:sz="12" w:space="0" w:color="auto"/>
            </w:tcBorders>
            <w:shd w:val="clear" w:color="auto" w:fill="auto"/>
            <w:textDirection w:val="btLr"/>
            <w:vAlign w:val="bottom"/>
            <w:hideMark/>
          </w:tcPr>
          <w:p w14:paraId="54287D92" w14:textId="77777777" w:rsidR="00EF1BB1" w:rsidRPr="00EF1BB1" w:rsidRDefault="00EF1BB1" w:rsidP="002E025D">
            <w:pPr>
              <w:suppressAutoHyphens w:val="0"/>
              <w:spacing w:before="80" w:after="80" w:line="200" w:lineRule="exact"/>
              <w:ind w:right="113"/>
              <w:rPr>
                <w:i/>
                <w:sz w:val="16"/>
              </w:rPr>
            </w:pPr>
            <w:r w:rsidRPr="00EF1BB1">
              <w:rPr>
                <w:i/>
                <w:sz w:val="16"/>
              </w:rPr>
              <w:t>Brazil</w:t>
            </w:r>
          </w:p>
        </w:tc>
        <w:tc>
          <w:tcPr>
            <w:tcW w:w="366" w:type="dxa"/>
            <w:tcBorders>
              <w:top w:val="single" w:sz="4" w:space="0" w:color="auto"/>
              <w:bottom w:val="single" w:sz="12" w:space="0" w:color="auto"/>
            </w:tcBorders>
            <w:shd w:val="clear" w:color="auto" w:fill="auto"/>
            <w:textDirection w:val="btLr"/>
            <w:vAlign w:val="bottom"/>
            <w:hideMark/>
          </w:tcPr>
          <w:p w14:paraId="306630D8" w14:textId="77777777" w:rsidR="00EF1BB1" w:rsidRPr="00EF1BB1" w:rsidRDefault="00EF1BB1" w:rsidP="002E025D">
            <w:pPr>
              <w:suppressAutoHyphens w:val="0"/>
              <w:spacing w:before="80" w:after="80" w:line="200" w:lineRule="exact"/>
              <w:ind w:right="113"/>
              <w:rPr>
                <w:i/>
                <w:iCs/>
                <w:sz w:val="16"/>
                <w:szCs w:val="16"/>
              </w:rPr>
            </w:pPr>
            <w:r w:rsidRPr="00EF1BB1">
              <w:rPr>
                <w:i/>
                <w:iCs/>
                <w:sz w:val="16"/>
                <w:szCs w:val="16"/>
              </w:rPr>
              <w:t>Burkina Faso</w:t>
            </w:r>
          </w:p>
        </w:tc>
        <w:tc>
          <w:tcPr>
            <w:tcW w:w="366" w:type="dxa"/>
            <w:tcBorders>
              <w:top w:val="single" w:sz="4" w:space="0" w:color="auto"/>
              <w:bottom w:val="single" w:sz="12" w:space="0" w:color="auto"/>
            </w:tcBorders>
            <w:shd w:val="clear" w:color="auto" w:fill="auto"/>
            <w:textDirection w:val="btLr"/>
            <w:vAlign w:val="bottom"/>
            <w:hideMark/>
          </w:tcPr>
          <w:p w14:paraId="5B6C8A09" w14:textId="77777777" w:rsidR="00EF1BB1" w:rsidRPr="00EF1BB1" w:rsidRDefault="00EF1BB1" w:rsidP="002E025D">
            <w:pPr>
              <w:suppressAutoHyphens w:val="0"/>
              <w:spacing w:before="80" w:after="80" w:line="200" w:lineRule="exact"/>
              <w:ind w:right="113"/>
              <w:rPr>
                <w:i/>
                <w:sz w:val="16"/>
              </w:rPr>
            </w:pPr>
            <w:r w:rsidRPr="00EF1BB1">
              <w:rPr>
                <w:i/>
                <w:sz w:val="16"/>
              </w:rPr>
              <w:t>Cambodia</w:t>
            </w:r>
          </w:p>
        </w:tc>
        <w:tc>
          <w:tcPr>
            <w:tcW w:w="378" w:type="dxa"/>
            <w:tcBorders>
              <w:top w:val="single" w:sz="4" w:space="0" w:color="auto"/>
              <w:bottom w:val="single" w:sz="12" w:space="0" w:color="auto"/>
            </w:tcBorders>
            <w:shd w:val="clear" w:color="auto" w:fill="auto"/>
            <w:textDirection w:val="btLr"/>
            <w:vAlign w:val="bottom"/>
            <w:hideMark/>
          </w:tcPr>
          <w:p w14:paraId="6DF8649E" w14:textId="77777777" w:rsidR="00EF1BB1" w:rsidRPr="00EF1BB1" w:rsidRDefault="00EF1BB1" w:rsidP="002E025D">
            <w:pPr>
              <w:suppressAutoHyphens w:val="0"/>
              <w:spacing w:before="80" w:after="80" w:line="200" w:lineRule="exact"/>
              <w:ind w:right="113"/>
              <w:rPr>
                <w:i/>
                <w:sz w:val="16"/>
              </w:rPr>
            </w:pPr>
            <w:r w:rsidRPr="00EF1BB1">
              <w:rPr>
                <w:i/>
                <w:sz w:val="16"/>
              </w:rPr>
              <w:t>Colombia</w:t>
            </w:r>
          </w:p>
        </w:tc>
        <w:tc>
          <w:tcPr>
            <w:tcW w:w="366" w:type="dxa"/>
            <w:tcBorders>
              <w:top w:val="single" w:sz="4" w:space="0" w:color="auto"/>
              <w:bottom w:val="single" w:sz="12" w:space="0" w:color="auto"/>
            </w:tcBorders>
            <w:shd w:val="clear" w:color="auto" w:fill="auto"/>
            <w:textDirection w:val="btLr"/>
            <w:vAlign w:val="bottom"/>
            <w:hideMark/>
          </w:tcPr>
          <w:p w14:paraId="6D38EA12" w14:textId="77777777" w:rsidR="00EF1BB1" w:rsidRPr="00EF1BB1" w:rsidRDefault="00EF1BB1" w:rsidP="002E025D">
            <w:pPr>
              <w:suppressAutoHyphens w:val="0"/>
              <w:spacing w:before="80" w:after="80" w:line="200" w:lineRule="exact"/>
              <w:ind w:right="113"/>
              <w:rPr>
                <w:i/>
                <w:sz w:val="16"/>
              </w:rPr>
            </w:pPr>
            <w:r w:rsidRPr="00EF1BB1">
              <w:rPr>
                <w:i/>
                <w:sz w:val="16"/>
              </w:rPr>
              <w:t>Cuba</w:t>
            </w:r>
          </w:p>
        </w:tc>
        <w:tc>
          <w:tcPr>
            <w:tcW w:w="375" w:type="dxa"/>
            <w:tcBorders>
              <w:top w:val="single" w:sz="4" w:space="0" w:color="auto"/>
              <w:bottom w:val="single" w:sz="12" w:space="0" w:color="auto"/>
            </w:tcBorders>
            <w:shd w:val="clear" w:color="auto" w:fill="auto"/>
            <w:textDirection w:val="btLr"/>
            <w:vAlign w:val="bottom"/>
            <w:hideMark/>
          </w:tcPr>
          <w:p w14:paraId="3B78AB4D" w14:textId="77777777" w:rsidR="00EF1BB1" w:rsidRPr="00EF1BB1" w:rsidRDefault="00EF1BB1" w:rsidP="002E025D">
            <w:pPr>
              <w:suppressAutoHyphens w:val="0"/>
              <w:spacing w:before="80" w:after="80" w:line="200" w:lineRule="exact"/>
              <w:ind w:right="113"/>
              <w:rPr>
                <w:i/>
                <w:sz w:val="16"/>
              </w:rPr>
            </w:pPr>
            <w:r w:rsidRPr="00EF1BB1">
              <w:rPr>
                <w:i/>
                <w:sz w:val="16"/>
              </w:rPr>
              <w:t>Honduras</w:t>
            </w:r>
          </w:p>
        </w:tc>
        <w:tc>
          <w:tcPr>
            <w:tcW w:w="434" w:type="dxa"/>
            <w:tcBorders>
              <w:top w:val="single" w:sz="4" w:space="0" w:color="auto"/>
              <w:bottom w:val="single" w:sz="12" w:space="0" w:color="auto"/>
            </w:tcBorders>
            <w:shd w:val="clear" w:color="auto" w:fill="auto"/>
            <w:textDirection w:val="btLr"/>
            <w:vAlign w:val="bottom"/>
            <w:hideMark/>
          </w:tcPr>
          <w:p w14:paraId="1F507F11" w14:textId="77777777" w:rsidR="00EF1BB1" w:rsidRPr="00EF1BB1" w:rsidRDefault="00EF1BB1" w:rsidP="002E025D">
            <w:pPr>
              <w:suppressAutoHyphens w:val="0"/>
              <w:spacing w:before="80" w:after="80" w:line="200" w:lineRule="exact"/>
              <w:ind w:right="113"/>
              <w:rPr>
                <w:i/>
                <w:sz w:val="16"/>
              </w:rPr>
            </w:pPr>
            <w:r w:rsidRPr="00EF1BB1">
              <w:rPr>
                <w:i/>
                <w:sz w:val="16"/>
              </w:rPr>
              <w:t>Iraq</w:t>
            </w:r>
          </w:p>
        </w:tc>
        <w:tc>
          <w:tcPr>
            <w:tcW w:w="366" w:type="dxa"/>
            <w:tcBorders>
              <w:top w:val="single" w:sz="4" w:space="0" w:color="auto"/>
              <w:bottom w:val="single" w:sz="12" w:space="0" w:color="auto"/>
            </w:tcBorders>
            <w:shd w:val="clear" w:color="auto" w:fill="auto"/>
            <w:textDirection w:val="btLr"/>
            <w:vAlign w:val="bottom"/>
            <w:hideMark/>
          </w:tcPr>
          <w:p w14:paraId="6E277DB3" w14:textId="77777777" w:rsidR="00EF1BB1" w:rsidRPr="00EF1BB1" w:rsidRDefault="00EF1BB1" w:rsidP="002E025D">
            <w:pPr>
              <w:suppressAutoHyphens w:val="0"/>
              <w:spacing w:before="80" w:after="80" w:line="200" w:lineRule="exact"/>
              <w:ind w:right="113"/>
              <w:rPr>
                <w:i/>
                <w:sz w:val="16"/>
              </w:rPr>
            </w:pPr>
            <w:r w:rsidRPr="00EF1BB1">
              <w:rPr>
                <w:i/>
                <w:sz w:val="16"/>
              </w:rPr>
              <w:t>Kazakhstan</w:t>
            </w:r>
          </w:p>
        </w:tc>
        <w:tc>
          <w:tcPr>
            <w:tcW w:w="366" w:type="dxa"/>
            <w:tcBorders>
              <w:top w:val="single" w:sz="4" w:space="0" w:color="auto"/>
              <w:bottom w:val="single" w:sz="12" w:space="0" w:color="auto"/>
            </w:tcBorders>
            <w:shd w:val="clear" w:color="auto" w:fill="auto"/>
            <w:textDirection w:val="btLr"/>
            <w:vAlign w:val="bottom"/>
            <w:hideMark/>
          </w:tcPr>
          <w:p w14:paraId="7C0E23A6" w14:textId="77777777" w:rsidR="00EF1BB1" w:rsidRPr="00EF1BB1" w:rsidRDefault="00EF1BB1" w:rsidP="002E025D">
            <w:pPr>
              <w:suppressAutoHyphens w:val="0"/>
              <w:spacing w:before="80" w:after="80" w:line="200" w:lineRule="exact"/>
              <w:ind w:right="113"/>
              <w:rPr>
                <w:i/>
                <w:sz w:val="16"/>
              </w:rPr>
            </w:pPr>
            <w:r w:rsidRPr="00EF1BB1">
              <w:rPr>
                <w:i/>
                <w:sz w:val="16"/>
              </w:rPr>
              <w:t>Lithuania</w:t>
            </w:r>
          </w:p>
        </w:tc>
        <w:tc>
          <w:tcPr>
            <w:tcW w:w="366" w:type="dxa"/>
            <w:tcBorders>
              <w:top w:val="single" w:sz="4" w:space="0" w:color="auto"/>
              <w:bottom w:val="single" w:sz="12" w:space="0" w:color="auto"/>
            </w:tcBorders>
            <w:shd w:val="clear" w:color="auto" w:fill="auto"/>
            <w:textDirection w:val="btLr"/>
            <w:vAlign w:val="bottom"/>
            <w:hideMark/>
          </w:tcPr>
          <w:p w14:paraId="457A9F99" w14:textId="77777777" w:rsidR="00EF1BB1" w:rsidRPr="00EF1BB1" w:rsidRDefault="00EF1BB1" w:rsidP="002E025D">
            <w:pPr>
              <w:suppressAutoHyphens w:val="0"/>
              <w:spacing w:before="80" w:after="80" w:line="200" w:lineRule="exact"/>
              <w:ind w:right="113"/>
              <w:rPr>
                <w:i/>
                <w:iCs/>
                <w:sz w:val="16"/>
                <w:szCs w:val="16"/>
              </w:rPr>
            </w:pPr>
            <w:r w:rsidRPr="00EF1BB1">
              <w:rPr>
                <w:i/>
                <w:iCs/>
                <w:sz w:val="16"/>
                <w:szCs w:val="16"/>
              </w:rPr>
              <w:t>Mali</w:t>
            </w:r>
          </w:p>
        </w:tc>
        <w:tc>
          <w:tcPr>
            <w:tcW w:w="366" w:type="dxa"/>
            <w:tcBorders>
              <w:top w:val="single" w:sz="4" w:space="0" w:color="auto"/>
              <w:bottom w:val="single" w:sz="12" w:space="0" w:color="auto"/>
            </w:tcBorders>
            <w:shd w:val="clear" w:color="auto" w:fill="auto"/>
            <w:textDirection w:val="btLr"/>
            <w:vAlign w:val="bottom"/>
            <w:hideMark/>
          </w:tcPr>
          <w:p w14:paraId="0C499A02" w14:textId="77777777" w:rsidR="00EF1BB1" w:rsidRPr="00EF1BB1" w:rsidRDefault="00EF1BB1" w:rsidP="002E025D">
            <w:pPr>
              <w:suppressAutoHyphens w:val="0"/>
              <w:spacing w:before="80" w:after="80" w:line="200" w:lineRule="exact"/>
              <w:ind w:right="113"/>
              <w:rPr>
                <w:i/>
                <w:sz w:val="16"/>
              </w:rPr>
            </w:pPr>
            <w:r w:rsidRPr="00EF1BB1">
              <w:rPr>
                <w:i/>
                <w:sz w:val="16"/>
              </w:rPr>
              <w:t>Mauritania</w:t>
            </w:r>
          </w:p>
        </w:tc>
        <w:tc>
          <w:tcPr>
            <w:tcW w:w="421" w:type="dxa"/>
            <w:tcBorders>
              <w:top w:val="single" w:sz="4" w:space="0" w:color="auto"/>
              <w:bottom w:val="single" w:sz="12" w:space="0" w:color="auto"/>
            </w:tcBorders>
            <w:shd w:val="clear" w:color="auto" w:fill="auto"/>
            <w:textDirection w:val="btLr"/>
            <w:vAlign w:val="bottom"/>
            <w:hideMark/>
          </w:tcPr>
          <w:p w14:paraId="7EA60801" w14:textId="77777777" w:rsidR="00EF1BB1" w:rsidRPr="00EF1BB1" w:rsidRDefault="00EF1BB1" w:rsidP="002E025D">
            <w:pPr>
              <w:suppressAutoHyphens w:val="0"/>
              <w:spacing w:before="80" w:after="80" w:line="200" w:lineRule="exact"/>
              <w:ind w:right="113"/>
              <w:rPr>
                <w:i/>
                <w:sz w:val="16"/>
              </w:rPr>
            </w:pPr>
            <w:r w:rsidRPr="00EF1BB1">
              <w:rPr>
                <w:i/>
                <w:sz w:val="16"/>
              </w:rPr>
              <w:t>Mexico</w:t>
            </w:r>
          </w:p>
        </w:tc>
        <w:tc>
          <w:tcPr>
            <w:tcW w:w="366" w:type="dxa"/>
            <w:tcBorders>
              <w:top w:val="single" w:sz="4" w:space="0" w:color="auto"/>
              <w:bottom w:val="single" w:sz="12" w:space="0" w:color="auto"/>
            </w:tcBorders>
            <w:shd w:val="clear" w:color="auto" w:fill="auto"/>
            <w:textDirection w:val="btLr"/>
            <w:vAlign w:val="bottom"/>
            <w:hideMark/>
          </w:tcPr>
          <w:p w14:paraId="428E00EE" w14:textId="77777777" w:rsidR="00EF1BB1" w:rsidRPr="00EF1BB1" w:rsidRDefault="00EF1BB1" w:rsidP="002E025D">
            <w:pPr>
              <w:suppressAutoHyphens w:val="0"/>
              <w:spacing w:before="80" w:after="80" w:line="200" w:lineRule="exact"/>
              <w:ind w:right="113"/>
              <w:rPr>
                <w:i/>
                <w:sz w:val="16"/>
              </w:rPr>
            </w:pPr>
            <w:r w:rsidRPr="00EF1BB1">
              <w:rPr>
                <w:i/>
                <w:sz w:val="16"/>
              </w:rPr>
              <w:t>Morocco</w:t>
            </w:r>
          </w:p>
        </w:tc>
        <w:tc>
          <w:tcPr>
            <w:tcW w:w="366" w:type="dxa"/>
            <w:tcBorders>
              <w:top w:val="single" w:sz="4" w:space="0" w:color="auto"/>
              <w:bottom w:val="single" w:sz="12" w:space="0" w:color="auto"/>
            </w:tcBorders>
            <w:shd w:val="clear" w:color="auto" w:fill="auto"/>
            <w:textDirection w:val="btLr"/>
            <w:vAlign w:val="bottom"/>
            <w:hideMark/>
          </w:tcPr>
          <w:p w14:paraId="5CC679F5" w14:textId="77777777" w:rsidR="00EF1BB1" w:rsidRPr="00EF1BB1" w:rsidRDefault="00EF1BB1" w:rsidP="002E025D">
            <w:pPr>
              <w:suppressAutoHyphens w:val="0"/>
              <w:spacing w:before="80" w:after="80" w:line="200" w:lineRule="exact"/>
              <w:ind w:right="113"/>
              <w:rPr>
                <w:i/>
                <w:iCs/>
                <w:sz w:val="16"/>
                <w:szCs w:val="16"/>
              </w:rPr>
            </w:pPr>
            <w:r w:rsidRPr="00EF1BB1">
              <w:rPr>
                <w:i/>
                <w:iCs/>
                <w:sz w:val="16"/>
                <w:szCs w:val="16"/>
              </w:rPr>
              <w:t>Niger</w:t>
            </w:r>
          </w:p>
        </w:tc>
        <w:tc>
          <w:tcPr>
            <w:tcW w:w="375" w:type="dxa"/>
            <w:tcBorders>
              <w:top w:val="single" w:sz="4" w:space="0" w:color="auto"/>
              <w:bottom w:val="single" w:sz="12" w:space="0" w:color="auto"/>
            </w:tcBorders>
            <w:shd w:val="clear" w:color="auto" w:fill="auto"/>
            <w:textDirection w:val="btLr"/>
            <w:vAlign w:val="bottom"/>
            <w:hideMark/>
          </w:tcPr>
          <w:p w14:paraId="4541A17E" w14:textId="77777777" w:rsidR="00EF1BB1" w:rsidRPr="00EF1BB1" w:rsidRDefault="00EF1BB1" w:rsidP="002E025D">
            <w:pPr>
              <w:suppressAutoHyphens w:val="0"/>
              <w:spacing w:before="80" w:after="80" w:line="200" w:lineRule="exact"/>
              <w:ind w:right="113"/>
              <w:rPr>
                <w:i/>
                <w:iCs/>
                <w:sz w:val="16"/>
                <w:szCs w:val="16"/>
              </w:rPr>
            </w:pPr>
            <w:r w:rsidRPr="00EF1BB1">
              <w:rPr>
                <w:i/>
                <w:iCs/>
                <w:sz w:val="16"/>
                <w:szCs w:val="16"/>
              </w:rPr>
              <w:t>Paraguay</w:t>
            </w:r>
          </w:p>
        </w:tc>
        <w:tc>
          <w:tcPr>
            <w:tcW w:w="375" w:type="dxa"/>
            <w:tcBorders>
              <w:top w:val="single" w:sz="4" w:space="0" w:color="auto"/>
              <w:bottom w:val="single" w:sz="12" w:space="0" w:color="auto"/>
            </w:tcBorders>
            <w:shd w:val="clear" w:color="auto" w:fill="auto"/>
            <w:textDirection w:val="btLr"/>
            <w:vAlign w:val="bottom"/>
            <w:hideMark/>
          </w:tcPr>
          <w:p w14:paraId="01DD316C" w14:textId="77777777" w:rsidR="00EF1BB1" w:rsidRPr="00EF1BB1" w:rsidRDefault="00EF1BB1" w:rsidP="002E025D">
            <w:pPr>
              <w:suppressAutoHyphens w:val="0"/>
              <w:spacing w:before="80" w:after="80" w:line="200" w:lineRule="exact"/>
              <w:ind w:right="113"/>
              <w:rPr>
                <w:i/>
                <w:iCs/>
                <w:sz w:val="16"/>
                <w:szCs w:val="16"/>
              </w:rPr>
            </w:pPr>
            <w:r w:rsidRPr="00EF1BB1">
              <w:rPr>
                <w:i/>
                <w:iCs/>
                <w:sz w:val="16"/>
                <w:szCs w:val="16"/>
              </w:rPr>
              <w:t>Peru</w:t>
            </w:r>
          </w:p>
        </w:tc>
        <w:tc>
          <w:tcPr>
            <w:tcW w:w="366" w:type="dxa"/>
            <w:tcBorders>
              <w:top w:val="single" w:sz="4" w:space="0" w:color="auto"/>
              <w:bottom w:val="single" w:sz="12" w:space="0" w:color="auto"/>
            </w:tcBorders>
            <w:shd w:val="clear" w:color="auto" w:fill="auto"/>
            <w:textDirection w:val="btLr"/>
            <w:vAlign w:val="bottom"/>
            <w:hideMark/>
          </w:tcPr>
          <w:p w14:paraId="1DBDBD20" w14:textId="77777777" w:rsidR="00EF1BB1" w:rsidRPr="00EF1BB1" w:rsidRDefault="00EF1BB1" w:rsidP="002E025D">
            <w:pPr>
              <w:suppressAutoHyphens w:val="0"/>
              <w:spacing w:before="80" w:after="80" w:line="200" w:lineRule="exact"/>
              <w:ind w:right="113"/>
              <w:rPr>
                <w:i/>
                <w:sz w:val="16"/>
              </w:rPr>
            </w:pPr>
            <w:r w:rsidRPr="00EF1BB1">
              <w:rPr>
                <w:i/>
                <w:sz w:val="16"/>
              </w:rPr>
              <w:t>Sri Lanka</w:t>
            </w:r>
          </w:p>
        </w:tc>
        <w:tc>
          <w:tcPr>
            <w:tcW w:w="366" w:type="dxa"/>
            <w:tcBorders>
              <w:top w:val="single" w:sz="4" w:space="0" w:color="auto"/>
              <w:bottom w:val="single" w:sz="12" w:space="0" w:color="auto"/>
            </w:tcBorders>
            <w:shd w:val="clear" w:color="auto" w:fill="auto"/>
            <w:textDirection w:val="btLr"/>
            <w:vAlign w:val="bottom"/>
            <w:hideMark/>
          </w:tcPr>
          <w:p w14:paraId="130D33A5" w14:textId="77777777" w:rsidR="00EF1BB1" w:rsidRPr="00EF1BB1" w:rsidRDefault="00EF1BB1" w:rsidP="002E025D">
            <w:pPr>
              <w:suppressAutoHyphens w:val="0"/>
              <w:spacing w:before="80" w:after="80" w:line="200" w:lineRule="exact"/>
              <w:ind w:right="113"/>
              <w:rPr>
                <w:i/>
                <w:iCs/>
                <w:sz w:val="16"/>
                <w:szCs w:val="16"/>
              </w:rPr>
            </w:pPr>
            <w:r w:rsidRPr="00EF1BB1">
              <w:rPr>
                <w:i/>
                <w:iCs/>
                <w:sz w:val="16"/>
                <w:szCs w:val="16"/>
              </w:rPr>
              <w:t>Slovakia</w:t>
            </w:r>
          </w:p>
        </w:tc>
        <w:tc>
          <w:tcPr>
            <w:tcW w:w="375" w:type="dxa"/>
            <w:tcBorders>
              <w:top w:val="single" w:sz="4" w:space="0" w:color="auto"/>
              <w:bottom w:val="single" w:sz="12" w:space="0" w:color="auto"/>
            </w:tcBorders>
            <w:shd w:val="clear" w:color="auto" w:fill="auto"/>
            <w:textDirection w:val="btLr"/>
            <w:vAlign w:val="bottom"/>
            <w:hideMark/>
          </w:tcPr>
          <w:p w14:paraId="7C830233" w14:textId="77777777" w:rsidR="00EF1BB1" w:rsidRPr="00EF1BB1" w:rsidRDefault="00EF1BB1" w:rsidP="002E025D">
            <w:pPr>
              <w:suppressAutoHyphens w:val="0"/>
              <w:spacing w:before="80" w:after="80" w:line="200" w:lineRule="exact"/>
              <w:ind w:right="113"/>
              <w:rPr>
                <w:i/>
                <w:sz w:val="16"/>
              </w:rPr>
            </w:pPr>
            <w:r w:rsidRPr="00EF1BB1">
              <w:rPr>
                <w:i/>
                <w:sz w:val="16"/>
              </w:rPr>
              <w:t>Togo</w:t>
            </w:r>
          </w:p>
        </w:tc>
        <w:tc>
          <w:tcPr>
            <w:tcW w:w="375" w:type="dxa"/>
            <w:tcBorders>
              <w:top w:val="single" w:sz="4" w:space="0" w:color="auto"/>
              <w:bottom w:val="single" w:sz="12" w:space="0" w:color="auto"/>
            </w:tcBorders>
            <w:shd w:val="clear" w:color="auto" w:fill="auto"/>
            <w:textDirection w:val="btLr"/>
            <w:vAlign w:val="bottom"/>
            <w:hideMark/>
          </w:tcPr>
          <w:p w14:paraId="48F866BF" w14:textId="77777777" w:rsidR="00EF1BB1" w:rsidRPr="00EF1BB1" w:rsidRDefault="00EF1BB1" w:rsidP="002E025D">
            <w:pPr>
              <w:suppressAutoHyphens w:val="0"/>
              <w:spacing w:before="80" w:after="80" w:line="200" w:lineRule="exact"/>
              <w:ind w:right="113"/>
              <w:rPr>
                <w:i/>
                <w:sz w:val="16"/>
              </w:rPr>
            </w:pPr>
            <w:r w:rsidRPr="00EF1BB1">
              <w:rPr>
                <w:i/>
                <w:sz w:val="16"/>
              </w:rPr>
              <w:t>Tunisia</w:t>
            </w:r>
          </w:p>
        </w:tc>
        <w:tc>
          <w:tcPr>
            <w:tcW w:w="634"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7C8A8FEA" w14:textId="77777777" w:rsidR="00EF1BB1" w:rsidRPr="00EF1BB1" w:rsidRDefault="00EF1BB1" w:rsidP="00EF1BB1">
            <w:pPr>
              <w:suppressAutoHyphens w:val="0"/>
              <w:spacing w:before="80" w:after="80" w:line="200" w:lineRule="exact"/>
              <w:ind w:right="113"/>
              <w:jc w:val="right"/>
              <w:rPr>
                <w:i/>
                <w:sz w:val="16"/>
              </w:rPr>
            </w:pPr>
            <w:r w:rsidRPr="00EF1BB1">
              <w:rPr>
                <w:i/>
                <w:sz w:val="16"/>
              </w:rPr>
              <w:t>Total</w:t>
            </w:r>
          </w:p>
        </w:tc>
      </w:tr>
      <w:tr w:rsidR="00EF1BB1" w:rsidRPr="00EF1BB1" w14:paraId="06B5EA07" w14:textId="77777777" w:rsidTr="00EF1BB1">
        <w:tc>
          <w:tcPr>
            <w:tcW w:w="549" w:type="dxa"/>
            <w:tcBorders>
              <w:top w:val="single" w:sz="12" w:space="0" w:color="auto"/>
            </w:tcBorders>
            <w:shd w:val="clear" w:color="auto" w:fill="auto"/>
            <w:hideMark/>
          </w:tcPr>
          <w:p w14:paraId="629C86E1" w14:textId="77777777" w:rsidR="00EF1BB1" w:rsidRPr="00EF1BB1" w:rsidRDefault="00EF1BB1" w:rsidP="00EF1BB1">
            <w:pPr>
              <w:suppressAutoHyphens w:val="0"/>
              <w:spacing w:before="40" w:after="40" w:line="220" w:lineRule="exact"/>
              <w:ind w:right="113"/>
              <w:rPr>
                <w:sz w:val="18"/>
              </w:rPr>
            </w:pPr>
            <w:r w:rsidRPr="00EF1BB1">
              <w:rPr>
                <w:sz w:val="18"/>
              </w:rPr>
              <w:t>2012</w:t>
            </w:r>
          </w:p>
        </w:tc>
        <w:tc>
          <w:tcPr>
            <w:tcW w:w="366" w:type="dxa"/>
            <w:tcBorders>
              <w:top w:val="single" w:sz="12" w:space="0" w:color="auto"/>
            </w:tcBorders>
            <w:shd w:val="clear" w:color="auto" w:fill="auto"/>
            <w:tcMar>
              <w:top w:w="0" w:type="dxa"/>
              <w:left w:w="0" w:type="dxa"/>
              <w:bottom w:w="0" w:type="dxa"/>
              <w:right w:w="28" w:type="dxa"/>
            </w:tcMar>
            <w:vAlign w:val="bottom"/>
            <w:hideMark/>
          </w:tcPr>
          <w:p w14:paraId="29EF46FF"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tcBorders>
              <w:top w:val="single" w:sz="12" w:space="0" w:color="auto"/>
            </w:tcBorders>
            <w:shd w:val="clear" w:color="auto" w:fill="auto"/>
            <w:tcMar>
              <w:top w:w="0" w:type="dxa"/>
              <w:left w:w="0" w:type="dxa"/>
              <w:bottom w:w="0" w:type="dxa"/>
              <w:right w:w="28" w:type="dxa"/>
            </w:tcMar>
            <w:vAlign w:val="bottom"/>
            <w:hideMark/>
          </w:tcPr>
          <w:p w14:paraId="5B8375A2"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tcBorders>
              <w:top w:val="single" w:sz="12" w:space="0" w:color="auto"/>
            </w:tcBorders>
            <w:shd w:val="clear" w:color="auto" w:fill="auto"/>
            <w:vAlign w:val="bottom"/>
            <w:hideMark/>
          </w:tcPr>
          <w:p w14:paraId="5D44AF40"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tcBorders>
              <w:top w:val="single" w:sz="12" w:space="0" w:color="auto"/>
            </w:tcBorders>
            <w:shd w:val="clear" w:color="auto" w:fill="auto"/>
            <w:tcMar>
              <w:top w:w="0" w:type="dxa"/>
              <w:left w:w="0" w:type="dxa"/>
              <w:bottom w:w="0" w:type="dxa"/>
              <w:right w:w="28" w:type="dxa"/>
            </w:tcMar>
            <w:vAlign w:val="bottom"/>
            <w:hideMark/>
          </w:tcPr>
          <w:p w14:paraId="2F041D91"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tcBorders>
              <w:top w:val="single" w:sz="12" w:space="0" w:color="auto"/>
            </w:tcBorders>
            <w:shd w:val="clear" w:color="auto" w:fill="auto"/>
            <w:vAlign w:val="bottom"/>
            <w:hideMark/>
          </w:tcPr>
          <w:p w14:paraId="4BEF0C0E"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tcBorders>
              <w:top w:val="single" w:sz="12" w:space="0" w:color="auto"/>
            </w:tcBorders>
            <w:shd w:val="clear" w:color="auto" w:fill="auto"/>
            <w:tcMar>
              <w:top w:w="0" w:type="dxa"/>
              <w:left w:w="0" w:type="dxa"/>
              <w:bottom w:w="0" w:type="dxa"/>
              <w:right w:w="28" w:type="dxa"/>
            </w:tcMar>
            <w:vAlign w:val="bottom"/>
            <w:hideMark/>
          </w:tcPr>
          <w:p w14:paraId="2CAE60C2"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78" w:type="dxa"/>
            <w:tcBorders>
              <w:top w:val="single" w:sz="12" w:space="0" w:color="auto"/>
            </w:tcBorders>
            <w:shd w:val="clear" w:color="auto" w:fill="auto"/>
            <w:tcMar>
              <w:top w:w="0" w:type="dxa"/>
              <w:left w:w="0" w:type="dxa"/>
              <w:bottom w:w="0" w:type="dxa"/>
              <w:right w:w="28" w:type="dxa"/>
            </w:tcMar>
            <w:vAlign w:val="bottom"/>
            <w:hideMark/>
          </w:tcPr>
          <w:p w14:paraId="38C2CCFE"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tcBorders>
              <w:top w:val="single" w:sz="12" w:space="0" w:color="auto"/>
            </w:tcBorders>
            <w:shd w:val="clear" w:color="auto" w:fill="auto"/>
            <w:tcMar>
              <w:top w:w="0" w:type="dxa"/>
              <w:left w:w="0" w:type="dxa"/>
              <w:bottom w:w="0" w:type="dxa"/>
              <w:right w:w="28" w:type="dxa"/>
            </w:tcMar>
            <w:vAlign w:val="bottom"/>
            <w:hideMark/>
          </w:tcPr>
          <w:p w14:paraId="243EEFF0"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75" w:type="dxa"/>
            <w:tcBorders>
              <w:top w:val="single" w:sz="12" w:space="0" w:color="auto"/>
            </w:tcBorders>
            <w:shd w:val="clear" w:color="auto" w:fill="auto"/>
            <w:tcMar>
              <w:top w:w="0" w:type="dxa"/>
              <w:left w:w="0" w:type="dxa"/>
              <w:bottom w:w="0" w:type="dxa"/>
              <w:right w:w="28" w:type="dxa"/>
            </w:tcMar>
            <w:vAlign w:val="bottom"/>
            <w:hideMark/>
          </w:tcPr>
          <w:p w14:paraId="1D877E7D"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434" w:type="dxa"/>
            <w:tcBorders>
              <w:top w:val="single" w:sz="12" w:space="0" w:color="auto"/>
            </w:tcBorders>
            <w:shd w:val="clear" w:color="auto" w:fill="auto"/>
            <w:tcMar>
              <w:top w:w="0" w:type="dxa"/>
              <w:left w:w="0" w:type="dxa"/>
              <w:bottom w:w="0" w:type="dxa"/>
              <w:right w:w="28" w:type="dxa"/>
            </w:tcMar>
            <w:vAlign w:val="bottom"/>
            <w:hideMark/>
          </w:tcPr>
          <w:p w14:paraId="720C5301"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tcBorders>
              <w:top w:val="single" w:sz="12" w:space="0" w:color="auto"/>
            </w:tcBorders>
            <w:shd w:val="clear" w:color="auto" w:fill="auto"/>
            <w:tcMar>
              <w:top w:w="0" w:type="dxa"/>
              <w:left w:w="0" w:type="dxa"/>
              <w:bottom w:w="0" w:type="dxa"/>
              <w:right w:w="28" w:type="dxa"/>
            </w:tcMar>
            <w:vAlign w:val="bottom"/>
            <w:hideMark/>
          </w:tcPr>
          <w:p w14:paraId="5DD94625"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tcBorders>
              <w:top w:val="single" w:sz="12" w:space="0" w:color="auto"/>
            </w:tcBorders>
            <w:shd w:val="clear" w:color="auto" w:fill="auto"/>
            <w:tcMar>
              <w:top w:w="0" w:type="dxa"/>
              <w:left w:w="0" w:type="dxa"/>
              <w:bottom w:w="0" w:type="dxa"/>
              <w:right w:w="28" w:type="dxa"/>
            </w:tcMar>
            <w:vAlign w:val="bottom"/>
            <w:hideMark/>
          </w:tcPr>
          <w:p w14:paraId="7364F226"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tcBorders>
              <w:top w:val="single" w:sz="12" w:space="0" w:color="auto"/>
            </w:tcBorders>
            <w:shd w:val="clear" w:color="auto" w:fill="auto"/>
            <w:vAlign w:val="bottom"/>
            <w:hideMark/>
          </w:tcPr>
          <w:p w14:paraId="02AA8D8D"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tcBorders>
              <w:top w:val="single" w:sz="12" w:space="0" w:color="auto"/>
            </w:tcBorders>
            <w:shd w:val="clear" w:color="auto" w:fill="auto"/>
            <w:tcMar>
              <w:top w:w="0" w:type="dxa"/>
              <w:left w:w="0" w:type="dxa"/>
              <w:bottom w:w="0" w:type="dxa"/>
              <w:right w:w="28" w:type="dxa"/>
            </w:tcMar>
            <w:vAlign w:val="bottom"/>
            <w:hideMark/>
          </w:tcPr>
          <w:p w14:paraId="64050382"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421" w:type="dxa"/>
            <w:tcBorders>
              <w:top w:val="single" w:sz="12" w:space="0" w:color="auto"/>
            </w:tcBorders>
            <w:shd w:val="clear" w:color="auto" w:fill="auto"/>
            <w:tcMar>
              <w:top w:w="0" w:type="dxa"/>
              <w:left w:w="0" w:type="dxa"/>
              <w:bottom w:w="0" w:type="dxa"/>
              <w:right w:w="28" w:type="dxa"/>
            </w:tcMar>
            <w:vAlign w:val="bottom"/>
            <w:hideMark/>
          </w:tcPr>
          <w:p w14:paraId="2F646F4B" w14:textId="77777777" w:rsidR="00EF1BB1" w:rsidRPr="00EF1BB1" w:rsidRDefault="00EF1BB1" w:rsidP="00EF1BB1">
            <w:pPr>
              <w:suppressAutoHyphens w:val="0"/>
              <w:spacing w:before="40" w:after="40" w:line="220" w:lineRule="exact"/>
              <w:ind w:right="113"/>
              <w:jc w:val="right"/>
              <w:rPr>
                <w:sz w:val="18"/>
              </w:rPr>
            </w:pPr>
            <w:r w:rsidRPr="00EF1BB1">
              <w:rPr>
                <w:sz w:val="18"/>
              </w:rPr>
              <w:t>5</w:t>
            </w:r>
          </w:p>
        </w:tc>
        <w:tc>
          <w:tcPr>
            <w:tcW w:w="366" w:type="dxa"/>
            <w:tcBorders>
              <w:top w:val="single" w:sz="12" w:space="0" w:color="auto"/>
            </w:tcBorders>
            <w:shd w:val="clear" w:color="auto" w:fill="auto"/>
            <w:tcMar>
              <w:top w:w="0" w:type="dxa"/>
              <w:left w:w="0" w:type="dxa"/>
              <w:bottom w:w="0" w:type="dxa"/>
              <w:right w:w="28" w:type="dxa"/>
            </w:tcMar>
            <w:vAlign w:val="bottom"/>
            <w:hideMark/>
          </w:tcPr>
          <w:p w14:paraId="3B0E4B4A"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tcBorders>
              <w:top w:val="single" w:sz="12" w:space="0" w:color="auto"/>
            </w:tcBorders>
            <w:shd w:val="clear" w:color="auto" w:fill="auto"/>
            <w:vAlign w:val="bottom"/>
            <w:hideMark/>
          </w:tcPr>
          <w:p w14:paraId="2E6B34D1"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75" w:type="dxa"/>
            <w:tcBorders>
              <w:top w:val="single" w:sz="12" w:space="0" w:color="auto"/>
            </w:tcBorders>
            <w:shd w:val="clear" w:color="auto" w:fill="auto"/>
            <w:vAlign w:val="bottom"/>
            <w:hideMark/>
          </w:tcPr>
          <w:p w14:paraId="61D61515"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75" w:type="dxa"/>
            <w:tcBorders>
              <w:top w:val="single" w:sz="12" w:space="0" w:color="auto"/>
            </w:tcBorders>
            <w:shd w:val="clear" w:color="auto" w:fill="auto"/>
            <w:vAlign w:val="bottom"/>
            <w:hideMark/>
          </w:tcPr>
          <w:p w14:paraId="6CF3BAB1"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tcBorders>
              <w:top w:val="single" w:sz="12" w:space="0" w:color="auto"/>
            </w:tcBorders>
            <w:shd w:val="clear" w:color="auto" w:fill="auto"/>
            <w:tcMar>
              <w:top w:w="0" w:type="dxa"/>
              <w:left w:w="0" w:type="dxa"/>
              <w:bottom w:w="0" w:type="dxa"/>
              <w:right w:w="28" w:type="dxa"/>
            </w:tcMar>
            <w:vAlign w:val="bottom"/>
            <w:hideMark/>
          </w:tcPr>
          <w:p w14:paraId="5D4E0000"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tcBorders>
              <w:top w:val="single" w:sz="12" w:space="0" w:color="auto"/>
            </w:tcBorders>
            <w:shd w:val="clear" w:color="auto" w:fill="auto"/>
            <w:vAlign w:val="bottom"/>
            <w:hideMark/>
          </w:tcPr>
          <w:p w14:paraId="1462E8D4"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75" w:type="dxa"/>
            <w:tcBorders>
              <w:top w:val="single" w:sz="12" w:space="0" w:color="auto"/>
            </w:tcBorders>
            <w:shd w:val="clear" w:color="auto" w:fill="auto"/>
            <w:tcMar>
              <w:top w:w="0" w:type="dxa"/>
              <w:left w:w="0" w:type="dxa"/>
              <w:bottom w:w="0" w:type="dxa"/>
              <w:right w:w="28" w:type="dxa"/>
            </w:tcMar>
            <w:vAlign w:val="bottom"/>
            <w:hideMark/>
          </w:tcPr>
          <w:p w14:paraId="318AC4EA"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75" w:type="dxa"/>
            <w:tcBorders>
              <w:top w:val="single" w:sz="12" w:space="0" w:color="auto"/>
            </w:tcBorders>
            <w:shd w:val="clear" w:color="auto" w:fill="auto"/>
            <w:tcMar>
              <w:top w:w="0" w:type="dxa"/>
              <w:left w:w="0" w:type="dxa"/>
              <w:bottom w:w="0" w:type="dxa"/>
              <w:right w:w="28" w:type="dxa"/>
            </w:tcMar>
            <w:vAlign w:val="bottom"/>
            <w:hideMark/>
          </w:tcPr>
          <w:p w14:paraId="33B10BD1"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634" w:type="dxa"/>
            <w:tcBorders>
              <w:top w:val="single" w:sz="12" w:space="0" w:color="auto"/>
            </w:tcBorders>
            <w:shd w:val="clear" w:color="auto" w:fill="auto"/>
            <w:tcMar>
              <w:top w:w="0" w:type="dxa"/>
              <w:left w:w="0" w:type="dxa"/>
              <w:bottom w:w="0" w:type="dxa"/>
              <w:right w:w="28" w:type="dxa"/>
            </w:tcMar>
            <w:vAlign w:val="bottom"/>
            <w:hideMark/>
          </w:tcPr>
          <w:p w14:paraId="2A1F1D5B" w14:textId="77777777" w:rsidR="00EF1BB1" w:rsidRPr="00EF1BB1" w:rsidRDefault="00EF1BB1" w:rsidP="00EF1BB1">
            <w:pPr>
              <w:suppressAutoHyphens w:val="0"/>
              <w:spacing w:before="40" w:after="40" w:line="220" w:lineRule="exact"/>
              <w:ind w:right="113"/>
              <w:jc w:val="right"/>
              <w:rPr>
                <w:sz w:val="18"/>
              </w:rPr>
            </w:pPr>
            <w:r w:rsidRPr="00EF1BB1">
              <w:rPr>
                <w:sz w:val="18"/>
              </w:rPr>
              <w:t>5</w:t>
            </w:r>
          </w:p>
        </w:tc>
      </w:tr>
      <w:tr w:rsidR="00EF1BB1" w:rsidRPr="00EF1BB1" w14:paraId="6BC91932" w14:textId="77777777" w:rsidTr="00EF1BB1">
        <w:tc>
          <w:tcPr>
            <w:tcW w:w="549" w:type="dxa"/>
            <w:shd w:val="clear" w:color="auto" w:fill="auto"/>
            <w:hideMark/>
          </w:tcPr>
          <w:p w14:paraId="0BDFCA57" w14:textId="77777777" w:rsidR="00EF1BB1" w:rsidRPr="00EF1BB1" w:rsidRDefault="00EF1BB1" w:rsidP="00EF1BB1">
            <w:pPr>
              <w:suppressAutoHyphens w:val="0"/>
              <w:spacing w:before="40" w:after="40" w:line="220" w:lineRule="exact"/>
              <w:ind w:right="113"/>
              <w:rPr>
                <w:sz w:val="18"/>
              </w:rPr>
            </w:pPr>
            <w:r w:rsidRPr="00EF1BB1">
              <w:rPr>
                <w:sz w:val="18"/>
              </w:rPr>
              <w:t>2013</w:t>
            </w:r>
          </w:p>
        </w:tc>
        <w:tc>
          <w:tcPr>
            <w:tcW w:w="366" w:type="dxa"/>
            <w:shd w:val="clear" w:color="auto" w:fill="auto"/>
            <w:tcMar>
              <w:top w:w="0" w:type="dxa"/>
              <w:left w:w="0" w:type="dxa"/>
              <w:bottom w:w="0" w:type="dxa"/>
              <w:right w:w="28" w:type="dxa"/>
            </w:tcMar>
            <w:vAlign w:val="bottom"/>
            <w:hideMark/>
          </w:tcPr>
          <w:p w14:paraId="23621D23"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tcMar>
              <w:top w:w="0" w:type="dxa"/>
              <w:left w:w="0" w:type="dxa"/>
              <w:bottom w:w="0" w:type="dxa"/>
              <w:right w:w="28" w:type="dxa"/>
            </w:tcMar>
            <w:vAlign w:val="bottom"/>
            <w:hideMark/>
          </w:tcPr>
          <w:p w14:paraId="06047DAB"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vAlign w:val="bottom"/>
            <w:hideMark/>
          </w:tcPr>
          <w:p w14:paraId="7555B434"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tcMar>
              <w:top w:w="0" w:type="dxa"/>
              <w:left w:w="0" w:type="dxa"/>
              <w:bottom w:w="0" w:type="dxa"/>
              <w:right w:w="28" w:type="dxa"/>
            </w:tcMar>
            <w:vAlign w:val="bottom"/>
            <w:hideMark/>
          </w:tcPr>
          <w:p w14:paraId="73EF19BC"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vAlign w:val="bottom"/>
            <w:hideMark/>
          </w:tcPr>
          <w:p w14:paraId="36BB4266"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shd w:val="clear" w:color="auto" w:fill="auto"/>
            <w:tcMar>
              <w:top w:w="0" w:type="dxa"/>
              <w:left w:w="0" w:type="dxa"/>
              <w:bottom w:w="0" w:type="dxa"/>
              <w:right w:w="28" w:type="dxa"/>
            </w:tcMar>
            <w:vAlign w:val="bottom"/>
            <w:hideMark/>
          </w:tcPr>
          <w:p w14:paraId="48EF1BB2"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78" w:type="dxa"/>
            <w:shd w:val="clear" w:color="auto" w:fill="auto"/>
            <w:tcMar>
              <w:top w:w="0" w:type="dxa"/>
              <w:left w:w="0" w:type="dxa"/>
              <w:bottom w:w="0" w:type="dxa"/>
              <w:right w:w="28" w:type="dxa"/>
            </w:tcMar>
            <w:vAlign w:val="bottom"/>
            <w:hideMark/>
          </w:tcPr>
          <w:p w14:paraId="180650EF" w14:textId="77777777" w:rsidR="00EF1BB1" w:rsidRPr="00EF1BB1" w:rsidRDefault="00EF1BB1" w:rsidP="00EF1BB1">
            <w:pPr>
              <w:suppressAutoHyphens w:val="0"/>
              <w:spacing w:before="40" w:after="40" w:line="220" w:lineRule="exact"/>
              <w:ind w:right="113"/>
              <w:jc w:val="right"/>
              <w:rPr>
                <w:sz w:val="18"/>
              </w:rPr>
            </w:pPr>
            <w:r w:rsidRPr="00EF1BB1">
              <w:rPr>
                <w:sz w:val="18"/>
              </w:rPr>
              <w:t>1</w:t>
            </w:r>
          </w:p>
        </w:tc>
        <w:tc>
          <w:tcPr>
            <w:tcW w:w="366" w:type="dxa"/>
            <w:shd w:val="clear" w:color="auto" w:fill="auto"/>
            <w:tcMar>
              <w:top w:w="0" w:type="dxa"/>
              <w:left w:w="0" w:type="dxa"/>
              <w:bottom w:w="0" w:type="dxa"/>
              <w:right w:w="28" w:type="dxa"/>
            </w:tcMar>
            <w:vAlign w:val="bottom"/>
            <w:hideMark/>
          </w:tcPr>
          <w:p w14:paraId="455BAF6D"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75" w:type="dxa"/>
            <w:shd w:val="clear" w:color="auto" w:fill="auto"/>
            <w:tcMar>
              <w:top w:w="0" w:type="dxa"/>
              <w:left w:w="0" w:type="dxa"/>
              <w:bottom w:w="0" w:type="dxa"/>
              <w:right w:w="28" w:type="dxa"/>
            </w:tcMar>
            <w:vAlign w:val="bottom"/>
            <w:hideMark/>
          </w:tcPr>
          <w:p w14:paraId="6965B0D4"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434" w:type="dxa"/>
            <w:shd w:val="clear" w:color="auto" w:fill="auto"/>
            <w:tcMar>
              <w:top w:w="0" w:type="dxa"/>
              <w:left w:w="0" w:type="dxa"/>
              <w:bottom w:w="0" w:type="dxa"/>
              <w:right w:w="28" w:type="dxa"/>
            </w:tcMar>
            <w:vAlign w:val="bottom"/>
            <w:hideMark/>
          </w:tcPr>
          <w:p w14:paraId="7D3D92BF"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tcMar>
              <w:top w:w="0" w:type="dxa"/>
              <w:left w:w="0" w:type="dxa"/>
              <w:bottom w:w="0" w:type="dxa"/>
              <w:right w:w="28" w:type="dxa"/>
            </w:tcMar>
            <w:vAlign w:val="bottom"/>
            <w:hideMark/>
          </w:tcPr>
          <w:p w14:paraId="3E33B282"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tcMar>
              <w:top w:w="0" w:type="dxa"/>
              <w:left w:w="0" w:type="dxa"/>
              <w:bottom w:w="0" w:type="dxa"/>
              <w:right w:w="28" w:type="dxa"/>
            </w:tcMar>
            <w:vAlign w:val="bottom"/>
            <w:hideMark/>
          </w:tcPr>
          <w:p w14:paraId="6053E849"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vAlign w:val="bottom"/>
            <w:hideMark/>
          </w:tcPr>
          <w:p w14:paraId="0E03282B"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tcMar>
              <w:top w:w="0" w:type="dxa"/>
              <w:left w:w="0" w:type="dxa"/>
              <w:bottom w:w="0" w:type="dxa"/>
              <w:right w:w="28" w:type="dxa"/>
            </w:tcMar>
            <w:vAlign w:val="bottom"/>
            <w:hideMark/>
          </w:tcPr>
          <w:p w14:paraId="2A289F76" w14:textId="77777777" w:rsidR="00EF1BB1" w:rsidRPr="00EF1BB1" w:rsidRDefault="00EF1BB1" w:rsidP="00EF1BB1">
            <w:pPr>
              <w:suppressAutoHyphens w:val="0"/>
              <w:spacing w:before="40" w:after="40" w:line="220" w:lineRule="exact"/>
              <w:ind w:right="113"/>
              <w:jc w:val="right"/>
              <w:rPr>
                <w:sz w:val="18"/>
              </w:rPr>
            </w:pPr>
            <w:r w:rsidRPr="00EF1BB1">
              <w:rPr>
                <w:sz w:val="18"/>
                <w:szCs w:val="18"/>
              </w:rPr>
              <w:t>-</w:t>
            </w:r>
          </w:p>
        </w:tc>
        <w:tc>
          <w:tcPr>
            <w:tcW w:w="421" w:type="dxa"/>
            <w:shd w:val="clear" w:color="auto" w:fill="auto"/>
            <w:tcMar>
              <w:top w:w="0" w:type="dxa"/>
              <w:left w:w="0" w:type="dxa"/>
              <w:bottom w:w="0" w:type="dxa"/>
              <w:right w:w="28" w:type="dxa"/>
            </w:tcMar>
            <w:vAlign w:val="bottom"/>
            <w:hideMark/>
          </w:tcPr>
          <w:p w14:paraId="737A414A" w14:textId="77777777" w:rsidR="00EF1BB1" w:rsidRPr="00EF1BB1" w:rsidRDefault="00EF1BB1" w:rsidP="00EF1BB1">
            <w:pPr>
              <w:suppressAutoHyphens w:val="0"/>
              <w:spacing w:before="40" w:after="40" w:line="220" w:lineRule="exact"/>
              <w:ind w:right="113"/>
              <w:jc w:val="right"/>
              <w:rPr>
                <w:sz w:val="18"/>
              </w:rPr>
            </w:pPr>
            <w:r w:rsidRPr="00EF1BB1">
              <w:rPr>
                <w:sz w:val="18"/>
                <w:szCs w:val="18"/>
              </w:rPr>
              <w:t>4</w:t>
            </w:r>
          </w:p>
        </w:tc>
        <w:tc>
          <w:tcPr>
            <w:tcW w:w="366" w:type="dxa"/>
            <w:shd w:val="clear" w:color="auto" w:fill="auto"/>
            <w:tcMar>
              <w:top w:w="0" w:type="dxa"/>
              <w:left w:w="0" w:type="dxa"/>
              <w:bottom w:w="0" w:type="dxa"/>
              <w:right w:w="28" w:type="dxa"/>
            </w:tcMar>
            <w:vAlign w:val="bottom"/>
            <w:hideMark/>
          </w:tcPr>
          <w:p w14:paraId="3427A267"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vAlign w:val="bottom"/>
            <w:hideMark/>
          </w:tcPr>
          <w:p w14:paraId="6F8E2042"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75" w:type="dxa"/>
            <w:shd w:val="clear" w:color="auto" w:fill="auto"/>
            <w:vAlign w:val="bottom"/>
            <w:hideMark/>
          </w:tcPr>
          <w:p w14:paraId="3A7871D2"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75" w:type="dxa"/>
            <w:shd w:val="clear" w:color="auto" w:fill="auto"/>
            <w:vAlign w:val="bottom"/>
            <w:hideMark/>
          </w:tcPr>
          <w:p w14:paraId="39B36A38" w14:textId="77777777" w:rsidR="00EF1BB1" w:rsidRPr="00EF1BB1" w:rsidRDefault="00EF1BB1" w:rsidP="00EF1BB1">
            <w:pPr>
              <w:suppressAutoHyphens w:val="0"/>
              <w:spacing w:before="40" w:after="40" w:line="220" w:lineRule="exact"/>
              <w:ind w:right="113"/>
              <w:jc w:val="right"/>
              <w:rPr>
                <w:sz w:val="18"/>
              </w:rPr>
            </w:pPr>
            <w:r w:rsidRPr="00EF1BB1">
              <w:rPr>
                <w:sz w:val="18"/>
                <w:szCs w:val="18"/>
              </w:rPr>
              <w:t>-</w:t>
            </w:r>
          </w:p>
        </w:tc>
        <w:tc>
          <w:tcPr>
            <w:tcW w:w="366" w:type="dxa"/>
            <w:shd w:val="clear" w:color="auto" w:fill="auto"/>
            <w:tcMar>
              <w:top w:w="0" w:type="dxa"/>
              <w:left w:w="0" w:type="dxa"/>
              <w:bottom w:w="0" w:type="dxa"/>
              <w:right w:w="28" w:type="dxa"/>
            </w:tcMar>
            <w:vAlign w:val="bottom"/>
            <w:hideMark/>
          </w:tcPr>
          <w:p w14:paraId="32FEB385"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shd w:val="clear" w:color="auto" w:fill="auto"/>
            <w:vAlign w:val="bottom"/>
            <w:hideMark/>
          </w:tcPr>
          <w:p w14:paraId="7039D299"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75" w:type="dxa"/>
            <w:shd w:val="clear" w:color="auto" w:fill="auto"/>
            <w:tcMar>
              <w:top w:w="0" w:type="dxa"/>
              <w:left w:w="0" w:type="dxa"/>
              <w:bottom w:w="0" w:type="dxa"/>
              <w:right w:w="28" w:type="dxa"/>
            </w:tcMar>
            <w:vAlign w:val="bottom"/>
            <w:hideMark/>
          </w:tcPr>
          <w:p w14:paraId="75513D40"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75" w:type="dxa"/>
            <w:shd w:val="clear" w:color="auto" w:fill="auto"/>
            <w:tcMar>
              <w:top w:w="0" w:type="dxa"/>
              <w:left w:w="0" w:type="dxa"/>
              <w:bottom w:w="0" w:type="dxa"/>
              <w:right w:w="28" w:type="dxa"/>
            </w:tcMar>
            <w:vAlign w:val="bottom"/>
            <w:hideMark/>
          </w:tcPr>
          <w:p w14:paraId="48A7C240"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634" w:type="dxa"/>
            <w:shd w:val="clear" w:color="auto" w:fill="auto"/>
            <w:tcMar>
              <w:top w:w="0" w:type="dxa"/>
              <w:left w:w="0" w:type="dxa"/>
              <w:bottom w:w="0" w:type="dxa"/>
              <w:right w:w="28" w:type="dxa"/>
            </w:tcMar>
            <w:vAlign w:val="bottom"/>
            <w:hideMark/>
          </w:tcPr>
          <w:p w14:paraId="66D3F0C8"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5</w:t>
            </w:r>
          </w:p>
        </w:tc>
      </w:tr>
      <w:tr w:rsidR="00EF1BB1" w:rsidRPr="00EF1BB1" w14:paraId="6AE78EA4" w14:textId="77777777" w:rsidTr="00EF1BB1">
        <w:tc>
          <w:tcPr>
            <w:tcW w:w="549" w:type="dxa"/>
            <w:shd w:val="clear" w:color="auto" w:fill="auto"/>
            <w:hideMark/>
          </w:tcPr>
          <w:p w14:paraId="1CD88CA0" w14:textId="77777777" w:rsidR="00EF1BB1" w:rsidRPr="00EF1BB1" w:rsidRDefault="00EF1BB1" w:rsidP="00EF1BB1">
            <w:pPr>
              <w:suppressAutoHyphens w:val="0"/>
              <w:spacing w:before="40" w:after="40" w:line="220" w:lineRule="exact"/>
              <w:ind w:right="113"/>
              <w:rPr>
                <w:sz w:val="18"/>
              </w:rPr>
            </w:pPr>
            <w:r w:rsidRPr="00EF1BB1">
              <w:rPr>
                <w:sz w:val="18"/>
              </w:rPr>
              <w:t>2014</w:t>
            </w:r>
          </w:p>
        </w:tc>
        <w:tc>
          <w:tcPr>
            <w:tcW w:w="366" w:type="dxa"/>
            <w:shd w:val="clear" w:color="auto" w:fill="auto"/>
            <w:tcMar>
              <w:top w:w="0" w:type="dxa"/>
              <w:left w:w="0" w:type="dxa"/>
              <w:bottom w:w="0" w:type="dxa"/>
              <w:right w:w="28" w:type="dxa"/>
            </w:tcMar>
            <w:vAlign w:val="bottom"/>
            <w:hideMark/>
          </w:tcPr>
          <w:p w14:paraId="3A979A89"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tcMar>
              <w:top w:w="0" w:type="dxa"/>
              <w:left w:w="0" w:type="dxa"/>
              <w:bottom w:w="0" w:type="dxa"/>
              <w:right w:w="28" w:type="dxa"/>
            </w:tcMar>
            <w:vAlign w:val="bottom"/>
            <w:hideMark/>
          </w:tcPr>
          <w:p w14:paraId="65104D63"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vAlign w:val="bottom"/>
            <w:hideMark/>
          </w:tcPr>
          <w:p w14:paraId="3D75C414"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shd w:val="clear" w:color="auto" w:fill="auto"/>
            <w:tcMar>
              <w:top w:w="0" w:type="dxa"/>
              <w:left w:w="0" w:type="dxa"/>
              <w:bottom w:w="0" w:type="dxa"/>
              <w:right w:w="28" w:type="dxa"/>
            </w:tcMar>
            <w:vAlign w:val="bottom"/>
            <w:hideMark/>
          </w:tcPr>
          <w:p w14:paraId="69F0096E" w14:textId="77777777" w:rsidR="00EF1BB1" w:rsidRPr="00EF1BB1" w:rsidRDefault="00EF1BB1" w:rsidP="00EF1BB1">
            <w:pPr>
              <w:suppressAutoHyphens w:val="0"/>
              <w:spacing w:before="40" w:after="40" w:line="220" w:lineRule="exact"/>
              <w:ind w:right="113"/>
              <w:jc w:val="right"/>
              <w:rPr>
                <w:sz w:val="18"/>
              </w:rPr>
            </w:pPr>
            <w:r w:rsidRPr="00EF1BB1">
              <w:rPr>
                <w:sz w:val="18"/>
              </w:rPr>
              <w:t>1</w:t>
            </w:r>
          </w:p>
        </w:tc>
        <w:tc>
          <w:tcPr>
            <w:tcW w:w="366" w:type="dxa"/>
            <w:shd w:val="clear" w:color="auto" w:fill="auto"/>
            <w:vAlign w:val="bottom"/>
            <w:hideMark/>
          </w:tcPr>
          <w:p w14:paraId="38A6BCD1"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shd w:val="clear" w:color="auto" w:fill="auto"/>
            <w:tcMar>
              <w:top w:w="0" w:type="dxa"/>
              <w:left w:w="0" w:type="dxa"/>
              <w:bottom w:w="0" w:type="dxa"/>
              <w:right w:w="28" w:type="dxa"/>
            </w:tcMar>
            <w:vAlign w:val="bottom"/>
            <w:hideMark/>
          </w:tcPr>
          <w:p w14:paraId="6FA6816E" w14:textId="77777777" w:rsidR="00EF1BB1" w:rsidRPr="00EF1BB1" w:rsidRDefault="00EF1BB1" w:rsidP="00EF1BB1">
            <w:pPr>
              <w:suppressAutoHyphens w:val="0"/>
              <w:spacing w:before="40" w:after="40" w:line="220" w:lineRule="exact"/>
              <w:ind w:right="113"/>
              <w:jc w:val="right"/>
              <w:rPr>
                <w:sz w:val="18"/>
              </w:rPr>
            </w:pPr>
            <w:r w:rsidRPr="00EF1BB1">
              <w:rPr>
                <w:sz w:val="18"/>
              </w:rPr>
              <w:t>1</w:t>
            </w:r>
          </w:p>
        </w:tc>
        <w:tc>
          <w:tcPr>
            <w:tcW w:w="378" w:type="dxa"/>
            <w:shd w:val="clear" w:color="auto" w:fill="auto"/>
            <w:tcMar>
              <w:top w:w="0" w:type="dxa"/>
              <w:left w:w="0" w:type="dxa"/>
              <w:bottom w:w="0" w:type="dxa"/>
              <w:right w:w="28" w:type="dxa"/>
            </w:tcMar>
            <w:vAlign w:val="bottom"/>
            <w:hideMark/>
          </w:tcPr>
          <w:p w14:paraId="61C03B31" w14:textId="77777777" w:rsidR="00EF1BB1" w:rsidRPr="00EF1BB1" w:rsidRDefault="00EF1BB1" w:rsidP="00EF1BB1">
            <w:pPr>
              <w:suppressAutoHyphens w:val="0"/>
              <w:spacing w:before="40" w:after="40" w:line="220" w:lineRule="exact"/>
              <w:ind w:right="113"/>
              <w:jc w:val="right"/>
              <w:rPr>
                <w:sz w:val="18"/>
              </w:rPr>
            </w:pPr>
            <w:r w:rsidRPr="00EF1BB1">
              <w:rPr>
                <w:sz w:val="18"/>
              </w:rPr>
              <w:t>1</w:t>
            </w:r>
          </w:p>
        </w:tc>
        <w:tc>
          <w:tcPr>
            <w:tcW w:w="366" w:type="dxa"/>
            <w:shd w:val="clear" w:color="auto" w:fill="auto"/>
            <w:tcMar>
              <w:top w:w="0" w:type="dxa"/>
              <w:left w:w="0" w:type="dxa"/>
              <w:bottom w:w="0" w:type="dxa"/>
              <w:right w:w="28" w:type="dxa"/>
            </w:tcMar>
            <w:vAlign w:val="bottom"/>
            <w:hideMark/>
          </w:tcPr>
          <w:p w14:paraId="26ABA5BD"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75" w:type="dxa"/>
            <w:shd w:val="clear" w:color="auto" w:fill="auto"/>
            <w:tcMar>
              <w:top w:w="0" w:type="dxa"/>
              <w:left w:w="0" w:type="dxa"/>
              <w:bottom w:w="0" w:type="dxa"/>
              <w:right w:w="28" w:type="dxa"/>
            </w:tcMar>
            <w:vAlign w:val="bottom"/>
            <w:hideMark/>
          </w:tcPr>
          <w:p w14:paraId="2201FC75"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434" w:type="dxa"/>
            <w:shd w:val="clear" w:color="auto" w:fill="auto"/>
            <w:tcMar>
              <w:top w:w="0" w:type="dxa"/>
              <w:left w:w="0" w:type="dxa"/>
              <w:bottom w:w="0" w:type="dxa"/>
              <w:right w:w="28" w:type="dxa"/>
            </w:tcMar>
            <w:vAlign w:val="bottom"/>
            <w:hideMark/>
          </w:tcPr>
          <w:p w14:paraId="413EE234" w14:textId="77777777" w:rsidR="00EF1BB1" w:rsidRPr="00EF1BB1" w:rsidRDefault="00EF1BB1" w:rsidP="00EF1BB1">
            <w:pPr>
              <w:suppressAutoHyphens w:val="0"/>
              <w:spacing w:before="40" w:after="40" w:line="220" w:lineRule="exact"/>
              <w:ind w:right="113"/>
              <w:jc w:val="right"/>
              <w:rPr>
                <w:sz w:val="18"/>
              </w:rPr>
            </w:pPr>
            <w:r w:rsidRPr="00EF1BB1">
              <w:rPr>
                <w:sz w:val="18"/>
              </w:rPr>
              <w:t>5</w:t>
            </w:r>
          </w:p>
        </w:tc>
        <w:tc>
          <w:tcPr>
            <w:tcW w:w="366" w:type="dxa"/>
            <w:shd w:val="clear" w:color="auto" w:fill="auto"/>
            <w:tcMar>
              <w:top w:w="0" w:type="dxa"/>
              <w:left w:w="0" w:type="dxa"/>
              <w:bottom w:w="0" w:type="dxa"/>
              <w:right w:w="28" w:type="dxa"/>
            </w:tcMar>
            <w:vAlign w:val="bottom"/>
            <w:hideMark/>
          </w:tcPr>
          <w:p w14:paraId="2478CC98"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tcMar>
              <w:top w:w="0" w:type="dxa"/>
              <w:left w:w="0" w:type="dxa"/>
              <w:bottom w:w="0" w:type="dxa"/>
              <w:right w:w="28" w:type="dxa"/>
            </w:tcMar>
            <w:vAlign w:val="bottom"/>
            <w:hideMark/>
          </w:tcPr>
          <w:p w14:paraId="494DA5AE"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vAlign w:val="bottom"/>
            <w:hideMark/>
          </w:tcPr>
          <w:p w14:paraId="42D9E279"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tcMar>
              <w:top w:w="0" w:type="dxa"/>
              <w:left w:w="0" w:type="dxa"/>
              <w:bottom w:w="0" w:type="dxa"/>
              <w:right w:w="28" w:type="dxa"/>
            </w:tcMar>
            <w:vAlign w:val="bottom"/>
            <w:hideMark/>
          </w:tcPr>
          <w:p w14:paraId="3BD202C4"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421" w:type="dxa"/>
            <w:shd w:val="clear" w:color="auto" w:fill="auto"/>
            <w:tcMar>
              <w:top w:w="0" w:type="dxa"/>
              <w:left w:w="0" w:type="dxa"/>
              <w:bottom w:w="0" w:type="dxa"/>
              <w:right w:w="28" w:type="dxa"/>
            </w:tcMar>
            <w:vAlign w:val="bottom"/>
            <w:hideMark/>
          </w:tcPr>
          <w:p w14:paraId="02C0E5A2" w14:textId="77777777" w:rsidR="00EF1BB1" w:rsidRPr="00EF1BB1" w:rsidRDefault="00EF1BB1" w:rsidP="00EF1BB1">
            <w:pPr>
              <w:suppressAutoHyphens w:val="0"/>
              <w:spacing w:before="40" w:after="40" w:line="220" w:lineRule="exact"/>
              <w:ind w:right="113"/>
              <w:jc w:val="right"/>
              <w:rPr>
                <w:sz w:val="18"/>
              </w:rPr>
            </w:pPr>
            <w:r w:rsidRPr="00EF1BB1">
              <w:rPr>
                <w:sz w:val="18"/>
              </w:rPr>
              <w:t>43</w:t>
            </w:r>
          </w:p>
        </w:tc>
        <w:tc>
          <w:tcPr>
            <w:tcW w:w="366" w:type="dxa"/>
            <w:shd w:val="clear" w:color="auto" w:fill="auto"/>
            <w:tcMar>
              <w:top w:w="0" w:type="dxa"/>
              <w:left w:w="0" w:type="dxa"/>
              <w:bottom w:w="0" w:type="dxa"/>
              <w:right w:w="28" w:type="dxa"/>
            </w:tcMar>
            <w:vAlign w:val="bottom"/>
            <w:hideMark/>
          </w:tcPr>
          <w:p w14:paraId="3D3635D1"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vAlign w:val="bottom"/>
            <w:hideMark/>
          </w:tcPr>
          <w:p w14:paraId="63BB7515"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75" w:type="dxa"/>
            <w:shd w:val="clear" w:color="auto" w:fill="auto"/>
            <w:vAlign w:val="bottom"/>
            <w:hideMark/>
          </w:tcPr>
          <w:p w14:paraId="29879586"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75" w:type="dxa"/>
            <w:shd w:val="clear" w:color="auto" w:fill="auto"/>
            <w:vAlign w:val="bottom"/>
            <w:hideMark/>
          </w:tcPr>
          <w:p w14:paraId="518008ED"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tcMar>
              <w:top w:w="0" w:type="dxa"/>
              <w:left w:w="0" w:type="dxa"/>
              <w:bottom w:w="0" w:type="dxa"/>
              <w:right w:w="28" w:type="dxa"/>
            </w:tcMar>
            <w:vAlign w:val="bottom"/>
            <w:hideMark/>
          </w:tcPr>
          <w:p w14:paraId="37E33E5F"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shd w:val="clear" w:color="auto" w:fill="auto"/>
            <w:vAlign w:val="bottom"/>
            <w:hideMark/>
          </w:tcPr>
          <w:p w14:paraId="23DC86EC"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75" w:type="dxa"/>
            <w:shd w:val="clear" w:color="auto" w:fill="auto"/>
            <w:tcMar>
              <w:top w:w="0" w:type="dxa"/>
              <w:left w:w="0" w:type="dxa"/>
              <w:bottom w:w="0" w:type="dxa"/>
              <w:right w:w="28" w:type="dxa"/>
            </w:tcMar>
            <w:vAlign w:val="bottom"/>
            <w:hideMark/>
          </w:tcPr>
          <w:p w14:paraId="5E30DF5A"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75" w:type="dxa"/>
            <w:shd w:val="clear" w:color="auto" w:fill="auto"/>
            <w:tcMar>
              <w:top w:w="0" w:type="dxa"/>
              <w:left w:w="0" w:type="dxa"/>
              <w:bottom w:w="0" w:type="dxa"/>
              <w:right w:w="28" w:type="dxa"/>
            </w:tcMar>
            <w:vAlign w:val="bottom"/>
            <w:hideMark/>
          </w:tcPr>
          <w:p w14:paraId="13F574D0"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634" w:type="dxa"/>
            <w:shd w:val="clear" w:color="auto" w:fill="auto"/>
            <w:tcMar>
              <w:top w:w="0" w:type="dxa"/>
              <w:left w:w="0" w:type="dxa"/>
              <w:bottom w:w="0" w:type="dxa"/>
              <w:right w:w="28" w:type="dxa"/>
            </w:tcMar>
            <w:vAlign w:val="bottom"/>
            <w:hideMark/>
          </w:tcPr>
          <w:p w14:paraId="4A8EFF5E" w14:textId="77777777" w:rsidR="00EF1BB1" w:rsidRPr="00EF1BB1" w:rsidRDefault="00EF1BB1" w:rsidP="00EF1BB1">
            <w:pPr>
              <w:suppressAutoHyphens w:val="0"/>
              <w:spacing w:before="40" w:after="40" w:line="220" w:lineRule="exact"/>
              <w:ind w:right="113"/>
              <w:jc w:val="right"/>
              <w:rPr>
                <w:sz w:val="18"/>
              </w:rPr>
            </w:pPr>
            <w:r w:rsidRPr="00EF1BB1">
              <w:rPr>
                <w:sz w:val="18"/>
              </w:rPr>
              <w:t>51</w:t>
            </w:r>
          </w:p>
        </w:tc>
      </w:tr>
      <w:tr w:rsidR="00EF1BB1" w:rsidRPr="00EF1BB1" w14:paraId="6C0B246D" w14:textId="77777777" w:rsidTr="00EF1BB1">
        <w:tc>
          <w:tcPr>
            <w:tcW w:w="549" w:type="dxa"/>
            <w:shd w:val="clear" w:color="auto" w:fill="auto"/>
            <w:hideMark/>
          </w:tcPr>
          <w:p w14:paraId="50580D15" w14:textId="77777777" w:rsidR="00EF1BB1" w:rsidRPr="00EF1BB1" w:rsidRDefault="00EF1BB1" w:rsidP="00EF1BB1">
            <w:pPr>
              <w:suppressAutoHyphens w:val="0"/>
              <w:spacing w:before="40" w:after="40" w:line="220" w:lineRule="exact"/>
              <w:ind w:right="113"/>
              <w:rPr>
                <w:sz w:val="18"/>
              </w:rPr>
            </w:pPr>
            <w:r w:rsidRPr="00EF1BB1">
              <w:rPr>
                <w:sz w:val="18"/>
              </w:rPr>
              <w:t>2015</w:t>
            </w:r>
          </w:p>
        </w:tc>
        <w:tc>
          <w:tcPr>
            <w:tcW w:w="366" w:type="dxa"/>
            <w:shd w:val="clear" w:color="auto" w:fill="auto"/>
            <w:tcMar>
              <w:top w:w="0" w:type="dxa"/>
              <w:left w:w="0" w:type="dxa"/>
              <w:bottom w:w="0" w:type="dxa"/>
              <w:right w:w="28" w:type="dxa"/>
            </w:tcMar>
            <w:vAlign w:val="bottom"/>
            <w:hideMark/>
          </w:tcPr>
          <w:p w14:paraId="5CFAC0DC"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tcMar>
              <w:top w:w="0" w:type="dxa"/>
              <w:left w:w="0" w:type="dxa"/>
              <w:bottom w:w="0" w:type="dxa"/>
              <w:right w:w="28" w:type="dxa"/>
            </w:tcMar>
            <w:vAlign w:val="bottom"/>
            <w:hideMark/>
          </w:tcPr>
          <w:p w14:paraId="1AC596C9"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vAlign w:val="bottom"/>
            <w:hideMark/>
          </w:tcPr>
          <w:p w14:paraId="29364ED9"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tcMar>
              <w:top w:w="0" w:type="dxa"/>
              <w:left w:w="0" w:type="dxa"/>
              <w:bottom w:w="0" w:type="dxa"/>
              <w:right w:w="28" w:type="dxa"/>
            </w:tcMar>
            <w:vAlign w:val="bottom"/>
            <w:hideMark/>
          </w:tcPr>
          <w:p w14:paraId="237BACA8"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vAlign w:val="bottom"/>
            <w:hideMark/>
          </w:tcPr>
          <w:p w14:paraId="5A9B69FE"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shd w:val="clear" w:color="auto" w:fill="auto"/>
            <w:tcMar>
              <w:top w:w="0" w:type="dxa"/>
              <w:left w:w="0" w:type="dxa"/>
              <w:bottom w:w="0" w:type="dxa"/>
              <w:right w:w="28" w:type="dxa"/>
            </w:tcMar>
            <w:vAlign w:val="bottom"/>
            <w:hideMark/>
          </w:tcPr>
          <w:p w14:paraId="173E219F"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78" w:type="dxa"/>
            <w:shd w:val="clear" w:color="auto" w:fill="auto"/>
            <w:tcMar>
              <w:top w:w="0" w:type="dxa"/>
              <w:left w:w="0" w:type="dxa"/>
              <w:bottom w:w="0" w:type="dxa"/>
              <w:right w:w="28" w:type="dxa"/>
            </w:tcMar>
            <w:vAlign w:val="bottom"/>
            <w:hideMark/>
          </w:tcPr>
          <w:p w14:paraId="459C9D43" w14:textId="77777777" w:rsidR="00EF1BB1" w:rsidRPr="00EF1BB1" w:rsidRDefault="00EF1BB1" w:rsidP="00EF1BB1">
            <w:pPr>
              <w:suppressAutoHyphens w:val="0"/>
              <w:spacing w:before="40" w:after="40" w:line="220" w:lineRule="exact"/>
              <w:ind w:right="113"/>
              <w:jc w:val="right"/>
              <w:rPr>
                <w:sz w:val="18"/>
              </w:rPr>
            </w:pPr>
            <w:r w:rsidRPr="00EF1BB1">
              <w:rPr>
                <w:sz w:val="18"/>
              </w:rPr>
              <w:t>3</w:t>
            </w:r>
          </w:p>
        </w:tc>
        <w:tc>
          <w:tcPr>
            <w:tcW w:w="366" w:type="dxa"/>
            <w:shd w:val="clear" w:color="auto" w:fill="auto"/>
            <w:tcMar>
              <w:top w:w="0" w:type="dxa"/>
              <w:left w:w="0" w:type="dxa"/>
              <w:bottom w:w="0" w:type="dxa"/>
              <w:right w:w="28" w:type="dxa"/>
            </w:tcMar>
            <w:vAlign w:val="bottom"/>
            <w:hideMark/>
          </w:tcPr>
          <w:p w14:paraId="2449FEA4"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75" w:type="dxa"/>
            <w:shd w:val="clear" w:color="auto" w:fill="auto"/>
            <w:tcMar>
              <w:top w:w="0" w:type="dxa"/>
              <w:left w:w="0" w:type="dxa"/>
              <w:bottom w:w="0" w:type="dxa"/>
              <w:right w:w="28" w:type="dxa"/>
            </w:tcMar>
            <w:vAlign w:val="bottom"/>
            <w:hideMark/>
          </w:tcPr>
          <w:p w14:paraId="45BA9140"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434" w:type="dxa"/>
            <w:shd w:val="clear" w:color="auto" w:fill="auto"/>
            <w:tcMar>
              <w:top w:w="0" w:type="dxa"/>
              <w:left w:w="0" w:type="dxa"/>
              <w:bottom w:w="0" w:type="dxa"/>
              <w:right w:w="28" w:type="dxa"/>
            </w:tcMar>
            <w:vAlign w:val="bottom"/>
            <w:hideMark/>
          </w:tcPr>
          <w:p w14:paraId="21631C85" w14:textId="77777777" w:rsidR="00EF1BB1" w:rsidRPr="00EF1BB1" w:rsidRDefault="00EF1BB1" w:rsidP="00EF1BB1">
            <w:pPr>
              <w:suppressAutoHyphens w:val="0"/>
              <w:spacing w:before="40" w:after="40" w:line="220" w:lineRule="exact"/>
              <w:ind w:right="113"/>
              <w:jc w:val="right"/>
              <w:rPr>
                <w:sz w:val="18"/>
              </w:rPr>
            </w:pPr>
            <w:r w:rsidRPr="00EF1BB1">
              <w:rPr>
                <w:sz w:val="18"/>
              </w:rPr>
              <w:t>42</w:t>
            </w:r>
          </w:p>
        </w:tc>
        <w:tc>
          <w:tcPr>
            <w:tcW w:w="366" w:type="dxa"/>
            <w:shd w:val="clear" w:color="auto" w:fill="auto"/>
            <w:tcMar>
              <w:top w:w="0" w:type="dxa"/>
              <w:left w:w="0" w:type="dxa"/>
              <w:bottom w:w="0" w:type="dxa"/>
              <w:right w:w="28" w:type="dxa"/>
            </w:tcMar>
            <w:vAlign w:val="bottom"/>
            <w:hideMark/>
          </w:tcPr>
          <w:p w14:paraId="7249CCBE"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tcMar>
              <w:top w:w="0" w:type="dxa"/>
              <w:left w:w="0" w:type="dxa"/>
              <w:bottom w:w="0" w:type="dxa"/>
              <w:right w:w="28" w:type="dxa"/>
            </w:tcMar>
            <w:vAlign w:val="bottom"/>
            <w:hideMark/>
          </w:tcPr>
          <w:p w14:paraId="1440783B"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vAlign w:val="bottom"/>
            <w:hideMark/>
          </w:tcPr>
          <w:p w14:paraId="085135CC"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tcMar>
              <w:top w:w="0" w:type="dxa"/>
              <w:left w:w="0" w:type="dxa"/>
              <w:bottom w:w="0" w:type="dxa"/>
              <w:right w:w="28" w:type="dxa"/>
            </w:tcMar>
            <w:vAlign w:val="bottom"/>
            <w:hideMark/>
          </w:tcPr>
          <w:p w14:paraId="2E8975BA" w14:textId="77777777" w:rsidR="00EF1BB1" w:rsidRPr="00EF1BB1" w:rsidRDefault="00EF1BB1" w:rsidP="00EF1BB1">
            <w:pPr>
              <w:suppressAutoHyphens w:val="0"/>
              <w:spacing w:before="40" w:after="40" w:line="220" w:lineRule="exact"/>
              <w:ind w:right="113"/>
              <w:jc w:val="right"/>
              <w:rPr>
                <w:sz w:val="18"/>
              </w:rPr>
            </w:pPr>
            <w:r w:rsidRPr="00EF1BB1">
              <w:rPr>
                <w:sz w:val="18"/>
                <w:szCs w:val="18"/>
              </w:rPr>
              <w:t>-</w:t>
            </w:r>
          </w:p>
        </w:tc>
        <w:tc>
          <w:tcPr>
            <w:tcW w:w="421" w:type="dxa"/>
            <w:shd w:val="clear" w:color="auto" w:fill="auto"/>
            <w:tcMar>
              <w:top w:w="0" w:type="dxa"/>
              <w:left w:w="0" w:type="dxa"/>
              <w:bottom w:w="0" w:type="dxa"/>
              <w:right w:w="28" w:type="dxa"/>
            </w:tcMar>
            <w:vAlign w:val="bottom"/>
            <w:hideMark/>
          </w:tcPr>
          <w:p w14:paraId="6A763743" w14:textId="77777777" w:rsidR="00EF1BB1" w:rsidRPr="00EF1BB1" w:rsidRDefault="00EF1BB1" w:rsidP="00EF1BB1">
            <w:pPr>
              <w:suppressAutoHyphens w:val="0"/>
              <w:spacing w:before="40" w:after="40" w:line="220" w:lineRule="exact"/>
              <w:ind w:right="113"/>
              <w:jc w:val="right"/>
              <w:rPr>
                <w:sz w:val="18"/>
              </w:rPr>
            </w:pPr>
            <w:r w:rsidRPr="00EF1BB1">
              <w:rPr>
                <w:sz w:val="18"/>
                <w:szCs w:val="18"/>
              </w:rPr>
              <w:t>166</w:t>
            </w:r>
          </w:p>
        </w:tc>
        <w:tc>
          <w:tcPr>
            <w:tcW w:w="366" w:type="dxa"/>
            <w:shd w:val="clear" w:color="auto" w:fill="auto"/>
            <w:tcMar>
              <w:top w:w="0" w:type="dxa"/>
              <w:left w:w="0" w:type="dxa"/>
              <w:bottom w:w="0" w:type="dxa"/>
              <w:right w:w="28" w:type="dxa"/>
            </w:tcMar>
            <w:vAlign w:val="bottom"/>
            <w:hideMark/>
          </w:tcPr>
          <w:p w14:paraId="5432E53F"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vAlign w:val="bottom"/>
            <w:hideMark/>
          </w:tcPr>
          <w:p w14:paraId="3F918EE8"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75" w:type="dxa"/>
            <w:shd w:val="clear" w:color="auto" w:fill="auto"/>
            <w:vAlign w:val="bottom"/>
            <w:hideMark/>
          </w:tcPr>
          <w:p w14:paraId="4E243F22"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75" w:type="dxa"/>
            <w:shd w:val="clear" w:color="auto" w:fill="auto"/>
            <w:vAlign w:val="bottom"/>
            <w:hideMark/>
          </w:tcPr>
          <w:p w14:paraId="5F96E7EC" w14:textId="77777777" w:rsidR="00EF1BB1" w:rsidRPr="00EF1BB1" w:rsidRDefault="00EF1BB1" w:rsidP="00EF1BB1">
            <w:pPr>
              <w:suppressAutoHyphens w:val="0"/>
              <w:spacing w:before="40" w:after="40" w:line="220" w:lineRule="exact"/>
              <w:ind w:right="113"/>
              <w:jc w:val="right"/>
              <w:rPr>
                <w:sz w:val="18"/>
              </w:rPr>
            </w:pPr>
            <w:r w:rsidRPr="00EF1BB1">
              <w:rPr>
                <w:sz w:val="18"/>
                <w:szCs w:val="18"/>
              </w:rPr>
              <w:t>-</w:t>
            </w:r>
          </w:p>
        </w:tc>
        <w:tc>
          <w:tcPr>
            <w:tcW w:w="366" w:type="dxa"/>
            <w:shd w:val="clear" w:color="auto" w:fill="auto"/>
            <w:tcMar>
              <w:top w:w="0" w:type="dxa"/>
              <w:left w:w="0" w:type="dxa"/>
              <w:bottom w:w="0" w:type="dxa"/>
              <w:right w:w="28" w:type="dxa"/>
            </w:tcMar>
            <w:vAlign w:val="bottom"/>
            <w:hideMark/>
          </w:tcPr>
          <w:p w14:paraId="3B4C2A24"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shd w:val="clear" w:color="auto" w:fill="auto"/>
            <w:vAlign w:val="bottom"/>
            <w:hideMark/>
          </w:tcPr>
          <w:p w14:paraId="73F98602"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75" w:type="dxa"/>
            <w:shd w:val="clear" w:color="auto" w:fill="auto"/>
            <w:tcMar>
              <w:top w:w="0" w:type="dxa"/>
              <w:left w:w="0" w:type="dxa"/>
              <w:bottom w:w="0" w:type="dxa"/>
              <w:right w:w="28" w:type="dxa"/>
            </w:tcMar>
            <w:vAlign w:val="bottom"/>
            <w:hideMark/>
          </w:tcPr>
          <w:p w14:paraId="46970040"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75" w:type="dxa"/>
            <w:shd w:val="clear" w:color="auto" w:fill="auto"/>
            <w:tcMar>
              <w:top w:w="0" w:type="dxa"/>
              <w:left w:w="0" w:type="dxa"/>
              <w:bottom w:w="0" w:type="dxa"/>
              <w:right w:w="28" w:type="dxa"/>
            </w:tcMar>
            <w:vAlign w:val="bottom"/>
            <w:hideMark/>
          </w:tcPr>
          <w:p w14:paraId="29F1651A"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634" w:type="dxa"/>
            <w:shd w:val="clear" w:color="auto" w:fill="auto"/>
            <w:tcMar>
              <w:top w:w="0" w:type="dxa"/>
              <w:left w:w="0" w:type="dxa"/>
              <w:bottom w:w="0" w:type="dxa"/>
              <w:right w:w="28" w:type="dxa"/>
            </w:tcMar>
            <w:vAlign w:val="bottom"/>
            <w:hideMark/>
          </w:tcPr>
          <w:p w14:paraId="2CC065B9"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211</w:t>
            </w:r>
          </w:p>
        </w:tc>
      </w:tr>
      <w:tr w:rsidR="00EF1BB1" w:rsidRPr="00EF1BB1" w14:paraId="4992E1DB" w14:textId="77777777" w:rsidTr="00EF1BB1">
        <w:tc>
          <w:tcPr>
            <w:tcW w:w="549" w:type="dxa"/>
            <w:shd w:val="clear" w:color="auto" w:fill="auto"/>
            <w:hideMark/>
          </w:tcPr>
          <w:p w14:paraId="0281489C" w14:textId="77777777" w:rsidR="00EF1BB1" w:rsidRPr="00EF1BB1" w:rsidRDefault="00EF1BB1" w:rsidP="00EF1BB1">
            <w:pPr>
              <w:suppressAutoHyphens w:val="0"/>
              <w:spacing w:before="40" w:after="40" w:line="220" w:lineRule="exact"/>
              <w:ind w:right="113"/>
              <w:rPr>
                <w:sz w:val="18"/>
              </w:rPr>
            </w:pPr>
            <w:r w:rsidRPr="00EF1BB1">
              <w:rPr>
                <w:sz w:val="18"/>
              </w:rPr>
              <w:t>2016</w:t>
            </w:r>
          </w:p>
        </w:tc>
        <w:tc>
          <w:tcPr>
            <w:tcW w:w="366" w:type="dxa"/>
            <w:shd w:val="clear" w:color="auto" w:fill="auto"/>
            <w:tcMar>
              <w:top w:w="0" w:type="dxa"/>
              <w:left w:w="0" w:type="dxa"/>
              <w:bottom w:w="0" w:type="dxa"/>
              <w:right w:w="28" w:type="dxa"/>
            </w:tcMar>
            <w:vAlign w:val="bottom"/>
            <w:hideMark/>
          </w:tcPr>
          <w:p w14:paraId="34CB4870"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tcMar>
              <w:top w:w="0" w:type="dxa"/>
              <w:left w:w="0" w:type="dxa"/>
              <w:bottom w:w="0" w:type="dxa"/>
              <w:right w:w="28" w:type="dxa"/>
            </w:tcMar>
            <w:vAlign w:val="bottom"/>
            <w:hideMark/>
          </w:tcPr>
          <w:p w14:paraId="75A6BA44"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vAlign w:val="bottom"/>
            <w:hideMark/>
          </w:tcPr>
          <w:p w14:paraId="1844C1C9"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tcMar>
              <w:top w:w="0" w:type="dxa"/>
              <w:left w:w="0" w:type="dxa"/>
              <w:bottom w:w="0" w:type="dxa"/>
              <w:right w:w="28" w:type="dxa"/>
            </w:tcMar>
            <w:vAlign w:val="bottom"/>
            <w:hideMark/>
          </w:tcPr>
          <w:p w14:paraId="20CAF1E5"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vAlign w:val="bottom"/>
            <w:hideMark/>
          </w:tcPr>
          <w:p w14:paraId="24AEA8AC"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shd w:val="clear" w:color="auto" w:fill="auto"/>
            <w:tcMar>
              <w:top w:w="0" w:type="dxa"/>
              <w:left w:w="0" w:type="dxa"/>
              <w:bottom w:w="0" w:type="dxa"/>
              <w:right w:w="28" w:type="dxa"/>
            </w:tcMar>
            <w:vAlign w:val="bottom"/>
            <w:hideMark/>
          </w:tcPr>
          <w:p w14:paraId="5B899717"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78" w:type="dxa"/>
            <w:shd w:val="clear" w:color="auto" w:fill="auto"/>
            <w:tcMar>
              <w:top w:w="0" w:type="dxa"/>
              <w:left w:w="0" w:type="dxa"/>
              <w:bottom w:w="0" w:type="dxa"/>
              <w:right w:w="28" w:type="dxa"/>
            </w:tcMar>
            <w:vAlign w:val="bottom"/>
            <w:hideMark/>
          </w:tcPr>
          <w:p w14:paraId="48762792" w14:textId="77777777" w:rsidR="00EF1BB1" w:rsidRPr="00EF1BB1" w:rsidRDefault="00EF1BB1" w:rsidP="00EF1BB1">
            <w:pPr>
              <w:suppressAutoHyphens w:val="0"/>
              <w:spacing w:before="40" w:after="40" w:line="220" w:lineRule="exact"/>
              <w:ind w:right="113"/>
              <w:jc w:val="right"/>
              <w:rPr>
                <w:sz w:val="18"/>
              </w:rPr>
            </w:pPr>
            <w:r w:rsidRPr="00EF1BB1">
              <w:rPr>
                <w:sz w:val="18"/>
              </w:rPr>
              <w:t>4</w:t>
            </w:r>
          </w:p>
        </w:tc>
        <w:tc>
          <w:tcPr>
            <w:tcW w:w="366" w:type="dxa"/>
            <w:shd w:val="clear" w:color="auto" w:fill="auto"/>
            <w:tcMar>
              <w:top w:w="0" w:type="dxa"/>
              <w:left w:w="0" w:type="dxa"/>
              <w:bottom w:w="0" w:type="dxa"/>
              <w:right w:w="28" w:type="dxa"/>
            </w:tcMar>
            <w:vAlign w:val="bottom"/>
            <w:hideMark/>
          </w:tcPr>
          <w:p w14:paraId="77D8DA30"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75" w:type="dxa"/>
            <w:shd w:val="clear" w:color="auto" w:fill="auto"/>
            <w:tcMar>
              <w:top w:w="0" w:type="dxa"/>
              <w:left w:w="0" w:type="dxa"/>
              <w:bottom w:w="0" w:type="dxa"/>
              <w:right w:w="28" w:type="dxa"/>
            </w:tcMar>
            <w:vAlign w:val="bottom"/>
            <w:hideMark/>
          </w:tcPr>
          <w:p w14:paraId="55374E96"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434" w:type="dxa"/>
            <w:shd w:val="clear" w:color="auto" w:fill="auto"/>
            <w:tcMar>
              <w:top w:w="0" w:type="dxa"/>
              <w:left w:w="0" w:type="dxa"/>
              <w:bottom w:w="0" w:type="dxa"/>
              <w:right w:w="28" w:type="dxa"/>
            </w:tcMar>
            <w:vAlign w:val="bottom"/>
            <w:hideMark/>
          </w:tcPr>
          <w:p w14:paraId="45CEA0BE" w14:textId="77777777" w:rsidR="00EF1BB1" w:rsidRPr="00EF1BB1" w:rsidRDefault="00EF1BB1" w:rsidP="00EF1BB1">
            <w:pPr>
              <w:suppressAutoHyphens w:val="0"/>
              <w:spacing w:before="40" w:after="40" w:line="220" w:lineRule="exact"/>
              <w:ind w:right="113"/>
              <w:jc w:val="right"/>
              <w:rPr>
                <w:sz w:val="18"/>
              </w:rPr>
            </w:pPr>
            <w:r w:rsidRPr="00EF1BB1">
              <w:rPr>
                <w:sz w:val="18"/>
              </w:rPr>
              <w:t>22</w:t>
            </w:r>
          </w:p>
        </w:tc>
        <w:tc>
          <w:tcPr>
            <w:tcW w:w="366" w:type="dxa"/>
            <w:shd w:val="clear" w:color="auto" w:fill="auto"/>
            <w:tcMar>
              <w:top w:w="0" w:type="dxa"/>
              <w:left w:w="0" w:type="dxa"/>
              <w:bottom w:w="0" w:type="dxa"/>
              <w:right w:w="28" w:type="dxa"/>
            </w:tcMar>
            <w:vAlign w:val="bottom"/>
            <w:hideMark/>
          </w:tcPr>
          <w:p w14:paraId="22F9611B"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tcMar>
              <w:top w:w="0" w:type="dxa"/>
              <w:left w:w="0" w:type="dxa"/>
              <w:bottom w:w="0" w:type="dxa"/>
              <w:right w:w="28" w:type="dxa"/>
            </w:tcMar>
            <w:vAlign w:val="bottom"/>
            <w:hideMark/>
          </w:tcPr>
          <w:p w14:paraId="540F189B"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vAlign w:val="bottom"/>
            <w:hideMark/>
          </w:tcPr>
          <w:p w14:paraId="622FDD4E"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tcMar>
              <w:top w:w="0" w:type="dxa"/>
              <w:left w:w="0" w:type="dxa"/>
              <w:bottom w:w="0" w:type="dxa"/>
              <w:right w:w="28" w:type="dxa"/>
            </w:tcMar>
            <w:vAlign w:val="bottom"/>
            <w:hideMark/>
          </w:tcPr>
          <w:p w14:paraId="6149E1DC"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421" w:type="dxa"/>
            <w:shd w:val="clear" w:color="auto" w:fill="auto"/>
            <w:tcMar>
              <w:top w:w="0" w:type="dxa"/>
              <w:left w:w="0" w:type="dxa"/>
              <w:bottom w:w="0" w:type="dxa"/>
              <w:right w:w="28" w:type="dxa"/>
            </w:tcMar>
            <w:vAlign w:val="bottom"/>
            <w:hideMark/>
          </w:tcPr>
          <w:p w14:paraId="6A6A9DAB" w14:textId="77777777" w:rsidR="00EF1BB1" w:rsidRPr="00EF1BB1" w:rsidRDefault="00EF1BB1" w:rsidP="00EF1BB1">
            <w:pPr>
              <w:suppressAutoHyphens w:val="0"/>
              <w:spacing w:before="40" w:after="40" w:line="220" w:lineRule="exact"/>
              <w:ind w:right="113"/>
              <w:jc w:val="right"/>
              <w:rPr>
                <w:sz w:val="18"/>
              </w:rPr>
            </w:pPr>
            <w:r w:rsidRPr="00EF1BB1">
              <w:rPr>
                <w:sz w:val="18"/>
              </w:rPr>
              <w:t>58</w:t>
            </w:r>
          </w:p>
        </w:tc>
        <w:tc>
          <w:tcPr>
            <w:tcW w:w="366" w:type="dxa"/>
            <w:shd w:val="clear" w:color="auto" w:fill="auto"/>
            <w:tcMar>
              <w:top w:w="0" w:type="dxa"/>
              <w:left w:w="0" w:type="dxa"/>
              <w:bottom w:w="0" w:type="dxa"/>
              <w:right w:w="28" w:type="dxa"/>
            </w:tcMar>
            <w:vAlign w:val="bottom"/>
            <w:hideMark/>
          </w:tcPr>
          <w:p w14:paraId="172FA6C7" w14:textId="77777777" w:rsidR="00EF1BB1" w:rsidRPr="00EF1BB1" w:rsidRDefault="00EF1BB1" w:rsidP="00EF1BB1">
            <w:pPr>
              <w:suppressAutoHyphens w:val="0"/>
              <w:spacing w:before="40" w:after="40" w:line="220" w:lineRule="exact"/>
              <w:ind w:right="113"/>
              <w:jc w:val="right"/>
              <w:rPr>
                <w:sz w:val="18"/>
              </w:rPr>
            </w:pPr>
            <w:r w:rsidRPr="00EF1BB1">
              <w:rPr>
                <w:sz w:val="18"/>
              </w:rPr>
              <w:t>1</w:t>
            </w:r>
          </w:p>
        </w:tc>
        <w:tc>
          <w:tcPr>
            <w:tcW w:w="366" w:type="dxa"/>
            <w:shd w:val="clear" w:color="auto" w:fill="auto"/>
            <w:vAlign w:val="bottom"/>
            <w:hideMark/>
          </w:tcPr>
          <w:p w14:paraId="1A1DEB39"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75" w:type="dxa"/>
            <w:shd w:val="clear" w:color="auto" w:fill="auto"/>
            <w:vAlign w:val="bottom"/>
            <w:hideMark/>
          </w:tcPr>
          <w:p w14:paraId="08D5B5C3"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75" w:type="dxa"/>
            <w:shd w:val="clear" w:color="auto" w:fill="auto"/>
            <w:vAlign w:val="bottom"/>
            <w:hideMark/>
          </w:tcPr>
          <w:p w14:paraId="09AABB55"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tcMar>
              <w:top w:w="0" w:type="dxa"/>
              <w:left w:w="0" w:type="dxa"/>
              <w:bottom w:w="0" w:type="dxa"/>
              <w:right w:w="28" w:type="dxa"/>
            </w:tcMar>
            <w:vAlign w:val="bottom"/>
            <w:hideMark/>
          </w:tcPr>
          <w:p w14:paraId="75E155E9"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shd w:val="clear" w:color="auto" w:fill="auto"/>
            <w:vAlign w:val="bottom"/>
            <w:hideMark/>
          </w:tcPr>
          <w:p w14:paraId="60A9C806"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75" w:type="dxa"/>
            <w:shd w:val="clear" w:color="auto" w:fill="auto"/>
            <w:tcMar>
              <w:top w:w="0" w:type="dxa"/>
              <w:left w:w="0" w:type="dxa"/>
              <w:bottom w:w="0" w:type="dxa"/>
              <w:right w:w="28" w:type="dxa"/>
            </w:tcMar>
            <w:vAlign w:val="bottom"/>
            <w:hideMark/>
          </w:tcPr>
          <w:p w14:paraId="6C6B7C19"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75" w:type="dxa"/>
            <w:shd w:val="clear" w:color="auto" w:fill="auto"/>
            <w:tcMar>
              <w:top w:w="0" w:type="dxa"/>
              <w:left w:w="0" w:type="dxa"/>
              <w:bottom w:w="0" w:type="dxa"/>
              <w:right w:w="28" w:type="dxa"/>
            </w:tcMar>
            <w:vAlign w:val="bottom"/>
            <w:hideMark/>
          </w:tcPr>
          <w:p w14:paraId="7284B6D3"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634" w:type="dxa"/>
            <w:shd w:val="clear" w:color="auto" w:fill="auto"/>
            <w:tcMar>
              <w:top w:w="0" w:type="dxa"/>
              <w:left w:w="0" w:type="dxa"/>
              <w:bottom w:w="0" w:type="dxa"/>
              <w:right w:w="28" w:type="dxa"/>
            </w:tcMar>
            <w:vAlign w:val="bottom"/>
            <w:hideMark/>
          </w:tcPr>
          <w:p w14:paraId="6866C4A5" w14:textId="77777777" w:rsidR="00EF1BB1" w:rsidRPr="00EF1BB1" w:rsidRDefault="00EF1BB1" w:rsidP="00EF1BB1">
            <w:pPr>
              <w:suppressAutoHyphens w:val="0"/>
              <w:spacing w:before="40" w:after="40" w:line="220" w:lineRule="exact"/>
              <w:ind w:right="113"/>
              <w:jc w:val="right"/>
              <w:rPr>
                <w:sz w:val="18"/>
              </w:rPr>
            </w:pPr>
            <w:r w:rsidRPr="00EF1BB1">
              <w:rPr>
                <w:sz w:val="18"/>
              </w:rPr>
              <w:t>85</w:t>
            </w:r>
          </w:p>
        </w:tc>
      </w:tr>
      <w:tr w:rsidR="00EF1BB1" w:rsidRPr="00EF1BB1" w14:paraId="43887261" w14:textId="77777777" w:rsidTr="00EF1BB1">
        <w:tc>
          <w:tcPr>
            <w:tcW w:w="549" w:type="dxa"/>
            <w:shd w:val="clear" w:color="auto" w:fill="auto"/>
            <w:hideMark/>
          </w:tcPr>
          <w:p w14:paraId="22EF6853" w14:textId="77777777" w:rsidR="00EF1BB1" w:rsidRPr="00EF1BB1" w:rsidRDefault="00EF1BB1" w:rsidP="00EF1BB1">
            <w:pPr>
              <w:suppressAutoHyphens w:val="0"/>
              <w:spacing w:before="40" w:after="40" w:line="220" w:lineRule="exact"/>
              <w:ind w:right="113"/>
              <w:rPr>
                <w:sz w:val="18"/>
              </w:rPr>
            </w:pPr>
            <w:r w:rsidRPr="00EF1BB1">
              <w:rPr>
                <w:sz w:val="18"/>
              </w:rPr>
              <w:t>2017</w:t>
            </w:r>
          </w:p>
        </w:tc>
        <w:tc>
          <w:tcPr>
            <w:tcW w:w="366" w:type="dxa"/>
            <w:shd w:val="clear" w:color="auto" w:fill="auto"/>
            <w:tcMar>
              <w:top w:w="0" w:type="dxa"/>
              <w:left w:w="0" w:type="dxa"/>
              <w:bottom w:w="0" w:type="dxa"/>
              <w:right w:w="28" w:type="dxa"/>
            </w:tcMar>
            <w:vAlign w:val="bottom"/>
            <w:hideMark/>
          </w:tcPr>
          <w:p w14:paraId="558202DB" w14:textId="77777777" w:rsidR="00EF1BB1" w:rsidRPr="00EF1BB1" w:rsidRDefault="00EF1BB1" w:rsidP="00EF1BB1">
            <w:pPr>
              <w:suppressAutoHyphens w:val="0"/>
              <w:spacing w:before="40" w:after="40" w:line="220" w:lineRule="exact"/>
              <w:ind w:right="113"/>
              <w:jc w:val="right"/>
              <w:rPr>
                <w:sz w:val="18"/>
              </w:rPr>
            </w:pPr>
            <w:r w:rsidRPr="00EF1BB1">
              <w:rPr>
                <w:sz w:val="18"/>
              </w:rPr>
              <w:t>2</w:t>
            </w:r>
          </w:p>
        </w:tc>
        <w:tc>
          <w:tcPr>
            <w:tcW w:w="366" w:type="dxa"/>
            <w:shd w:val="clear" w:color="auto" w:fill="auto"/>
            <w:tcMar>
              <w:top w:w="0" w:type="dxa"/>
              <w:left w:w="0" w:type="dxa"/>
              <w:bottom w:w="0" w:type="dxa"/>
              <w:right w:w="28" w:type="dxa"/>
            </w:tcMar>
            <w:vAlign w:val="bottom"/>
            <w:hideMark/>
          </w:tcPr>
          <w:p w14:paraId="77B46911" w14:textId="77777777" w:rsidR="00EF1BB1" w:rsidRPr="00EF1BB1" w:rsidRDefault="00EF1BB1" w:rsidP="00EF1BB1">
            <w:pPr>
              <w:suppressAutoHyphens w:val="0"/>
              <w:spacing w:before="40" w:after="40" w:line="220" w:lineRule="exact"/>
              <w:ind w:right="113"/>
              <w:jc w:val="right"/>
              <w:rPr>
                <w:sz w:val="18"/>
              </w:rPr>
            </w:pPr>
            <w:r w:rsidRPr="00EF1BB1">
              <w:rPr>
                <w:sz w:val="18"/>
              </w:rPr>
              <w:t>1</w:t>
            </w:r>
          </w:p>
        </w:tc>
        <w:tc>
          <w:tcPr>
            <w:tcW w:w="366" w:type="dxa"/>
            <w:shd w:val="clear" w:color="auto" w:fill="auto"/>
            <w:vAlign w:val="bottom"/>
            <w:hideMark/>
          </w:tcPr>
          <w:p w14:paraId="5F2FA563"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tcMar>
              <w:top w:w="0" w:type="dxa"/>
              <w:left w:w="0" w:type="dxa"/>
              <w:bottom w:w="0" w:type="dxa"/>
              <w:right w:w="28" w:type="dxa"/>
            </w:tcMar>
            <w:vAlign w:val="bottom"/>
            <w:hideMark/>
          </w:tcPr>
          <w:p w14:paraId="41E8BCAD"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vAlign w:val="bottom"/>
            <w:hideMark/>
          </w:tcPr>
          <w:p w14:paraId="189B2067"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shd w:val="clear" w:color="auto" w:fill="auto"/>
            <w:tcMar>
              <w:top w:w="0" w:type="dxa"/>
              <w:left w:w="0" w:type="dxa"/>
              <w:bottom w:w="0" w:type="dxa"/>
              <w:right w:w="28" w:type="dxa"/>
            </w:tcMar>
            <w:vAlign w:val="bottom"/>
            <w:hideMark/>
          </w:tcPr>
          <w:p w14:paraId="1236C3F2"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78" w:type="dxa"/>
            <w:shd w:val="clear" w:color="auto" w:fill="auto"/>
            <w:tcMar>
              <w:top w:w="0" w:type="dxa"/>
              <w:left w:w="0" w:type="dxa"/>
              <w:bottom w:w="0" w:type="dxa"/>
              <w:right w:w="28" w:type="dxa"/>
            </w:tcMar>
            <w:vAlign w:val="bottom"/>
            <w:hideMark/>
          </w:tcPr>
          <w:p w14:paraId="5A07DB0D" w14:textId="77777777" w:rsidR="00EF1BB1" w:rsidRPr="00EF1BB1" w:rsidRDefault="00EF1BB1" w:rsidP="00EF1BB1">
            <w:pPr>
              <w:suppressAutoHyphens w:val="0"/>
              <w:spacing w:before="40" w:after="40" w:line="220" w:lineRule="exact"/>
              <w:ind w:right="113"/>
              <w:jc w:val="right"/>
              <w:rPr>
                <w:sz w:val="18"/>
              </w:rPr>
            </w:pPr>
            <w:r w:rsidRPr="00EF1BB1">
              <w:rPr>
                <w:sz w:val="18"/>
              </w:rPr>
              <w:t>3</w:t>
            </w:r>
          </w:p>
        </w:tc>
        <w:tc>
          <w:tcPr>
            <w:tcW w:w="366" w:type="dxa"/>
            <w:shd w:val="clear" w:color="auto" w:fill="auto"/>
            <w:tcMar>
              <w:top w:w="0" w:type="dxa"/>
              <w:left w:w="0" w:type="dxa"/>
              <w:bottom w:w="0" w:type="dxa"/>
              <w:right w:w="28" w:type="dxa"/>
            </w:tcMar>
            <w:vAlign w:val="bottom"/>
            <w:hideMark/>
          </w:tcPr>
          <w:p w14:paraId="7A6B6E24"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75" w:type="dxa"/>
            <w:shd w:val="clear" w:color="auto" w:fill="auto"/>
            <w:tcMar>
              <w:top w:w="0" w:type="dxa"/>
              <w:left w:w="0" w:type="dxa"/>
              <w:bottom w:w="0" w:type="dxa"/>
              <w:right w:w="28" w:type="dxa"/>
            </w:tcMar>
            <w:vAlign w:val="bottom"/>
            <w:hideMark/>
          </w:tcPr>
          <w:p w14:paraId="066D54EA"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434" w:type="dxa"/>
            <w:shd w:val="clear" w:color="auto" w:fill="auto"/>
            <w:tcMar>
              <w:top w:w="0" w:type="dxa"/>
              <w:left w:w="0" w:type="dxa"/>
              <w:bottom w:w="0" w:type="dxa"/>
              <w:right w:w="28" w:type="dxa"/>
            </w:tcMar>
            <w:vAlign w:val="bottom"/>
            <w:hideMark/>
          </w:tcPr>
          <w:p w14:paraId="2B5F55F9" w14:textId="77777777" w:rsidR="00EF1BB1" w:rsidRPr="00EF1BB1" w:rsidRDefault="00EF1BB1" w:rsidP="00EF1BB1">
            <w:pPr>
              <w:suppressAutoHyphens w:val="0"/>
              <w:spacing w:before="40" w:after="40" w:line="220" w:lineRule="exact"/>
              <w:ind w:right="113"/>
              <w:jc w:val="right"/>
              <w:rPr>
                <w:sz w:val="18"/>
              </w:rPr>
            </w:pPr>
            <w:r w:rsidRPr="00EF1BB1">
              <w:rPr>
                <w:sz w:val="18"/>
              </w:rPr>
              <w:t>43</w:t>
            </w:r>
          </w:p>
        </w:tc>
        <w:tc>
          <w:tcPr>
            <w:tcW w:w="366" w:type="dxa"/>
            <w:shd w:val="clear" w:color="auto" w:fill="auto"/>
            <w:tcMar>
              <w:top w:w="0" w:type="dxa"/>
              <w:left w:w="0" w:type="dxa"/>
              <w:bottom w:w="0" w:type="dxa"/>
              <w:right w:w="28" w:type="dxa"/>
            </w:tcMar>
            <w:vAlign w:val="bottom"/>
            <w:hideMark/>
          </w:tcPr>
          <w:p w14:paraId="0371F772" w14:textId="77777777" w:rsidR="00EF1BB1" w:rsidRPr="00EF1BB1" w:rsidRDefault="00EF1BB1" w:rsidP="00EF1BB1">
            <w:pPr>
              <w:suppressAutoHyphens w:val="0"/>
              <w:spacing w:before="40" w:after="40" w:line="220" w:lineRule="exact"/>
              <w:ind w:right="113"/>
              <w:jc w:val="right"/>
              <w:rPr>
                <w:sz w:val="18"/>
              </w:rPr>
            </w:pPr>
            <w:r w:rsidRPr="00EF1BB1">
              <w:rPr>
                <w:sz w:val="18"/>
              </w:rPr>
              <w:t>2</w:t>
            </w:r>
          </w:p>
        </w:tc>
        <w:tc>
          <w:tcPr>
            <w:tcW w:w="366" w:type="dxa"/>
            <w:shd w:val="clear" w:color="auto" w:fill="auto"/>
            <w:tcMar>
              <w:top w:w="0" w:type="dxa"/>
              <w:left w:w="0" w:type="dxa"/>
              <w:bottom w:w="0" w:type="dxa"/>
              <w:right w:w="28" w:type="dxa"/>
            </w:tcMar>
            <w:vAlign w:val="bottom"/>
            <w:hideMark/>
          </w:tcPr>
          <w:p w14:paraId="462E768D"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vAlign w:val="bottom"/>
            <w:hideMark/>
          </w:tcPr>
          <w:p w14:paraId="7F86EA84"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shd w:val="clear" w:color="auto" w:fill="auto"/>
            <w:tcMar>
              <w:top w:w="0" w:type="dxa"/>
              <w:left w:w="0" w:type="dxa"/>
              <w:bottom w:w="0" w:type="dxa"/>
              <w:right w:w="28" w:type="dxa"/>
            </w:tcMar>
            <w:vAlign w:val="bottom"/>
            <w:hideMark/>
          </w:tcPr>
          <w:p w14:paraId="75DFCE59" w14:textId="77777777" w:rsidR="00EF1BB1" w:rsidRPr="00EF1BB1" w:rsidRDefault="00EF1BB1" w:rsidP="00EF1BB1">
            <w:pPr>
              <w:suppressAutoHyphens w:val="0"/>
              <w:spacing w:before="40" w:after="40" w:line="220" w:lineRule="exact"/>
              <w:ind w:right="113"/>
              <w:jc w:val="right"/>
              <w:rPr>
                <w:sz w:val="18"/>
              </w:rPr>
            </w:pPr>
            <w:r w:rsidRPr="00EF1BB1">
              <w:rPr>
                <w:sz w:val="18"/>
              </w:rPr>
              <w:t>1</w:t>
            </w:r>
          </w:p>
        </w:tc>
        <w:tc>
          <w:tcPr>
            <w:tcW w:w="421" w:type="dxa"/>
            <w:shd w:val="clear" w:color="auto" w:fill="auto"/>
            <w:tcMar>
              <w:top w:w="0" w:type="dxa"/>
              <w:left w:w="0" w:type="dxa"/>
              <w:bottom w:w="0" w:type="dxa"/>
              <w:right w:w="28" w:type="dxa"/>
            </w:tcMar>
            <w:vAlign w:val="bottom"/>
            <w:hideMark/>
          </w:tcPr>
          <w:p w14:paraId="25FC2B0A" w14:textId="77777777" w:rsidR="00EF1BB1" w:rsidRPr="00EF1BB1" w:rsidRDefault="00EF1BB1" w:rsidP="00EF1BB1">
            <w:pPr>
              <w:suppressAutoHyphens w:val="0"/>
              <w:spacing w:before="40" w:after="40" w:line="220" w:lineRule="exact"/>
              <w:ind w:right="113"/>
              <w:jc w:val="right"/>
              <w:rPr>
                <w:sz w:val="18"/>
              </w:rPr>
            </w:pPr>
            <w:r w:rsidRPr="00EF1BB1">
              <w:rPr>
                <w:sz w:val="18"/>
              </w:rPr>
              <w:t>31</w:t>
            </w:r>
          </w:p>
        </w:tc>
        <w:tc>
          <w:tcPr>
            <w:tcW w:w="366" w:type="dxa"/>
            <w:shd w:val="clear" w:color="auto" w:fill="auto"/>
            <w:tcMar>
              <w:top w:w="0" w:type="dxa"/>
              <w:left w:w="0" w:type="dxa"/>
              <w:bottom w:w="0" w:type="dxa"/>
              <w:right w:w="28" w:type="dxa"/>
            </w:tcMar>
            <w:vAlign w:val="bottom"/>
            <w:hideMark/>
          </w:tcPr>
          <w:p w14:paraId="560BD81A" w14:textId="77777777" w:rsidR="00EF1BB1" w:rsidRPr="00EF1BB1" w:rsidRDefault="00EF1BB1" w:rsidP="00EF1BB1">
            <w:pPr>
              <w:suppressAutoHyphens w:val="0"/>
              <w:spacing w:before="40" w:after="40" w:line="220" w:lineRule="exact"/>
              <w:ind w:right="113"/>
              <w:jc w:val="right"/>
              <w:rPr>
                <w:sz w:val="18"/>
              </w:rPr>
            </w:pPr>
            <w:r w:rsidRPr="00EF1BB1">
              <w:rPr>
                <w:sz w:val="18"/>
              </w:rPr>
              <w:t>2</w:t>
            </w:r>
          </w:p>
        </w:tc>
        <w:tc>
          <w:tcPr>
            <w:tcW w:w="366" w:type="dxa"/>
            <w:shd w:val="clear" w:color="auto" w:fill="auto"/>
            <w:vAlign w:val="bottom"/>
            <w:hideMark/>
          </w:tcPr>
          <w:p w14:paraId="1F6E4380"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75" w:type="dxa"/>
            <w:shd w:val="clear" w:color="auto" w:fill="auto"/>
            <w:vAlign w:val="bottom"/>
            <w:hideMark/>
          </w:tcPr>
          <w:p w14:paraId="6420481C"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75" w:type="dxa"/>
            <w:shd w:val="clear" w:color="auto" w:fill="auto"/>
            <w:vAlign w:val="bottom"/>
            <w:hideMark/>
          </w:tcPr>
          <w:p w14:paraId="457B465E"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shd w:val="clear" w:color="auto" w:fill="auto"/>
            <w:tcMar>
              <w:top w:w="0" w:type="dxa"/>
              <w:left w:w="0" w:type="dxa"/>
              <w:bottom w:w="0" w:type="dxa"/>
              <w:right w:w="28" w:type="dxa"/>
            </w:tcMar>
            <w:vAlign w:val="bottom"/>
            <w:hideMark/>
          </w:tcPr>
          <w:p w14:paraId="25476914" w14:textId="77777777" w:rsidR="00EF1BB1" w:rsidRPr="00EF1BB1" w:rsidRDefault="00EF1BB1" w:rsidP="00EF1BB1">
            <w:pPr>
              <w:suppressAutoHyphens w:val="0"/>
              <w:spacing w:before="40" w:after="40" w:line="220" w:lineRule="exact"/>
              <w:ind w:right="113"/>
              <w:jc w:val="right"/>
              <w:rPr>
                <w:sz w:val="18"/>
              </w:rPr>
            </w:pPr>
            <w:r w:rsidRPr="00EF1BB1">
              <w:rPr>
                <w:sz w:val="18"/>
              </w:rPr>
              <w:t>1</w:t>
            </w:r>
          </w:p>
        </w:tc>
        <w:tc>
          <w:tcPr>
            <w:tcW w:w="366" w:type="dxa"/>
            <w:shd w:val="clear" w:color="auto" w:fill="auto"/>
            <w:vAlign w:val="bottom"/>
            <w:hideMark/>
          </w:tcPr>
          <w:p w14:paraId="3F96F171"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75" w:type="dxa"/>
            <w:shd w:val="clear" w:color="auto" w:fill="auto"/>
            <w:tcMar>
              <w:top w:w="0" w:type="dxa"/>
              <w:left w:w="0" w:type="dxa"/>
              <w:bottom w:w="0" w:type="dxa"/>
              <w:right w:w="28" w:type="dxa"/>
            </w:tcMar>
            <w:vAlign w:val="bottom"/>
            <w:hideMark/>
          </w:tcPr>
          <w:p w14:paraId="1CB95957"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75" w:type="dxa"/>
            <w:shd w:val="clear" w:color="auto" w:fill="auto"/>
            <w:tcMar>
              <w:top w:w="0" w:type="dxa"/>
              <w:left w:w="0" w:type="dxa"/>
              <w:bottom w:w="0" w:type="dxa"/>
              <w:right w:w="28" w:type="dxa"/>
            </w:tcMar>
            <w:vAlign w:val="bottom"/>
            <w:hideMark/>
          </w:tcPr>
          <w:p w14:paraId="0DA5178E"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634" w:type="dxa"/>
            <w:shd w:val="clear" w:color="auto" w:fill="auto"/>
            <w:tcMar>
              <w:top w:w="0" w:type="dxa"/>
              <w:left w:w="0" w:type="dxa"/>
              <w:bottom w:w="0" w:type="dxa"/>
              <w:right w:w="28" w:type="dxa"/>
            </w:tcMar>
            <w:vAlign w:val="bottom"/>
            <w:hideMark/>
          </w:tcPr>
          <w:p w14:paraId="118557DD" w14:textId="77777777" w:rsidR="00EF1BB1" w:rsidRPr="00EF1BB1" w:rsidRDefault="00EF1BB1" w:rsidP="00EF1BB1">
            <w:pPr>
              <w:suppressAutoHyphens w:val="0"/>
              <w:spacing w:before="40" w:after="40" w:line="220" w:lineRule="exact"/>
              <w:ind w:right="113"/>
              <w:jc w:val="right"/>
              <w:rPr>
                <w:sz w:val="18"/>
              </w:rPr>
            </w:pPr>
            <w:r w:rsidRPr="00EF1BB1">
              <w:rPr>
                <w:sz w:val="18"/>
              </w:rPr>
              <w:t>86</w:t>
            </w:r>
          </w:p>
        </w:tc>
      </w:tr>
      <w:tr w:rsidR="00EF1BB1" w:rsidRPr="00EF1BB1" w14:paraId="2D0A2069" w14:textId="77777777" w:rsidTr="00EF1BB1">
        <w:tc>
          <w:tcPr>
            <w:tcW w:w="549" w:type="dxa"/>
            <w:shd w:val="clear" w:color="auto" w:fill="auto"/>
            <w:hideMark/>
          </w:tcPr>
          <w:p w14:paraId="6498DCCF" w14:textId="77777777" w:rsidR="00EF1BB1" w:rsidRPr="00EF1BB1" w:rsidRDefault="00EF1BB1" w:rsidP="00EF1BB1">
            <w:pPr>
              <w:suppressAutoHyphens w:val="0"/>
              <w:spacing w:before="40" w:after="40" w:line="220" w:lineRule="exact"/>
              <w:ind w:right="113"/>
              <w:rPr>
                <w:sz w:val="18"/>
              </w:rPr>
            </w:pPr>
            <w:r w:rsidRPr="00EF1BB1">
              <w:rPr>
                <w:sz w:val="18"/>
              </w:rPr>
              <w:t>2018</w:t>
            </w:r>
          </w:p>
        </w:tc>
        <w:tc>
          <w:tcPr>
            <w:tcW w:w="366" w:type="dxa"/>
            <w:shd w:val="clear" w:color="auto" w:fill="auto"/>
            <w:tcMar>
              <w:top w:w="0" w:type="dxa"/>
              <w:left w:w="0" w:type="dxa"/>
              <w:bottom w:w="0" w:type="dxa"/>
              <w:right w:w="28" w:type="dxa"/>
            </w:tcMar>
            <w:vAlign w:val="bottom"/>
            <w:hideMark/>
          </w:tcPr>
          <w:p w14:paraId="575BEEC7"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tcMar>
              <w:top w:w="0" w:type="dxa"/>
              <w:left w:w="0" w:type="dxa"/>
              <w:bottom w:w="0" w:type="dxa"/>
              <w:right w:w="28" w:type="dxa"/>
            </w:tcMar>
            <w:vAlign w:val="bottom"/>
            <w:hideMark/>
          </w:tcPr>
          <w:p w14:paraId="7CE4329D"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vAlign w:val="bottom"/>
            <w:hideMark/>
          </w:tcPr>
          <w:p w14:paraId="5976A792"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tcMar>
              <w:top w:w="0" w:type="dxa"/>
              <w:left w:w="0" w:type="dxa"/>
              <w:bottom w:w="0" w:type="dxa"/>
              <w:right w:w="28" w:type="dxa"/>
            </w:tcMar>
            <w:vAlign w:val="bottom"/>
            <w:hideMark/>
          </w:tcPr>
          <w:p w14:paraId="380773AA"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vAlign w:val="bottom"/>
            <w:hideMark/>
          </w:tcPr>
          <w:p w14:paraId="10ED229E"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shd w:val="clear" w:color="auto" w:fill="auto"/>
            <w:tcMar>
              <w:top w:w="0" w:type="dxa"/>
              <w:left w:w="0" w:type="dxa"/>
              <w:bottom w:w="0" w:type="dxa"/>
              <w:right w:w="28" w:type="dxa"/>
            </w:tcMar>
            <w:vAlign w:val="bottom"/>
            <w:hideMark/>
          </w:tcPr>
          <w:p w14:paraId="7455C36A"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78" w:type="dxa"/>
            <w:shd w:val="clear" w:color="auto" w:fill="auto"/>
            <w:tcMar>
              <w:top w:w="0" w:type="dxa"/>
              <w:left w:w="0" w:type="dxa"/>
              <w:bottom w:w="0" w:type="dxa"/>
              <w:right w:w="28" w:type="dxa"/>
            </w:tcMar>
            <w:vAlign w:val="bottom"/>
            <w:hideMark/>
          </w:tcPr>
          <w:p w14:paraId="1936A64E" w14:textId="77777777" w:rsidR="00EF1BB1" w:rsidRPr="00EF1BB1" w:rsidRDefault="00EF1BB1" w:rsidP="00EF1BB1">
            <w:pPr>
              <w:suppressAutoHyphens w:val="0"/>
              <w:spacing w:before="40" w:after="40" w:line="220" w:lineRule="exact"/>
              <w:ind w:right="113"/>
              <w:jc w:val="right"/>
              <w:rPr>
                <w:sz w:val="18"/>
              </w:rPr>
            </w:pPr>
            <w:r w:rsidRPr="00EF1BB1">
              <w:rPr>
                <w:sz w:val="18"/>
              </w:rPr>
              <w:t>9</w:t>
            </w:r>
          </w:p>
        </w:tc>
        <w:tc>
          <w:tcPr>
            <w:tcW w:w="366" w:type="dxa"/>
            <w:shd w:val="clear" w:color="auto" w:fill="auto"/>
            <w:tcMar>
              <w:top w:w="0" w:type="dxa"/>
              <w:left w:w="0" w:type="dxa"/>
              <w:bottom w:w="0" w:type="dxa"/>
              <w:right w:w="28" w:type="dxa"/>
            </w:tcMar>
            <w:vAlign w:val="bottom"/>
            <w:hideMark/>
          </w:tcPr>
          <w:p w14:paraId="6096CE48" w14:textId="77777777" w:rsidR="00EF1BB1" w:rsidRPr="00EF1BB1" w:rsidRDefault="00EF1BB1" w:rsidP="00EF1BB1">
            <w:pPr>
              <w:suppressAutoHyphens w:val="0"/>
              <w:spacing w:before="40" w:after="40" w:line="220" w:lineRule="exact"/>
              <w:ind w:right="113"/>
              <w:jc w:val="right"/>
              <w:rPr>
                <w:sz w:val="18"/>
              </w:rPr>
            </w:pPr>
            <w:r w:rsidRPr="00EF1BB1">
              <w:rPr>
                <w:sz w:val="18"/>
              </w:rPr>
              <w:t>1</w:t>
            </w:r>
          </w:p>
        </w:tc>
        <w:tc>
          <w:tcPr>
            <w:tcW w:w="375" w:type="dxa"/>
            <w:shd w:val="clear" w:color="auto" w:fill="auto"/>
            <w:tcMar>
              <w:top w:w="0" w:type="dxa"/>
              <w:left w:w="0" w:type="dxa"/>
              <w:bottom w:w="0" w:type="dxa"/>
              <w:right w:w="28" w:type="dxa"/>
            </w:tcMar>
            <w:vAlign w:val="bottom"/>
            <w:hideMark/>
          </w:tcPr>
          <w:p w14:paraId="14749918" w14:textId="77777777" w:rsidR="00EF1BB1" w:rsidRPr="00EF1BB1" w:rsidRDefault="00EF1BB1" w:rsidP="00EF1BB1">
            <w:pPr>
              <w:suppressAutoHyphens w:val="0"/>
              <w:spacing w:before="40" w:after="40" w:line="220" w:lineRule="exact"/>
              <w:ind w:right="113"/>
              <w:jc w:val="right"/>
              <w:rPr>
                <w:sz w:val="18"/>
              </w:rPr>
            </w:pPr>
            <w:r w:rsidRPr="00EF1BB1">
              <w:rPr>
                <w:sz w:val="18"/>
              </w:rPr>
              <w:t>14</w:t>
            </w:r>
          </w:p>
        </w:tc>
        <w:tc>
          <w:tcPr>
            <w:tcW w:w="434" w:type="dxa"/>
            <w:shd w:val="clear" w:color="auto" w:fill="auto"/>
            <w:tcMar>
              <w:top w:w="0" w:type="dxa"/>
              <w:left w:w="0" w:type="dxa"/>
              <w:bottom w:w="0" w:type="dxa"/>
              <w:right w:w="28" w:type="dxa"/>
            </w:tcMar>
            <w:vAlign w:val="bottom"/>
            <w:hideMark/>
          </w:tcPr>
          <w:p w14:paraId="5821E7A3" w14:textId="77777777" w:rsidR="00EF1BB1" w:rsidRPr="00EF1BB1" w:rsidRDefault="00EF1BB1" w:rsidP="00EF1BB1">
            <w:pPr>
              <w:suppressAutoHyphens w:val="0"/>
              <w:spacing w:before="40" w:after="40" w:line="220" w:lineRule="exact"/>
              <w:ind w:right="113"/>
              <w:jc w:val="right"/>
              <w:rPr>
                <w:sz w:val="18"/>
              </w:rPr>
            </w:pPr>
            <w:r w:rsidRPr="00EF1BB1">
              <w:rPr>
                <w:sz w:val="18"/>
              </w:rPr>
              <w:t>50</w:t>
            </w:r>
          </w:p>
        </w:tc>
        <w:tc>
          <w:tcPr>
            <w:tcW w:w="366" w:type="dxa"/>
            <w:shd w:val="clear" w:color="auto" w:fill="auto"/>
            <w:tcMar>
              <w:top w:w="0" w:type="dxa"/>
              <w:left w:w="0" w:type="dxa"/>
              <w:bottom w:w="0" w:type="dxa"/>
              <w:right w:w="28" w:type="dxa"/>
            </w:tcMar>
            <w:vAlign w:val="bottom"/>
            <w:hideMark/>
          </w:tcPr>
          <w:p w14:paraId="27C041B7"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tcMar>
              <w:top w:w="0" w:type="dxa"/>
              <w:left w:w="0" w:type="dxa"/>
              <w:bottom w:w="0" w:type="dxa"/>
              <w:right w:w="28" w:type="dxa"/>
            </w:tcMar>
            <w:vAlign w:val="bottom"/>
            <w:hideMark/>
          </w:tcPr>
          <w:p w14:paraId="15A5D9BB"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vAlign w:val="bottom"/>
            <w:hideMark/>
          </w:tcPr>
          <w:p w14:paraId="169EA304"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tcMar>
              <w:top w:w="0" w:type="dxa"/>
              <w:left w:w="0" w:type="dxa"/>
              <w:bottom w:w="0" w:type="dxa"/>
              <w:right w:w="28" w:type="dxa"/>
            </w:tcMar>
            <w:vAlign w:val="bottom"/>
            <w:hideMark/>
          </w:tcPr>
          <w:p w14:paraId="5EE0A040"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421" w:type="dxa"/>
            <w:shd w:val="clear" w:color="auto" w:fill="auto"/>
            <w:tcMar>
              <w:top w:w="0" w:type="dxa"/>
              <w:left w:w="0" w:type="dxa"/>
              <w:bottom w:w="0" w:type="dxa"/>
              <w:right w:w="28" w:type="dxa"/>
            </w:tcMar>
            <w:vAlign w:val="bottom"/>
            <w:hideMark/>
          </w:tcPr>
          <w:p w14:paraId="6A70A23F" w14:textId="77777777" w:rsidR="00EF1BB1" w:rsidRPr="00EF1BB1" w:rsidRDefault="00EF1BB1" w:rsidP="00EF1BB1">
            <w:pPr>
              <w:suppressAutoHyphens w:val="0"/>
              <w:spacing w:before="40" w:after="40" w:line="220" w:lineRule="exact"/>
              <w:ind w:right="113"/>
              <w:jc w:val="right"/>
              <w:rPr>
                <w:sz w:val="18"/>
              </w:rPr>
            </w:pPr>
            <w:r w:rsidRPr="00EF1BB1">
              <w:rPr>
                <w:sz w:val="18"/>
              </w:rPr>
              <w:t>42</w:t>
            </w:r>
          </w:p>
        </w:tc>
        <w:tc>
          <w:tcPr>
            <w:tcW w:w="366" w:type="dxa"/>
            <w:shd w:val="clear" w:color="auto" w:fill="auto"/>
            <w:tcMar>
              <w:top w:w="0" w:type="dxa"/>
              <w:left w:w="0" w:type="dxa"/>
              <w:bottom w:w="0" w:type="dxa"/>
              <w:right w:w="28" w:type="dxa"/>
            </w:tcMar>
            <w:vAlign w:val="bottom"/>
            <w:hideMark/>
          </w:tcPr>
          <w:p w14:paraId="7E0D3369"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vAlign w:val="bottom"/>
            <w:hideMark/>
          </w:tcPr>
          <w:p w14:paraId="5B7A2BE5"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75" w:type="dxa"/>
            <w:shd w:val="clear" w:color="auto" w:fill="auto"/>
            <w:vAlign w:val="bottom"/>
            <w:hideMark/>
          </w:tcPr>
          <w:p w14:paraId="78F2C7A1"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75" w:type="dxa"/>
            <w:shd w:val="clear" w:color="auto" w:fill="auto"/>
            <w:vAlign w:val="bottom"/>
            <w:hideMark/>
          </w:tcPr>
          <w:p w14:paraId="14E16AB8"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shd w:val="clear" w:color="auto" w:fill="auto"/>
            <w:tcMar>
              <w:top w:w="0" w:type="dxa"/>
              <w:left w:w="0" w:type="dxa"/>
              <w:bottom w:w="0" w:type="dxa"/>
              <w:right w:w="28" w:type="dxa"/>
            </w:tcMar>
            <w:vAlign w:val="bottom"/>
            <w:hideMark/>
          </w:tcPr>
          <w:p w14:paraId="26C7D8CE"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shd w:val="clear" w:color="auto" w:fill="auto"/>
            <w:vAlign w:val="bottom"/>
            <w:hideMark/>
          </w:tcPr>
          <w:p w14:paraId="5BD52702"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75" w:type="dxa"/>
            <w:shd w:val="clear" w:color="auto" w:fill="auto"/>
            <w:tcMar>
              <w:top w:w="0" w:type="dxa"/>
              <w:left w:w="0" w:type="dxa"/>
              <w:bottom w:w="0" w:type="dxa"/>
              <w:right w:w="28" w:type="dxa"/>
            </w:tcMar>
            <w:vAlign w:val="bottom"/>
            <w:hideMark/>
          </w:tcPr>
          <w:p w14:paraId="1B465F35" w14:textId="77777777" w:rsidR="00EF1BB1" w:rsidRPr="00EF1BB1" w:rsidRDefault="00EF1BB1" w:rsidP="00EF1BB1">
            <w:pPr>
              <w:suppressAutoHyphens w:val="0"/>
              <w:spacing w:before="40" w:after="40" w:line="220" w:lineRule="exact"/>
              <w:ind w:right="113"/>
              <w:jc w:val="right"/>
              <w:rPr>
                <w:sz w:val="18"/>
              </w:rPr>
            </w:pPr>
            <w:r w:rsidRPr="00EF1BB1">
              <w:rPr>
                <w:sz w:val="18"/>
              </w:rPr>
              <w:t>2</w:t>
            </w:r>
          </w:p>
        </w:tc>
        <w:tc>
          <w:tcPr>
            <w:tcW w:w="375" w:type="dxa"/>
            <w:shd w:val="clear" w:color="auto" w:fill="auto"/>
            <w:tcMar>
              <w:top w:w="0" w:type="dxa"/>
              <w:left w:w="0" w:type="dxa"/>
              <w:bottom w:w="0" w:type="dxa"/>
              <w:right w:w="28" w:type="dxa"/>
            </w:tcMar>
            <w:vAlign w:val="bottom"/>
            <w:hideMark/>
          </w:tcPr>
          <w:p w14:paraId="75BF21CF"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634" w:type="dxa"/>
            <w:shd w:val="clear" w:color="auto" w:fill="auto"/>
            <w:tcMar>
              <w:top w:w="0" w:type="dxa"/>
              <w:left w:w="0" w:type="dxa"/>
              <w:bottom w:w="0" w:type="dxa"/>
              <w:right w:w="28" w:type="dxa"/>
            </w:tcMar>
            <w:vAlign w:val="bottom"/>
            <w:hideMark/>
          </w:tcPr>
          <w:p w14:paraId="4080ECD3" w14:textId="77777777" w:rsidR="00EF1BB1" w:rsidRPr="00EF1BB1" w:rsidRDefault="00EF1BB1" w:rsidP="00EF1BB1">
            <w:pPr>
              <w:suppressAutoHyphens w:val="0"/>
              <w:spacing w:before="40" w:after="40" w:line="220" w:lineRule="exact"/>
              <w:ind w:right="113"/>
              <w:jc w:val="right"/>
              <w:rPr>
                <w:sz w:val="18"/>
              </w:rPr>
            </w:pPr>
            <w:r w:rsidRPr="00EF1BB1">
              <w:rPr>
                <w:sz w:val="18"/>
              </w:rPr>
              <w:t>118</w:t>
            </w:r>
          </w:p>
        </w:tc>
      </w:tr>
      <w:tr w:rsidR="00EF1BB1" w:rsidRPr="00EF1BB1" w14:paraId="6AB55EF5" w14:textId="77777777" w:rsidTr="00EF1BB1">
        <w:tc>
          <w:tcPr>
            <w:tcW w:w="549" w:type="dxa"/>
            <w:shd w:val="clear" w:color="auto" w:fill="auto"/>
            <w:hideMark/>
          </w:tcPr>
          <w:p w14:paraId="788A3A1A" w14:textId="77777777" w:rsidR="00EF1BB1" w:rsidRPr="00EF1BB1" w:rsidRDefault="00EF1BB1" w:rsidP="00EF1BB1">
            <w:pPr>
              <w:suppressAutoHyphens w:val="0"/>
              <w:spacing w:before="40" w:after="40" w:line="220" w:lineRule="exact"/>
              <w:ind w:right="113"/>
              <w:rPr>
                <w:sz w:val="18"/>
              </w:rPr>
            </w:pPr>
            <w:r w:rsidRPr="00EF1BB1">
              <w:rPr>
                <w:sz w:val="18"/>
              </w:rPr>
              <w:t>2019</w:t>
            </w:r>
          </w:p>
        </w:tc>
        <w:tc>
          <w:tcPr>
            <w:tcW w:w="366" w:type="dxa"/>
            <w:shd w:val="clear" w:color="auto" w:fill="auto"/>
            <w:tcMar>
              <w:top w:w="0" w:type="dxa"/>
              <w:left w:w="0" w:type="dxa"/>
              <w:bottom w:w="0" w:type="dxa"/>
              <w:right w:w="28" w:type="dxa"/>
            </w:tcMar>
            <w:vAlign w:val="bottom"/>
            <w:hideMark/>
          </w:tcPr>
          <w:p w14:paraId="69E3EF1B"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tcMar>
              <w:top w:w="0" w:type="dxa"/>
              <w:left w:w="0" w:type="dxa"/>
              <w:bottom w:w="0" w:type="dxa"/>
              <w:right w:w="28" w:type="dxa"/>
            </w:tcMar>
            <w:vAlign w:val="bottom"/>
            <w:hideMark/>
          </w:tcPr>
          <w:p w14:paraId="6858BBCB"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vAlign w:val="bottom"/>
            <w:hideMark/>
          </w:tcPr>
          <w:p w14:paraId="2F29448C" w14:textId="77777777" w:rsidR="00EF1BB1" w:rsidRPr="00EF1BB1" w:rsidRDefault="00EF1BB1" w:rsidP="00EF1BB1">
            <w:pPr>
              <w:suppressAutoHyphens w:val="0"/>
              <w:spacing w:before="40" w:after="40" w:line="220" w:lineRule="exact"/>
              <w:ind w:right="113"/>
              <w:jc w:val="right"/>
              <w:rPr>
                <w:sz w:val="18"/>
              </w:rPr>
            </w:pPr>
            <w:r w:rsidRPr="00EF1BB1">
              <w:rPr>
                <w:sz w:val="18"/>
              </w:rPr>
              <w:t>1</w:t>
            </w:r>
          </w:p>
        </w:tc>
        <w:tc>
          <w:tcPr>
            <w:tcW w:w="366" w:type="dxa"/>
            <w:shd w:val="clear" w:color="auto" w:fill="auto"/>
            <w:tcMar>
              <w:top w:w="0" w:type="dxa"/>
              <w:left w:w="0" w:type="dxa"/>
              <w:bottom w:w="0" w:type="dxa"/>
              <w:right w:w="28" w:type="dxa"/>
            </w:tcMar>
            <w:vAlign w:val="bottom"/>
            <w:hideMark/>
          </w:tcPr>
          <w:p w14:paraId="5D37749E" w14:textId="77777777" w:rsidR="00EF1BB1" w:rsidRPr="00EF1BB1" w:rsidRDefault="00EF1BB1" w:rsidP="00EF1BB1">
            <w:pPr>
              <w:suppressAutoHyphens w:val="0"/>
              <w:spacing w:before="40" w:after="40" w:line="220" w:lineRule="exact"/>
              <w:ind w:right="113"/>
              <w:jc w:val="right"/>
              <w:rPr>
                <w:sz w:val="18"/>
              </w:rPr>
            </w:pPr>
            <w:r w:rsidRPr="00EF1BB1">
              <w:rPr>
                <w:sz w:val="18"/>
                <w:szCs w:val="18"/>
              </w:rPr>
              <w:t>-</w:t>
            </w:r>
          </w:p>
        </w:tc>
        <w:tc>
          <w:tcPr>
            <w:tcW w:w="366" w:type="dxa"/>
            <w:shd w:val="clear" w:color="auto" w:fill="auto"/>
            <w:vAlign w:val="bottom"/>
            <w:hideMark/>
          </w:tcPr>
          <w:p w14:paraId="3381AF5C"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tcMar>
              <w:top w:w="0" w:type="dxa"/>
              <w:left w:w="0" w:type="dxa"/>
              <w:bottom w:w="0" w:type="dxa"/>
              <w:right w:w="28" w:type="dxa"/>
            </w:tcMar>
            <w:vAlign w:val="bottom"/>
            <w:hideMark/>
          </w:tcPr>
          <w:p w14:paraId="11312DB9" w14:textId="77777777" w:rsidR="00EF1BB1" w:rsidRPr="00EF1BB1" w:rsidRDefault="00EF1BB1" w:rsidP="00EF1BB1">
            <w:pPr>
              <w:suppressAutoHyphens w:val="0"/>
              <w:spacing w:before="40" w:after="40" w:line="220" w:lineRule="exact"/>
              <w:ind w:right="113"/>
              <w:jc w:val="right"/>
              <w:rPr>
                <w:sz w:val="18"/>
              </w:rPr>
            </w:pPr>
            <w:r w:rsidRPr="00EF1BB1">
              <w:rPr>
                <w:sz w:val="18"/>
                <w:szCs w:val="18"/>
              </w:rPr>
              <w:t>2</w:t>
            </w:r>
          </w:p>
        </w:tc>
        <w:tc>
          <w:tcPr>
            <w:tcW w:w="378" w:type="dxa"/>
            <w:shd w:val="clear" w:color="auto" w:fill="auto"/>
            <w:tcMar>
              <w:top w:w="0" w:type="dxa"/>
              <w:left w:w="0" w:type="dxa"/>
              <w:bottom w:w="0" w:type="dxa"/>
              <w:right w:w="28" w:type="dxa"/>
            </w:tcMar>
            <w:vAlign w:val="bottom"/>
            <w:hideMark/>
          </w:tcPr>
          <w:p w14:paraId="26B3C8C2" w14:textId="77777777" w:rsidR="00EF1BB1" w:rsidRPr="00EF1BB1" w:rsidRDefault="00EF1BB1" w:rsidP="00EF1BB1">
            <w:pPr>
              <w:suppressAutoHyphens w:val="0"/>
              <w:spacing w:before="40" w:after="40" w:line="220" w:lineRule="exact"/>
              <w:ind w:right="113"/>
              <w:jc w:val="right"/>
              <w:rPr>
                <w:sz w:val="18"/>
              </w:rPr>
            </w:pPr>
            <w:r w:rsidRPr="00EF1BB1">
              <w:rPr>
                <w:sz w:val="18"/>
                <w:szCs w:val="18"/>
              </w:rPr>
              <w:t>3</w:t>
            </w:r>
          </w:p>
        </w:tc>
        <w:tc>
          <w:tcPr>
            <w:tcW w:w="366" w:type="dxa"/>
            <w:shd w:val="clear" w:color="auto" w:fill="auto"/>
            <w:tcMar>
              <w:top w:w="0" w:type="dxa"/>
              <w:left w:w="0" w:type="dxa"/>
              <w:bottom w:w="0" w:type="dxa"/>
              <w:right w:w="28" w:type="dxa"/>
            </w:tcMar>
            <w:vAlign w:val="bottom"/>
            <w:hideMark/>
          </w:tcPr>
          <w:p w14:paraId="5A2976F1" w14:textId="77777777" w:rsidR="00EF1BB1" w:rsidRPr="00EF1BB1" w:rsidRDefault="00EF1BB1" w:rsidP="00EF1BB1">
            <w:pPr>
              <w:suppressAutoHyphens w:val="0"/>
              <w:spacing w:before="40" w:after="40" w:line="220" w:lineRule="exact"/>
              <w:ind w:right="113"/>
              <w:jc w:val="right"/>
              <w:rPr>
                <w:sz w:val="18"/>
              </w:rPr>
            </w:pPr>
            <w:r w:rsidRPr="00EF1BB1">
              <w:rPr>
                <w:sz w:val="18"/>
                <w:szCs w:val="18"/>
              </w:rPr>
              <w:t>3</w:t>
            </w:r>
          </w:p>
        </w:tc>
        <w:tc>
          <w:tcPr>
            <w:tcW w:w="375" w:type="dxa"/>
            <w:shd w:val="clear" w:color="auto" w:fill="auto"/>
            <w:tcMar>
              <w:top w:w="0" w:type="dxa"/>
              <w:left w:w="0" w:type="dxa"/>
              <w:bottom w:w="0" w:type="dxa"/>
              <w:right w:w="28" w:type="dxa"/>
            </w:tcMar>
            <w:vAlign w:val="bottom"/>
            <w:hideMark/>
          </w:tcPr>
          <w:p w14:paraId="03C4EBCC" w14:textId="77777777" w:rsidR="00EF1BB1" w:rsidRPr="00EF1BB1" w:rsidRDefault="00EF1BB1" w:rsidP="00EF1BB1">
            <w:pPr>
              <w:suppressAutoHyphens w:val="0"/>
              <w:spacing w:before="40" w:after="40" w:line="220" w:lineRule="exact"/>
              <w:ind w:right="113"/>
              <w:jc w:val="right"/>
              <w:rPr>
                <w:sz w:val="18"/>
              </w:rPr>
            </w:pPr>
            <w:r w:rsidRPr="00EF1BB1">
              <w:rPr>
                <w:sz w:val="18"/>
                <w:szCs w:val="18"/>
              </w:rPr>
              <w:t>-</w:t>
            </w:r>
          </w:p>
        </w:tc>
        <w:tc>
          <w:tcPr>
            <w:tcW w:w="434" w:type="dxa"/>
            <w:shd w:val="clear" w:color="auto" w:fill="auto"/>
            <w:tcMar>
              <w:top w:w="0" w:type="dxa"/>
              <w:left w:w="0" w:type="dxa"/>
              <w:bottom w:w="0" w:type="dxa"/>
              <w:right w:w="28" w:type="dxa"/>
            </w:tcMar>
            <w:vAlign w:val="bottom"/>
            <w:hideMark/>
          </w:tcPr>
          <w:p w14:paraId="3496A855" w14:textId="77777777" w:rsidR="00EF1BB1" w:rsidRPr="00EF1BB1" w:rsidRDefault="00EF1BB1" w:rsidP="00EF1BB1">
            <w:pPr>
              <w:suppressAutoHyphens w:val="0"/>
              <w:spacing w:before="40" w:after="40" w:line="220" w:lineRule="exact"/>
              <w:ind w:right="113"/>
              <w:jc w:val="right"/>
              <w:rPr>
                <w:sz w:val="18"/>
              </w:rPr>
            </w:pPr>
            <w:r w:rsidRPr="00EF1BB1">
              <w:rPr>
                <w:sz w:val="18"/>
                <w:szCs w:val="18"/>
              </w:rPr>
              <w:t>226</w:t>
            </w:r>
          </w:p>
        </w:tc>
        <w:tc>
          <w:tcPr>
            <w:tcW w:w="366" w:type="dxa"/>
            <w:shd w:val="clear" w:color="auto" w:fill="auto"/>
            <w:tcMar>
              <w:top w:w="0" w:type="dxa"/>
              <w:left w:w="0" w:type="dxa"/>
              <w:bottom w:w="0" w:type="dxa"/>
              <w:right w:w="28" w:type="dxa"/>
            </w:tcMar>
            <w:vAlign w:val="bottom"/>
            <w:hideMark/>
          </w:tcPr>
          <w:p w14:paraId="12C499B3" w14:textId="77777777" w:rsidR="00EF1BB1" w:rsidRPr="00EF1BB1" w:rsidRDefault="00EF1BB1" w:rsidP="00EF1BB1">
            <w:pPr>
              <w:suppressAutoHyphens w:val="0"/>
              <w:spacing w:before="40" w:after="40" w:line="220" w:lineRule="exact"/>
              <w:ind w:right="113"/>
              <w:jc w:val="right"/>
              <w:rPr>
                <w:sz w:val="18"/>
              </w:rPr>
            </w:pPr>
            <w:r w:rsidRPr="00EF1BB1">
              <w:rPr>
                <w:sz w:val="18"/>
                <w:szCs w:val="18"/>
              </w:rPr>
              <w:t>-</w:t>
            </w:r>
          </w:p>
        </w:tc>
        <w:tc>
          <w:tcPr>
            <w:tcW w:w="366" w:type="dxa"/>
            <w:shd w:val="clear" w:color="auto" w:fill="auto"/>
            <w:tcMar>
              <w:top w:w="0" w:type="dxa"/>
              <w:left w:w="0" w:type="dxa"/>
              <w:bottom w:w="0" w:type="dxa"/>
              <w:right w:w="28" w:type="dxa"/>
            </w:tcMar>
            <w:vAlign w:val="bottom"/>
            <w:hideMark/>
          </w:tcPr>
          <w:p w14:paraId="1B49332F" w14:textId="77777777" w:rsidR="00EF1BB1" w:rsidRPr="00EF1BB1" w:rsidRDefault="00EF1BB1" w:rsidP="00EF1BB1">
            <w:pPr>
              <w:suppressAutoHyphens w:val="0"/>
              <w:spacing w:before="40" w:after="40" w:line="220" w:lineRule="exact"/>
              <w:ind w:right="113"/>
              <w:jc w:val="right"/>
              <w:rPr>
                <w:sz w:val="18"/>
              </w:rPr>
            </w:pPr>
            <w:r w:rsidRPr="00EF1BB1">
              <w:rPr>
                <w:sz w:val="18"/>
                <w:szCs w:val="18"/>
              </w:rPr>
              <w:t>2</w:t>
            </w:r>
          </w:p>
        </w:tc>
        <w:tc>
          <w:tcPr>
            <w:tcW w:w="366" w:type="dxa"/>
            <w:shd w:val="clear" w:color="auto" w:fill="auto"/>
            <w:vAlign w:val="bottom"/>
            <w:hideMark/>
          </w:tcPr>
          <w:p w14:paraId="623D4CAB"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366" w:type="dxa"/>
            <w:shd w:val="clear" w:color="auto" w:fill="auto"/>
            <w:tcMar>
              <w:top w:w="0" w:type="dxa"/>
              <w:left w:w="0" w:type="dxa"/>
              <w:bottom w:w="0" w:type="dxa"/>
              <w:right w:w="28" w:type="dxa"/>
            </w:tcMar>
            <w:vAlign w:val="bottom"/>
            <w:hideMark/>
          </w:tcPr>
          <w:p w14:paraId="64B3179B" w14:textId="77777777" w:rsidR="00EF1BB1" w:rsidRPr="00EF1BB1" w:rsidRDefault="00EF1BB1" w:rsidP="00EF1BB1">
            <w:pPr>
              <w:suppressAutoHyphens w:val="0"/>
              <w:spacing w:before="40" w:after="40" w:line="220" w:lineRule="exact"/>
              <w:ind w:right="113"/>
              <w:jc w:val="right"/>
              <w:rPr>
                <w:sz w:val="18"/>
              </w:rPr>
            </w:pPr>
            <w:r w:rsidRPr="00EF1BB1">
              <w:rPr>
                <w:sz w:val="18"/>
              </w:rPr>
              <w:t>-</w:t>
            </w:r>
          </w:p>
        </w:tc>
        <w:tc>
          <w:tcPr>
            <w:tcW w:w="421" w:type="dxa"/>
            <w:shd w:val="clear" w:color="auto" w:fill="auto"/>
            <w:tcMar>
              <w:top w:w="0" w:type="dxa"/>
              <w:left w:w="0" w:type="dxa"/>
              <w:bottom w:w="0" w:type="dxa"/>
              <w:right w:w="28" w:type="dxa"/>
            </w:tcMar>
            <w:vAlign w:val="bottom"/>
            <w:hideMark/>
          </w:tcPr>
          <w:p w14:paraId="459D8D32"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10</w:t>
            </w:r>
          </w:p>
        </w:tc>
        <w:tc>
          <w:tcPr>
            <w:tcW w:w="366" w:type="dxa"/>
            <w:shd w:val="clear" w:color="auto" w:fill="auto"/>
            <w:tcMar>
              <w:top w:w="0" w:type="dxa"/>
              <w:left w:w="0" w:type="dxa"/>
              <w:bottom w:w="0" w:type="dxa"/>
              <w:right w:w="28" w:type="dxa"/>
            </w:tcMar>
            <w:vAlign w:val="bottom"/>
            <w:hideMark/>
          </w:tcPr>
          <w:p w14:paraId="483E829E"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shd w:val="clear" w:color="auto" w:fill="auto"/>
            <w:vAlign w:val="bottom"/>
            <w:hideMark/>
          </w:tcPr>
          <w:p w14:paraId="2125BDDE"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75" w:type="dxa"/>
            <w:shd w:val="clear" w:color="auto" w:fill="auto"/>
            <w:vAlign w:val="bottom"/>
            <w:hideMark/>
          </w:tcPr>
          <w:p w14:paraId="3FF1B8A7"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75" w:type="dxa"/>
            <w:shd w:val="clear" w:color="auto" w:fill="auto"/>
            <w:vAlign w:val="bottom"/>
            <w:hideMark/>
          </w:tcPr>
          <w:p w14:paraId="3745B1B0"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shd w:val="clear" w:color="auto" w:fill="auto"/>
            <w:tcMar>
              <w:top w:w="0" w:type="dxa"/>
              <w:left w:w="0" w:type="dxa"/>
              <w:bottom w:w="0" w:type="dxa"/>
              <w:right w:w="28" w:type="dxa"/>
            </w:tcMar>
            <w:vAlign w:val="bottom"/>
            <w:hideMark/>
          </w:tcPr>
          <w:p w14:paraId="07BE90AC"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shd w:val="clear" w:color="auto" w:fill="auto"/>
            <w:vAlign w:val="bottom"/>
            <w:hideMark/>
          </w:tcPr>
          <w:p w14:paraId="34C0C0E5"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75" w:type="dxa"/>
            <w:shd w:val="clear" w:color="auto" w:fill="auto"/>
            <w:tcMar>
              <w:top w:w="0" w:type="dxa"/>
              <w:left w:w="0" w:type="dxa"/>
              <w:bottom w:w="0" w:type="dxa"/>
              <w:right w:w="28" w:type="dxa"/>
            </w:tcMar>
            <w:vAlign w:val="bottom"/>
            <w:hideMark/>
          </w:tcPr>
          <w:p w14:paraId="61B4E3B0"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75" w:type="dxa"/>
            <w:shd w:val="clear" w:color="auto" w:fill="auto"/>
            <w:tcMar>
              <w:top w:w="0" w:type="dxa"/>
              <w:left w:w="0" w:type="dxa"/>
              <w:bottom w:w="0" w:type="dxa"/>
              <w:right w:w="28" w:type="dxa"/>
            </w:tcMar>
            <w:vAlign w:val="bottom"/>
            <w:hideMark/>
          </w:tcPr>
          <w:p w14:paraId="738FB040" w14:textId="77777777" w:rsidR="00EF1BB1" w:rsidRPr="00EF1BB1" w:rsidRDefault="00EF1BB1" w:rsidP="00EF1BB1">
            <w:pPr>
              <w:suppressAutoHyphens w:val="0"/>
              <w:spacing w:before="40" w:after="40" w:line="220" w:lineRule="exact"/>
              <w:ind w:right="113"/>
              <w:jc w:val="right"/>
              <w:rPr>
                <w:sz w:val="18"/>
              </w:rPr>
            </w:pPr>
            <w:r w:rsidRPr="00EF1BB1">
              <w:rPr>
                <w:sz w:val="18"/>
              </w:rPr>
              <w:t>1</w:t>
            </w:r>
          </w:p>
        </w:tc>
        <w:tc>
          <w:tcPr>
            <w:tcW w:w="634" w:type="dxa"/>
            <w:shd w:val="clear" w:color="auto" w:fill="auto"/>
            <w:tcMar>
              <w:top w:w="0" w:type="dxa"/>
              <w:left w:w="0" w:type="dxa"/>
              <w:bottom w:w="0" w:type="dxa"/>
              <w:right w:w="28" w:type="dxa"/>
            </w:tcMar>
            <w:vAlign w:val="bottom"/>
            <w:hideMark/>
          </w:tcPr>
          <w:p w14:paraId="6A6974DE" w14:textId="77777777" w:rsidR="00EF1BB1" w:rsidRPr="00EF1BB1" w:rsidRDefault="00EF1BB1" w:rsidP="00EF1BB1">
            <w:pPr>
              <w:suppressAutoHyphens w:val="0"/>
              <w:spacing w:before="40" w:after="40" w:line="220" w:lineRule="exact"/>
              <w:ind w:right="113"/>
              <w:jc w:val="right"/>
              <w:rPr>
                <w:sz w:val="18"/>
              </w:rPr>
            </w:pPr>
            <w:r w:rsidRPr="00EF1BB1">
              <w:rPr>
                <w:sz w:val="18"/>
                <w:szCs w:val="18"/>
              </w:rPr>
              <w:t>248</w:t>
            </w:r>
          </w:p>
        </w:tc>
      </w:tr>
      <w:tr w:rsidR="00EF1BB1" w:rsidRPr="00EF1BB1" w14:paraId="50A5EDFA" w14:textId="77777777" w:rsidTr="00EF1BB1">
        <w:tc>
          <w:tcPr>
            <w:tcW w:w="549" w:type="dxa"/>
            <w:shd w:val="clear" w:color="auto" w:fill="auto"/>
            <w:hideMark/>
          </w:tcPr>
          <w:p w14:paraId="4B08D5F0" w14:textId="77777777" w:rsidR="00EF1BB1" w:rsidRPr="00EF1BB1" w:rsidRDefault="00EF1BB1" w:rsidP="00EF1BB1">
            <w:pPr>
              <w:suppressAutoHyphens w:val="0"/>
              <w:spacing w:before="40" w:after="40" w:line="220" w:lineRule="exact"/>
              <w:ind w:right="113"/>
              <w:rPr>
                <w:sz w:val="18"/>
              </w:rPr>
            </w:pPr>
            <w:r w:rsidRPr="00EF1BB1">
              <w:rPr>
                <w:sz w:val="18"/>
              </w:rPr>
              <w:t>2020</w:t>
            </w:r>
          </w:p>
        </w:tc>
        <w:tc>
          <w:tcPr>
            <w:tcW w:w="366" w:type="dxa"/>
            <w:shd w:val="clear" w:color="auto" w:fill="auto"/>
            <w:tcMar>
              <w:top w:w="0" w:type="dxa"/>
              <w:left w:w="0" w:type="dxa"/>
              <w:bottom w:w="0" w:type="dxa"/>
              <w:right w:w="28" w:type="dxa"/>
            </w:tcMar>
            <w:vAlign w:val="bottom"/>
            <w:hideMark/>
          </w:tcPr>
          <w:p w14:paraId="2D043879" w14:textId="77777777" w:rsidR="00EF1BB1" w:rsidRPr="00EF1BB1" w:rsidRDefault="00EF1BB1" w:rsidP="00EF1BB1">
            <w:pPr>
              <w:suppressAutoHyphens w:val="0"/>
              <w:spacing w:before="40" w:after="40" w:line="220" w:lineRule="exact"/>
              <w:ind w:right="113"/>
              <w:jc w:val="right"/>
              <w:rPr>
                <w:sz w:val="18"/>
              </w:rPr>
            </w:pPr>
            <w:r w:rsidRPr="00EF1BB1">
              <w:rPr>
                <w:sz w:val="18"/>
                <w:szCs w:val="18"/>
              </w:rPr>
              <w:t>1</w:t>
            </w:r>
          </w:p>
        </w:tc>
        <w:tc>
          <w:tcPr>
            <w:tcW w:w="366" w:type="dxa"/>
            <w:shd w:val="clear" w:color="auto" w:fill="auto"/>
            <w:tcMar>
              <w:top w:w="0" w:type="dxa"/>
              <w:left w:w="0" w:type="dxa"/>
              <w:bottom w:w="0" w:type="dxa"/>
              <w:right w:w="28" w:type="dxa"/>
            </w:tcMar>
            <w:vAlign w:val="bottom"/>
            <w:hideMark/>
          </w:tcPr>
          <w:p w14:paraId="15F73D18"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shd w:val="clear" w:color="auto" w:fill="auto"/>
            <w:vAlign w:val="bottom"/>
            <w:hideMark/>
          </w:tcPr>
          <w:p w14:paraId="48EF91F7"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shd w:val="clear" w:color="auto" w:fill="auto"/>
            <w:tcMar>
              <w:top w:w="0" w:type="dxa"/>
              <w:left w:w="0" w:type="dxa"/>
              <w:bottom w:w="0" w:type="dxa"/>
              <w:right w:w="28" w:type="dxa"/>
            </w:tcMar>
            <w:vAlign w:val="bottom"/>
            <w:hideMark/>
          </w:tcPr>
          <w:p w14:paraId="29BF9F2D"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shd w:val="clear" w:color="auto" w:fill="auto"/>
            <w:vAlign w:val="bottom"/>
            <w:hideMark/>
          </w:tcPr>
          <w:p w14:paraId="374A5126" w14:textId="77777777" w:rsidR="00EF1BB1" w:rsidRPr="00EF1BB1" w:rsidRDefault="00EF1BB1" w:rsidP="00EF1BB1">
            <w:pPr>
              <w:suppressAutoHyphens w:val="0"/>
              <w:spacing w:before="40" w:after="40" w:line="220" w:lineRule="exact"/>
              <w:ind w:right="113"/>
              <w:jc w:val="right"/>
              <w:rPr>
                <w:sz w:val="18"/>
              </w:rPr>
            </w:pPr>
            <w:r w:rsidRPr="00EF1BB1">
              <w:rPr>
                <w:sz w:val="18"/>
              </w:rPr>
              <w:t>1</w:t>
            </w:r>
          </w:p>
        </w:tc>
        <w:tc>
          <w:tcPr>
            <w:tcW w:w="366" w:type="dxa"/>
            <w:shd w:val="clear" w:color="auto" w:fill="auto"/>
            <w:tcMar>
              <w:top w:w="0" w:type="dxa"/>
              <w:left w:w="0" w:type="dxa"/>
              <w:bottom w:w="0" w:type="dxa"/>
              <w:right w:w="28" w:type="dxa"/>
            </w:tcMar>
            <w:vAlign w:val="bottom"/>
            <w:hideMark/>
          </w:tcPr>
          <w:p w14:paraId="3917E371" w14:textId="77777777" w:rsidR="00EF1BB1" w:rsidRPr="00EF1BB1" w:rsidRDefault="00EF1BB1" w:rsidP="00EF1BB1">
            <w:pPr>
              <w:suppressAutoHyphens w:val="0"/>
              <w:spacing w:before="40" w:after="40" w:line="220" w:lineRule="exact"/>
              <w:ind w:right="113"/>
              <w:jc w:val="right"/>
              <w:rPr>
                <w:sz w:val="18"/>
              </w:rPr>
            </w:pPr>
            <w:r w:rsidRPr="00EF1BB1">
              <w:rPr>
                <w:sz w:val="18"/>
              </w:rPr>
              <w:t>1</w:t>
            </w:r>
          </w:p>
        </w:tc>
        <w:tc>
          <w:tcPr>
            <w:tcW w:w="378" w:type="dxa"/>
            <w:shd w:val="clear" w:color="auto" w:fill="auto"/>
            <w:tcMar>
              <w:top w:w="0" w:type="dxa"/>
              <w:left w:w="0" w:type="dxa"/>
              <w:bottom w:w="0" w:type="dxa"/>
              <w:right w:w="28" w:type="dxa"/>
            </w:tcMar>
            <w:vAlign w:val="bottom"/>
            <w:hideMark/>
          </w:tcPr>
          <w:p w14:paraId="647D2836" w14:textId="77777777" w:rsidR="00EF1BB1" w:rsidRPr="00EF1BB1" w:rsidRDefault="00EF1BB1" w:rsidP="00EF1BB1">
            <w:pPr>
              <w:suppressAutoHyphens w:val="0"/>
              <w:spacing w:before="40" w:after="40" w:line="220" w:lineRule="exact"/>
              <w:ind w:right="113"/>
              <w:jc w:val="right"/>
              <w:rPr>
                <w:sz w:val="18"/>
              </w:rPr>
            </w:pPr>
            <w:r w:rsidRPr="00EF1BB1">
              <w:rPr>
                <w:sz w:val="18"/>
              </w:rPr>
              <w:t>2</w:t>
            </w:r>
          </w:p>
        </w:tc>
        <w:tc>
          <w:tcPr>
            <w:tcW w:w="366" w:type="dxa"/>
            <w:shd w:val="clear" w:color="auto" w:fill="auto"/>
            <w:tcMar>
              <w:top w:w="0" w:type="dxa"/>
              <w:left w:w="0" w:type="dxa"/>
              <w:bottom w:w="0" w:type="dxa"/>
              <w:right w:w="28" w:type="dxa"/>
            </w:tcMar>
            <w:vAlign w:val="bottom"/>
            <w:hideMark/>
          </w:tcPr>
          <w:p w14:paraId="307C885E" w14:textId="77777777" w:rsidR="00EF1BB1" w:rsidRPr="00EF1BB1" w:rsidRDefault="00EF1BB1" w:rsidP="00EF1BB1">
            <w:pPr>
              <w:suppressAutoHyphens w:val="0"/>
              <w:spacing w:before="40" w:after="40" w:line="220" w:lineRule="exact"/>
              <w:ind w:right="113"/>
              <w:jc w:val="right"/>
              <w:rPr>
                <w:sz w:val="18"/>
              </w:rPr>
            </w:pPr>
            <w:r w:rsidRPr="00EF1BB1">
              <w:rPr>
                <w:sz w:val="18"/>
                <w:szCs w:val="18"/>
              </w:rPr>
              <w:t>-</w:t>
            </w:r>
          </w:p>
        </w:tc>
        <w:tc>
          <w:tcPr>
            <w:tcW w:w="375" w:type="dxa"/>
            <w:shd w:val="clear" w:color="auto" w:fill="auto"/>
            <w:tcMar>
              <w:top w:w="0" w:type="dxa"/>
              <w:left w:w="0" w:type="dxa"/>
              <w:bottom w:w="0" w:type="dxa"/>
              <w:right w:w="28" w:type="dxa"/>
            </w:tcMar>
            <w:vAlign w:val="bottom"/>
            <w:hideMark/>
          </w:tcPr>
          <w:p w14:paraId="34885571" w14:textId="77777777" w:rsidR="00EF1BB1" w:rsidRPr="00EF1BB1" w:rsidRDefault="00EF1BB1" w:rsidP="00EF1BB1">
            <w:pPr>
              <w:suppressAutoHyphens w:val="0"/>
              <w:spacing w:before="40" w:after="40" w:line="220" w:lineRule="exact"/>
              <w:ind w:right="113"/>
              <w:jc w:val="right"/>
              <w:rPr>
                <w:sz w:val="18"/>
              </w:rPr>
            </w:pPr>
            <w:r w:rsidRPr="00EF1BB1">
              <w:rPr>
                <w:sz w:val="18"/>
                <w:szCs w:val="18"/>
              </w:rPr>
              <w:t>9</w:t>
            </w:r>
          </w:p>
        </w:tc>
        <w:tc>
          <w:tcPr>
            <w:tcW w:w="434" w:type="dxa"/>
            <w:shd w:val="clear" w:color="auto" w:fill="auto"/>
            <w:tcMar>
              <w:top w:w="0" w:type="dxa"/>
              <w:left w:w="0" w:type="dxa"/>
              <w:bottom w:w="0" w:type="dxa"/>
              <w:right w:w="28" w:type="dxa"/>
            </w:tcMar>
            <w:vAlign w:val="bottom"/>
            <w:hideMark/>
          </w:tcPr>
          <w:p w14:paraId="6D429AFA" w14:textId="77777777" w:rsidR="00EF1BB1" w:rsidRPr="00EF1BB1" w:rsidRDefault="00EF1BB1" w:rsidP="00EF1BB1">
            <w:pPr>
              <w:suppressAutoHyphens w:val="0"/>
              <w:spacing w:before="40" w:after="40" w:line="220" w:lineRule="exact"/>
              <w:ind w:right="113"/>
              <w:jc w:val="right"/>
              <w:rPr>
                <w:sz w:val="18"/>
              </w:rPr>
            </w:pPr>
            <w:r w:rsidRPr="00EF1BB1">
              <w:rPr>
                <w:sz w:val="18"/>
                <w:szCs w:val="18"/>
              </w:rPr>
              <w:t>103</w:t>
            </w:r>
          </w:p>
        </w:tc>
        <w:tc>
          <w:tcPr>
            <w:tcW w:w="366" w:type="dxa"/>
            <w:shd w:val="clear" w:color="auto" w:fill="auto"/>
            <w:tcMar>
              <w:top w:w="0" w:type="dxa"/>
              <w:left w:w="0" w:type="dxa"/>
              <w:bottom w:w="0" w:type="dxa"/>
              <w:right w:w="28" w:type="dxa"/>
            </w:tcMar>
            <w:vAlign w:val="bottom"/>
            <w:hideMark/>
          </w:tcPr>
          <w:p w14:paraId="2F405B3D" w14:textId="77777777" w:rsidR="00EF1BB1" w:rsidRPr="00EF1BB1" w:rsidRDefault="00EF1BB1" w:rsidP="00EF1BB1">
            <w:pPr>
              <w:suppressAutoHyphens w:val="0"/>
              <w:spacing w:before="40" w:after="40" w:line="220" w:lineRule="exact"/>
              <w:ind w:right="113"/>
              <w:jc w:val="right"/>
              <w:rPr>
                <w:sz w:val="18"/>
              </w:rPr>
            </w:pPr>
            <w:r w:rsidRPr="00EF1BB1">
              <w:rPr>
                <w:sz w:val="18"/>
                <w:szCs w:val="18"/>
              </w:rPr>
              <w:t>-</w:t>
            </w:r>
          </w:p>
        </w:tc>
        <w:tc>
          <w:tcPr>
            <w:tcW w:w="366" w:type="dxa"/>
            <w:shd w:val="clear" w:color="auto" w:fill="auto"/>
            <w:tcMar>
              <w:top w:w="0" w:type="dxa"/>
              <w:left w:w="0" w:type="dxa"/>
              <w:bottom w:w="0" w:type="dxa"/>
              <w:right w:w="28" w:type="dxa"/>
            </w:tcMar>
            <w:vAlign w:val="bottom"/>
            <w:hideMark/>
          </w:tcPr>
          <w:p w14:paraId="52F8F4B9" w14:textId="77777777" w:rsidR="00EF1BB1" w:rsidRPr="00EF1BB1" w:rsidRDefault="00EF1BB1" w:rsidP="00EF1BB1">
            <w:pPr>
              <w:suppressAutoHyphens w:val="0"/>
              <w:spacing w:before="40" w:after="40" w:line="220" w:lineRule="exact"/>
              <w:ind w:right="113"/>
              <w:jc w:val="right"/>
              <w:rPr>
                <w:sz w:val="18"/>
              </w:rPr>
            </w:pPr>
            <w:r w:rsidRPr="00EF1BB1">
              <w:rPr>
                <w:sz w:val="18"/>
                <w:szCs w:val="18"/>
              </w:rPr>
              <w:t>-</w:t>
            </w:r>
          </w:p>
        </w:tc>
        <w:tc>
          <w:tcPr>
            <w:tcW w:w="366" w:type="dxa"/>
            <w:shd w:val="clear" w:color="auto" w:fill="auto"/>
            <w:vAlign w:val="bottom"/>
            <w:hideMark/>
          </w:tcPr>
          <w:p w14:paraId="33D13493" w14:textId="77777777" w:rsidR="00EF1BB1" w:rsidRPr="00EF1BB1" w:rsidRDefault="00EF1BB1" w:rsidP="00EF1BB1">
            <w:pPr>
              <w:suppressAutoHyphens w:val="0"/>
              <w:spacing w:before="40" w:after="40" w:line="220" w:lineRule="exact"/>
              <w:ind w:right="113"/>
              <w:jc w:val="right"/>
              <w:rPr>
                <w:sz w:val="18"/>
              </w:rPr>
            </w:pPr>
            <w:r w:rsidRPr="00EF1BB1">
              <w:rPr>
                <w:sz w:val="18"/>
              </w:rPr>
              <w:t>1</w:t>
            </w:r>
          </w:p>
        </w:tc>
        <w:tc>
          <w:tcPr>
            <w:tcW w:w="366" w:type="dxa"/>
            <w:shd w:val="clear" w:color="auto" w:fill="auto"/>
            <w:tcMar>
              <w:top w:w="0" w:type="dxa"/>
              <w:left w:w="0" w:type="dxa"/>
              <w:bottom w:w="0" w:type="dxa"/>
              <w:right w:w="28" w:type="dxa"/>
            </w:tcMar>
            <w:vAlign w:val="bottom"/>
            <w:hideMark/>
          </w:tcPr>
          <w:p w14:paraId="7BDABD4C" w14:textId="77777777" w:rsidR="00EF1BB1" w:rsidRPr="00EF1BB1" w:rsidRDefault="00EF1BB1" w:rsidP="00EF1BB1">
            <w:pPr>
              <w:suppressAutoHyphens w:val="0"/>
              <w:spacing w:before="40" w:after="40" w:line="220" w:lineRule="exact"/>
              <w:ind w:right="113"/>
              <w:jc w:val="right"/>
              <w:rPr>
                <w:sz w:val="18"/>
              </w:rPr>
            </w:pPr>
            <w:r w:rsidRPr="00EF1BB1">
              <w:rPr>
                <w:sz w:val="18"/>
                <w:szCs w:val="18"/>
              </w:rPr>
              <w:t>-</w:t>
            </w:r>
          </w:p>
        </w:tc>
        <w:tc>
          <w:tcPr>
            <w:tcW w:w="421" w:type="dxa"/>
            <w:shd w:val="clear" w:color="auto" w:fill="auto"/>
            <w:tcMar>
              <w:top w:w="0" w:type="dxa"/>
              <w:left w:w="0" w:type="dxa"/>
              <w:bottom w:w="0" w:type="dxa"/>
              <w:right w:w="28" w:type="dxa"/>
            </w:tcMar>
            <w:vAlign w:val="bottom"/>
            <w:hideMark/>
          </w:tcPr>
          <w:p w14:paraId="119CFAE8" w14:textId="77777777" w:rsidR="00EF1BB1" w:rsidRPr="00EF1BB1" w:rsidRDefault="00EF1BB1" w:rsidP="00EF1BB1">
            <w:pPr>
              <w:suppressAutoHyphens w:val="0"/>
              <w:spacing w:before="40" w:after="40" w:line="220" w:lineRule="exact"/>
              <w:ind w:right="113"/>
              <w:jc w:val="right"/>
              <w:rPr>
                <w:sz w:val="18"/>
              </w:rPr>
            </w:pPr>
            <w:r w:rsidRPr="00EF1BB1">
              <w:rPr>
                <w:sz w:val="18"/>
                <w:szCs w:val="18"/>
              </w:rPr>
              <w:t>57</w:t>
            </w:r>
          </w:p>
        </w:tc>
        <w:tc>
          <w:tcPr>
            <w:tcW w:w="366" w:type="dxa"/>
            <w:shd w:val="clear" w:color="auto" w:fill="auto"/>
            <w:tcMar>
              <w:top w:w="0" w:type="dxa"/>
              <w:left w:w="0" w:type="dxa"/>
              <w:bottom w:w="0" w:type="dxa"/>
              <w:right w:w="28" w:type="dxa"/>
            </w:tcMar>
            <w:vAlign w:val="bottom"/>
            <w:hideMark/>
          </w:tcPr>
          <w:p w14:paraId="4E525825" w14:textId="77777777" w:rsidR="00EF1BB1" w:rsidRPr="00EF1BB1" w:rsidRDefault="00EF1BB1" w:rsidP="00EF1BB1">
            <w:pPr>
              <w:suppressAutoHyphens w:val="0"/>
              <w:spacing w:before="40" w:after="40" w:line="220" w:lineRule="exact"/>
              <w:ind w:right="113"/>
              <w:jc w:val="right"/>
              <w:rPr>
                <w:sz w:val="18"/>
              </w:rPr>
            </w:pPr>
            <w:r w:rsidRPr="00EF1BB1">
              <w:rPr>
                <w:sz w:val="18"/>
                <w:szCs w:val="18"/>
              </w:rPr>
              <w:t>-</w:t>
            </w:r>
          </w:p>
        </w:tc>
        <w:tc>
          <w:tcPr>
            <w:tcW w:w="366" w:type="dxa"/>
            <w:shd w:val="clear" w:color="auto" w:fill="auto"/>
            <w:vAlign w:val="bottom"/>
            <w:hideMark/>
          </w:tcPr>
          <w:p w14:paraId="480C5051" w14:textId="77777777" w:rsidR="00EF1BB1" w:rsidRPr="00EF1BB1" w:rsidRDefault="00EF1BB1" w:rsidP="00EF1BB1">
            <w:pPr>
              <w:suppressAutoHyphens w:val="0"/>
              <w:spacing w:before="40" w:after="40" w:line="220" w:lineRule="exact"/>
              <w:ind w:right="113"/>
              <w:jc w:val="right"/>
              <w:rPr>
                <w:sz w:val="18"/>
              </w:rPr>
            </w:pPr>
            <w:r w:rsidRPr="00EF1BB1">
              <w:rPr>
                <w:sz w:val="18"/>
              </w:rPr>
              <w:t>1</w:t>
            </w:r>
          </w:p>
        </w:tc>
        <w:tc>
          <w:tcPr>
            <w:tcW w:w="375" w:type="dxa"/>
            <w:shd w:val="clear" w:color="auto" w:fill="auto"/>
            <w:vAlign w:val="bottom"/>
            <w:hideMark/>
          </w:tcPr>
          <w:p w14:paraId="1B721B34" w14:textId="77777777" w:rsidR="00EF1BB1" w:rsidRPr="00EF1BB1" w:rsidRDefault="00EF1BB1" w:rsidP="00EF1BB1">
            <w:pPr>
              <w:suppressAutoHyphens w:val="0"/>
              <w:spacing w:before="40" w:after="40" w:line="220" w:lineRule="exact"/>
              <w:ind w:right="113"/>
              <w:jc w:val="right"/>
              <w:rPr>
                <w:sz w:val="18"/>
              </w:rPr>
            </w:pPr>
            <w:r w:rsidRPr="00EF1BB1">
              <w:rPr>
                <w:sz w:val="18"/>
                <w:szCs w:val="18"/>
              </w:rPr>
              <w:t>-</w:t>
            </w:r>
          </w:p>
        </w:tc>
        <w:tc>
          <w:tcPr>
            <w:tcW w:w="375" w:type="dxa"/>
            <w:shd w:val="clear" w:color="auto" w:fill="auto"/>
            <w:vAlign w:val="bottom"/>
            <w:hideMark/>
          </w:tcPr>
          <w:p w14:paraId="038A6353"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14</w:t>
            </w:r>
          </w:p>
        </w:tc>
        <w:tc>
          <w:tcPr>
            <w:tcW w:w="366" w:type="dxa"/>
            <w:shd w:val="clear" w:color="auto" w:fill="auto"/>
            <w:tcMar>
              <w:top w:w="0" w:type="dxa"/>
              <w:left w:w="0" w:type="dxa"/>
              <w:bottom w:w="0" w:type="dxa"/>
              <w:right w:w="28" w:type="dxa"/>
            </w:tcMar>
            <w:vAlign w:val="bottom"/>
            <w:hideMark/>
          </w:tcPr>
          <w:p w14:paraId="6F111AED"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shd w:val="clear" w:color="auto" w:fill="auto"/>
            <w:vAlign w:val="bottom"/>
            <w:hideMark/>
          </w:tcPr>
          <w:p w14:paraId="7E42E3A4" w14:textId="77777777" w:rsidR="00EF1BB1" w:rsidRPr="00EF1BB1" w:rsidRDefault="00EF1BB1" w:rsidP="00EF1BB1">
            <w:pPr>
              <w:suppressAutoHyphens w:val="0"/>
              <w:spacing w:before="40" w:after="40" w:line="220" w:lineRule="exact"/>
              <w:ind w:right="113"/>
              <w:jc w:val="right"/>
              <w:rPr>
                <w:sz w:val="18"/>
              </w:rPr>
            </w:pPr>
            <w:r w:rsidRPr="00EF1BB1">
              <w:rPr>
                <w:sz w:val="18"/>
              </w:rPr>
              <w:t>1</w:t>
            </w:r>
          </w:p>
        </w:tc>
        <w:tc>
          <w:tcPr>
            <w:tcW w:w="375" w:type="dxa"/>
            <w:shd w:val="clear" w:color="auto" w:fill="auto"/>
            <w:tcMar>
              <w:top w:w="0" w:type="dxa"/>
              <w:left w:w="0" w:type="dxa"/>
              <w:bottom w:w="0" w:type="dxa"/>
              <w:right w:w="28" w:type="dxa"/>
            </w:tcMar>
            <w:vAlign w:val="bottom"/>
            <w:hideMark/>
          </w:tcPr>
          <w:p w14:paraId="6723F9FF" w14:textId="77777777" w:rsidR="00EF1BB1" w:rsidRPr="00EF1BB1" w:rsidRDefault="00EF1BB1" w:rsidP="00EF1BB1">
            <w:pPr>
              <w:suppressAutoHyphens w:val="0"/>
              <w:spacing w:before="40" w:after="40" w:line="220" w:lineRule="exact"/>
              <w:ind w:right="113"/>
              <w:jc w:val="right"/>
              <w:rPr>
                <w:sz w:val="18"/>
              </w:rPr>
            </w:pPr>
            <w:r w:rsidRPr="00EF1BB1">
              <w:rPr>
                <w:sz w:val="18"/>
                <w:szCs w:val="18"/>
              </w:rPr>
              <w:t>1</w:t>
            </w:r>
          </w:p>
        </w:tc>
        <w:tc>
          <w:tcPr>
            <w:tcW w:w="375" w:type="dxa"/>
            <w:shd w:val="clear" w:color="auto" w:fill="auto"/>
            <w:tcMar>
              <w:top w:w="0" w:type="dxa"/>
              <w:left w:w="0" w:type="dxa"/>
              <w:bottom w:w="0" w:type="dxa"/>
              <w:right w:w="28" w:type="dxa"/>
            </w:tcMar>
            <w:vAlign w:val="bottom"/>
            <w:hideMark/>
          </w:tcPr>
          <w:p w14:paraId="6A3A895F"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634" w:type="dxa"/>
            <w:shd w:val="clear" w:color="auto" w:fill="auto"/>
            <w:tcMar>
              <w:top w:w="0" w:type="dxa"/>
              <w:left w:w="0" w:type="dxa"/>
              <w:bottom w:w="0" w:type="dxa"/>
              <w:right w:w="28" w:type="dxa"/>
            </w:tcMar>
            <w:vAlign w:val="bottom"/>
            <w:hideMark/>
          </w:tcPr>
          <w:p w14:paraId="62B4E444"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192</w:t>
            </w:r>
          </w:p>
        </w:tc>
      </w:tr>
      <w:tr w:rsidR="00EF1BB1" w:rsidRPr="00EF1BB1" w14:paraId="5425C1E1" w14:textId="77777777" w:rsidTr="00624FC3">
        <w:tc>
          <w:tcPr>
            <w:tcW w:w="549" w:type="dxa"/>
            <w:tcBorders>
              <w:bottom w:val="single" w:sz="4" w:space="0" w:color="auto"/>
            </w:tcBorders>
            <w:shd w:val="clear" w:color="auto" w:fill="auto"/>
            <w:hideMark/>
          </w:tcPr>
          <w:p w14:paraId="08A77188" w14:textId="77777777" w:rsidR="00EF1BB1" w:rsidRPr="00EF1BB1" w:rsidRDefault="00EF1BB1" w:rsidP="00EF1BB1">
            <w:pPr>
              <w:suppressAutoHyphens w:val="0"/>
              <w:spacing w:before="40" w:after="40" w:line="220" w:lineRule="exact"/>
              <w:ind w:right="113"/>
              <w:rPr>
                <w:sz w:val="18"/>
                <w:szCs w:val="18"/>
              </w:rPr>
            </w:pPr>
            <w:r w:rsidRPr="00EF1BB1">
              <w:rPr>
                <w:sz w:val="18"/>
                <w:szCs w:val="18"/>
              </w:rPr>
              <w:t>2021</w:t>
            </w:r>
            <w:r w:rsidRPr="00EF1BB1">
              <w:rPr>
                <w:i/>
                <w:iCs/>
                <w:sz w:val="18"/>
                <w:szCs w:val="18"/>
                <w:vertAlign w:val="superscript"/>
              </w:rPr>
              <w:t>a</w:t>
            </w:r>
          </w:p>
        </w:tc>
        <w:tc>
          <w:tcPr>
            <w:tcW w:w="366" w:type="dxa"/>
            <w:tcBorders>
              <w:bottom w:val="single" w:sz="4" w:space="0" w:color="auto"/>
            </w:tcBorders>
            <w:shd w:val="clear" w:color="auto" w:fill="auto"/>
            <w:tcMar>
              <w:top w:w="0" w:type="dxa"/>
              <w:left w:w="0" w:type="dxa"/>
              <w:bottom w:w="0" w:type="dxa"/>
              <w:right w:w="28" w:type="dxa"/>
            </w:tcMar>
            <w:vAlign w:val="bottom"/>
            <w:hideMark/>
          </w:tcPr>
          <w:p w14:paraId="1ABB1C7D"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tcBorders>
              <w:bottom w:val="single" w:sz="4" w:space="0" w:color="auto"/>
            </w:tcBorders>
            <w:shd w:val="clear" w:color="auto" w:fill="auto"/>
            <w:tcMar>
              <w:top w:w="0" w:type="dxa"/>
              <w:left w:w="0" w:type="dxa"/>
              <w:bottom w:w="0" w:type="dxa"/>
              <w:right w:w="28" w:type="dxa"/>
            </w:tcMar>
            <w:vAlign w:val="bottom"/>
            <w:hideMark/>
          </w:tcPr>
          <w:p w14:paraId="1740B616"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tcBorders>
              <w:bottom w:val="single" w:sz="4" w:space="0" w:color="auto"/>
            </w:tcBorders>
            <w:shd w:val="clear" w:color="auto" w:fill="auto"/>
            <w:vAlign w:val="bottom"/>
            <w:hideMark/>
          </w:tcPr>
          <w:p w14:paraId="28963931"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tcBorders>
              <w:bottom w:val="single" w:sz="4" w:space="0" w:color="auto"/>
            </w:tcBorders>
            <w:shd w:val="clear" w:color="auto" w:fill="auto"/>
            <w:tcMar>
              <w:top w:w="0" w:type="dxa"/>
              <w:left w:w="0" w:type="dxa"/>
              <w:bottom w:w="0" w:type="dxa"/>
              <w:right w:w="28" w:type="dxa"/>
            </w:tcMar>
            <w:vAlign w:val="bottom"/>
            <w:hideMark/>
          </w:tcPr>
          <w:p w14:paraId="261CE66B"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tcBorders>
              <w:bottom w:val="single" w:sz="4" w:space="0" w:color="auto"/>
            </w:tcBorders>
            <w:shd w:val="clear" w:color="auto" w:fill="auto"/>
            <w:vAlign w:val="bottom"/>
            <w:hideMark/>
          </w:tcPr>
          <w:p w14:paraId="3DC053A3"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tcBorders>
              <w:bottom w:val="single" w:sz="4" w:space="0" w:color="auto"/>
            </w:tcBorders>
            <w:shd w:val="clear" w:color="auto" w:fill="auto"/>
            <w:tcMar>
              <w:top w:w="0" w:type="dxa"/>
              <w:left w:w="0" w:type="dxa"/>
              <w:bottom w:w="0" w:type="dxa"/>
              <w:right w:w="28" w:type="dxa"/>
            </w:tcMar>
            <w:vAlign w:val="bottom"/>
            <w:hideMark/>
          </w:tcPr>
          <w:p w14:paraId="165579F8"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78" w:type="dxa"/>
            <w:tcBorders>
              <w:bottom w:val="single" w:sz="4" w:space="0" w:color="auto"/>
            </w:tcBorders>
            <w:shd w:val="clear" w:color="auto" w:fill="auto"/>
            <w:tcMar>
              <w:top w:w="0" w:type="dxa"/>
              <w:left w:w="0" w:type="dxa"/>
              <w:bottom w:w="0" w:type="dxa"/>
              <w:right w:w="28" w:type="dxa"/>
            </w:tcMar>
            <w:vAlign w:val="bottom"/>
            <w:hideMark/>
          </w:tcPr>
          <w:p w14:paraId="6834EC31"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tcBorders>
              <w:bottom w:val="single" w:sz="4" w:space="0" w:color="auto"/>
            </w:tcBorders>
            <w:shd w:val="clear" w:color="auto" w:fill="auto"/>
            <w:tcMar>
              <w:top w:w="0" w:type="dxa"/>
              <w:left w:w="0" w:type="dxa"/>
              <w:bottom w:w="0" w:type="dxa"/>
              <w:right w:w="28" w:type="dxa"/>
            </w:tcMar>
            <w:vAlign w:val="bottom"/>
            <w:hideMark/>
          </w:tcPr>
          <w:p w14:paraId="5156107B"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75" w:type="dxa"/>
            <w:tcBorders>
              <w:bottom w:val="single" w:sz="4" w:space="0" w:color="auto"/>
            </w:tcBorders>
            <w:shd w:val="clear" w:color="auto" w:fill="auto"/>
            <w:tcMar>
              <w:top w:w="0" w:type="dxa"/>
              <w:left w:w="0" w:type="dxa"/>
              <w:bottom w:w="0" w:type="dxa"/>
              <w:right w:w="28" w:type="dxa"/>
            </w:tcMar>
            <w:vAlign w:val="bottom"/>
            <w:hideMark/>
          </w:tcPr>
          <w:p w14:paraId="6DC3221C"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1</w:t>
            </w:r>
          </w:p>
        </w:tc>
        <w:tc>
          <w:tcPr>
            <w:tcW w:w="434" w:type="dxa"/>
            <w:tcBorders>
              <w:bottom w:val="single" w:sz="4" w:space="0" w:color="auto"/>
            </w:tcBorders>
            <w:shd w:val="clear" w:color="auto" w:fill="auto"/>
            <w:tcMar>
              <w:top w:w="0" w:type="dxa"/>
              <w:left w:w="0" w:type="dxa"/>
              <w:bottom w:w="0" w:type="dxa"/>
              <w:right w:w="28" w:type="dxa"/>
            </w:tcMar>
            <w:vAlign w:val="bottom"/>
            <w:hideMark/>
          </w:tcPr>
          <w:p w14:paraId="72008DCC"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1</w:t>
            </w:r>
          </w:p>
        </w:tc>
        <w:tc>
          <w:tcPr>
            <w:tcW w:w="366" w:type="dxa"/>
            <w:tcBorders>
              <w:bottom w:val="single" w:sz="4" w:space="0" w:color="auto"/>
            </w:tcBorders>
            <w:shd w:val="clear" w:color="auto" w:fill="auto"/>
            <w:tcMar>
              <w:top w:w="0" w:type="dxa"/>
              <w:left w:w="0" w:type="dxa"/>
              <w:bottom w:w="0" w:type="dxa"/>
              <w:right w:w="28" w:type="dxa"/>
            </w:tcMar>
            <w:vAlign w:val="bottom"/>
            <w:hideMark/>
          </w:tcPr>
          <w:p w14:paraId="1A4CAE3E"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tcBorders>
              <w:bottom w:val="single" w:sz="4" w:space="0" w:color="auto"/>
            </w:tcBorders>
            <w:shd w:val="clear" w:color="auto" w:fill="auto"/>
            <w:tcMar>
              <w:top w:w="0" w:type="dxa"/>
              <w:left w:w="0" w:type="dxa"/>
              <w:bottom w:w="0" w:type="dxa"/>
              <w:right w:w="28" w:type="dxa"/>
            </w:tcMar>
            <w:vAlign w:val="bottom"/>
            <w:hideMark/>
          </w:tcPr>
          <w:p w14:paraId="0AC53FFE"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tcBorders>
              <w:bottom w:val="single" w:sz="4" w:space="0" w:color="auto"/>
            </w:tcBorders>
            <w:shd w:val="clear" w:color="auto" w:fill="auto"/>
            <w:vAlign w:val="bottom"/>
            <w:hideMark/>
          </w:tcPr>
          <w:p w14:paraId="4C34A0FB"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tcBorders>
              <w:bottom w:val="single" w:sz="4" w:space="0" w:color="auto"/>
            </w:tcBorders>
            <w:shd w:val="clear" w:color="auto" w:fill="auto"/>
            <w:tcMar>
              <w:top w:w="0" w:type="dxa"/>
              <w:left w:w="0" w:type="dxa"/>
              <w:bottom w:w="0" w:type="dxa"/>
              <w:right w:w="28" w:type="dxa"/>
            </w:tcMar>
            <w:vAlign w:val="bottom"/>
            <w:hideMark/>
          </w:tcPr>
          <w:p w14:paraId="1A108F62"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421" w:type="dxa"/>
            <w:tcBorders>
              <w:bottom w:val="single" w:sz="4" w:space="0" w:color="auto"/>
            </w:tcBorders>
            <w:shd w:val="clear" w:color="auto" w:fill="auto"/>
            <w:tcMar>
              <w:top w:w="0" w:type="dxa"/>
              <w:left w:w="0" w:type="dxa"/>
              <w:bottom w:w="0" w:type="dxa"/>
              <w:right w:w="28" w:type="dxa"/>
            </w:tcMar>
            <w:vAlign w:val="bottom"/>
            <w:hideMark/>
          </w:tcPr>
          <w:p w14:paraId="0859600C"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8</w:t>
            </w:r>
          </w:p>
        </w:tc>
        <w:tc>
          <w:tcPr>
            <w:tcW w:w="366" w:type="dxa"/>
            <w:tcBorders>
              <w:bottom w:val="single" w:sz="4" w:space="0" w:color="auto"/>
            </w:tcBorders>
            <w:shd w:val="clear" w:color="auto" w:fill="auto"/>
            <w:tcMar>
              <w:top w:w="0" w:type="dxa"/>
              <w:left w:w="0" w:type="dxa"/>
              <w:bottom w:w="0" w:type="dxa"/>
              <w:right w:w="28" w:type="dxa"/>
            </w:tcMar>
            <w:vAlign w:val="bottom"/>
            <w:hideMark/>
          </w:tcPr>
          <w:p w14:paraId="67C65DBC"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1</w:t>
            </w:r>
          </w:p>
        </w:tc>
        <w:tc>
          <w:tcPr>
            <w:tcW w:w="366" w:type="dxa"/>
            <w:tcBorders>
              <w:bottom w:val="single" w:sz="4" w:space="0" w:color="auto"/>
            </w:tcBorders>
            <w:shd w:val="clear" w:color="auto" w:fill="auto"/>
            <w:vAlign w:val="bottom"/>
            <w:hideMark/>
          </w:tcPr>
          <w:p w14:paraId="4006EA09"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75" w:type="dxa"/>
            <w:tcBorders>
              <w:bottom w:val="single" w:sz="4" w:space="0" w:color="auto"/>
            </w:tcBorders>
            <w:shd w:val="clear" w:color="auto" w:fill="auto"/>
            <w:vAlign w:val="bottom"/>
            <w:hideMark/>
          </w:tcPr>
          <w:p w14:paraId="644D34F5"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1</w:t>
            </w:r>
          </w:p>
        </w:tc>
        <w:tc>
          <w:tcPr>
            <w:tcW w:w="375" w:type="dxa"/>
            <w:tcBorders>
              <w:bottom w:val="single" w:sz="4" w:space="0" w:color="auto"/>
            </w:tcBorders>
            <w:shd w:val="clear" w:color="auto" w:fill="auto"/>
            <w:vAlign w:val="bottom"/>
            <w:hideMark/>
          </w:tcPr>
          <w:p w14:paraId="00F5851B"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tcBorders>
              <w:bottom w:val="single" w:sz="4" w:space="0" w:color="auto"/>
            </w:tcBorders>
            <w:shd w:val="clear" w:color="auto" w:fill="auto"/>
            <w:tcMar>
              <w:top w:w="0" w:type="dxa"/>
              <w:left w:w="0" w:type="dxa"/>
              <w:bottom w:w="0" w:type="dxa"/>
              <w:right w:w="28" w:type="dxa"/>
            </w:tcMar>
            <w:vAlign w:val="bottom"/>
            <w:hideMark/>
          </w:tcPr>
          <w:p w14:paraId="66001813"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66" w:type="dxa"/>
            <w:tcBorders>
              <w:bottom w:val="single" w:sz="4" w:space="0" w:color="auto"/>
            </w:tcBorders>
            <w:shd w:val="clear" w:color="auto" w:fill="auto"/>
            <w:vAlign w:val="bottom"/>
            <w:hideMark/>
          </w:tcPr>
          <w:p w14:paraId="2CA884BF"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75" w:type="dxa"/>
            <w:tcBorders>
              <w:bottom w:val="single" w:sz="4" w:space="0" w:color="auto"/>
            </w:tcBorders>
            <w:shd w:val="clear" w:color="auto" w:fill="auto"/>
            <w:tcMar>
              <w:top w:w="0" w:type="dxa"/>
              <w:left w:w="0" w:type="dxa"/>
              <w:bottom w:w="0" w:type="dxa"/>
              <w:right w:w="28" w:type="dxa"/>
            </w:tcMar>
            <w:vAlign w:val="bottom"/>
            <w:hideMark/>
          </w:tcPr>
          <w:p w14:paraId="57F94B48"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375" w:type="dxa"/>
            <w:tcBorders>
              <w:bottom w:val="single" w:sz="4" w:space="0" w:color="auto"/>
            </w:tcBorders>
            <w:shd w:val="clear" w:color="auto" w:fill="auto"/>
            <w:tcMar>
              <w:top w:w="0" w:type="dxa"/>
              <w:left w:w="0" w:type="dxa"/>
              <w:bottom w:w="0" w:type="dxa"/>
              <w:right w:w="28" w:type="dxa"/>
            </w:tcMar>
            <w:vAlign w:val="bottom"/>
            <w:hideMark/>
          </w:tcPr>
          <w:p w14:paraId="11C9F654"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w:t>
            </w:r>
          </w:p>
        </w:tc>
        <w:tc>
          <w:tcPr>
            <w:tcW w:w="634" w:type="dxa"/>
            <w:tcBorders>
              <w:bottom w:val="single" w:sz="4" w:space="0" w:color="auto"/>
            </w:tcBorders>
            <w:shd w:val="clear" w:color="auto" w:fill="auto"/>
            <w:tcMar>
              <w:top w:w="0" w:type="dxa"/>
              <w:left w:w="0" w:type="dxa"/>
              <w:bottom w:w="0" w:type="dxa"/>
              <w:right w:w="28" w:type="dxa"/>
            </w:tcMar>
            <w:vAlign w:val="bottom"/>
            <w:hideMark/>
          </w:tcPr>
          <w:p w14:paraId="0BFBC0F2" w14:textId="77777777" w:rsidR="00EF1BB1" w:rsidRPr="00EF1BB1" w:rsidRDefault="00EF1BB1" w:rsidP="00EF1BB1">
            <w:pPr>
              <w:suppressAutoHyphens w:val="0"/>
              <w:spacing w:before="40" w:after="40" w:line="220" w:lineRule="exact"/>
              <w:ind w:right="113"/>
              <w:jc w:val="right"/>
              <w:rPr>
                <w:sz w:val="18"/>
                <w:szCs w:val="18"/>
              </w:rPr>
            </w:pPr>
            <w:r w:rsidRPr="00EF1BB1">
              <w:rPr>
                <w:sz w:val="18"/>
                <w:szCs w:val="18"/>
              </w:rPr>
              <w:t>12</w:t>
            </w:r>
          </w:p>
        </w:tc>
      </w:tr>
      <w:tr w:rsidR="00EF1BB1" w:rsidRPr="00624FC3" w14:paraId="5BC336AE" w14:textId="77777777" w:rsidTr="00624FC3">
        <w:tc>
          <w:tcPr>
            <w:tcW w:w="549" w:type="dxa"/>
            <w:tcBorders>
              <w:top w:val="single" w:sz="4" w:space="0" w:color="auto"/>
              <w:bottom w:val="single" w:sz="12" w:space="0" w:color="auto"/>
            </w:tcBorders>
            <w:shd w:val="clear" w:color="auto" w:fill="auto"/>
            <w:hideMark/>
          </w:tcPr>
          <w:p w14:paraId="478BB6E5" w14:textId="77777777" w:rsidR="00EF1BB1" w:rsidRPr="00624FC3" w:rsidRDefault="00EF1BB1" w:rsidP="00624FC3">
            <w:pPr>
              <w:suppressAutoHyphens w:val="0"/>
              <w:spacing w:before="80" w:after="80" w:line="220" w:lineRule="exact"/>
              <w:ind w:right="113"/>
              <w:jc w:val="right"/>
              <w:rPr>
                <w:b/>
                <w:bCs/>
                <w:sz w:val="18"/>
                <w:szCs w:val="18"/>
              </w:rPr>
            </w:pPr>
            <w:r w:rsidRPr="00624FC3">
              <w:rPr>
                <w:b/>
                <w:bCs/>
                <w:sz w:val="18"/>
                <w:szCs w:val="18"/>
              </w:rPr>
              <w:t>Total</w:t>
            </w:r>
          </w:p>
        </w:tc>
        <w:tc>
          <w:tcPr>
            <w:tcW w:w="366"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55F44715" w14:textId="77777777" w:rsidR="00EF1BB1" w:rsidRPr="00624FC3" w:rsidRDefault="00EF1BB1" w:rsidP="00624FC3">
            <w:pPr>
              <w:suppressAutoHyphens w:val="0"/>
              <w:spacing w:before="80" w:after="80" w:line="220" w:lineRule="exact"/>
              <w:ind w:right="113"/>
              <w:jc w:val="right"/>
              <w:rPr>
                <w:b/>
                <w:bCs/>
                <w:sz w:val="18"/>
                <w:szCs w:val="18"/>
              </w:rPr>
            </w:pPr>
            <w:r w:rsidRPr="00624FC3">
              <w:rPr>
                <w:b/>
                <w:bCs/>
                <w:sz w:val="18"/>
                <w:szCs w:val="18"/>
              </w:rPr>
              <w:t>3</w:t>
            </w:r>
          </w:p>
        </w:tc>
        <w:tc>
          <w:tcPr>
            <w:tcW w:w="366"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1757CCF2" w14:textId="77777777" w:rsidR="00EF1BB1" w:rsidRPr="00624FC3" w:rsidRDefault="00EF1BB1" w:rsidP="00624FC3">
            <w:pPr>
              <w:suppressAutoHyphens w:val="0"/>
              <w:spacing w:before="80" w:after="80" w:line="220" w:lineRule="exact"/>
              <w:ind w:right="113"/>
              <w:jc w:val="right"/>
              <w:rPr>
                <w:b/>
                <w:bCs/>
                <w:sz w:val="18"/>
                <w:szCs w:val="18"/>
              </w:rPr>
            </w:pPr>
            <w:r w:rsidRPr="00624FC3">
              <w:rPr>
                <w:b/>
                <w:bCs/>
                <w:sz w:val="18"/>
                <w:szCs w:val="18"/>
              </w:rPr>
              <w:t>1</w:t>
            </w:r>
          </w:p>
        </w:tc>
        <w:tc>
          <w:tcPr>
            <w:tcW w:w="366" w:type="dxa"/>
            <w:tcBorders>
              <w:top w:val="single" w:sz="4" w:space="0" w:color="auto"/>
              <w:bottom w:val="single" w:sz="12" w:space="0" w:color="auto"/>
            </w:tcBorders>
            <w:shd w:val="clear" w:color="auto" w:fill="auto"/>
            <w:vAlign w:val="bottom"/>
            <w:hideMark/>
          </w:tcPr>
          <w:p w14:paraId="1E5E0B00" w14:textId="77777777" w:rsidR="00EF1BB1" w:rsidRPr="00624FC3" w:rsidRDefault="00EF1BB1" w:rsidP="00624FC3">
            <w:pPr>
              <w:suppressAutoHyphens w:val="0"/>
              <w:spacing w:before="80" w:after="80" w:line="220" w:lineRule="exact"/>
              <w:ind w:right="113"/>
              <w:jc w:val="right"/>
              <w:rPr>
                <w:b/>
                <w:bCs/>
                <w:sz w:val="18"/>
                <w:szCs w:val="18"/>
              </w:rPr>
            </w:pPr>
            <w:r w:rsidRPr="00624FC3">
              <w:rPr>
                <w:b/>
                <w:bCs/>
                <w:sz w:val="18"/>
                <w:szCs w:val="18"/>
              </w:rPr>
              <w:t>1</w:t>
            </w:r>
          </w:p>
        </w:tc>
        <w:tc>
          <w:tcPr>
            <w:tcW w:w="366"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18D8C37D" w14:textId="77777777" w:rsidR="00EF1BB1" w:rsidRPr="00624FC3" w:rsidRDefault="00EF1BB1" w:rsidP="00624FC3">
            <w:pPr>
              <w:suppressAutoHyphens w:val="0"/>
              <w:spacing w:before="80" w:after="80" w:line="220" w:lineRule="exact"/>
              <w:ind w:right="113"/>
              <w:jc w:val="right"/>
              <w:rPr>
                <w:b/>
                <w:bCs/>
                <w:sz w:val="18"/>
                <w:szCs w:val="18"/>
              </w:rPr>
            </w:pPr>
            <w:r w:rsidRPr="00624FC3">
              <w:rPr>
                <w:b/>
                <w:bCs/>
                <w:sz w:val="18"/>
                <w:szCs w:val="18"/>
              </w:rPr>
              <w:t>1</w:t>
            </w:r>
          </w:p>
        </w:tc>
        <w:tc>
          <w:tcPr>
            <w:tcW w:w="366" w:type="dxa"/>
            <w:tcBorders>
              <w:top w:val="single" w:sz="4" w:space="0" w:color="auto"/>
              <w:bottom w:val="single" w:sz="12" w:space="0" w:color="auto"/>
            </w:tcBorders>
            <w:shd w:val="clear" w:color="auto" w:fill="auto"/>
            <w:vAlign w:val="bottom"/>
            <w:hideMark/>
          </w:tcPr>
          <w:p w14:paraId="4ED046A2" w14:textId="77777777" w:rsidR="00EF1BB1" w:rsidRPr="00624FC3" w:rsidRDefault="00EF1BB1" w:rsidP="00624FC3">
            <w:pPr>
              <w:suppressAutoHyphens w:val="0"/>
              <w:spacing w:before="80" w:after="80" w:line="220" w:lineRule="exact"/>
              <w:ind w:right="113"/>
              <w:jc w:val="right"/>
              <w:rPr>
                <w:b/>
                <w:bCs/>
                <w:sz w:val="18"/>
                <w:szCs w:val="18"/>
              </w:rPr>
            </w:pPr>
            <w:r w:rsidRPr="00624FC3">
              <w:rPr>
                <w:b/>
                <w:bCs/>
                <w:sz w:val="18"/>
                <w:szCs w:val="18"/>
              </w:rPr>
              <w:t>1</w:t>
            </w:r>
          </w:p>
        </w:tc>
        <w:tc>
          <w:tcPr>
            <w:tcW w:w="366"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2732A5D8" w14:textId="77777777" w:rsidR="00EF1BB1" w:rsidRPr="00624FC3" w:rsidRDefault="00EF1BB1" w:rsidP="00624FC3">
            <w:pPr>
              <w:suppressAutoHyphens w:val="0"/>
              <w:spacing w:before="80" w:after="80" w:line="220" w:lineRule="exact"/>
              <w:ind w:right="113"/>
              <w:jc w:val="right"/>
              <w:rPr>
                <w:b/>
                <w:bCs/>
                <w:sz w:val="18"/>
                <w:szCs w:val="18"/>
              </w:rPr>
            </w:pPr>
            <w:r w:rsidRPr="00624FC3">
              <w:rPr>
                <w:b/>
                <w:bCs/>
                <w:sz w:val="18"/>
                <w:szCs w:val="18"/>
              </w:rPr>
              <w:t>4</w:t>
            </w:r>
          </w:p>
        </w:tc>
        <w:tc>
          <w:tcPr>
            <w:tcW w:w="378"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5D112602" w14:textId="77777777" w:rsidR="00EF1BB1" w:rsidRPr="00624FC3" w:rsidRDefault="00EF1BB1" w:rsidP="00624FC3">
            <w:pPr>
              <w:suppressAutoHyphens w:val="0"/>
              <w:spacing w:before="80" w:after="80" w:line="220" w:lineRule="exact"/>
              <w:ind w:right="113"/>
              <w:jc w:val="right"/>
              <w:rPr>
                <w:b/>
                <w:bCs/>
                <w:sz w:val="18"/>
                <w:szCs w:val="18"/>
              </w:rPr>
            </w:pPr>
            <w:r w:rsidRPr="00624FC3">
              <w:rPr>
                <w:b/>
                <w:bCs/>
                <w:sz w:val="18"/>
                <w:szCs w:val="18"/>
              </w:rPr>
              <w:t>26</w:t>
            </w:r>
          </w:p>
        </w:tc>
        <w:tc>
          <w:tcPr>
            <w:tcW w:w="366"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75EC130F" w14:textId="77777777" w:rsidR="00EF1BB1" w:rsidRPr="00624FC3" w:rsidRDefault="00EF1BB1" w:rsidP="00624FC3">
            <w:pPr>
              <w:suppressAutoHyphens w:val="0"/>
              <w:spacing w:before="80" w:after="80" w:line="220" w:lineRule="exact"/>
              <w:ind w:right="113"/>
              <w:jc w:val="right"/>
              <w:rPr>
                <w:b/>
                <w:bCs/>
                <w:sz w:val="18"/>
                <w:szCs w:val="18"/>
              </w:rPr>
            </w:pPr>
            <w:r w:rsidRPr="00624FC3">
              <w:rPr>
                <w:b/>
                <w:bCs/>
                <w:sz w:val="18"/>
                <w:szCs w:val="18"/>
              </w:rPr>
              <w:t>4</w:t>
            </w:r>
          </w:p>
        </w:tc>
        <w:tc>
          <w:tcPr>
            <w:tcW w:w="375"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7CA41BB5" w14:textId="77777777" w:rsidR="00EF1BB1" w:rsidRPr="00624FC3" w:rsidRDefault="00EF1BB1" w:rsidP="00624FC3">
            <w:pPr>
              <w:suppressAutoHyphens w:val="0"/>
              <w:spacing w:before="80" w:after="80" w:line="220" w:lineRule="exact"/>
              <w:ind w:right="113"/>
              <w:jc w:val="right"/>
              <w:rPr>
                <w:b/>
                <w:bCs/>
                <w:sz w:val="18"/>
                <w:szCs w:val="18"/>
              </w:rPr>
            </w:pPr>
            <w:r w:rsidRPr="00624FC3">
              <w:rPr>
                <w:b/>
                <w:bCs/>
                <w:sz w:val="18"/>
                <w:szCs w:val="18"/>
              </w:rPr>
              <w:t>24</w:t>
            </w:r>
          </w:p>
        </w:tc>
        <w:tc>
          <w:tcPr>
            <w:tcW w:w="434"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3EC7F94C" w14:textId="77777777" w:rsidR="00EF1BB1" w:rsidRPr="00624FC3" w:rsidRDefault="00EF1BB1" w:rsidP="00624FC3">
            <w:pPr>
              <w:suppressAutoHyphens w:val="0"/>
              <w:spacing w:before="80" w:after="80" w:line="220" w:lineRule="exact"/>
              <w:ind w:right="113"/>
              <w:jc w:val="right"/>
              <w:rPr>
                <w:b/>
                <w:bCs/>
                <w:sz w:val="18"/>
                <w:szCs w:val="18"/>
              </w:rPr>
            </w:pPr>
            <w:r w:rsidRPr="00624FC3">
              <w:rPr>
                <w:b/>
                <w:bCs/>
                <w:sz w:val="18"/>
                <w:szCs w:val="18"/>
              </w:rPr>
              <w:t>492</w:t>
            </w:r>
          </w:p>
        </w:tc>
        <w:tc>
          <w:tcPr>
            <w:tcW w:w="366"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18B3ACE8" w14:textId="77777777" w:rsidR="00EF1BB1" w:rsidRPr="00624FC3" w:rsidRDefault="00EF1BB1" w:rsidP="00624FC3">
            <w:pPr>
              <w:suppressAutoHyphens w:val="0"/>
              <w:spacing w:before="80" w:after="80" w:line="220" w:lineRule="exact"/>
              <w:ind w:right="113"/>
              <w:jc w:val="right"/>
              <w:rPr>
                <w:b/>
                <w:bCs/>
                <w:sz w:val="18"/>
                <w:szCs w:val="18"/>
              </w:rPr>
            </w:pPr>
            <w:r w:rsidRPr="00624FC3">
              <w:rPr>
                <w:b/>
                <w:bCs/>
                <w:sz w:val="18"/>
                <w:szCs w:val="18"/>
              </w:rPr>
              <w:t>2</w:t>
            </w:r>
          </w:p>
        </w:tc>
        <w:tc>
          <w:tcPr>
            <w:tcW w:w="366"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3FFD0105" w14:textId="77777777" w:rsidR="00EF1BB1" w:rsidRPr="00624FC3" w:rsidRDefault="00EF1BB1" w:rsidP="00624FC3">
            <w:pPr>
              <w:suppressAutoHyphens w:val="0"/>
              <w:spacing w:before="80" w:after="80" w:line="220" w:lineRule="exact"/>
              <w:ind w:right="113"/>
              <w:jc w:val="right"/>
              <w:rPr>
                <w:b/>
                <w:bCs/>
                <w:sz w:val="18"/>
                <w:szCs w:val="18"/>
              </w:rPr>
            </w:pPr>
            <w:r w:rsidRPr="00624FC3">
              <w:rPr>
                <w:b/>
                <w:bCs/>
                <w:sz w:val="18"/>
                <w:szCs w:val="18"/>
              </w:rPr>
              <w:t>2</w:t>
            </w:r>
          </w:p>
        </w:tc>
        <w:tc>
          <w:tcPr>
            <w:tcW w:w="366" w:type="dxa"/>
            <w:tcBorders>
              <w:top w:val="single" w:sz="4" w:space="0" w:color="auto"/>
              <w:bottom w:val="single" w:sz="12" w:space="0" w:color="auto"/>
            </w:tcBorders>
            <w:shd w:val="clear" w:color="auto" w:fill="auto"/>
            <w:vAlign w:val="bottom"/>
            <w:hideMark/>
          </w:tcPr>
          <w:p w14:paraId="681CF441" w14:textId="77777777" w:rsidR="00EF1BB1" w:rsidRPr="00624FC3" w:rsidRDefault="00EF1BB1" w:rsidP="00624FC3">
            <w:pPr>
              <w:suppressAutoHyphens w:val="0"/>
              <w:spacing w:before="80" w:after="80" w:line="220" w:lineRule="exact"/>
              <w:ind w:right="113"/>
              <w:jc w:val="right"/>
              <w:rPr>
                <w:b/>
                <w:bCs/>
                <w:sz w:val="18"/>
                <w:szCs w:val="18"/>
              </w:rPr>
            </w:pPr>
            <w:r w:rsidRPr="00624FC3">
              <w:rPr>
                <w:b/>
                <w:bCs/>
                <w:sz w:val="18"/>
                <w:szCs w:val="18"/>
              </w:rPr>
              <w:t>1</w:t>
            </w:r>
          </w:p>
        </w:tc>
        <w:tc>
          <w:tcPr>
            <w:tcW w:w="366"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39D360D8" w14:textId="77777777" w:rsidR="00EF1BB1" w:rsidRPr="00624FC3" w:rsidRDefault="00EF1BB1" w:rsidP="00624FC3">
            <w:pPr>
              <w:suppressAutoHyphens w:val="0"/>
              <w:spacing w:before="80" w:after="80" w:line="220" w:lineRule="exact"/>
              <w:ind w:right="113"/>
              <w:jc w:val="right"/>
              <w:rPr>
                <w:b/>
                <w:bCs/>
                <w:sz w:val="18"/>
                <w:szCs w:val="18"/>
              </w:rPr>
            </w:pPr>
            <w:r w:rsidRPr="00624FC3">
              <w:rPr>
                <w:b/>
                <w:bCs/>
                <w:sz w:val="18"/>
                <w:szCs w:val="18"/>
              </w:rPr>
              <w:t>1</w:t>
            </w:r>
          </w:p>
        </w:tc>
        <w:tc>
          <w:tcPr>
            <w:tcW w:w="421"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7D370247" w14:textId="77777777" w:rsidR="00EF1BB1" w:rsidRPr="00624FC3" w:rsidRDefault="00EF1BB1" w:rsidP="00624FC3">
            <w:pPr>
              <w:suppressAutoHyphens w:val="0"/>
              <w:spacing w:before="80" w:after="80" w:line="220" w:lineRule="exact"/>
              <w:ind w:right="113"/>
              <w:jc w:val="right"/>
              <w:rPr>
                <w:b/>
                <w:bCs/>
                <w:sz w:val="18"/>
                <w:szCs w:val="18"/>
              </w:rPr>
            </w:pPr>
            <w:r w:rsidRPr="00624FC3">
              <w:rPr>
                <w:b/>
                <w:bCs/>
                <w:sz w:val="18"/>
                <w:szCs w:val="18"/>
              </w:rPr>
              <w:t>424</w:t>
            </w:r>
          </w:p>
        </w:tc>
        <w:tc>
          <w:tcPr>
            <w:tcW w:w="366"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425F4665" w14:textId="77777777" w:rsidR="00EF1BB1" w:rsidRPr="00624FC3" w:rsidRDefault="00EF1BB1" w:rsidP="00624FC3">
            <w:pPr>
              <w:suppressAutoHyphens w:val="0"/>
              <w:spacing w:before="80" w:after="80" w:line="220" w:lineRule="exact"/>
              <w:ind w:right="113"/>
              <w:jc w:val="right"/>
              <w:rPr>
                <w:b/>
                <w:bCs/>
                <w:sz w:val="18"/>
                <w:szCs w:val="18"/>
              </w:rPr>
            </w:pPr>
            <w:r w:rsidRPr="00624FC3">
              <w:rPr>
                <w:b/>
                <w:bCs/>
                <w:sz w:val="18"/>
                <w:szCs w:val="18"/>
              </w:rPr>
              <w:t>4</w:t>
            </w:r>
          </w:p>
        </w:tc>
        <w:tc>
          <w:tcPr>
            <w:tcW w:w="366" w:type="dxa"/>
            <w:tcBorders>
              <w:top w:val="single" w:sz="4" w:space="0" w:color="auto"/>
              <w:bottom w:val="single" w:sz="12" w:space="0" w:color="auto"/>
            </w:tcBorders>
            <w:shd w:val="clear" w:color="auto" w:fill="auto"/>
            <w:vAlign w:val="bottom"/>
            <w:hideMark/>
          </w:tcPr>
          <w:p w14:paraId="5C1C5A0B" w14:textId="77777777" w:rsidR="00EF1BB1" w:rsidRPr="00624FC3" w:rsidRDefault="00EF1BB1" w:rsidP="00624FC3">
            <w:pPr>
              <w:suppressAutoHyphens w:val="0"/>
              <w:spacing w:before="80" w:after="80" w:line="220" w:lineRule="exact"/>
              <w:ind w:right="113"/>
              <w:jc w:val="right"/>
              <w:rPr>
                <w:b/>
                <w:bCs/>
                <w:sz w:val="18"/>
                <w:szCs w:val="18"/>
              </w:rPr>
            </w:pPr>
            <w:r w:rsidRPr="00624FC3">
              <w:rPr>
                <w:b/>
                <w:bCs/>
                <w:sz w:val="18"/>
                <w:szCs w:val="18"/>
              </w:rPr>
              <w:t>1</w:t>
            </w:r>
          </w:p>
        </w:tc>
        <w:tc>
          <w:tcPr>
            <w:tcW w:w="375" w:type="dxa"/>
            <w:tcBorders>
              <w:top w:val="single" w:sz="4" w:space="0" w:color="auto"/>
              <w:bottom w:val="single" w:sz="12" w:space="0" w:color="auto"/>
            </w:tcBorders>
            <w:shd w:val="clear" w:color="auto" w:fill="auto"/>
            <w:vAlign w:val="bottom"/>
            <w:hideMark/>
          </w:tcPr>
          <w:p w14:paraId="46B75188" w14:textId="77777777" w:rsidR="00EF1BB1" w:rsidRPr="00624FC3" w:rsidRDefault="00EF1BB1" w:rsidP="00624FC3">
            <w:pPr>
              <w:suppressAutoHyphens w:val="0"/>
              <w:spacing w:before="80" w:after="80" w:line="220" w:lineRule="exact"/>
              <w:ind w:right="113"/>
              <w:jc w:val="right"/>
              <w:rPr>
                <w:b/>
                <w:bCs/>
                <w:sz w:val="18"/>
                <w:szCs w:val="18"/>
              </w:rPr>
            </w:pPr>
            <w:r w:rsidRPr="00624FC3">
              <w:rPr>
                <w:b/>
                <w:bCs/>
                <w:sz w:val="18"/>
                <w:szCs w:val="18"/>
              </w:rPr>
              <w:t>1</w:t>
            </w:r>
          </w:p>
        </w:tc>
        <w:tc>
          <w:tcPr>
            <w:tcW w:w="375" w:type="dxa"/>
            <w:tcBorders>
              <w:top w:val="single" w:sz="4" w:space="0" w:color="auto"/>
              <w:bottom w:val="single" w:sz="12" w:space="0" w:color="auto"/>
            </w:tcBorders>
            <w:shd w:val="clear" w:color="auto" w:fill="auto"/>
            <w:vAlign w:val="bottom"/>
            <w:hideMark/>
          </w:tcPr>
          <w:p w14:paraId="01BF99B7" w14:textId="77777777" w:rsidR="00EF1BB1" w:rsidRPr="00624FC3" w:rsidRDefault="00EF1BB1" w:rsidP="00624FC3">
            <w:pPr>
              <w:suppressAutoHyphens w:val="0"/>
              <w:spacing w:before="80" w:after="80" w:line="220" w:lineRule="exact"/>
              <w:ind w:right="113"/>
              <w:jc w:val="right"/>
              <w:rPr>
                <w:b/>
                <w:bCs/>
                <w:sz w:val="18"/>
                <w:szCs w:val="18"/>
              </w:rPr>
            </w:pPr>
            <w:r w:rsidRPr="00624FC3">
              <w:rPr>
                <w:b/>
                <w:bCs/>
                <w:sz w:val="18"/>
                <w:szCs w:val="18"/>
              </w:rPr>
              <w:t>14</w:t>
            </w:r>
          </w:p>
        </w:tc>
        <w:tc>
          <w:tcPr>
            <w:tcW w:w="366"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2E78A3A6" w14:textId="77777777" w:rsidR="00EF1BB1" w:rsidRPr="00624FC3" w:rsidRDefault="00EF1BB1" w:rsidP="00624FC3">
            <w:pPr>
              <w:suppressAutoHyphens w:val="0"/>
              <w:spacing w:before="80" w:after="80" w:line="220" w:lineRule="exact"/>
              <w:ind w:right="113"/>
              <w:jc w:val="right"/>
              <w:rPr>
                <w:b/>
                <w:bCs/>
                <w:sz w:val="18"/>
                <w:szCs w:val="18"/>
              </w:rPr>
            </w:pPr>
            <w:r w:rsidRPr="00624FC3">
              <w:rPr>
                <w:b/>
                <w:bCs/>
                <w:sz w:val="18"/>
                <w:szCs w:val="18"/>
              </w:rPr>
              <w:t>1</w:t>
            </w:r>
          </w:p>
        </w:tc>
        <w:tc>
          <w:tcPr>
            <w:tcW w:w="366" w:type="dxa"/>
            <w:tcBorders>
              <w:top w:val="single" w:sz="4" w:space="0" w:color="auto"/>
              <w:bottom w:val="single" w:sz="12" w:space="0" w:color="auto"/>
            </w:tcBorders>
            <w:shd w:val="clear" w:color="auto" w:fill="auto"/>
            <w:vAlign w:val="bottom"/>
            <w:hideMark/>
          </w:tcPr>
          <w:p w14:paraId="652AEA8D" w14:textId="77777777" w:rsidR="00EF1BB1" w:rsidRPr="00624FC3" w:rsidRDefault="00EF1BB1" w:rsidP="00624FC3">
            <w:pPr>
              <w:suppressAutoHyphens w:val="0"/>
              <w:spacing w:before="80" w:after="80" w:line="220" w:lineRule="exact"/>
              <w:ind w:right="113"/>
              <w:jc w:val="right"/>
              <w:rPr>
                <w:b/>
                <w:bCs/>
                <w:sz w:val="18"/>
                <w:szCs w:val="18"/>
              </w:rPr>
            </w:pPr>
            <w:r w:rsidRPr="00624FC3">
              <w:rPr>
                <w:b/>
                <w:bCs/>
                <w:sz w:val="18"/>
                <w:szCs w:val="18"/>
              </w:rPr>
              <w:t>1</w:t>
            </w:r>
          </w:p>
        </w:tc>
        <w:tc>
          <w:tcPr>
            <w:tcW w:w="375"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3A750C7F" w14:textId="77777777" w:rsidR="00EF1BB1" w:rsidRPr="00624FC3" w:rsidRDefault="00EF1BB1" w:rsidP="00624FC3">
            <w:pPr>
              <w:suppressAutoHyphens w:val="0"/>
              <w:spacing w:before="80" w:after="80" w:line="220" w:lineRule="exact"/>
              <w:ind w:right="113"/>
              <w:jc w:val="right"/>
              <w:rPr>
                <w:b/>
                <w:bCs/>
                <w:sz w:val="18"/>
                <w:szCs w:val="18"/>
              </w:rPr>
            </w:pPr>
            <w:r w:rsidRPr="00624FC3">
              <w:rPr>
                <w:b/>
                <w:bCs/>
                <w:sz w:val="18"/>
                <w:szCs w:val="18"/>
              </w:rPr>
              <w:t>3</w:t>
            </w:r>
          </w:p>
        </w:tc>
        <w:tc>
          <w:tcPr>
            <w:tcW w:w="375"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376D45D8" w14:textId="77777777" w:rsidR="00EF1BB1" w:rsidRPr="00624FC3" w:rsidRDefault="00EF1BB1" w:rsidP="00624FC3">
            <w:pPr>
              <w:suppressAutoHyphens w:val="0"/>
              <w:spacing w:before="80" w:after="80" w:line="220" w:lineRule="exact"/>
              <w:ind w:right="113"/>
              <w:jc w:val="right"/>
              <w:rPr>
                <w:b/>
                <w:bCs/>
                <w:sz w:val="18"/>
                <w:szCs w:val="18"/>
              </w:rPr>
            </w:pPr>
            <w:r w:rsidRPr="00624FC3">
              <w:rPr>
                <w:b/>
                <w:bCs/>
                <w:sz w:val="18"/>
                <w:szCs w:val="18"/>
              </w:rPr>
              <w:t>1</w:t>
            </w:r>
          </w:p>
        </w:tc>
        <w:tc>
          <w:tcPr>
            <w:tcW w:w="634"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761D43E9" w14:textId="77777777" w:rsidR="00EF1BB1" w:rsidRPr="00624FC3" w:rsidRDefault="00EF1BB1" w:rsidP="00624FC3">
            <w:pPr>
              <w:suppressAutoHyphens w:val="0"/>
              <w:spacing w:before="80" w:after="80" w:line="220" w:lineRule="exact"/>
              <w:ind w:right="113"/>
              <w:jc w:val="right"/>
              <w:rPr>
                <w:b/>
                <w:bCs/>
                <w:sz w:val="18"/>
                <w:szCs w:val="18"/>
              </w:rPr>
            </w:pPr>
            <w:r w:rsidRPr="00624FC3">
              <w:rPr>
                <w:b/>
                <w:bCs/>
                <w:sz w:val="18"/>
                <w:szCs w:val="18"/>
              </w:rPr>
              <w:t>1 013</w:t>
            </w:r>
          </w:p>
        </w:tc>
      </w:tr>
    </w:tbl>
    <w:p w14:paraId="0CCA9D69" w14:textId="46831EB9" w:rsidR="00EF1BB1" w:rsidRPr="00EF1BB1" w:rsidRDefault="00EF1BB1" w:rsidP="00E17C95">
      <w:pPr>
        <w:spacing w:before="120"/>
        <w:ind w:left="567" w:right="1134" w:firstLine="170"/>
        <w:rPr>
          <w:sz w:val="18"/>
        </w:rPr>
      </w:pPr>
      <w:r w:rsidRPr="00EF1BB1">
        <w:rPr>
          <w:i/>
          <w:iCs/>
          <w:sz w:val="18"/>
          <w:vertAlign w:val="superscript"/>
        </w:rPr>
        <w:t>a</w:t>
      </w:r>
      <w:r w:rsidRPr="00EF1BB1">
        <w:rPr>
          <w:sz w:val="18"/>
        </w:rPr>
        <w:t xml:space="preserve"> </w:t>
      </w:r>
      <w:r>
        <w:rPr>
          <w:sz w:val="18"/>
        </w:rPr>
        <w:t xml:space="preserve"> </w:t>
      </w:r>
      <w:r w:rsidRPr="00EF1BB1">
        <w:rPr>
          <w:sz w:val="18"/>
        </w:rPr>
        <w:t>To 1 April 2021</w:t>
      </w:r>
    </w:p>
    <w:p w14:paraId="54058FB3" w14:textId="77777777" w:rsidR="00EF1BB1" w:rsidRPr="00C91BFC" w:rsidRDefault="00EF1BB1" w:rsidP="00EF1BB1">
      <w:pPr>
        <w:pStyle w:val="H1G"/>
      </w:pPr>
      <w:r w:rsidRPr="00C91BFC">
        <w:tab/>
      </w:r>
      <w:bookmarkStart w:id="147" w:name="_Toc522200473"/>
      <w:bookmarkStart w:id="148" w:name="_Toc43905484"/>
      <w:bookmarkStart w:id="149" w:name="_Toc43906565"/>
      <w:bookmarkStart w:id="150" w:name="_Toc43996436"/>
      <w:bookmarkStart w:id="151" w:name="_Toc75349920"/>
      <w:r w:rsidRPr="00C91BFC">
        <w:t>B.</w:t>
      </w:r>
      <w:r w:rsidRPr="00C91BFC">
        <w:tab/>
        <w:t>Process after registration of urgent action requests: developments observed since the eighteenth session (to 1 April 2021)</w:t>
      </w:r>
      <w:bookmarkEnd w:id="147"/>
      <w:bookmarkEnd w:id="148"/>
      <w:bookmarkEnd w:id="149"/>
      <w:bookmarkEnd w:id="150"/>
      <w:bookmarkEnd w:id="151"/>
    </w:p>
    <w:p w14:paraId="74669599" w14:textId="77777777" w:rsidR="00EF1BB1" w:rsidRPr="00C91BFC" w:rsidRDefault="00EF1BB1" w:rsidP="00EF1BB1">
      <w:pPr>
        <w:pStyle w:val="SingleTxtG"/>
      </w:pPr>
      <w:r w:rsidRPr="00C91BFC">
        <w:t>44.</w:t>
      </w:r>
      <w:r w:rsidRPr="00C91BFC">
        <w:tab/>
        <w:t>The Committee maintains constant contact with States parties through their permanent missions and with the authors of requests for urgent action through notes, letters, meetings and telephone calls. The Committee also relies heavily on the cooperation of OHCHR and United Nations field presences that often relay information between the authors of requests for urgent action (mainly relatives of disappeared persons) and the Committee.</w:t>
      </w:r>
    </w:p>
    <w:p w14:paraId="1E860B0A" w14:textId="58313062" w:rsidR="00EF1BB1" w:rsidRPr="00C91BFC" w:rsidRDefault="00EF1BB1" w:rsidP="00EF1BB1">
      <w:pPr>
        <w:pStyle w:val="SingleTxtG"/>
      </w:pPr>
      <w:r w:rsidRPr="00C91BFC">
        <w:t>45.</w:t>
      </w:r>
      <w:r w:rsidRPr="00C91BFC">
        <w:tab/>
        <w:t>The information provided in the context of the urgent action procedure confirms a number of the trends identified in the reports adopted by the Committee at its eleventh to nineteenth sessions (</w:t>
      </w:r>
      <w:hyperlink r:id="rId59" w:history="1">
        <w:r w:rsidRPr="00ED6BA0">
          <w:rPr>
            <w:rStyle w:val="Hyperlink"/>
          </w:rPr>
          <w:t>CED/C/11/3</w:t>
        </w:r>
      </w:hyperlink>
      <w:r w:rsidRPr="00C91BFC">
        <w:t xml:space="preserve">, </w:t>
      </w:r>
      <w:hyperlink r:id="rId60" w:history="1">
        <w:r w:rsidRPr="00ED6BA0">
          <w:rPr>
            <w:rStyle w:val="Hyperlink"/>
          </w:rPr>
          <w:t>CED/C/12/2</w:t>
        </w:r>
      </w:hyperlink>
      <w:r w:rsidRPr="00C91BFC">
        <w:t xml:space="preserve">, </w:t>
      </w:r>
      <w:hyperlink r:id="rId61" w:history="1">
        <w:r w:rsidRPr="00ED6BA0">
          <w:rPr>
            <w:rStyle w:val="Hyperlink"/>
          </w:rPr>
          <w:t>CED/C/13/3</w:t>
        </w:r>
      </w:hyperlink>
      <w:r w:rsidRPr="00C91BFC">
        <w:t xml:space="preserve">, </w:t>
      </w:r>
      <w:hyperlink r:id="rId62" w:history="1">
        <w:r w:rsidRPr="00ED6BA0">
          <w:rPr>
            <w:rStyle w:val="Hyperlink"/>
          </w:rPr>
          <w:t>CED/C/14/2</w:t>
        </w:r>
      </w:hyperlink>
      <w:r w:rsidRPr="00C91BFC">
        <w:t xml:space="preserve">, </w:t>
      </w:r>
      <w:hyperlink r:id="rId63" w:history="1">
        <w:r w:rsidRPr="00ED6BA0">
          <w:rPr>
            <w:rStyle w:val="Hyperlink"/>
          </w:rPr>
          <w:t>CED/C/15/3</w:t>
        </w:r>
      </w:hyperlink>
      <w:r w:rsidRPr="00C91BFC">
        <w:t xml:space="preserve">, </w:t>
      </w:r>
      <w:hyperlink r:id="rId64" w:history="1">
        <w:r w:rsidRPr="00ED6BA0">
          <w:rPr>
            <w:rStyle w:val="Hyperlink"/>
          </w:rPr>
          <w:t>CED/C/16/3</w:t>
        </w:r>
      </w:hyperlink>
      <w:r w:rsidRPr="00C91BFC">
        <w:t xml:space="preserve">, </w:t>
      </w:r>
      <w:hyperlink r:id="rId65" w:history="1">
        <w:r w:rsidRPr="00ED6BA0">
          <w:rPr>
            <w:rStyle w:val="Hyperlink"/>
          </w:rPr>
          <w:t>CED/C/17/2</w:t>
        </w:r>
      </w:hyperlink>
      <w:r w:rsidRPr="00C91BFC">
        <w:t xml:space="preserve"> and </w:t>
      </w:r>
      <w:hyperlink r:id="rId66" w:history="1">
        <w:r w:rsidRPr="00ED6BA0">
          <w:rPr>
            <w:rStyle w:val="Hyperlink"/>
          </w:rPr>
          <w:t>CED/C/19/2</w:t>
        </w:r>
      </w:hyperlink>
      <w:r w:rsidRPr="00C91BFC">
        <w:t>). Since the eighteenth session, most of the cases with regard to which the Committee has registered requests for urgent action relate to events in Iraq and Mexico. For the period covered by the present report, the Committee wishes to highlight the following trends relating to the States parties concerned.</w:t>
      </w:r>
    </w:p>
    <w:p w14:paraId="17624D3C" w14:textId="77777777" w:rsidR="00EF1BB1" w:rsidRPr="00C91BFC" w:rsidRDefault="00EF1BB1" w:rsidP="00EF1BB1">
      <w:pPr>
        <w:pStyle w:val="H23G"/>
      </w:pPr>
      <w:r w:rsidRPr="00C91BFC">
        <w:lastRenderedPageBreak/>
        <w:tab/>
      </w:r>
      <w:bookmarkStart w:id="152" w:name="_Toc43905485"/>
      <w:bookmarkStart w:id="153" w:name="_Toc43906566"/>
      <w:bookmarkStart w:id="154" w:name="_Toc43996437"/>
      <w:r w:rsidRPr="00C91BFC">
        <w:t>1.</w:t>
      </w:r>
      <w:r w:rsidRPr="00C91BFC">
        <w:tab/>
        <w:t>General trends</w:t>
      </w:r>
    </w:p>
    <w:p w14:paraId="3139BF07" w14:textId="77777777" w:rsidR="00EF1BB1" w:rsidRPr="00C91BFC" w:rsidRDefault="00EF1BB1" w:rsidP="00EF1BB1">
      <w:pPr>
        <w:pStyle w:val="SingleTxtG"/>
      </w:pPr>
      <w:r w:rsidRPr="00C91BFC">
        <w:t>46.</w:t>
      </w:r>
      <w:r w:rsidRPr="00C91BFC">
        <w:tab/>
        <w:t>During the period under review, the Committee identified the following general issues with respect to the information received in the context of the urgent action procedure:</w:t>
      </w:r>
    </w:p>
    <w:p w14:paraId="0F624D48" w14:textId="77777777" w:rsidR="00EF1BB1" w:rsidRPr="00C91BFC" w:rsidRDefault="00EF1BB1" w:rsidP="00EF1BB1">
      <w:pPr>
        <w:pStyle w:val="H23G"/>
      </w:pPr>
      <w:r w:rsidRPr="00C91BFC">
        <w:tab/>
        <w:t>(a)</w:t>
      </w:r>
      <w:r w:rsidRPr="00C91BFC">
        <w:tab/>
        <w:t>No reply from the States parties concerned or the authors of the requests for urgent action</w:t>
      </w:r>
    </w:p>
    <w:p w14:paraId="493B7F8C" w14:textId="5404A6D1" w:rsidR="00EF1BB1" w:rsidRPr="00C91BFC" w:rsidRDefault="00EF1BB1" w:rsidP="00EF1BB1">
      <w:pPr>
        <w:pStyle w:val="SingleTxtG"/>
      </w:pPr>
      <w:r w:rsidRPr="00C91BFC">
        <w:t>47.</w:t>
      </w:r>
      <w:r w:rsidRPr="00C91BFC">
        <w:tab/>
        <w:t>Regarding the majority of the requests for urgent action registered to date, the Committee sent reminders to the States parties concerned or the authors for a reply to the Committee</w:t>
      </w:r>
      <w:r w:rsidR="00FA39D9">
        <w:t>’</w:t>
      </w:r>
      <w:r w:rsidRPr="00C91BFC">
        <w:t>s recommendations and requests. According to current practice, up to four reminders are sent to authors and States parties when they fail to respond to the Committee</w:t>
      </w:r>
      <w:r w:rsidR="00FA39D9">
        <w:t>’</w:t>
      </w:r>
      <w:r w:rsidRPr="00C91BFC">
        <w:t xml:space="preserve">s request for information. </w:t>
      </w:r>
      <w:bookmarkStart w:id="155" w:name="_Hlk45551668"/>
      <w:r w:rsidRPr="00C91BFC">
        <w:t>States parties usually reply after one, two or three reminders, as has been the case for Cambodia, Colombia, Mexico and Tunisia</w:t>
      </w:r>
      <w:bookmarkEnd w:id="155"/>
      <w:r w:rsidRPr="00C91BFC">
        <w:t xml:space="preserve">. When the State party fails to reply after the third reminder, as has been the case for half of the requests for urgent action transmitted to Iraq, a final reminder is sent, noting the lack of compliance by the State party with its obligations under article 30 of the Convention and indicating that the situation may be brought to the attention of the General Assembly. </w:t>
      </w:r>
    </w:p>
    <w:p w14:paraId="0A990723" w14:textId="77777777" w:rsidR="00EF1BB1" w:rsidRPr="00C91BFC" w:rsidRDefault="00EF1BB1" w:rsidP="00EF1BB1">
      <w:pPr>
        <w:pStyle w:val="H23G"/>
      </w:pPr>
      <w:r w:rsidRPr="00C91BFC">
        <w:tab/>
        <w:t>(b)</w:t>
      </w:r>
      <w:r w:rsidRPr="00C91BFC">
        <w:tab/>
        <w:t>Lack of a search and investigation strategy suited to each case</w:t>
      </w:r>
    </w:p>
    <w:p w14:paraId="2BB3850F" w14:textId="33C208A6" w:rsidR="00EF1BB1" w:rsidRPr="00C91BFC" w:rsidRDefault="00EF1BB1" w:rsidP="00EF1BB1">
      <w:pPr>
        <w:pStyle w:val="SingleTxtG"/>
      </w:pPr>
      <w:r w:rsidRPr="00C91BFC">
        <w:t>48.</w:t>
      </w:r>
      <w:r w:rsidRPr="00C91BFC">
        <w:tab/>
        <w:t>In more than 95 per cent of the requests for urgent action registered, the Committee raised its concerns with regard to the failure by the State party authorities to define and implement a strategy for the search for the disappeared persons and the investigation of their disappearance. Despite the efforts observed in some cases, it seems that searches and investigations are usually conducted in an improvised manner that mainly depends on the availability of information and means, rather than on a comprehensive strategy. In its follow-up notes, the Committee therefore reminded the States parties concerned of their obligations under articles 12 and 24 of the Convention. In such cases, it requested the State party to ensure the design and implementation of a strategy for all stages of the search and investigation process in compliance with the principles of due diligence – including the immediacy and exhaustiveness of the ex officio investigation and the competence and independence of the professionals in charge – and with principle 8 of the guiding principles for the search for disappeared persons (</w:t>
      </w:r>
      <w:hyperlink r:id="rId67" w:history="1">
        <w:r w:rsidRPr="00ED6BA0">
          <w:rPr>
            <w:rStyle w:val="Hyperlink"/>
          </w:rPr>
          <w:t>CED/C/7</w:t>
        </w:r>
      </w:hyperlink>
      <w:r w:rsidRPr="00C91BFC">
        <w:t xml:space="preserve">, annex). In this way, the strategy adopted must determine the activities and due diligence to be carried out in an integrated manner, and its implementation must entail the means and procedures necessary to locate the disappeared persons and to investigate their disappearance. The Committee also requested the States parties concerned to assess the established strategy periodically. Such recommendations were sent to Argentina, Brazil, Colombia, Honduras, Iraq, Kazakhstan, Lithuania and Mexico. </w:t>
      </w:r>
    </w:p>
    <w:p w14:paraId="210464E5" w14:textId="77777777" w:rsidR="00EF1BB1" w:rsidRPr="00C91BFC" w:rsidRDefault="00EF1BB1" w:rsidP="00EF1BB1">
      <w:pPr>
        <w:pStyle w:val="H23G"/>
      </w:pPr>
      <w:r w:rsidRPr="00C91BFC">
        <w:tab/>
        <w:t>(c)</w:t>
      </w:r>
      <w:r w:rsidRPr="00C91BFC">
        <w:tab/>
        <w:t>Lack of coordination between search and investigation</w:t>
      </w:r>
    </w:p>
    <w:p w14:paraId="409F73DE" w14:textId="77777777" w:rsidR="00EF1BB1" w:rsidRPr="00C91BFC" w:rsidRDefault="00EF1BB1" w:rsidP="00EF1BB1">
      <w:pPr>
        <w:pStyle w:val="SingleTxtG"/>
      </w:pPr>
      <w:r w:rsidRPr="00C91BFC">
        <w:t>49.</w:t>
      </w:r>
      <w:r w:rsidRPr="00C91BFC">
        <w:tab/>
        <w:t xml:space="preserve">A trend involving lack of coordination between search and investigation has been observed in the majority of requests for urgent action registered. Such a lack of coordination is usually due to the failure of the competent State authorities to share the information and evidence that they have obtained in fulfilling their respective mandates, or their failure to do so in a systematic manner. In such cases, the Committee has observed various consequences: in some cases, the authorities in charge of the search and those in charge of the investigation duplicate activities, and in others, the authorities do not have access to information that could be highly relevant in their respective functions. In all circumstances, however, the fragmentation and lack of coordination lead to considerable delays in the procedures. </w:t>
      </w:r>
    </w:p>
    <w:p w14:paraId="402CDAD9" w14:textId="36554AEF" w:rsidR="00EF1BB1" w:rsidRPr="00C91BFC" w:rsidRDefault="00EF1BB1" w:rsidP="00EF1BB1">
      <w:pPr>
        <w:pStyle w:val="SingleTxtG"/>
      </w:pPr>
      <w:r w:rsidRPr="00C91BFC">
        <w:t>50.</w:t>
      </w:r>
      <w:r w:rsidRPr="00C91BFC">
        <w:tab/>
        <w:t xml:space="preserve">Another form of lack of coordination has been observed in the case of Colombia, where the Commission on the Search for Disappeared Persons has been in charge of coordinating the replies provided by the State party to the requests for urgent action registered. In a number of its replies, the Commission made reference to its mandate to implement the national search plan and to guide the victims of disappearance. The Commission also indicated, however, its inability to reply to the concerns and recommendations of the Committee insofar as </w:t>
      </w:r>
      <w:r w:rsidR="00FA39D9">
        <w:t>“</w:t>
      </w:r>
      <w:r w:rsidRPr="00C91BFC">
        <w:t>they did not fall within its mandate</w:t>
      </w:r>
      <w:r w:rsidR="00FA39D9">
        <w:t>”</w:t>
      </w:r>
      <w:r w:rsidRPr="00C91BFC">
        <w:t>. The Committee noted the information provided, but also noted with regret that, despite its role in coordinating the implementation of the national search plan, the Commission had not taken into account the relevant information in order to reply to the Committee</w:t>
      </w:r>
      <w:r w:rsidR="00FA39D9">
        <w:t>’</w:t>
      </w:r>
      <w:r w:rsidRPr="00C91BFC">
        <w:t xml:space="preserve">s concerns and </w:t>
      </w:r>
      <w:r w:rsidRPr="00C91BFC">
        <w:lastRenderedPageBreak/>
        <w:t xml:space="preserve">recommendations relating to issues of relevance to the State party authorities concerned. In this case, and in cases relating to other States parties, such as Brazil and Mexico, the Committee requested the State party to ensure that relevant information relating to searches and investigations was made available to all the authorities involved in the process. </w:t>
      </w:r>
    </w:p>
    <w:p w14:paraId="13D49073" w14:textId="77777777" w:rsidR="00EF1BB1" w:rsidRPr="00C91BFC" w:rsidRDefault="00EF1BB1" w:rsidP="00EF1BB1">
      <w:pPr>
        <w:pStyle w:val="H23G"/>
      </w:pPr>
      <w:r w:rsidRPr="00C91BFC">
        <w:tab/>
        <w:t>(d)</w:t>
      </w:r>
      <w:r w:rsidRPr="00C91BFC">
        <w:tab/>
        <w:t>Challenges observed in cases of disappearance in the context of migration</w:t>
      </w:r>
    </w:p>
    <w:p w14:paraId="5CB6488B" w14:textId="30EFCAAB" w:rsidR="00EF1BB1" w:rsidRPr="00C91BFC" w:rsidRDefault="00EF1BB1" w:rsidP="00EF1BB1">
      <w:pPr>
        <w:pStyle w:val="SingleTxtG"/>
      </w:pPr>
      <w:r w:rsidRPr="00C91BFC">
        <w:t>51.</w:t>
      </w:r>
      <w:r w:rsidRPr="00C91BFC">
        <w:tab/>
        <w:t>Currently, 13 of the urgent actions that remain open relate to cases of disappearance in the context of migration between Honduras and the United States of America. The Committee recommended the States parties concerned to adopt search and investigation strategies suited to the specific circumstances of each case, in accordance with principle 9 (2) of the guiding principles for the search for disappeared persons. Under that principle, States that send and receive migrants and refugees should adopt specific search mechanisms that take account of the difficulties associated with migration situations, and should offer guarantees and safe conditions to persons who can give testimony about enforced disappearances linked to migration. The Committee also recalled the obligation of States parties to afford one another the greatest measure of mutual assistance and cooperation, in compliance with article 15 of the Convention, through the development of cooperation agreements and the establishment of competent authorities to enable effective coordination in the search for disappeared persons at each stage of migration. Search authorities in countries of origin, transit and destination should cooperate to ensure the rapid and secure exchange of information and documentation that could help to locate disappeared persons in the country of transit or destination. States parties should ensure that the registration of migrants at border controls includes the individual examination of all applications for entry so as to allow for an effective search in the event of a person</w:t>
      </w:r>
      <w:r w:rsidR="00FA39D9">
        <w:t>’</w:t>
      </w:r>
      <w:r w:rsidRPr="00C91BFC">
        <w:t xml:space="preserve">s disappearance. The Committee further included recommendations on ensuring that the relatives and representatives of disappeared migrants had the necessary support to gain access to information relevant to their case, and that they could participate in search processes. </w:t>
      </w:r>
    </w:p>
    <w:p w14:paraId="5809E23F" w14:textId="77777777" w:rsidR="00EF1BB1" w:rsidRPr="00C91BFC" w:rsidRDefault="00EF1BB1" w:rsidP="00EF1BB1">
      <w:pPr>
        <w:pStyle w:val="H23G"/>
      </w:pPr>
      <w:r w:rsidRPr="00C91BFC">
        <w:tab/>
        <w:t>(e)</w:t>
      </w:r>
      <w:r w:rsidRPr="00C91BFC">
        <w:tab/>
        <w:t>Arbitrary and/or incommunicado detention as the standard context of enforced disappearance</w:t>
      </w:r>
    </w:p>
    <w:p w14:paraId="0E397E5B" w14:textId="77777777" w:rsidR="00EF1BB1" w:rsidRPr="00C91BFC" w:rsidRDefault="00EF1BB1" w:rsidP="00EF1BB1">
      <w:pPr>
        <w:pStyle w:val="SingleTxtG"/>
      </w:pPr>
      <w:r w:rsidRPr="00C91BFC">
        <w:t>52.</w:t>
      </w:r>
      <w:r w:rsidRPr="00C91BFC">
        <w:tab/>
        <w:t>In 12 of the requests for urgent action registered during the reporting period, the disappeared person was located after his or her release from a place of detention not officially recognized (eight cases in Iraq and one in Mexico), or after the authorities of the State party revealed the current location of the disappeared person in a place of detention (three cases in Cuba). The Committee, acting in accordance with article 30 (4) of the Convention, closed these urgent actions and requested the State party to take all measures necessary to investigate the disappearance from the date of arrest to the date of release. In cases where the person remained in detention, the Committee discontinued the urgent action and requested the State party to allow the person on whose behalf the urgent action had been lodged to receive periodic visits and to have contact with the outside world, in compliance with article 17 (2) of the Convention. In that context, the Committee informed the authors of the request for urgent action about the possibility of reporting the case to the Working Group on Arbitrary Detention.</w:t>
      </w:r>
    </w:p>
    <w:p w14:paraId="4EB11903" w14:textId="77777777" w:rsidR="00EF1BB1" w:rsidRPr="00C91BFC" w:rsidRDefault="00EF1BB1" w:rsidP="00EF1BB1">
      <w:pPr>
        <w:pStyle w:val="SingleTxtG"/>
      </w:pPr>
      <w:r w:rsidRPr="00C91BFC">
        <w:t>53.</w:t>
      </w:r>
      <w:r w:rsidRPr="00C91BFC">
        <w:tab/>
        <w:t xml:space="preserve">The Committee followed the same reasoning and procedure with regard to four requests for urgent action registered in relation to the disappearance of Turkish nationals who had been extradited from Cambodia, Iraq and Kazakhstan, respectively, to Turkey, at the request of the Government of Turkey. In these cases, the authors alleged that the Government of Turkey had succeeded in the forcible return of persons accused of political opposition, who had then been subjected to enforced disappearance and detained incommunicado for days or weeks. Following the identification of the place of detention by the State party concerned, and the confirmation of that information by the authors of the request for urgent action, the Committee closed the relevant urgent actions. In that context, it informed the authors of the request about the possibility of reporting the case to the Working Group on Arbitrary Detention. In the case relating to Cambodia, the Committee sent the State party a note </w:t>
      </w:r>
      <w:proofErr w:type="spellStart"/>
      <w:r w:rsidRPr="00C91BFC">
        <w:t>verbale</w:t>
      </w:r>
      <w:proofErr w:type="spellEnd"/>
      <w:r w:rsidRPr="00C91BFC">
        <w:t xml:space="preserve"> requesting it to take all measures necessary to search for, locate and protect the disappeared person, a national from Turkey and Mexico. It requested the State party to ensure cooperation and to afford the greatest measure of mutual assistance with Mexico, in compliance with article 15 of the Convention. To facilitate such cooperation, the note </w:t>
      </w:r>
      <w:proofErr w:type="spellStart"/>
      <w:r w:rsidRPr="00C91BFC">
        <w:t>verbale</w:t>
      </w:r>
      <w:proofErr w:type="spellEnd"/>
      <w:r w:rsidRPr="00C91BFC">
        <w:t xml:space="preserve"> </w:t>
      </w:r>
      <w:r w:rsidRPr="00C91BFC">
        <w:lastRenderedPageBreak/>
        <w:t xml:space="preserve">was also shared for information with the authorities of Mexico. The Rapporteurs on urgent action note with satisfaction that Mexico provided a reply to the note </w:t>
      </w:r>
      <w:proofErr w:type="spellStart"/>
      <w:r w:rsidRPr="00C91BFC">
        <w:t>verbale</w:t>
      </w:r>
      <w:proofErr w:type="spellEnd"/>
      <w:r w:rsidRPr="00C91BFC">
        <w:t>, demonstrating its intention to cooperate with the search.</w:t>
      </w:r>
    </w:p>
    <w:p w14:paraId="7B196B84" w14:textId="77777777" w:rsidR="00EF1BB1" w:rsidRPr="00C91BFC" w:rsidRDefault="00EF1BB1" w:rsidP="00EF1BB1">
      <w:pPr>
        <w:pStyle w:val="H23G"/>
      </w:pPr>
      <w:r w:rsidRPr="00C91BFC">
        <w:tab/>
        <w:t>(f)</w:t>
      </w:r>
      <w:r w:rsidRPr="00C91BFC">
        <w:tab/>
        <w:t>De facto or de jure archiving of investigations or closure of searches due to lack of a result</w:t>
      </w:r>
    </w:p>
    <w:p w14:paraId="193EA895" w14:textId="5A6FA5C2" w:rsidR="00EF1BB1" w:rsidRPr="00C91BFC" w:rsidRDefault="00EF1BB1" w:rsidP="00EF1BB1">
      <w:pPr>
        <w:pStyle w:val="SingleTxtG"/>
      </w:pPr>
      <w:r w:rsidRPr="00C91BFC">
        <w:t>54.</w:t>
      </w:r>
      <w:r w:rsidRPr="00C91BFC">
        <w:tab/>
        <w:t xml:space="preserve">The Committee expresses its concern at decisions of competent authorities to abandon searches or investigations in various cases. Cases are usually subject to de facto archiving several years following the disappearance of a person, when the authorities in charge of the search and investigation no longer take any action. In such circumstances, the relatives of the disappeared person become the sole parties responsible for any progress in the case. If they do not take any action, owing to lack of knowledge as to how to proceed or for fear of reprisals, the authorities sometimes accuse them of not having done </w:t>
      </w:r>
      <w:r w:rsidR="00FA39D9">
        <w:t>“</w:t>
      </w:r>
      <w:r w:rsidRPr="00C91BFC">
        <w:t>what was necessary</w:t>
      </w:r>
      <w:r w:rsidR="00FA39D9">
        <w:t>”</w:t>
      </w:r>
      <w:r w:rsidRPr="00C91BFC">
        <w:t xml:space="preserve">. In such cases, the replies sent by the State party tend to repeat the same information, without replying to the concerns expressed and recommendations made by the Committee. </w:t>
      </w:r>
    </w:p>
    <w:p w14:paraId="13D618E6" w14:textId="568E67E4" w:rsidR="00EF1BB1" w:rsidRPr="00C91BFC" w:rsidRDefault="00EF1BB1" w:rsidP="00EF1BB1">
      <w:pPr>
        <w:pStyle w:val="SingleTxtG"/>
      </w:pPr>
      <w:r w:rsidRPr="00C91BFC">
        <w:t>55.</w:t>
      </w:r>
      <w:r w:rsidRPr="00C91BFC">
        <w:tab/>
        <w:t xml:space="preserve">Cases are subject to de jure archiving when a formal decision to archive the case is taken by the competent authorities: for example, in one request for urgent action registered with regard to cases in Colombia, the prosecutor decided to archive the case </w:t>
      </w:r>
      <w:r w:rsidR="00FA39D9">
        <w:t>“</w:t>
      </w:r>
      <w:r w:rsidRPr="00C91BFC">
        <w:t>owing to lack of cause or factual circumstances indicating the commission of a crime, or its possible existence as such</w:t>
      </w:r>
      <w:r w:rsidR="00FA39D9">
        <w:t>”</w:t>
      </w:r>
      <w:r w:rsidRPr="00C91BFC">
        <w:t xml:space="preserve">. After being informed about the decision of the prosecutor, the Committee recalled that, in accordance with article 24 (6) of the Convention, the State party has the obligation to pursue an investigation until the fate of the disappeared person has been clarified. The Committee also recalled principle 7 of the guiding principles for the search for disappeared persons, according to which the search for a disappeared person should continue until his or her fate and/or whereabouts have been determined with certainty. The Committee therefore requested the State party to reopen immediately the file corresponding to the case of the disappeared person, to ensure that all activities to search for the disappeared person were conducted in compliance with the recommendations made by the Committee, and to inform the Committee about the action taken to that end. </w:t>
      </w:r>
    </w:p>
    <w:p w14:paraId="1785EEF2" w14:textId="5E32673E" w:rsidR="00EF1BB1" w:rsidRPr="00C91BFC" w:rsidRDefault="00EF1BB1" w:rsidP="00EF1BB1">
      <w:pPr>
        <w:pStyle w:val="H23G"/>
      </w:pPr>
      <w:r w:rsidRPr="00C91BFC">
        <w:tab/>
        <w:t>(g)</w:t>
      </w:r>
      <w:r w:rsidRPr="00C91BFC">
        <w:tab/>
        <w:t>Use of forensic evidence and the role of DNA</w:t>
      </w:r>
    </w:p>
    <w:p w14:paraId="082C8705" w14:textId="77777777" w:rsidR="00EF1BB1" w:rsidRPr="00C91BFC" w:rsidRDefault="00EF1BB1" w:rsidP="00EF1BB1">
      <w:pPr>
        <w:pStyle w:val="SingleTxtG"/>
      </w:pPr>
      <w:r w:rsidRPr="00C91BFC">
        <w:t>56.</w:t>
      </w:r>
      <w:r w:rsidRPr="00C91BFC">
        <w:tab/>
        <w:t xml:space="preserve">In the requests for urgent action registered by the Committee, the use of forensic sciences in search and investigation strategies featured in around 65 per cent of cases. In most of them, the role of forensic sciences was at the core of the process. Victims tend to see forensic sciences as the main source of reliable information. Such a view can lead to challenges, depending on the context of the specific urgent action. One key element is the reliability of the authorities in charge of the forensic evidence: if the authorities have the required resources and training, and fulfil their functions in a comprehensive and technical manner and with due diligence, forensic evidence can be considered reliable. In such cases, confidence is established between the authorities and the victims, who are informed about the various actions taken, and about the potential and limits of forensic evidence. Victims are also informed about the measures that they can take should they wish to obtain a second opinion. When, on the contrary, the authorities in charge of forensic evidence do not have the required resources and training and do not fulfil their functions with due diligence, and accountability mechanisms are not available, the reliability of any forensic evidence is frequently questioned and the evidence may be manipulated in searches and investigations. Clear examples can be found in the requests for urgent action relating to cases in Argentina, Cambodia and Mexico, where the authors of the requests alleged that the results of the forensic evidence had been manipulated. The legitimacy of the whole process is brought into question, and victims then face difficulties in obtaining a second opinion, whether in terms of identifying specialists and having them admitted by the competent national authorities or in terms of paying the cost of such intervention. </w:t>
      </w:r>
    </w:p>
    <w:p w14:paraId="2F447AC6" w14:textId="77777777" w:rsidR="00EF1BB1" w:rsidRPr="00C91BFC" w:rsidRDefault="00EF1BB1" w:rsidP="00EF1BB1">
      <w:pPr>
        <w:pStyle w:val="SingleTxtG"/>
      </w:pPr>
      <w:r w:rsidRPr="00C91BFC">
        <w:t>57.</w:t>
      </w:r>
      <w:r w:rsidRPr="00C91BFC">
        <w:tab/>
        <w:t>In such circumstances, the difficulty of gaining access to forensic evidence is frequently presented by the authorities as an excuse for not taking any further action. They refer to the cost of obtaining the evidence, the lack of adequate laboratories or trained human resources at the national level, and the resulting need to send the evidence abroad as the main reasons for their incapacity to take further action.</w:t>
      </w:r>
    </w:p>
    <w:p w14:paraId="7126BAFE" w14:textId="77777777" w:rsidR="00EF1BB1" w:rsidRPr="00C91BFC" w:rsidRDefault="00EF1BB1" w:rsidP="00EF1BB1">
      <w:pPr>
        <w:pStyle w:val="SingleTxtG"/>
      </w:pPr>
      <w:r w:rsidRPr="00C91BFC">
        <w:lastRenderedPageBreak/>
        <w:t>58.</w:t>
      </w:r>
      <w:r w:rsidRPr="00C91BFC">
        <w:tab/>
        <w:t xml:space="preserve">In its recommendations in such cases, the Committee has recalled that (a) the development of scientific evidence is an integral part of the strategy for the search for disappeared persons and for the investigation of their disappearance; (b) such evidence is not limited to DNA, and must be handled with due diligence and by competent authorities equipped with the necessary human and material resources; (c) reliable mechanisms of accountability must be established; and (d) where there are questions as to the accuracy of the DNA tests performed, an alternative DNA test should be conducted with the assistance of an independent international non-governmental organization specialized in DNA analysis, in order to ensure that the located remains are properly explored and analysed, in compliance with the relevant international standards. The Committee has also granted interim measures to protect pieces of evidence until the resources necessary have been made available for their analysis. </w:t>
      </w:r>
    </w:p>
    <w:p w14:paraId="75E0A3E5" w14:textId="77777777" w:rsidR="00EF1BB1" w:rsidRPr="00C91BFC" w:rsidRDefault="00EF1BB1" w:rsidP="00EF1BB1">
      <w:pPr>
        <w:pStyle w:val="H23G"/>
      </w:pPr>
      <w:r w:rsidRPr="00C91BFC">
        <w:tab/>
        <w:t>(h)</w:t>
      </w:r>
      <w:r w:rsidRPr="00C91BFC">
        <w:tab/>
        <w:t>Main challenges with regard to the implementation of interim measures requested by the Committee</w:t>
      </w:r>
    </w:p>
    <w:p w14:paraId="45FC91AF" w14:textId="7125FC42" w:rsidR="00EF1BB1" w:rsidRPr="00C91BFC" w:rsidRDefault="00EF1BB1" w:rsidP="00EF1BB1">
      <w:pPr>
        <w:pStyle w:val="SingleTxtG"/>
      </w:pPr>
      <w:r w:rsidRPr="00C91BFC">
        <w:t>59.</w:t>
      </w:r>
      <w:r w:rsidRPr="00C91BFC">
        <w:tab/>
        <w:t>During the period under review, the Committee was informed that relatives of disappeared persons had been the targets of threats and intimidation after pressing for the investigation of their enforced disappearance. Such threats had the same characteristics as in previous review periods, taking various forms, such as death threats, patrols around people</w:t>
      </w:r>
      <w:r w:rsidR="00FA39D9">
        <w:t>’</w:t>
      </w:r>
      <w:r w:rsidRPr="00C91BFC">
        <w:t>s homes and procedural decisions that affected the protection granted to the persons concerned. In such cases, the Committee requested the State party concerned to take the interim measures necessary to protect the life and safety of the persons affected and to allow them to search for the disappeared persons without being subjected to violence or harassment. The Committee also emphasized the importance of revising protection plans periodically in consultation with their beneficiaries, in order to ensure the suitability of the measures taken and the full confidence of the beneficiaries. Unfortunately, in a number of the requests for urgent action, the authors reported that when the beneficiaries of interim measures had presented the Committee</w:t>
      </w:r>
      <w:r w:rsidR="00FA39D9">
        <w:t>’</w:t>
      </w:r>
      <w:r w:rsidRPr="00C91BFC">
        <w:t>s decision to the competent authorities, they had been informed that such measures had no binding character, or that no action would be taken to implement them. In such circumstances, the Committee reminded the State party concerned that the interim measures prescribed by the Committee were legally binding and imposed an international legal obligation on the State party to comply. The Committee also recalled its own role as the expert body established under the Convention to monitor States parties</w:t>
      </w:r>
      <w:r w:rsidR="00FA39D9">
        <w:t>’</w:t>
      </w:r>
      <w:r w:rsidRPr="00C91BFC">
        <w:t xml:space="preserve"> implementation of their obligations, and reminded the State party that any failure to implement the interim measures would be incompatible with its obligation to respect in good faith the Committee</w:t>
      </w:r>
      <w:r w:rsidR="00FA39D9">
        <w:t>’</w:t>
      </w:r>
      <w:r w:rsidRPr="00C91BFC">
        <w:t>s urgent action procedure. To date, such notes have been sent to Colombia and Mexico.</w:t>
      </w:r>
    </w:p>
    <w:p w14:paraId="056DCC68" w14:textId="77777777" w:rsidR="00EF1BB1" w:rsidRPr="00C91BFC" w:rsidRDefault="00EF1BB1" w:rsidP="00EF1BB1">
      <w:pPr>
        <w:pStyle w:val="H23G"/>
      </w:pPr>
      <w:r w:rsidRPr="00C91BFC">
        <w:tab/>
        <w:t>2.</w:t>
      </w:r>
      <w:r w:rsidRPr="00C91BFC">
        <w:tab/>
        <w:t>Developments relating to Iraq and Mexico</w:t>
      </w:r>
      <w:bookmarkEnd w:id="152"/>
      <w:bookmarkEnd w:id="153"/>
      <w:bookmarkEnd w:id="154"/>
    </w:p>
    <w:p w14:paraId="60475F7C" w14:textId="77777777" w:rsidR="00EF1BB1" w:rsidRPr="00C91BFC" w:rsidRDefault="00EF1BB1" w:rsidP="00EF1BB1">
      <w:pPr>
        <w:pStyle w:val="H23G"/>
      </w:pPr>
      <w:r w:rsidRPr="00C91BFC">
        <w:tab/>
      </w:r>
      <w:bookmarkStart w:id="156" w:name="_Toc43905486"/>
      <w:bookmarkStart w:id="157" w:name="_Toc43906567"/>
      <w:bookmarkStart w:id="158" w:name="_Toc43996438"/>
      <w:r w:rsidRPr="00C91BFC">
        <w:t>(a)</w:t>
      </w:r>
      <w:r w:rsidRPr="00C91BFC">
        <w:tab/>
      </w:r>
      <w:bookmarkEnd w:id="156"/>
      <w:bookmarkEnd w:id="157"/>
      <w:bookmarkEnd w:id="158"/>
      <w:r w:rsidRPr="00C91BFC">
        <w:t>Iraq</w:t>
      </w:r>
    </w:p>
    <w:p w14:paraId="2D27109C" w14:textId="6C4893DC" w:rsidR="00EF1BB1" w:rsidRPr="00C91BFC" w:rsidRDefault="00EF1BB1" w:rsidP="00EF1BB1">
      <w:pPr>
        <w:pStyle w:val="SingleTxtG"/>
      </w:pPr>
      <w:r w:rsidRPr="00C91BFC">
        <w:t>60.</w:t>
      </w:r>
      <w:r w:rsidRPr="00C91BFC">
        <w:tab/>
        <w:t>The Committee remains deeply concerned by the failure of the State party, despite repeated reminders, to reply to the majority of the registered requests for urgent action concerning cases of disappearance reported in its territory. During the period under review, the Committee sent four reminders to the State party, in relation to 272 registered requests for urgent action, despite which no response has been received to date. The Committee has already raised the lack of compliance by Iraq with its obligations under article 30 of the Convention in its past three reports to the General Assembly (</w:t>
      </w:r>
      <w:hyperlink r:id="rId68" w:history="1">
        <w:r w:rsidRPr="00ED6BA0">
          <w:rPr>
            <w:rStyle w:val="Hyperlink"/>
          </w:rPr>
          <w:t>A/73/56</w:t>
        </w:r>
      </w:hyperlink>
      <w:r w:rsidRPr="00C91BFC">
        <w:t xml:space="preserve">, </w:t>
      </w:r>
      <w:hyperlink r:id="rId69" w:history="1">
        <w:r w:rsidRPr="00ED6BA0">
          <w:rPr>
            <w:rStyle w:val="Hyperlink"/>
          </w:rPr>
          <w:t>A/74/56</w:t>
        </w:r>
      </w:hyperlink>
      <w:r w:rsidRPr="00C91BFC">
        <w:t xml:space="preserve"> and </w:t>
      </w:r>
      <w:hyperlink r:id="rId70" w:history="1">
        <w:r w:rsidRPr="00ED6BA0">
          <w:rPr>
            <w:rStyle w:val="Hyperlink"/>
          </w:rPr>
          <w:t>A/75/56</w:t>
        </w:r>
      </w:hyperlink>
      <w:r w:rsidRPr="00C91BFC">
        <w:t>). Where the State party submitted replies to the Committee, they followed the same trend observed by the Committee in its previous reports, namely that the State party did not provide any information on action taken to search for disappeared persons or to investigate their alleged enforced disappearance. Furthermore, the State party failed to clarify the procedures available to victims.</w:t>
      </w:r>
    </w:p>
    <w:p w14:paraId="4EB4EE1D" w14:textId="77777777" w:rsidR="00EF1BB1" w:rsidRPr="00C91BFC" w:rsidRDefault="00EF1BB1" w:rsidP="00EF1BB1">
      <w:pPr>
        <w:pStyle w:val="SingleTxtG"/>
      </w:pPr>
      <w:r w:rsidRPr="00C91BFC">
        <w:t>61.</w:t>
      </w:r>
      <w:r w:rsidRPr="00C91BFC">
        <w:tab/>
        <w:t>In several of its replies, the State party, as previously, simply asserted that the alleged victims were affiliated with terrorist groups, without providing any further information about any specific criminal charges brought, proceedings initiated or arrest warrants issued against them. In these cases, the Committee reminded the State party that the duty to search for disappeared persons and to investigate their disappearance applied irrespective of their profile or political affiliation.</w:t>
      </w:r>
    </w:p>
    <w:p w14:paraId="0E1FA648" w14:textId="13453C37" w:rsidR="00EF1BB1" w:rsidRPr="00C91BFC" w:rsidRDefault="00EF1BB1" w:rsidP="00EF1BB1">
      <w:pPr>
        <w:pStyle w:val="SingleTxtG"/>
      </w:pPr>
      <w:r w:rsidRPr="00C91BFC">
        <w:lastRenderedPageBreak/>
        <w:t>62.</w:t>
      </w:r>
      <w:r w:rsidRPr="00C91BFC">
        <w:tab/>
        <w:t xml:space="preserve">In its report on requests for urgent action adopted at its nineteenth session, the Committee reported on 28 requests for urgent action with regard to the disappearance of persons who had participated in the protests that had begun in October 2019 in Baghdad, or who had provided some kind of support to participants. The authors of those requests also indicated that, according to witnesses or in view of the context of the disappearances, it was likely that the persons had been disappeared by </w:t>
      </w:r>
      <w:r w:rsidR="00FA39D9">
        <w:t>“</w:t>
      </w:r>
      <w:r w:rsidRPr="00C91BFC">
        <w:t>militias acting with the authorization, support, acquiescence or approval of the State party</w:t>
      </w:r>
      <w:r w:rsidR="00FA39D9">
        <w:t>”</w:t>
      </w:r>
      <w:r w:rsidRPr="00C91BFC">
        <w:t xml:space="preserve"> or by </w:t>
      </w:r>
      <w:r w:rsidR="00FA39D9">
        <w:t>“</w:t>
      </w:r>
      <w:r w:rsidRPr="00C91BFC">
        <w:t>members of pro-Government forces, including State-sponsored militias, or State intelligence services</w:t>
      </w:r>
      <w:r w:rsidR="00FA39D9">
        <w:t>”</w:t>
      </w:r>
      <w:r w:rsidRPr="00C91BFC">
        <w:t>. The Committee welcomes as a positive development the fact that 12 of these urgent actions have been closed after the persons were located and released. However, as at 1 April 2021, the State party had yet to provide a reply to 13 of those requests.</w:t>
      </w:r>
    </w:p>
    <w:p w14:paraId="6F3AC02A" w14:textId="77777777" w:rsidR="00EF1BB1" w:rsidRPr="00C91BFC" w:rsidRDefault="00EF1BB1" w:rsidP="00EF1BB1">
      <w:pPr>
        <w:pStyle w:val="H23G"/>
      </w:pPr>
      <w:r w:rsidRPr="00C91BFC">
        <w:tab/>
        <w:t>(b)</w:t>
      </w:r>
      <w:r w:rsidRPr="00C91BFC">
        <w:tab/>
        <w:t>Mexico</w:t>
      </w:r>
    </w:p>
    <w:p w14:paraId="3BEB0B50" w14:textId="77777777" w:rsidR="00EF1BB1" w:rsidRPr="00C91BFC" w:rsidRDefault="00EF1BB1" w:rsidP="00EF1BB1">
      <w:pPr>
        <w:pStyle w:val="SingleTxtG"/>
      </w:pPr>
      <w:r w:rsidRPr="00C91BFC">
        <w:t>63.</w:t>
      </w:r>
      <w:r w:rsidRPr="00C91BFC">
        <w:tab/>
        <w:t xml:space="preserve">The Committee welcomes the increase in the number of responses provided by the State party regarding registered requests for urgent action, although reminders were still sent for approximately half of the cases. </w:t>
      </w:r>
    </w:p>
    <w:p w14:paraId="431DBFDF" w14:textId="77777777" w:rsidR="00EF1BB1" w:rsidRPr="00C91BFC" w:rsidRDefault="00EF1BB1" w:rsidP="00EF1BB1">
      <w:pPr>
        <w:pStyle w:val="SingleTxtG"/>
      </w:pPr>
      <w:r w:rsidRPr="00C91BFC">
        <w:t>64.</w:t>
      </w:r>
      <w:r w:rsidRPr="00C91BFC">
        <w:tab/>
        <w:t>The Committee was frequently informed of a lack of coordination between federal and state authorities in charge of search and investigation in Mexico, creating obstacles to or even preventing progress. In some cases, the Committee was informed that state authorities had refused to collaborate with federal authorities. In these cases, the Committee sent follow-up notes requesting that the authorities in charge at the various levels of administration clearly define and coordinate their respective functions.</w:t>
      </w:r>
    </w:p>
    <w:p w14:paraId="6756B69C" w14:textId="6F41CBF7" w:rsidR="00EF1BB1" w:rsidRPr="00C91BFC" w:rsidRDefault="00EF1BB1" w:rsidP="00EF1BB1">
      <w:pPr>
        <w:pStyle w:val="SingleTxtG"/>
      </w:pPr>
      <w:r w:rsidRPr="00C91BFC">
        <w:t>65.</w:t>
      </w:r>
      <w:r w:rsidRPr="00C91BFC">
        <w:tab/>
        <w:t>In its recommendations to Mexico, the Committee has also highlighted on various occasions the State party</w:t>
      </w:r>
      <w:r w:rsidR="00FA39D9">
        <w:t>’</w:t>
      </w:r>
      <w:r w:rsidRPr="00C91BFC">
        <w:t>s obligation under the Convention to ensure that victims are periodically informed about the steps taken by the authorities in charge of the search and investigation, and to make them part of the process. During the period under review, progress made remained highly dependent on the initiatives of the relatives of the disappeared persons. The possibility for victims to interact with the State party authorities in charge of the search and investigation was key in several cases to enabling some progress. Nonetheless, authors of requests for urgent action frequently signalled the challenges that they faced to ensure that the authorities took into account with due diligence the information that they provided. They also often expressed regret that on-site investigations and comprehensive analyses of the available evidence were frequently lacking.</w:t>
      </w:r>
    </w:p>
    <w:p w14:paraId="04A86E65" w14:textId="77777777" w:rsidR="00EF1BB1" w:rsidRPr="00C91BFC" w:rsidRDefault="00EF1BB1" w:rsidP="00EF1BB1">
      <w:pPr>
        <w:pStyle w:val="SingleTxtG"/>
      </w:pPr>
      <w:r w:rsidRPr="00C91BFC">
        <w:t>66.</w:t>
      </w:r>
      <w:r w:rsidRPr="00C91BFC">
        <w:tab/>
        <w:t>The Committee is concerned at information that it frequently received alleging that State authorities were directly or indirectly involved in the events surrounding the disappearances and that search and investigation efforts had come to a halt. When the events had occurred several years previously, authors repeatedly pointed to the responsibility of State party authorities in terms of their lack of diligence, considering their inaction to have become an additional factor of responsibility for the alleged enforced disappearance. In such cases, the Committee emphasized to the State party the importance of establishing mechanisms for holding to account the State officials in charge of search and investigation, and requested the State party to investigate allegations that such officials had hindered proceedings.</w:t>
      </w:r>
    </w:p>
    <w:p w14:paraId="4C9FC580" w14:textId="77777777" w:rsidR="00EF1BB1" w:rsidRPr="00C91BFC" w:rsidRDefault="00EF1BB1" w:rsidP="00EF1BB1">
      <w:pPr>
        <w:pStyle w:val="SingleTxtG"/>
      </w:pPr>
      <w:r w:rsidRPr="00C91BFC">
        <w:t>67.</w:t>
      </w:r>
      <w:r w:rsidRPr="00C91BFC">
        <w:tab/>
        <w:t xml:space="preserve">During the period covered by the report on requests for urgent action adopted at its twentieth session, the Committee received 45 requests for urgent action referring to cases of alleged disappearance in the State of Nayarit, with the direct or indirect participation of staff of the Office of the Prosecutor General of Nayarit State. In these requests, it was alleged that the former Prosecutor General of Nayarit, Edgar </w:t>
      </w:r>
      <w:proofErr w:type="spellStart"/>
      <w:r w:rsidRPr="00C91BFC">
        <w:t>Veytia</w:t>
      </w:r>
      <w:proofErr w:type="spellEnd"/>
      <w:r w:rsidRPr="00C91BFC">
        <w:t xml:space="preserve">, who had been convicted of drug trafficking in the United States of America, maintained links to organized crime and had himself been involved in numerous cases of enforced disappearance and other human rights violations in the state. In some of the requests for urgent action, it was further alleged that current staff members of the Office of the Special Prosecutor for the Investigation of Disappeared Persons of Nayarit State had been involved in the cases of enforced disappearance or had worked closely with Mr. </w:t>
      </w:r>
      <w:proofErr w:type="spellStart"/>
      <w:r w:rsidRPr="00C91BFC">
        <w:t>Veytia</w:t>
      </w:r>
      <w:proofErr w:type="spellEnd"/>
      <w:r w:rsidRPr="00C91BFC">
        <w:t xml:space="preserve">. In these cases, the Committee requested the State party to take the measures necessary to investigate and punish any activity or intervention by authorities that was aimed at hindering effective search and investigation in the context of enforced disappearance, and, in particular, to investigate staff members of </w:t>
      </w:r>
      <w:r w:rsidRPr="00C91BFC">
        <w:lastRenderedPageBreak/>
        <w:t xml:space="preserve">the Office of the Prosecutor who might have had links with Mr. </w:t>
      </w:r>
      <w:proofErr w:type="spellStart"/>
      <w:r w:rsidRPr="00C91BFC">
        <w:t>Veytia</w:t>
      </w:r>
      <w:proofErr w:type="spellEnd"/>
      <w:r w:rsidRPr="00C91BFC">
        <w:t xml:space="preserve"> in order to determine their possible involvement in the disappearances in question. The Committee further requested the State party to ensure the competence and independence of the Office of the Special Prosecutor.</w:t>
      </w:r>
    </w:p>
    <w:p w14:paraId="28688ACE" w14:textId="46C8F106" w:rsidR="00EF1BB1" w:rsidRPr="00C91BFC" w:rsidRDefault="00EF1BB1" w:rsidP="00EF1BB1">
      <w:pPr>
        <w:pStyle w:val="SingleTxtG"/>
      </w:pPr>
      <w:r w:rsidRPr="00C91BFC">
        <w:t>68.</w:t>
      </w:r>
      <w:r w:rsidRPr="00C91BFC">
        <w:tab/>
        <w:t xml:space="preserve">Authors of requests for urgent action also frequently referred to the challenges faced by the relatives of disappeared persons to gain access to the support to which they are entitled. In such cases, the Committee indicated to the State party the measures required depending on the needs of the relatives concerned, regarding, for example, access to food, education, housing or health services. The Committee also recalled the obligation of the competent State party authorities to inform the relatives of the disappeared persons about the content, scope and </w:t>
      </w:r>
      <w:bookmarkStart w:id="159" w:name="_Toc43905488"/>
      <w:bookmarkStart w:id="160" w:name="_Toc43906569"/>
      <w:bookmarkStart w:id="161" w:name="_Toc43996440"/>
      <w:r w:rsidRPr="00C91BFC">
        <w:t>time frame of the support to which they were entitled from those authorities. The Committee requested the State party to ensure that the beneficiaries</w:t>
      </w:r>
      <w:r w:rsidR="00FA39D9">
        <w:t>’</w:t>
      </w:r>
      <w:r w:rsidRPr="00C91BFC">
        <w:t xml:space="preserve"> situation and needs were duly taken into account by the Executive Commission for Victim Support when formulating and revising support plans.</w:t>
      </w:r>
    </w:p>
    <w:p w14:paraId="4DA1C95E" w14:textId="77777777" w:rsidR="00EF1BB1" w:rsidRPr="00C91BFC" w:rsidRDefault="00EF1BB1" w:rsidP="00EF1BB1">
      <w:pPr>
        <w:pStyle w:val="H23G"/>
      </w:pPr>
      <w:r w:rsidRPr="00C91BFC">
        <w:tab/>
        <w:t>3.</w:t>
      </w:r>
      <w:r w:rsidRPr="00C91BFC">
        <w:tab/>
        <w:t>Other States parties</w:t>
      </w:r>
      <w:bookmarkEnd w:id="159"/>
      <w:bookmarkEnd w:id="160"/>
      <w:bookmarkEnd w:id="161"/>
    </w:p>
    <w:p w14:paraId="52B6EE65" w14:textId="77777777" w:rsidR="00EF1BB1" w:rsidRPr="00C91BFC" w:rsidRDefault="00EF1BB1" w:rsidP="00EF1BB1">
      <w:pPr>
        <w:pStyle w:val="SingleTxtG"/>
      </w:pPr>
      <w:r w:rsidRPr="00C91BFC">
        <w:t>69.</w:t>
      </w:r>
      <w:r w:rsidRPr="00C91BFC">
        <w:tab/>
        <w:t>There were too few requests for urgent action relating to other States parties for the Committee to identify any trends. Nevertheless, the Committee wishes to highlight certain elements of some of the requests received.</w:t>
      </w:r>
    </w:p>
    <w:p w14:paraId="4EE46AF6" w14:textId="77777777" w:rsidR="00EF1BB1" w:rsidRPr="00C91BFC" w:rsidRDefault="00EF1BB1" w:rsidP="00EF1BB1">
      <w:pPr>
        <w:pStyle w:val="H23G"/>
      </w:pPr>
      <w:r w:rsidRPr="00C91BFC">
        <w:tab/>
      </w:r>
      <w:bookmarkStart w:id="162" w:name="_Toc43905489"/>
      <w:bookmarkStart w:id="163" w:name="_Toc43906570"/>
      <w:bookmarkStart w:id="164" w:name="_Toc43996441"/>
      <w:r w:rsidRPr="00C91BFC">
        <w:t>(a)</w:t>
      </w:r>
      <w:r w:rsidRPr="00C91BFC">
        <w:tab/>
      </w:r>
      <w:bookmarkEnd w:id="162"/>
      <w:bookmarkEnd w:id="163"/>
      <w:bookmarkEnd w:id="164"/>
      <w:r w:rsidRPr="00C91BFC">
        <w:t>Burkina Faso</w:t>
      </w:r>
    </w:p>
    <w:p w14:paraId="2BE84A24" w14:textId="77777777" w:rsidR="00EF1BB1" w:rsidRPr="00C91BFC" w:rsidRDefault="00EF1BB1" w:rsidP="00EF1BB1">
      <w:pPr>
        <w:pStyle w:val="SingleTxtG"/>
      </w:pPr>
      <w:r w:rsidRPr="00C91BFC">
        <w:t>70.</w:t>
      </w:r>
      <w:r w:rsidRPr="00C91BFC">
        <w:tab/>
        <w:t>During the reporting period, the Committee registered the first request for urgent action with respect to Burkina Faso. The request concerned the alleged enforced disappearance of a member of the Peul ethnic group after having been arrested by members of the Gendarmerie.</w:t>
      </w:r>
    </w:p>
    <w:p w14:paraId="09711AB4" w14:textId="77777777" w:rsidR="00EF1BB1" w:rsidRPr="00C91BFC" w:rsidRDefault="00EF1BB1" w:rsidP="00EF1BB1">
      <w:pPr>
        <w:pStyle w:val="H23G"/>
      </w:pPr>
      <w:r w:rsidRPr="00C91BFC">
        <w:tab/>
        <w:t>(b)</w:t>
      </w:r>
      <w:r w:rsidRPr="00C91BFC">
        <w:tab/>
        <w:t>Paraguay</w:t>
      </w:r>
    </w:p>
    <w:p w14:paraId="531A13C7" w14:textId="07C6DA9E" w:rsidR="00EF1BB1" w:rsidRPr="00C91BFC" w:rsidRDefault="00EF1BB1" w:rsidP="00EF1BB1">
      <w:pPr>
        <w:pStyle w:val="SingleTxtG"/>
      </w:pPr>
      <w:r w:rsidRPr="00C91BFC">
        <w:t>71.</w:t>
      </w:r>
      <w:r w:rsidRPr="00C91BFC">
        <w:tab/>
        <w:t xml:space="preserve">The Committee also registered the first request for urgent action with respect to Paraguay. The request concerned the alleged enforced disappearance of a girl in the context of an operation led by a joint police and military task force set up to combat the </w:t>
      </w:r>
      <w:proofErr w:type="spellStart"/>
      <w:r w:rsidRPr="00C91BFC">
        <w:t>Ejército</w:t>
      </w:r>
      <w:proofErr w:type="spellEnd"/>
      <w:r w:rsidRPr="00C91BFC">
        <w:t xml:space="preserve"> del Pueblo </w:t>
      </w:r>
      <w:proofErr w:type="spellStart"/>
      <w:r w:rsidRPr="00C91BFC">
        <w:t>Paraguayo</w:t>
      </w:r>
      <w:proofErr w:type="spellEnd"/>
      <w:r w:rsidRPr="00C91BFC">
        <w:t xml:space="preserve"> (Paraguayan People</w:t>
      </w:r>
      <w:r w:rsidR="00FA39D9">
        <w:t>’</w:t>
      </w:r>
      <w:r w:rsidRPr="00C91BFC">
        <w:t>s Army), a guerrilla organization.</w:t>
      </w:r>
    </w:p>
    <w:p w14:paraId="2A758F76" w14:textId="77777777" w:rsidR="00EF1BB1" w:rsidRPr="00C91BFC" w:rsidRDefault="00EF1BB1" w:rsidP="00EF1BB1">
      <w:pPr>
        <w:pStyle w:val="H23G"/>
      </w:pPr>
      <w:r w:rsidRPr="00C91BFC">
        <w:tab/>
        <w:t>(c)</w:t>
      </w:r>
      <w:r w:rsidRPr="00C91BFC">
        <w:tab/>
        <w:t>Peru</w:t>
      </w:r>
    </w:p>
    <w:p w14:paraId="7B0D775B" w14:textId="77777777" w:rsidR="00EF1BB1" w:rsidRPr="00C91BFC" w:rsidRDefault="00EF1BB1" w:rsidP="00EF1BB1">
      <w:pPr>
        <w:pStyle w:val="SingleTxtG"/>
      </w:pPr>
      <w:r w:rsidRPr="00C91BFC">
        <w:t>72.</w:t>
      </w:r>
      <w:r w:rsidRPr="00C91BFC">
        <w:tab/>
        <w:t>The Committee registered 13 requests for urgent action with respect to Peru. The requests concerned the alleged enforced disappearance of participants in protests against the former president that had taken place in Lima in November 2020. These cases were closed after the detainees were located and released.</w:t>
      </w:r>
    </w:p>
    <w:p w14:paraId="4EA8E7ED" w14:textId="77777777" w:rsidR="00EF1BB1" w:rsidRPr="00C91BFC" w:rsidRDefault="00EF1BB1" w:rsidP="00EF1BB1">
      <w:pPr>
        <w:pStyle w:val="H1G"/>
      </w:pPr>
      <w:r w:rsidRPr="00C91BFC">
        <w:tab/>
      </w:r>
      <w:bookmarkStart w:id="165" w:name="_Toc43905494"/>
      <w:bookmarkStart w:id="166" w:name="_Toc43906575"/>
      <w:bookmarkStart w:id="167" w:name="_Toc43996446"/>
      <w:bookmarkStart w:id="168" w:name="_Toc75349921"/>
      <w:r w:rsidRPr="00C91BFC">
        <w:t>C.</w:t>
      </w:r>
      <w:r w:rsidRPr="00C91BFC">
        <w:tab/>
        <w:t xml:space="preserve">Urgent actions </w:t>
      </w:r>
      <w:bookmarkStart w:id="169" w:name="_Toc522200476"/>
      <w:r w:rsidRPr="00C91BFC">
        <w:t xml:space="preserve">discontinued, closed or kept open for the protection of persons for whom interim measures have been </w:t>
      </w:r>
      <w:bookmarkEnd w:id="165"/>
      <w:bookmarkEnd w:id="166"/>
      <w:bookmarkEnd w:id="167"/>
      <w:bookmarkEnd w:id="169"/>
      <w:r w:rsidRPr="00C91BFC">
        <w:t>taken</w:t>
      </w:r>
      <w:bookmarkEnd w:id="168"/>
    </w:p>
    <w:p w14:paraId="40D65154" w14:textId="77777777" w:rsidR="00EF1BB1" w:rsidRPr="00C91BFC" w:rsidRDefault="00EF1BB1" w:rsidP="00EF1BB1">
      <w:pPr>
        <w:pStyle w:val="SingleTxtG"/>
      </w:pPr>
      <w:r w:rsidRPr="00C91BFC">
        <w:t>73.</w:t>
      </w:r>
      <w:r w:rsidRPr="00C91BFC">
        <w:tab/>
        <w:t>In accordance with the criteria adopted in plenary by the Committee at its eighth session:</w:t>
      </w:r>
    </w:p>
    <w:p w14:paraId="78FAE25F" w14:textId="77777777" w:rsidR="00EF1BB1" w:rsidRPr="00C91BFC" w:rsidRDefault="00EF1BB1" w:rsidP="00EF1BB1">
      <w:pPr>
        <w:pStyle w:val="SingleTxtG"/>
      </w:pPr>
      <w:r w:rsidRPr="00C91BFC">
        <w:tab/>
        <w:t>(a)</w:t>
      </w:r>
      <w:r w:rsidRPr="00C91BFC">
        <w:tab/>
        <w:t>An urgent action is discontinued when the disappeared person has been located but is still detained; this step is taken because the person in question is particularly vulnerable to being subjected to a further enforced disappearance and to being placed outside the protection of the law;</w:t>
      </w:r>
    </w:p>
    <w:p w14:paraId="4BCB5511" w14:textId="77777777" w:rsidR="00EF1BB1" w:rsidRPr="00C91BFC" w:rsidRDefault="00EF1BB1" w:rsidP="00EF1BB1">
      <w:pPr>
        <w:pStyle w:val="SingleTxtG"/>
      </w:pPr>
      <w:r w:rsidRPr="00C91BFC">
        <w:tab/>
        <w:t>(b)</w:t>
      </w:r>
      <w:r w:rsidRPr="00C91BFC">
        <w:tab/>
        <w:t>An urgent action is closed when the disappeared person has been found at liberty or located and released, or has been found dead, provided that the relatives and/or authors do not contest these facts;</w:t>
      </w:r>
    </w:p>
    <w:p w14:paraId="528B3F12" w14:textId="77777777" w:rsidR="00EF1BB1" w:rsidRPr="00C91BFC" w:rsidRDefault="00EF1BB1" w:rsidP="00EF1BB1">
      <w:pPr>
        <w:pStyle w:val="SingleTxtG"/>
      </w:pPr>
      <w:r w:rsidRPr="00C91BFC">
        <w:tab/>
        <w:t>(c)</w:t>
      </w:r>
      <w:r w:rsidRPr="00C91BFC">
        <w:tab/>
        <w:t>An urgent action is kept open when the disappeared person has been located but the persons for whom interim measures have been taken in the context of the urgent action are still under threat; in such cases, the action taken by the Committee is limited to following up on the interim measures.</w:t>
      </w:r>
    </w:p>
    <w:p w14:paraId="42FF83D5" w14:textId="77777777" w:rsidR="00EF1BB1" w:rsidRPr="00C91BFC" w:rsidRDefault="00EF1BB1" w:rsidP="00EF1BB1">
      <w:pPr>
        <w:pStyle w:val="SingleTxtG"/>
      </w:pPr>
      <w:r w:rsidRPr="00C91BFC">
        <w:lastRenderedPageBreak/>
        <w:t>74.</w:t>
      </w:r>
      <w:r w:rsidRPr="00C91BFC">
        <w:tab/>
        <w:t>In addition to these criteria, the Committee adopted the following new category of cases at its twentieth session:</w:t>
      </w:r>
    </w:p>
    <w:p w14:paraId="5F716A9A" w14:textId="6D9E8E35" w:rsidR="00EF1BB1" w:rsidRPr="00C91BFC" w:rsidRDefault="00EF1BB1" w:rsidP="00EF1BB1">
      <w:pPr>
        <w:pStyle w:val="SingleTxtG"/>
        <w:ind w:left="1701" w:hanging="567"/>
      </w:pPr>
      <w:r>
        <w:tab/>
      </w:r>
      <w:r>
        <w:tab/>
      </w:r>
      <w:r w:rsidRPr="00C91BFC">
        <w:t>(d)</w:t>
      </w:r>
      <w:r w:rsidRPr="00C91BFC">
        <w:tab/>
        <w:t>An urgent action, and the Committee</w:t>
      </w:r>
      <w:r w:rsidR="00FA39D9">
        <w:t>’</w:t>
      </w:r>
      <w:r w:rsidRPr="00C91BFC">
        <w:t>s follow-up to it, is suspended when the author of the request for urgent action has lost contact with the family members of the disappeared person and can no longer provide follow-up information; a suspended urgent action may be reopened if the author informs the Committee that he or she has resumed contact with the family members.</w:t>
      </w:r>
    </w:p>
    <w:p w14:paraId="1D138930" w14:textId="77777777" w:rsidR="00EF1BB1" w:rsidRPr="00C91BFC" w:rsidRDefault="00EF1BB1" w:rsidP="00EF1BB1">
      <w:pPr>
        <w:pStyle w:val="SingleTxtG"/>
      </w:pPr>
      <w:r w:rsidRPr="00C91BFC">
        <w:t>75.</w:t>
      </w:r>
      <w:r w:rsidRPr="00C91BFC">
        <w:tab/>
        <w:t>As at 1 April 2021, the Committee had closed 88 urgent action cases, discontinued 15 cases and suspended 96 cases. A total of 813 urgent action cases remained open.</w:t>
      </w:r>
    </w:p>
    <w:p w14:paraId="1182B7DA" w14:textId="77777777" w:rsidR="00EF1BB1" w:rsidRPr="00C91BFC" w:rsidRDefault="00EF1BB1" w:rsidP="00EF1BB1">
      <w:pPr>
        <w:pStyle w:val="SingleTxtG"/>
      </w:pPr>
      <w:r w:rsidRPr="00C91BFC">
        <w:t>76.</w:t>
      </w:r>
      <w:r w:rsidRPr="00C91BFC">
        <w:tab/>
        <w:t>In three urgent action cases (two cases relating to Mexico and one case relating to Colombia), it has been determined that the disappeared persons have been found dead but the urgent action cases remain open because the persons for whom interim measures were taken are still under threat.</w:t>
      </w:r>
    </w:p>
    <w:p w14:paraId="5ED3EFA0" w14:textId="77777777" w:rsidR="00EF1BB1" w:rsidRPr="00C91BFC" w:rsidRDefault="00EF1BB1" w:rsidP="00EF1BB1">
      <w:pPr>
        <w:pStyle w:val="SingleTxtG"/>
      </w:pPr>
      <w:bookmarkStart w:id="170" w:name="_Toc522200477"/>
      <w:r w:rsidRPr="00C91BFC">
        <w:t>77.</w:t>
      </w:r>
      <w:r w:rsidRPr="00C91BFC">
        <w:tab/>
        <w:t xml:space="preserve">The Committee is particularly satisfied that, as at 1 April 2021, 106 disappeared persons on whose behalf an urgent action request had been registered have been located. </w:t>
      </w:r>
    </w:p>
    <w:p w14:paraId="039CA745" w14:textId="77777777" w:rsidR="00EF1BB1" w:rsidRPr="00C91BFC" w:rsidRDefault="00EF1BB1" w:rsidP="00EF1BB1">
      <w:pPr>
        <w:pStyle w:val="H1G"/>
      </w:pPr>
      <w:r w:rsidRPr="00C91BFC">
        <w:tab/>
      </w:r>
      <w:bookmarkStart w:id="171" w:name="_Toc43905495"/>
      <w:bookmarkStart w:id="172" w:name="_Toc43906576"/>
      <w:bookmarkStart w:id="173" w:name="_Toc43996447"/>
      <w:bookmarkStart w:id="174" w:name="_Toc75349922"/>
      <w:r w:rsidRPr="00C91BFC">
        <w:t>D.</w:t>
      </w:r>
      <w:r w:rsidRPr="00C91BFC">
        <w:tab/>
        <w:t xml:space="preserve">Decisions taken by the Committee at its </w:t>
      </w:r>
      <w:bookmarkEnd w:id="170"/>
      <w:r w:rsidRPr="00C91BFC">
        <w:t>nineteenth and twentieth sessions</w:t>
      </w:r>
      <w:bookmarkEnd w:id="171"/>
      <w:bookmarkEnd w:id="172"/>
      <w:bookmarkEnd w:id="173"/>
      <w:bookmarkEnd w:id="174"/>
    </w:p>
    <w:p w14:paraId="2BC9A2E3" w14:textId="77777777" w:rsidR="00EF1BB1" w:rsidRPr="00C91BFC" w:rsidRDefault="00EF1BB1" w:rsidP="00EF1BB1">
      <w:pPr>
        <w:pStyle w:val="SingleTxtG"/>
      </w:pPr>
      <w:r w:rsidRPr="00C91BFC">
        <w:t>78.</w:t>
      </w:r>
      <w:r w:rsidRPr="00C91BFC">
        <w:tab/>
        <w:t>The Committee reiterates that, in view of the constant increase in the number of requests for urgent action that have been registered, there is an urgent need for an increase in the number of staff members in the OHCHR secretariat who are dedicated to processing those requests.</w:t>
      </w:r>
    </w:p>
    <w:p w14:paraId="717AA75E" w14:textId="3792BBD3" w:rsidR="00EF1BB1" w:rsidRPr="00C91BFC" w:rsidRDefault="00EF1BB1" w:rsidP="00EF1BB1">
      <w:pPr>
        <w:pStyle w:val="SingleTxtG"/>
      </w:pPr>
      <w:r w:rsidRPr="00C91BFC">
        <w:t>79.</w:t>
      </w:r>
      <w:r>
        <w:tab/>
      </w:r>
      <w:r w:rsidRPr="00C91BFC">
        <w:t>The Committee increased the size of the working group on urgent actions by one member. The distribution of tasks within the working group remained by working language.</w:t>
      </w:r>
    </w:p>
    <w:p w14:paraId="0973B73D" w14:textId="1F942819" w:rsidR="00EF1BB1" w:rsidRPr="00C91BFC" w:rsidRDefault="00EF1BB1" w:rsidP="00EF1BB1">
      <w:pPr>
        <w:pStyle w:val="SingleTxtG"/>
      </w:pPr>
      <w:r w:rsidRPr="00C91BFC">
        <w:t>80.</w:t>
      </w:r>
      <w:r w:rsidRPr="00C91BFC">
        <w:tab/>
        <w:t>The Committee decided to publish its reports on requests for urgent action on the Committee</w:t>
      </w:r>
      <w:r w:rsidR="00FA39D9">
        <w:t>’</w:t>
      </w:r>
      <w:r w:rsidRPr="00C91BFC">
        <w:t>s main web page, in addition to the web page of the relevant session, with a view to increasing their visibility, and, where relevant, to issue press releases on the reports and on the impact of requests for urgent action.</w:t>
      </w:r>
    </w:p>
    <w:p w14:paraId="4C6E06FC" w14:textId="77777777" w:rsidR="00EF1BB1" w:rsidRPr="00C91BFC" w:rsidRDefault="00EF1BB1" w:rsidP="00EF1BB1">
      <w:pPr>
        <w:pStyle w:val="SingleTxtG"/>
      </w:pPr>
      <w:r w:rsidRPr="00C91BFC">
        <w:br w:type="page"/>
      </w:r>
    </w:p>
    <w:bookmarkEnd w:id="141"/>
    <w:p w14:paraId="340ECC5C" w14:textId="77777777" w:rsidR="00EF1BB1" w:rsidRPr="00C91BFC" w:rsidRDefault="00EF1BB1" w:rsidP="00EF1BB1">
      <w:pPr>
        <w:pStyle w:val="HChG"/>
      </w:pPr>
      <w:r w:rsidRPr="00C91BFC">
        <w:lastRenderedPageBreak/>
        <w:tab/>
      </w:r>
      <w:r w:rsidRPr="00C91BFC">
        <w:tab/>
      </w:r>
      <w:bookmarkStart w:id="175" w:name="_Toc460489559"/>
      <w:bookmarkStart w:id="176" w:name="_Toc522200478"/>
      <w:bookmarkStart w:id="177" w:name="_Toc43905496"/>
      <w:bookmarkStart w:id="178" w:name="_Toc43906577"/>
      <w:bookmarkStart w:id="179" w:name="_Toc43996448"/>
      <w:bookmarkStart w:id="180" w:name="_Toc75349923"/>
      <w:r w:rsidRPr="00C91BFC">
        <w:t>Chapter XI</w:t>
      </w:r>
      <w:r w:rsidRPr="00C91BFC">
        <w:br/>
        <w:t>Communications procedure under article 31 of the Convention</w:t>
      </w:r>
      <w:bookmarkEnd w:id="175"/>
      <w:bookmarkEnd w:id="176"/>
      <w:bookmarkEnd w:id="177"/>
      <w:bookmarkEnd w:id="178"/>
      <w:bookmarkEnd w:id="179"/>
      <w:bookmarkEnd w:id="180"/>
    </w:p>
    <w:p w14:paraId="36C2C4F5" w14:textId="77777777" w:rsidR="00EF1BB1" w:rsidRPr="00C91BFC" w:rsidRDefault="00EF1BB1" w:rsidP="00EF1BB1">
      <w:pPr>
        <w:pStyle w:val="SingleTxtG"/>
      </w:pPr>
      <w:r w:rsidRPr="00C91BFC">
        <w:t>81.</w:t>
      </w:r>
      <w:r w:rsidRPr="00C91BFC">
        <w:tab/>
        <w:t xml:space="preserve">No new individual complaints have been registered by the Committee over the period covered by the present report. </w:t>
      </w:r>
    </w:p>
    <w:p w14:paraId="690AB52E" w14:textId="41B3844D" w:rsidR="00EF1BB1" w:rsidRPr="00C91BFC" w:rsidRDefault="00EF1BB1" w:rsidP="00EF1BB1">
      <w:pPr>
        <w:pStyle w:val="SingleTxtG"/>
      </w:pPr>
      <w:r w:rsidRPr="00C91BFC">
        <w:t>82.</w:t>
      </w:r>
      <w:r w:rsidRPr="00C91BFC">
        <w:tab/>
        <w:t xml:space="preserve">At its nineteenth session, the Committee examined </w:t>
      </w:r>
      <w:r w:rsidRPr="00EF1BB1">
        <w:rPr>
          <w:i/>
          <w:iCs/>
        </w:rPr>
        <w:t>E.L.A. v. France</w:t>
      </w:r>
      <w:r w:rsidRPr="00C91BFC">
        <w:t xml:space="preserve"> (</w:t>
      </w:r>
      <w:bookmarkStart w:id="181" w:name="_Hlk75293965"/>
      <w:r w:rsidR="00ED6BA0">
        <w:fldChar w:fldCharType="begin"/>
      </w:r>
      <w:r w:rsidR="00ED6BA0">
        <w:instrText xml:space="preserve"> HYPERLINK "http://undocs.org/en/CED/C/19/D/3/2019" </w:instrText>
      </w:r>
      <w:r w:rsidR="00ED6BA0">
        <w:fldChar w:fldCharType="separate"/>
      </w:r>
      <w:r w:rsidRPr="00ED6BA0">
        <w:rPr>
          <w:rStyle w:val="Hyperlink"/>
        </w:rPr>
        <w:t>CED/C/19/D/3/2019</w:t>
      </w:r>
      <w:bookmarkEnd w:id="181"/>
      <w:r w:rsidR="00ED6BA0">
        <w:fldChar w:fldCharType="end"/>
      </w:r>
      <w:r w:rsidRPr="00C91BFC">
        <w:t>). The Committee found that the author</w:t>
      </w:r>
      <w:r w:rsidR="00FA39D9">
        <w:t>’</w:t>
      </w:r>
      <w:r w:rsidRPr="00C91BFC">
        <w:t>s return to Sri Lanka would give rise to a violation by the State party of article 16 of the Convention (non-refoulement). It concluded that the State party authorities had failed to conduct a thorough assessment of the risk of enforced disappearance that the author would face if returned to Sri Lanka, and had failed to take due account of the author</w:t>
      </w:r>
      <w:r w:rsidR="00FA39D9">
        <w:t>’</w:t>
      </w:r>
      <w:r w:rsidRPr="00C91BFC">
        <w:t>s personal circumstances into account, in particular his brother</w:t>
      </w:r>
      <w:r w:rsidR="00FA39D9">
        <w:t>’</w:t>
      </w:r>
      <w:r w:rsidRPr="00C91BFC">
        <w:t>s enforced disappearance and the general context of enforced disappearance in Sri Lanka. The Committee urged the State party to re-examine the author</w:t>
      </w:r>
      <w:r w:rsidR="00FA39D9">
        <w:t>’</w:t>
      </w:r>
      <w:r w:rsidRPr="00C91BFC">
        <w:t>s asylum request and to refrain from deporting him to Sri Lanka while domestic proceedings were pending.</w:t>
      </w:r>
    </w:p>
    <w:p w14:paraId="5AD59F2B" w14:textId="77777777" w:rsidR="00EF1BB1" w:rsidRPr="00C91BFC" w:rsidRDefault="00EF1BB1" w:rsidP="00EF1BB1">
      <w:pPr>
        <w:pStyle w:val="SingleTxtG"/>
      </w:pPr>
      <w:r w:rsidRPr="00C91BFC">
        <w:t>83.</w:t>
      </w:r>
      <w:r w:rsidRPr="00C91BFC">
        <w:tab/>
        <w:t xml:space="preserve">Also at its nineteenth session, the Committee adopted its follow-up progress report on individual communications, in which it decided to continue the follow-up procedure regarding </w:t>
      </w:r>
      <w:proofErr w:type="spellStart"/>
      <w:r w:rsidRPr="00EF1BB1">
        <w:rPr>
          <w:i/>
          <w:iCs/>
        </w:rPr>
        <w:t>Yrusta</w:t>
      </w:r>
      <w:proofErr w:type="spellEnd"/>
      <w:r w:rsidRPr="00EF1BB1">
        <w:rPr>
          <w:i/>
          <w:iCs/>
        </w:rPr>
        <w:t xml:space="preserve"> and Del Valle </w:t>
      </w:r>
      <w:proofErr w:type="spellStart"/>
      <w:r w:rsidRPr="00EF1BB1">
        <w:rPr>
          <w:i/>
          <w:iCs/>
        </w:rPr>
        <w:t>Yrusta</w:t>
      </w:r>
      <w:proofErr w:type="spellEnd"/>
      <w:r w:rsidRPr="00EF1BB1">
        <w:rPr>
          <w:i/>
          <w:iCs/>
        </w:rPr>
        <w:t xml:space="preserve"> v. Argentina</w:t>
      </w:r>
      <w:r w:rsidRPr="00C91BFC">
        <w:t xml:space="preserve">. </w:t>
      </w:r>
    </w:p>
    <w:p w14:paraId="50481F51" w14:textId="77777777" w:rsidR="00EF1BB1" w:rsidRPr="00C91BFC" w:rsidRDefault="00EF1BB1" w:rsidP="00EF1BB1">
      <w:pPr>
        <w:pStyle w:val="SingleTxtG"/>
      </w:pPr>
      <w:r w:rsidRPr="00C91BFC">
        <w:br w:type="page"/>
      </w:r>
    </w:p>
    <w:p w14:paraId="79E65970" w14:textId="77777777" w:rsidR="00EF1BB1" w:rsidRPr="00C91BFC" w:rsidRDefault="00EF1BB1" w:rsidP="00EF1BB1">
      <w:pPr>
        <w:pStyle w:val="HChG"/>
      </w:pPr>
      <w:r w:rsidRPr="00C91BFC">
        <w:lastRenderedPageBreak/>
        <w:tab/>
      </w:r>
      <w:r w:rsidRPr="00C91BFC">
        <w:tab/>
      </w:r>
      <w:bookmarkStart w:id="182" w:name="_Toc460489560"/>
      <w:bookmarkStart w:id="183" w:name="_Toc522200479"/>
      <w:bookmarkStart w:id="184" w:name="_Toc43905497"/>
      <w:bookmarkStart w:id="185" w:name="_Toc43906578"/>
      <w:bookmarkStart w:id="186" w:name="_Toc43996449"/>
      <w:bookmarkStart w:id="187" w:name="_Toc75349924"/>
      <w:r w:rsidRPr="00C91BFC">
        <w:t>Chapter XII</w:t>
      </w:r>
      <w:r w:rsidRPr="00C91BFC">
        <w:br/>
        <w:t>Visits under article 33 of the Convention</w:t>
      </w:r>
      <w:bookmarkEnd w:id="182"/>
      <w:bookmarkEnd w:id="183"/>
      <w:bookmarkEnd w:id="184"/>
      <w:bookmarkEnd w:id="185"/>
      <w:bookmarkEnd w:id="186"/>
      <w:bookmarkEnd w:id="187"/>
    </w:p>
    <w:p w14:paraId="150216ED" w14:textId="696607C9" w:rsidR="00EF1BB1" w:rsidRPr="00C91BFC" w:rsidRDefault="00EF1BB1" w:rsidP="00EF1BB1">
      <w:pPr>
        <w:pStyle w:val="SingleTxtG"/>
      </w:pPr>
      <w:bookmarkStart w:id="188" w:name="_Toc326162655"/>
      <w:bookmarkStart w:id="189" w:name="_Toc326220770"/>
      <w:r w:rsidRPr="00C91BFC">
        <w:t>84.</w:t>
      </w:r>
      <w:r w:rsidRPr="00C91BFC">
        <w:tab/>
        <w:t>Over the reporting period, the Committee sent four reminders to Mexico, requesting the formalization of the State party</w:t>
      </w:r>
      <w:r w:rsidR="00FA39D9">
        <w:t>’</w:t>
      </w:r>
      <w:r w:rsidRPr="00C91BFC">
        <w:t>s acceptance of the Committee</w:t>
      </w:r>
      <w:r w:rsidR="00FA39D9">
        <w:t>’</w:t>
      </w:r>
      <w:r w:rsidRPr="00C91BFC">
        <w:t>s request to visit the country, as the State party had announced at various public events. The Committee highlighted its willingness to maintain a fluid, transparent and permanent dialogue with the State party, with a view to cooperating and supporting its efforts to eradicate and prevent enforced disappearance. During the Committee</w:t>
      </w:r>
      <w:r w:rsidR="00FA39D9">
        <w:t>’</w:t>
      </w:r>
      <w:r w:rsidRPr="00C91BFC">
        <w:t xml:space="preserve">s twentieth session, the Permanent Mission of Mexico to the United Nations Office and other international organizations in Geneva requested a meeting with the Committee. At the meeting, held on 16 April 2021, the Permanent Representative of Mexico informed the Committee that the State party agreed to a visit in November 2021, if the sanitary conditions so allowed, and that the State party would send a note </w:t>
      </w:r>
      <w:proofErr w:type="spellStart"/>
      <w:r w:rsidRPr="00C91BFC">
        <w:t>verbale</w:t>
      </w:r>
      <w:proofErr w:type="spellEnd"/>
      <w:r w:rsidRPr="00C91BFC">
        <w:t xml:space="preserve"> to formalize the agreement. The Committee welcomed that information, and hopes that the note </w:t>
      </w:r>
      <w:proofErr w:type="spellStart"/>
      <w:r w:rsidRPr="00C91BFC">
        <w:t>verbale</w:t>
      </w:r>
      <w:proofErr w:type="spellEnd"/>
      <w:r w:rsidRPr="00C91BFC">
        <w:t xml:space="preserve"> will be received shortly. </w:t>
      </w:r>
    </w:p>
    <w:p w14:paraId="0C3631AE" w14:textId="1D7D6E48" w:rsidR="00EF1BB1" w:rsidRPr="00C91BFC" w:rsidRDefault="00EF1BB1" w:rsidP="00EF1BB1">
      <w:pPr>
        <w:pStyle w:val="SingleTxtG"/>
      </w:pPr>
      <w:r w:rsidRPr="00C91BFC">
        <w:t>85.</w:t>
      </w:r>
      <w:r>
        <w:tab/>
      </w:r>
      <w:r w:rsidRPr="00C91BFC">
        <w:t xml:space="preserve">During its twentieth session, the Committee decided to confirm its request for a visit to Iraq. A note </w:t>
      </w:r>
      <w:proofErr w:type="spellStart"/>
      <w:r w:rsidRPr="00C91BFC">
        <w:t>verbale</w:t>
      </w:r>
      <w:proofErr w:type="spellEnd"/>
      <w:r w:rsidRPr="00C91BFC">
        <w:t xml:space="preserve"> was sent to the State party, in which the Committee recalled that a written agreement should be provided to enable to Committee to plan the visit. The Committee further decided to embark on the initial phase of the visit process under article 33 for Colombia, and sent a note </w:t>
      </w:r>
      <w:proofErr w:type="spellStart"/>
      <w:r w:rsidRPr="00C91BFC">
        <w:t>verbale</w:t>
      </w:r>
      <w:proofErr w:type="spellEnd"/>
      <w:r w:rsidRPr="00C91BFC">
        <w:t xml:space="preserve"> to inform the State party accordingly. </w:t>
      </w:r>
    </w:p>
    <w:p w14:paraId="6351A1FA" w14:textId="77777777" w:rsidR="00EF1BB1" w:rsidRPr="00C91BFC" w:rsidRDefault="00EF1BB1" w:rsidP="00EF1BB1">
      <w:pPr>
        <w:pStyle w:val="SingleTxtG"/>
      </w:pPr>
      <w:r w:rsidRPr="00C91BFC">
        <w:br w:type="page"/>
      </w:r>
    </w:p>
    <w:p w14:paraId="53587185" w14:textId="4D980F99" w:rsidR="00EF1BB1" w:rsidRPr="00C91BFC" w:rsidRDefault="00EF1BB1" w:rsidP="00EF1BB1">
      <w:pPr>
        <w:pStyle w:val="HChG"/>
      </w:pPr>
      <w:r>
        <w:lastRenderedPageBreak/>
        <w:tab/>
      </w:r>
      <w:r>
        <w:tab/>
      </w:r>
      <w:bookmarkStart w:id="190" w:name="_Toc75349925"/>
      <w:r w:rsidRPr="00C91BFC">
        <w:t>Chapter XIII</w:t>
      </w:r>
      <w:bookmarkStart w:id="191" w:name="_Toc43905498"/>
      <w:bookmarkStart w:id="192" w:name="_Toc43906579"/>
      <w:bookmarkStart w:id="193" w:name="_Toc43996450"/>
      <w:r>
        <w:br/>
      </w:r>
      <w:r w:rsidRPr="00C91BFC">
        <w:t>Guiding principles for the search for disappeared persons</w:t>
      </w:r>
      <w:bookmarkEnd w:id="190"/>
      <w:bookmarkEnd w:id="191"/>
      <w:bookmarkEnd w:id="192"/>
      <w:bookmarkEnd w:id="193"/>
    </w:p>
    <w:p w14:paraId="0307EAF7" w14:textId="77777777" w:rsidR="00EF1BB1" w:rsidRPr="00C91BFC" w:rsidRDefault="00EF1BB1" w:rsidP="00EF1BB1">
      <w:pPr>
        <w:pStyle w:val="SingleTxtG"/>
      </w:pPr>
      <w:r w:rsidRPr="00C91BFC">
        <w:t>86.</w:t>
      </w:r>
      <w:r w:rsidRPr="00C91BFC">
        <w:tab/>
        <w:t xml:space="preserve">Over the reporting period, the Committee has made frequent reference to the guiding principles for the search for disappeared persons in the context of its urgent action procedure, and in the concluding observations adopted under articles 29 (1) and 29 (4) of the Convention. During the nineteenth session, the Committee and the Working Group on Enforced or Involuntary Disappearances organized two joint webinars on search and investigation of enforced disappearances to mark the fortieth anniversary of the establishment of the Working Group and the tenth anniversary of the entry into force of the Convention, at which the guiding principles were presented as a reference document. </w:t>
      </w:r>
    </w:p>
    <w:p w14:paraId="61CDAB91" w14:textId="77777777" w:rsidR="00EF1BB1" w:rsidRPr="00C91BFC" w:rsidRDefault="00EF1BB1" w:rsidP="00EF1BB1">
      <w:pPr>
        <w:pStyle w:val="SingleTxtG"/>
      </w:pPr>
      <w:r w:rsidRPr="00C91BFC">
        <w:t>87.</w:t>
      </w:r>
      <w:r w:rsidRPr="00C91BFC">
        <w:tab/>
        <w:t xml:space="preserve">The guiding principles have given rise to a social media campaign organized by the OHCHR Office in Mexico in Spanish and promoted by the Committee in French and English in the context of events to mark the tenth anniversary of the entry into force of the Convention. </w:t>
      </w:r>
      <w:bookmarkStart w:id="194" w:name="_Hlk75281191"/>
      <w:r w:rsidRPr="00C91BFC">
        <w:t>In addition to translations into German and Nepalese, the guiding principles have now also been translated into Serbian.</w:t>
      </w:r>
      <w:bookmarkEnd w:id="194"/>
    </w:p>
    <w:p w14:paraId="2A3BCF78" w14:textId="77777777" w:rsidR="00EF1BB1" w:rsidRPr="00C91BFC" w:rsidRDefault="00EF1BB1" w:rsidP="00EF1BB1">
      <w:pPr>
        <w:pStyle w:val="SingleTxtG"/>
      </w:pPr>
      <w:r w:rsidRPr="00C91BFC">
        <w:br w:type="page"/>
      </w:r>
    </w:p>
    <w:p w14:paraId="5392E763" w14:textId="77777777" w:rsidR="00EF1BB1" w:rsidRPr="00C91BFC" w:rsidRDefault="00EF1BB1" w:rsidP="00EF1BB1">
      <w:pPr>
        <w:pStyle w:val="HChG"/>
      </w:pPr>
      <w:r w:rsidRPr="00C91BFC">
        <w:lastRenderedPageBreak/>
        <w:tab/>
      </w:r>
      <w:bookmarkStart w:id="195" w:name="_Toc326162663"/>
      <w:bookmarkStart w:id="196" w:name="_Toc326220778"/>
      <w:bookmarkStart w:id="197" w:name="_Toc460489561"/>
      <w:bookmarkStart w:id="198" w:name="_Toc522200480"/>
      <w:bookmarkStart w:id="199" w:name="_Toc43905499"/>
      <w:bookmarkStart w:id="200" w:name="_Toc43906580"/>
      <w:bookmarkStart w:id="201" w:name="_Toc43996451"/>
      <w:bookmarkEnd w:id="188"/>
      <w:bookmarkEnd w:id="189"/>
      <w:r w:rsidRPr="00C91BFC">
        <w:tab/>
      </w:r>
      <w:r w:rsidRPr="00C91BFC">
        <w:tab/>
      </w:r>
      <w:bookmarkStart w:id="202" w:name="_Toc75349926"/>
      <w:r w:rsidRPr="00C91BFC">
        <w:t>Annex</w:t>
      </w:r>
      <w:bookmarkEnd w:id="195"/>
      <w:bookmarkEnd w:id="196"/>
      <w:bookmarkEnd w:id="197"/>
      <w:bookmarkEnd w:id="198"/>
      <w:bookmarkEnd w:id="199"/>
      <w:bookmarkEnd w:id="200"/>
      <w:bookmarkEnd w:id="201"/>
      <w:bookmarkEnd w:id="202"/>
    </w:p>
    <w:p w14:paraId="45C3B507" w14:textId="77777777" w:rsidR="00EF1BB1" w:rsidRPr="00C91BFC" w:rsidRDefault="00EF1BB1" w:rsidP="00EF1BB1">
      <w:pPr>
        <w:pStyle w:val="HChG"/>
      </w:pPr>
      <w:bookmarkStart w:id="203" w:name="_Toc326162664"/>
      <w:bookmarkStart w:id="204" w:name="_Toc326220779"/>
      <w:bookmarkStart w:id="205" w:name="_Toc460489562"/>
      <w:bookmarkStart w:id="206" w:name="_Toc522200481"/>
      <w:r w:rsidRPr="00C91BFC">
        <w:tab/>
      </w:r>
      <w:r w:rsidRPr="00C91BFC">
        <w:tab/>
      </w:r>
      <w:bookmarkStart w:id="207" w:name="_Toc43905500"/>
      <w:bookmarkStart w:id="208" w:name="_Toc43906581"/>
      <w:bookmarkStart w:id="209" w:name="_Toc43996452"/>
      <w:r w:rsidRPr="00C91BFC">
        <w:tab/>
      </w:r>
      <w:bookmarkStart w:id="210" w:name="_Toc75349927"/>
      <w:r w:rsidRPr="00C91BFC">
        <w:t xml:space="preserve">States parties to the Convention as at 7 May 2021 and their </w:t>
      </w:r>
      <w:bookmarkEnd w:id="203"/>
      <w:bookmarkEnd w:id="204"/>
      <w:bookmarkEnd w:id="205"/>
      <w:bookmarkEnd w:id="206"/>
      <w:r w:rsidRPr="00C91BFC">
        <w:t>reporting status</w:t>
      </w:r>
      <w:bookmarkEnd w:id="207"/>
      <w:bookmarkEnd w:id="208"/>
      <w:bookmarkEnd w:id="209"/>
      <w:bookmarkEnd w:id="210"/>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1594"/>
        <w:gridCol w:w="1595"/>
        <w:gridCol w:w="1594"/>
        <w:gridCol w:w="1595"/>
      </w:tblGrid>
      <w:tr w:rsidR="008E2C2F" w:rsidRPr="001D0A92" w14:paraId="75FBC231" w14:textId="77777777" w:rsidTr="008009BF">
        <w:trPr>
          <w:tblHeader/>
        </w:trPr>
        <w:tc>
          <w:tcPr>
            <w:tcW w:w="2127" w:type="dxa"/>
            <w:tcBorders>
              <w:top w:val="single" w:sz="4" w:space="0" w:color="auto"/>
              <w:bottom w:val="single" w:sz="12" w:space="0" w:color="auto"/>
            </w:tcBorders>
            <w:shd w:val="clear" w:color="auto" w:fill="auto"/>
            <w:vAlign w:val="bottom"/>
          </w:tcPr>
          <w:p w14:paraId="0004B53F" w14:textId="77777777" w:rsidR="00EF1BB1" w:rsidRPr="001D0A92" w:rsidRDefault="00EF1BB1" w:rsidP="008E2C2F">
            <w:pPr>
              <w:pStyle w:val="SingleTxtG"/>
              <w:tabs>
                <w:tab w:val="clear" w:pos="1701"/>
                <w:tab w:val="clear" w:pos="2268"/>
              </w:tabs>
              <w:suppressAutoHyphens w:val="0"/>
              <w:spacing w:before="80" w:after="80" w:line="200" w:lineRule="exact"/>
              <w:ind w:left="0" w:right="113"/>
              <w:jc w:val="left"/>
              <w:rPr>
                <w:i/>
                <w:sz w:val="16"/>
              </w:rPr>
            </w:pPr>
            <w:r w:rsidRPr="001D0A92">
              <w:rPr>
                <w:i/>
                <w:sz w:val="16"/>
              </w:rPr>
              <w:t>State party (in order of ratification)</w:t>
            </w:r>
          </w:p>
        </w:tc>
        <w:tc>
          <w:tcPr>
            <w:tcW w:w="1594" w:type="dxa"/>
            <w:tcBorders>
              <w:top w:val="single" w:sz="4" w:space="0" w:color="auto"/>
              <w:bottom w:val="single" w:sz="12" w:space="0" w:color="auto"/>
            </w:tcBorders>
            <w:shd w:val="clear" w:color="auto" w:fill="auto"/>
            <w:vAlign w:val="bottom"/>
          </w:tcPr>
          <w:p w14:paraId="4FA9F459" w14:textId="2671548B" w:rsidR="00EF1BB1" w:rsidRPr="001D0A92" w:rsidRDefault="00EF1BB1" w:rsidP="008E2C2F">
            <w:pPr>
              <w:pStyle w:val="SingleTxtG"/>
              <w:tabs>
                <w:tab w:val="clear" w:pos="1701"/>
                <w:tab w:val="clear" w:pos="2268"/>
              </w:tabs>
              <w:suppressAutoHyphens w:val="0"/>
              <w:spacing w:before="80" w:after="80" w:line="200" w:lineRule="exact"/>
              <w:ind w:left="0" w:right="113"/>
              <w:jc w:val="left"/>
              <w:rPr>
                <w:i/>
                <w:sz w:val="16"/>
              </w:rPr>
            </w:pPr>
            <w:r w:rsidRPr="001D0A92">
              <w:rPr>
                <w:i/>
                <w:sz w:val="16"/>
              </w:rPr>
              <w:t>Ratification/accession</w:t>
            </w:r>
          </w:p>
        </w:tc>
        <w:tc>
          <w:tcPr>
            <w:tcW w:w="1595" w:type="dxa"/>
            <w:tcBorders>
              <w:top w:val="single" w:sz="4" w:space="0" w:color="auto"/>
              <w:bottom w:val="single" w:sz="12" w:space="0" w:color="auto"/>
            </w:tcBorders>
            <w:shd w:val="clear" w:color="auto" w:fill="auto"/>
            <w:vAlign w:val="bottom"/>
          </w:tcPr>
          <w:p w14:paraId="460FD898" w14:textId="77777777" w:rsidR="00EF1BB1" w:rsidRPr="001D0A92" w:rsidRDefault="00EF1BB1" w:rsidP="008E2C2F">
            <w:pPr>
              <w:pStyle w:val="SingleTxtG"/>
              <w:tabs>
                <w:tab w:val="clear" w:pos="1701"/>
                <w:tab w:val="clear" w:pos="2268"/>
              </w:tabs>
              <w:suppressAutoHyphens w:val="0"/>
              <w:spacing w:before="80" w:after="80" w:line="200" w:lineRule="exact"/>
              <w:ind w:left="0" w:right="113"/>
              <w:jc w:val="left"/>
              <w:rPr>
                <w:i/>
                <w:sz w:val="16"/>
              </w:rPr>
            </w:pPr>
            <w:r w:rsidRPr="001D0A92">
              <w:rPr>
                <w:i/>
                <w:sz w:val="16"/>
              </w:rPr>
              <w:t>Entry into force</w:t>
            </w:r>
          </w:p>
        </w:tc>
        <w:tc>
          <w:tcPr>
            <w:tcW w:w="1594" w:type="dxa"/>
            <w:tcBorders>
              <w:top w:val="single" w:sz="4" w:space="0" w:color="auto"/>
              <w:bottom w:val="single" w:sz="12" w:space="0" w:color="auto"/>
            </w:tcBorders>
            <w:shd w:val="clear" w:color="auto" w:fill="auto"/>
            <w:vAlign w:val="bottom"/>
          </w:tcPr>
          <w:p w14:paraId="68F513E3" w14:textId="77777777" w:rsidR="00EF1BB1" w:rsidRPr="001D0A92" w:rsidRDefault="00EF1BB1" w:rsidP="008E2C2F">
            <w:pPr>
              <w:pStyle w:val="SingleTxtG"/>
              <w:tabs>
                <w:tab w:val="clear" w:pos="1701"/>
                <w:tab w:val="clear" w:pos="2268"/>
              </w:tabs>
              <w:suppressAutoHyphens w:val="0"/>
              <w:spacing w:before="80" w:after="80" w:line="200" w:lineRule="exact"/>
              <w:ind w:left="0" w:right="113"/>
              <w:jc w:val="left"/>
              <w:rPr>
                <w:i/>
                <w:sz w:val="16"/>
              </w:rPr>
            </w:pPr>
            <w:r w:rsidRPr="001D0A92">
              <w:rPr>
                <w:i/>
                <w:sz w:val="16"/>
              </w:rPr>
              <w:t>Deadline for reporting under art. 29 (1)</w:t>
            </w:r>
          </w:p>
        </w:tc>
        <w:tc>
          <w:tcPr>
            <w:tcW w:w="1595" w:type="dxa"/>
            <w:tcBorders>
              <w:top w:val="single" w:sz="4" w:space="0" w:color="auto"/>
              <w:bottom w:val="single" w:sz="12" w:space="0" w:color="auto"/>
            </w:tcBorders>
            <w:shd w:val="clear" w:color="auto" w:fill="auto"/>
            <w:vAlign w:val="bottom"/>
          </w:tcPr>
          <w:p w14:paraId="1D08CF0C" w14:textId="77777777" w:rsidR="00EF1BB1" w:rsidRPr="001D0A92" w:rsidRDefault="00EF1BB1" w:rsidP="008E2C2F">
            <w:pPr>
              <w:pStyle w:val="SingleTxtG"/>
              <w:tabs>
                <w:tab w:val="clear" w:pos="1701"/>
                <w:tab w:val="clear" w:pos="2268"/>
              </w:tabs>
              <w:suppressAutoHyphens w:val="0"/>
              <w:spacing w:before="80" w:after="80" w:line="200" w:lineRule="exact"/>
              <w:ind w:left="0" w:right="113"/>
              <w:jc w:val="left"/>
              <w:rPr>
                <w:i/>
                <w:sz w:val="16"/>
              </w:rPr>
            </w:pPr>
            <w:r w:rsidRPr="001D0A92">
              <w:rPr>
                <w:i/>
                <w:sz w:val="16"/>
              </w:rPr>
              <w:t>Report submitted</w:t>
            </w:r>
          </w:p>
        </w:tc>
      </w:tr>
      <w:tr w:rsidR="008E2C2F" w:rsidRPr="008E2C2F" w14:paraId="78D4D32C" w14:textId="77777777" w:rsidTr="008009BF">
        <w:trPr>
          <w:trHeight w:hRule="exact" w:val="113"/>
          <w:tblHeader/>
        </w:trPr>
        <w:tc>
          <w:tcPr>
            <w:tcW w:w="2127" w:type="dxa"/>
            <w:tcBorders>
              <w:top w:val="single" w:sz="12" w:space="0" w:color="auto"/>
              <w:bottom w:val="nil"/>
            </w:tcBorders>
            <w:shd w:val="clear" w:color="auto" w:fill="auto"/>
            <w:vAlign w:val="bottom"/>
          </w:tcPr>
          <w:p w14:paraId="30FE36FA" w14:textId="77777777" w:rsidR="008E2C2F" w:rsidRPr="008E2C2F" w:rsidRDefault="008E2C2F" w:rsidP="008E2C2F">
            <w:pPr>
              <w:pStyle w:val="SingleTxtG"/>
              <w:tabs>
                <w:tab w:val="clear" w:pos="1701"/>
                <w:tab w:val="clear" w:pos="2268"/>
              </w:tabs>
              <w:suppressAutoHyphens w:val="0"/>
              <w:spacing w:before="80" w:after="80" w:line="200" w:lineRule="exact"/>
              <w:ind w:left="0" w:right="113"/>
              <w:jc w:val="left"/>
              <w:rPr>
                <w:i/>
                <w:sz w:val="16"/>
              </w:rPr>
            </w:pPr>
          </w:p>
        </w:tc>
        <w:tc>
          <w:tcPr>
            <w:tcW w:w="1594" w:type="dxa"/>
            <w:tcBorders>
              <w:top w:val="single" w:sz="12" w:space="0" w:color="auto"/>
              <w:bottom w:val="nil"/>
            </w:tcBorders>
            <w:shd w:val="clear" w:color="auto" w:fill="auto"/>
            <w:vAlign w:val="bottom"/>
          </w:tcPr>
          <w:p w14:paraId="238FD735" w14:textId="77777777" w:rsidR="008E2C2F" w:rsidRPr="008E2C2F" w:rsidRDefault="008E2C2F" w:rsidP="008E2C2F">
            <w:pPr>
              <w:pStyle w:val="SingleTxtG"/>
              <w:tabs>
                <w:tab w:val="clear" w:pos="1701"/>
                <w:tab w:val="clear" w:pos="2268"/>
              </w:tabs>
              <w:suppressAutoHyphens w:val="0"/>
              <w:spacing w:before="80" w:after="80" w:line="200" w:lineRule="exact"/>
              <w:ind w:left="0" w:right="113"/>
              <w:jc w:val="left"/>
              <w:rPr>
                <w:i/>
                <w:sz w:val="16"/>
              </w:rPr>
            </w:pPr>
          </w:p>
        </w:tc>
        <w:tc>
          <w:tcPr>
            <w:tcW w:w="1595" w:type="dxa"/>
            <w:tcBorders>
              <w:top w:val="single" w:sz="12" w:space="0" w:color="auto"/>
              <w:bottom w:val="nil"/>
            </w:tcBorders>
            <w:shd w:val="clear" w:color="auto" w:fill="auto"/>
            <w:vAlign w:val="bottom"/>
          </w:tcPr>
          <w:p w14:paraId="603FE38B" w14:textId="77777777" w:rsidR="008E2C2F" w:rsidRPr="008E2C2F" w:rsidRDefault="008E2C2F" w:rsidP="008E2C2F">
            <w:pPr>
              <w:pStyle w:val="SingleTxtG"/>
              <w:tabs>
                <w:tab w:val="clear" w:pos="1701"/>
                <w:tab w:val="clear" w:pos="2268"/>
              </w:tabs>
              <w:suppressAutoHyphens w:val="0"/>
              <w:spacing w:before="80" w:after="80" w:line="200" w:lineRule="exact"/>
              <w:ind w:left="0" w:right="113"/>
              <w:jc w:val="left"/>
              <w:rPr>
                <w:i/>
                <w:sz w:val="16"/>
              </w:rPr>
            </w:pPr>
          </w:p>
        </w:tc>
        <w:tc>
          <w:tcPr>
            <w:tcW w:w="1594" w:type="dxa"/>
            <w:tcBorders>
              <w:top w:val="single" w:sz="12" w:space="0" w:color="auto"/>
              <w:bottom w:val="nil"/>
            </w:tcBorders>
            <w:shd w:val="clear" w:color="auto" w:fill="auto"/>
            <w:vAlign w:val="bottom"/>
          </w:tcPr>
          <w:p w14:paraId="0E093CCB" w14:textId="77777777" w:rsidR="008E2C2F" w:rsidRPr="008E2C2F" w:rsidRDefault="008E2C2F" w:rsidP="008E2C2F">
            <w:pPr>
              <w:pStyle w:val="SingleTxtG"/>
              <w:tabs>
                <w:tab w:val="clear" w:pos="1701"/>
                <w:tab w:val="clear" w:pos="2268"/>
              </w:tabs>
              <w:suppressAutoHyphens w:val="0"/>
              <w:spacing w:before="80" w:after="80" w:line="200" w:lineRule="exact"/>
              <w:ind w:left="0" w:right="113"/>
              <w:jc w:val="left"/>
              <w:rPr>
                <w:i/>
                <w:sz w:val="16"/>
              </w:rPr>
            </w:pPr>
          </w:p>
        </w:tc>
        <w:tc>
          <w:tcPr>
            <w:tcW w:w="1595" w:type="dxa"/>
            <w:tcBorders>
              <w:top w:val="single" w:sz="12" w:space="0" w:color="auto"/>
              <w:bottom w:val="nil"/>
            </w:tcBorders>
            <w:shd w:val="clear" w:color="auto" w:fill="auto"/>
            <w:vAlign w:val="bottom"/>
          </w:tcPr>
          <w:p w14:paraId="136DDD70" w14:textId="77777777" w:rsidR="008E2C2F" w:rsidRPr="008E2C2F" w:rsidRDefault="008E2C2F" w:rsidP="008E2C2F">
            <w:pPr>
              <w:pStyle w:val="SingleTxtG"/>
              <w:tabs>
                <w:tab w:val="clear" w:pos="1701"/>
                <w:tab w:val="clear" w:pos="2268"/>
              </w:tabs>
              <w:suppressAutoHyphens w:val="0"/>
              <w:spacing w:before="80" w:after="80" w:line="200" w:lineRule="exact"/>
              <w:ind w:left="0" w:right="113"/>
              <w:jc w:val="left"/>
              <w:rPr>
                <w:i/>
                <w:sz w:val="16"/>
              </w:rPr>
            </w:pPr>
          </w:p>
        </w:tc>
      </w:tr>
      <w:tr w:rsidR="008E2C2F" w:rsidRPr="008E2C2F" w14:paraId="3A22162D" w14:textId="77777777" w:rsidTr="008009BF">
        <w:tc>
          <w:tcPr>
            <w:tcW w:w="2127" w:type="dxa"/>
            <w:tcBorders>
              <w:top w:val="nil"/>
            </w:tcBorders>
            <w:shd w:val="clear" w:color="auto" w:fill="auto"/>
          </w:tcPr>
          <w:p w14:paraId="5655D2E7"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Albania</w:t>
            </w:r>
            <w:r w:rsidRPr="008E2C2F">
              <w:rPr>
                <w:bCs/>
              </w:rPr>
              <w:t>*</w:t>
            </w:r>
          </w:p>
        </w:tc>
        <w:tc>
          <w:tcPr>
            <w:tcW w:w="1594" w:type="dxa"/>
            <w:tcBorders>
              <w:top w:val="nil"/>
            </w:tcBorders>
            <w:shd w:val="clear" w:color="auto" w:fill="auto"/>
          </w:tcPr>
          <w:p w14:paraId="3588C08F"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8 Nov. 2007</w:t>
            </w:r>
          </w:p>
        </w:tc>
        <w:tc>
          <w:tcPr>
            <w:tcW w:w="1595" w:type="dxa"/>
            <w:tcBorders>
              <w:top w:val="nil"/>
            </w:tcBorders>
            <w:shd w:val="clear" w:color="auto" w:fill="auto"/>
          </w:tcPr>
          <w:p w14:paraId="5A500337"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2010</w:t>
            </w:r>
          </w:p>
        </w:tc>
        <w:tc>
          <w:tcPr>
            <w:tcW w:w="1594" w:type="dxa"/>
            <w:tcBorders>
              <w:top w:val="nil"/>
            </w:tcBorders>
            <w:shd w:val="clear" w:color="auto" w:fill="auto"/>
          </w:tcPr>
          <w:p w14:paraId="4A9849F1"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2012</w:t>
            </w:r>
          </w:p>
        </w:tc>
        <w:tc>
          <w:tcPr>
            <w:tcW w:w="1595" w:type="dxa"/>
            <w:tcBorders>
              <w:top w:val="nil"/>
            </w:tcBorders>
            <w:shd w:val="clear" w:color="auto" w:fill="auto"/>
          </w:tcPr>
          <w:p w14:paraId="4F599125"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11 Nov. 2015</w:t>
            </w:r>
          </w:p>
        </w:tc>
      </w:tr>
      <w:tr w:rsidR="008E2C2F" w:rsidRPr="008E2C2F" w14:paraId="67A0594E" w14:textId="77777777" w:rsidTr="008009BF">
        <w:tc>
          <w:tcPr>
            <w:tcW w:w="2127" w:type="dxa"/>
            <w:shd w:val="clear" w:color="auto" w:fill="auto"/>
          </w:tcPr>
          <w:p w14:paraId="48B99F1A"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Argentina</w:t>
            </w:r>
            <w:r w:rsidRPr="008E2C2F">
              <w:rPr>
                <w:bCs/>
              </w:rPr>
              <w:t>*</w:t>
            </w:r>
          </w:p>
        </w:tc>
        <w:tc>
          <w:tcPr>
            <w:tcW w:w="1594" w:type="dxa"/>
            <w:shd w:val="clear" w:color="auto" w:fill="auto"/>
          </w:tcPr>
          <w:p w14:paraId="141991B9"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14 Dec. 2007</w:t>
            </w:r>
          </w:p>
        </w:tc>
        <w:tc>
          <w:tcPr>
            <w:tcW w:w="1595" w:type="dxa"/>
            <w:shd w:val="clear" w:color="auto" w:fill="auto"/>
          </w:tcPr>
          <w:p w14:paraId="33F8218D"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2010</w:t>
            </w:r>
          </w:p>
        </w:tc>
        <w:tc>
          <w:tcPr>
            <w:tcW w:w="1594" w:type="dxa"/>
            <w:shd w:val="clear" w:color="auto" w:fill="auto"/>
          </w:tcPr>
          <w:p w14:paraId="512BF2AB"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2012</w:t>
            </w:r>
          </w:p>
        </w:tc>
        <w:tc>
          <w:tcPr>
            <w:tcW w:w="1595" w:type="dxa"/>
            <w:shd w:val="clear" w:color="auto" w:fill="auto"/>
          </w:tcPr>
          <w:p w14:paraId="1E0958CC"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21 Dec. 2012</w:t>
            </w:r>
          </w:p>
        </w:tc>
      </w:tr>
      <w:tr w:rsidR="008E2C2F" w:rsidRPr="008E2C2F" w14:paraId="676EA50B" w14:textId="77777777" w:rsidTr="008009BF">
        <w:tc>
          <w:tcPr>
            <w:tcW w:w="2127" w:type="dxa"/>
            <w:shd w:val="clear" w:color="auto" w:fill="auto"/>
          </w:tcPr>
          <w:p w14:paraId="0D8F0551"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Mexico</w:t>
            </w:r>
            <w:r w:rsidRPr="008E2C2F">
              <w:rPr>
                <w:bCs/>
              </w:rPr>
              <w:t>*</w:t>
            </w:r>
          </w:p>
        </w:tc>
        <w:tc>
          <w:tcPr>
            <w:tcW w:w="1594" w:type="dxa"/>
            <w:shd w:val="clear" w:color="auto" w:fill="auto"/>
          </w:tcPr>
          <w:p w14:paraId="42CBB131"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18 Mar. 2008</w:t>
            </w:r>
          </w:p>
        </w:tc>
        <w:tc>
          <w:tcPr>
            <w:tcW w:w="1595" w:type="dxa"/>
            <w:shd w:val="clear" w:color="auto" w:fill="auto"/>
          </w:tcPr>
          <w:p w14:paraId="1B598A8E"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2010</w:t>
            </w:r>
          </w:p>
        </w:tc>
        <w:tc>
          <w:tcPr>
            <w:tcW w:w="1594" w:type="dxa"/>
            <w:shd w:val="clear" w:color="auto" w:fill="auto"/>
          </w:tcPr>
          <w:p w14:paraId="552536B0"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2012</w:t>
            </w:r>
          </w:p>
        </w:tc>
        <w:tc>
          <w:tcPr>
            <w:tcW w:w="1595" w:type="dxa"/>
            <w:shd w:val="clear" w:color="auto" w:fill="auto"/>
          </w:tcPr>
          <w:p w14:paraId="0FAFD442"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11 Mar. 2014</w:t>
            </w:r>
          </w:p>
        </w:tc>
      </w:tr>
      <w:tr w:rsidR="008E2C2F" w:rsidRPr="008E2C2F" w14:paraId="61956A4A" w14:textId="77777777" w:rsidTr="008009BF">
        <w:tc>
          <w:tcPr>
            <w:tcW w:w="2127" w:type="dxa"/>
            <w:shd w:val="clear" w:color="auto" w:fill="auto"/>
          </w:tcPr>
          <w:p w14:paraId="1ABE7243"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Honduras</w:t>
            </w:r>
          </w:p>
        </w:tc>
        <w:tc>
          <w:tcPr>
            <w:tcW w:w="1594" w:type="dxa"/>
            <w:shd w:val="clear" w:color="auto" w:fill="auto"/>
          </w:tcPr>
          <w:p w14:paraId="173230F6"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 Apr. 2008</w:t>
            </w:r>
          </w:p>
        </w:tc>
        <w:tc>
          <w:tcPr>
            <w:tcW w:w="1595" w:type="dxa"/>
            <w:shd w:val="clear" w:color="auto" w:fill="auto"/>
          </w:tcPr>
          <w:p w14:paraId="7B8CFED1"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2010</w:t>
            </w:r>
          </w:p>
        </w:tc>
        <w:tc>
          <w:tcPr>
            <w:tcW w:w="1594" w:type="dxa"/>
            <w:shd w:val="clear" w:color="auto" w:fill="auto"/>
          </w:tcPr>
          <w:p w14:paraId="6B1893A1"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2012</w:t>
            </w:r>
          </w:p>
        </w:tc>
        <w:tc>
          <w:tcPr>
            <w:tcW w:w="1595" w:type="dxa"/>
            <w:shd w:val="clear" w:color="auto" w:fill="auto"/>
          </w:tcPr>
          <w:p w14:paraId="28E4837F"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4 Feb. 2016</w:t>
            </w:r>
          </w:p>
        </w:tc>
      </w:tr>
      <w:tr w:rsidR="008E2C2F" w:rsidRPr="008E2C2F" w14:paraId="7BB8BA41" w14:textId="77777777" w:rsidTr="008009BF">
        <w:tc>
          <w:tcPr>
            <w:tcW w:w="2127" w:type="dxa"/>
            <w:shd w:val="clear" w:color="auto" w:fill="auto"/>
          </w:tcPr>
          <w:p w14:paraId="3C1B79D7"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France</w:t>
            </w:r>
            <w:r w:rsidRPr="008E2C2F">
              <w:rPr>
                <w:bCs/>
              </w:rPr>
              <w:t>*</w:t>
            </w:r>
          </w:p>
        </w:tc>
        <w:tc>
          <w:tcPr>
            <w:tcW w:w="1594" w:type="dxa"/>
            <w:shd w:val="clear" w:color="auto" w:fill="auto"/>
          </w:tcPr>
          <w:p w14:paraId="051E0899"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Sept. 2008</w:t>
            </w:r>
          </w:p>
        </w:tc>
        <w:tc>
          <w:tcPr>
            <w:tcW w:w="1595" w:type="dxa"/>
            <w:shd w:val="clear" w:color="auto" w:fill="auto"/>
          </w:tcPr>
          <w:p w14:paraId="6C3C80BD"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2010</w:t>
            </w:r>
          </w:p>
        </w:tc>
        <w:tc>
          <w:tcPr>
            <w:tcW w:w="1594" w:type="dxa"/>
            <w:shd w:val="clear" w:color="auto" w:fill="auto"/>
          </w:tcPr>
          <w:p w14:paraId="6823C479"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2012</w:t>
            </w:r>
          </w:p>
        </w:tc>
        <w:tc>
          <w:tcPr>
            <w:tcW w:w="1595" w:type="dxa"/>
            <w:shd w:val="clear" w:color="auto" w:fill="auto"/>
          </w:tcPr>
          <w:p w14:paraId="3F3552DD"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21 Dec. 2012</w:t>
            </w:r>
          </w:p>
        </w:tc>
      </w:tr>
      <w:tr w:rsidR="008E2C2F" w:rsidRPr="008E2C2F" w14:paraId="47A254BA" w14:textId="77777777" w:rsidTr="008009BF">
        <w:tc>
          <w:tcPr>
            <w:tcW w:w="2127" w:type="dxa"/>
            <w:shd w:val="clear" w:color="auto" w:fill="auto"/>
          </w:tcPr>
          <w:p w14:paraId="78CE44DF"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Senegal</w:t>
            </w:r>
          </w:p>
        </w:tc>
        <w:tc>
          <w:tcPr>
            <w:tcW w:w="1594" w:type="dxa"/>
            <w:shd w:val="clear" w:color="auto" w:fill="auto"/>
          </w:tcPr>
          <w:p w14:paraId="1C35298F"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11 Dec. 2008</w:t>
            </w:r>
          </w:p>
        </w:tc>
        <w:tc>
          <w:tcPr>
            <w:tcW w:w="1595" w:type="dxa"/>
            <w:shd w:val="clear" w:color="auto" w:fill="auto"/>
          </w:tcPr>
          <w:p w14:paraId="3E8800E1"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2010</w:t>
            </w:r>
          </w:p>
        </w:tc>
        <w:tc>
          <w:tcPr>
            <w:tcW w:w="1594" w:type="dxa"/>
            <w:shd w:val="clear" w:color="auto" w:fill="auto"/>
          </w:tcPr>
          <w:p w14:paraId="02969ED8"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2012</w:t>
            </w:r>
          </w:p>
        </w:tc>
        <w:tc>
          <w:tcPr>
            <w:tcW w:w="1595" w:type="dxa"/>
            <w:shd w:val="clear" w:color="auto" w:fill="auto"/>
          </w:tcPr>
          <w:p w14:paraId="6758758B"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28 Apr. 2015</w:t>
            </w:r>
          </w:p>
        </w:tc>
      </w:tr>
      <w:tr w:rsidR="008E2C2F" w:rsidRPr="008E2C2F" w14:paraId="4CE250FF" w14:textId="77777777" w:rsidTr="008009BF">
        <w:tc>
          <w:tcPr>
            <w:tcW w:w="2127" w:type="dxa"/>
            <w:shd w:val="clear" w:color="auto" w:fill="auto"/>
          </w:tcPr>
          <w:p w14:paraId="39993E62" w14:textId="78ED187E"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Bolivia (</w:t>
            </w:r>
            <w:proofErr w:type="spellStart"/>
            <w:r w:rsidRPr="008E2C2F">
              <w:rPr>
                <w:b/>
                <w:bCs/>
              </w:rPr>
              <w:t>Plurinational</w:t>
            </w:r>
            <w:proofErr w:type="spellEnd"/>
            <w:r w:rsidRPr="008E2C2F">
              <w:rPr>
                <w:b/>
                <w:bCs/>
              </w:rPr>
              <w:t xml:space="preserve"> </w:t>
            </w:r>
            <w:r w:rsidR="008009BF">
              <w:rPr>
                <w:b/>
                <w:bCs/>
              </w:rPr>
              <w:br/>
            </w:r>
            <w:r w:rsidRPr="008E2C2F">
              <w:rPr>
                <w:b/>
                <w:bCs/>
              </w:rPr>
              <w:t>State of)</w:t>
            </w:r>
          </w:p>
        </w:tc>
        <w:tc>
          <w:tcPr>
            <w:tcW w:w="1594" w:type="dxa"/>
            <w:shd w:val="clear" w:color="auto" w:fill="auto"/>
          </w:tcPr>
          <w:p w14:paraId="46FB1523"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17 Dec. 2008</w:t>
            </w:r>
          </w:p>
        </w:tc>
        <w:tc>
          <w:tcPr>
            <w:tcW w:w="1595" w:type="dxa"/>
            <w:shd w:val="clear" w:color="auto" w:fill="auto"/>
          </w:tcPr>
          <w:p w14:paraId="2966A9E5"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2010</w:t>
            </w:r>
          </w:p>
        </w:tc>
        <w:tc>
          <w:tcPr>
            <w:tcW w:w="1594" w:type="dxa"/>
            <w:shd w:val="clear" w:color="auto" w:fill="auto"/>
          </w:tcPr>
          <w:p w14:paraId="62908949"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2012</w:t>
            </w:r>
          </w:p>
        </w:tc>
        <w:tc>
          <w:tcPr>
            <w:tcW w:w="1595" w:type="dxa"/>
            <w:shd w:val="clear" w:color="auto" w:fill="auto"/>
          </w:tcPr>
          <w:p w14:paraId="5DEFA037"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28 Sept. 2018</w:t>
            </w:r>
          </w:p>
        </w:tc>
      </w:tr>
      <w:tr w:rsidR="008E2C2F" w:rsidRPr="008E2C2F" w14:paraId="5E9B4FA6" w14:textId="77777777" w:rsidTr="008009BF">
        <w:tc>
          <w:tcPr>
            <w:tcW w:w="2127" w:type="dxa"/>
            <w:shd w:val="clear" w:color="auto" w:fill="auto"/>
          </w:tcPr>
          <w:p w14:paraId="214A1982"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Cuba</w:t>
            </w:r>
          </w:p>
        </w:tc>
        <w:tc>
          <w:tcPr>
            <w:tcW w:w="1594" w:type="dxa"/>
            <w:shd w:val="clear" w:color="auto" w:fill="auto"/>
          </w:tcPr>
          <w:p w14:paraId="32C16605"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 Feb. 2009</w:t>
            </w:r>
          </w:p>
        </w:tc>
        <w:tc>
          <w:tcPr>
            <w:tcW w:w="1595" w:type="dxa"/>
            <w:shd w:val="clear" w:color="auto" w:fill="auto"/>
          </w:tcPr>
          <w:p w14:paraId="4073A6D5"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2010</w:t>
            </w:r>
          </w:p>
        </w:tc>
        <w:tc>
          <w:tcPr>
            <w:tcW w:w="1594" w:type="dxa"/>
            <w:shd w:val="clear" w:color="auto" w:fill="auto"/>
          </w:tcPr>
          <w:p w14:paraId="2FD40B21"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2012</w:t>
            </w:r>
          </w:p>
        </w:tc>
        <w:tc>
          <w:tcPr>
            <w:tcW w:w="1595" w:type="dxa"/>
            <w:shd w:val="clear" w:color="auto" w:fill="auto"/>
          </w:tcPr>
          <w:p w14:paraId="74BBAAFB"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24 Apr. 2015</w:t>
            </w:r>
          </w:p>
        </w:tc>
      </w:tr>
      <w:tr w:rsidR="008E2C2F" w:rsidRPr="008E2C2F" w14:paraId="5895D546" w14:textId="77777777" w:rsidTr="008009BF">
        <w:tc>
          <w:tcPr>
            <w:tcW w:w="2127" w:type="dxa"/>
            <w:shd w:val="clear" w:color="auto" w:fill="auto"/>
          </w:tcPr>
          <w:p w14:paraId="074B85E0"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Kazakhstan</w:t>
            </w:r>
          </w:p>
        </w:tc>
        <w:tc>
          <w:tcPr>
            <w:tcW w:w="1594" w:type="dxa"/>
            <w:shd w:val="clear" w:color="auto" w:fill="auto"/>
          </w:tcPr>
          <w:p w14:paraId="775B8B6F"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27 Feb. 2009</w:t>
            </w:r>
          </w:p>
        </w:tc>
        <w:tc>
          <w:tcPr>
            <w:tcW w:w="1595" w:type="dxa"/>
            <w:shd w:val="clear" w:color="auto" w:fill="auto"/>
          </w:tcPr>
          <w:p w14:paraId="0E010FD9"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2010</w:t>
            </w:r>
          </w:p>
        </w:tc>
        <w:tc>
          <w:tcPr>
            <w:tcW w:w="1594" w:type="dxa"/>
            <w:shd w:val="clear" w:color="auto" w:fill="auto"/>
          </w:tcPr>
          <w:p w14:paraId="59C9A84F"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2012</w:t>
            </w:r>
          </w:p>
        </w:tc>
        <w:tc>
          <w:tcPr>
            <w:tcW w:w="1595" w:type="dxa"/>
            <w:shd w:val="clear" w:color="auto" w:fill="auto"/>
          </w:tcPr>
          <w:p w14:paraId="284ACC8C"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3 June 2014</w:t>
            </w:r>
          </w:p>
        </w:tc>
      </w:tr>
      <w:tr w:rsidR="008E2C2F" w:rsidRPr="008E2C2F" w14:paraId="62CFB97D" w14:textId="77777777" w:rsidTr="008009BF">
        <w:tc>
          <w:tcPr>
            <w:tcW w:w="2127" w:type="dxa"/>
            <w:shd w:val="clear" w:color="auto" w:fill="auto"/>
          </w:tcPr>
          <w:p w14:paraId="0723C409"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Uruguay</w:t>
            </w:r>
            <w:r w:rsidRPr="008E2C2F">
              <w:rPr>
                <w:bCs/>
              </w:rPr>
              <w:t>*</w:t>
            </w:r>
          </w:p>
        </w:tc>
        <w:tc>
          <w:tcPr>
            <w:tcW w:w="1594" w:type="dxa"/>
            <w:shd w:val="clear" w:color="auto" w:fill="auto"/>
          </w:tcPr>
          <w:p w14:paraId="02244C70"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4 Mar. 2009</w:t>
            </w:r>
          </w:p>
        </w:tc>
        <w:tc>
          <w:tcPr>
            <w:tcW w:w="1595" w:type="dxa"/>
            <w:shd w:val="clear" w:color="auto" w:fill="auto"/>
          </w:tcPr>
          <w:p w14:paraId="45951CE2"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2010</w:t>
            </w:r>
          </w:p>
        </w:tc>
        <w:tc>
          <w:tcPr>
            <w:tcW w:w="1594" w:type="dxa"/>
            <w:shd w:val="clear" w:color="auto" w:fill="auto"/>
          </w:tcPr>
          <w:p w14:paraId="0481ECCA"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2012</w:t>
            </w:r>
          </w:p>
        </w:tc>
        <w:tc>
          <w:tcPr>
            <w:tcW w:w="1595" w:type="dxa"/>
            <w:shd w:val="clear" w:color="auto" w:fill="auto"/>
          </w:tcPr>
          <w:p w14:paraId="0765ADF8"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4 Sept. 2012</w:t>
            </w:r>
          </w:p>
        </w:tc>
      </w:tr>
      <w:tr w:rsidR="008E2C2F" w:rsidRPr="008E2C2F" w14:paraId="0875C288" w14:textId="77777777" w:rsidTr="008009BF">
        <w:tc>
          <w:tcPr>
            <w:tcW w:w="2127" w:type="dxa"/>
            <w:shd w:val="clear" w:color="auto" w:fill="auto"/>
          </w:tcPr>
          <w:p w14:paraId="560BEBAB"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Mali</w:t>
            </w:r>
            <w:r w:rsidRPr="008E2C2F">
              <w:rPr>
                <w:bCs/>
              </w:rPr>
              <w:t>*</w:t>
            </w:r>
          </w:p>
        </w:tc>
        <w:tc>
          <w:tcPr>
            <w:tcW w:w="1594" w:type="dxa"/>
            <w:shd w:val="clear" w:color="auto" w:fill="auto"/>
          </w:tcPr>
          <w:p w14:paraId="225CD13F"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 July 2009</w:t>
            </w:r>
          </w:p>
        </w:tc>
        <w:tc>
          <w:tcPr>
            <w:tcW w:w="1595" w:type="dxa"/>
            <w:shd w:val="clear" w:color="auto" w:fill="auto"/>
          </w:tcPr>
          <w:p w14:paraId="5DD4145C"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2010</w:t>
            </w:r>
          </w:p>
        </w:tc>
        <w:tc>
          <w:tcPr>
            <w:tcW w:w="1594" w:type="dxa"/>
            <w:shd w:val="clear" w:color="auto" w:fill="auto"/>
          </w:tcPr>
          <w:p w14:paraId="2C1DE949"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2012</w:t>
            </w:r>
          </w:p>
        </w:tc>
        <w:tc>
          <w:tcPr>
            <w:tcW w:w="1595" w:type="dxa"/>
            <w:shd w:val="clear" w:color="auto" w:fill="auto"/>
          </w:tcPr>
          <w:p w14:paraId="128B6386"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5 Nov. 2020</w:t>
            </w:r>
          </w:p>
        </w:tc>
      </w:tr>
      <w:tr w:rsidR="008E2C2F" w:rsidRPr="008E2C2F" w14:paraId="7D11087C" w14:textId="77777777" w:rsidTr="008009BF">
        <w:tc>
          <w:tcPr>
            <w:tcW w:w="2127" w:type="dxa"/>
            <w:shd w:val="clear" w:color="auto" w:fill="auto"/>
          </w:tcPr>
          <w:p w14:paraId="28B48D63"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Japan</w:t>
            </w:r>
            <w:r w:rsidRPr="008E2C2F">
              <w:rPr>
                <w:bCs/>
              </w:rPr>
              <w:t>*</w:t>
            </w:r>
          </w:p>
        </w:tc>
        <w:tc>
          <w:tcPr>
            <w:tcW w:w="1594" w:type="dxa"/>
            <w:shd w:val="clear" w:color="auto" w:fill="auto"/>
          </w:tcPr>
          <w:p w14:paraId="31A0C85C"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July 2009</w:t>
            </w:r>
          </w:p>
        </w:tc>
        <w:tc>
          <w:tcPr>
            <w:tcW w:w="1595" w:type="dxa"/>
            <w:shd w:val="clear" w:color="auto" w:fill="auto"/>
          </w:tcPr>
          <w:p w14:paraId="00335083"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2010</w:t>
            </w:r>
          </w:p>
        </w:tc>
        <w:tc>
          <w:tcPr>
            <w:tcW w:w="1594" w:type="dxa"/>
            <w:shd w:val="clear" w:color="auto" w:fill="auto"/>
          </w:tcPr>
          <w:p w14:paraId="4BA451F5"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2012</w:t>
            </w:r>
          </w:p>
        </w:tc>
        <w:tc>
          <w:tcPr>
            <w:tcW w:w="1595" w:type="dxa"/>
            <w:shd w:val="clear" w:color="auto" w:fill="auto"/>
          </w:tcPr>
          <w:p w14:paraId="79E90FD3"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22 July 2016</w:t>
            </w:r>
          </w:p>
        </w:tc>
      </w:tr>
      <w:tr w:rsidR="008E2C2F" w:rsidRPr="008E2C2F" w14:paraId="0A124083" w14:textId="77777777" w:rsidTr="008009BF">
        <w:tc>
          <w:tcPr>
            <w:tcW w:w="2127" w:type="dxa"/>
            <w:shd w:val="clear" w:color="auto" w:fill="auto"/>
          </w:tcPr>
          <w:p w14:paraId="117F808D"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Nigeria</w:t>
            </w:r>
          </w:p>
        </w:tc>
        <w:tc>
          <w:tcPr>
            <w:tcW w:w="1594" w:type="dxa"/>
            <w:shd w:val="clear" w:color="auto" w:fill="auto"/>
          </w:tcPr>
          <w:p w14:paraId="63734C4E"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27 July 2009</w:t>
            </w:r>
          </w:p>
        </w:tc>
        <w:tc>
          <w:tcPr>
            <w:tcW w:w="1595" w:type="dxa"/>
            <w:shd w:val="clear" w:color="auto" w:fill="auto"/>
          </w:tcPr>
          <w:p w14:paraId="5943372F"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2010</w:t>
            </w:r>
          </w:p>
        </w:tc>
        <w:tc>
          <w:tcPr>
            <w:tcW w:w="1594" w:type="dxa"/>
            <w:shd w:val="clear" w:color="auto" w:fill="auto"/>
          </w:tcPr>
          <w:p w14:paraId="02A8E0AB"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2012</w:t>
            </w:r>
          </w:p>
        </w:tc>
        <w:tc>
          <w:tcPr>
            <w:tcW w:w="1595" w:type="dxa"/>
            <w:shd w:val="clear" w:color="auto" w:fill="auto"/>
          </w:tcPr>
          <w:p w14:paraId="23BFA463"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26 Mar. 2021</w:t>
            </w:r>
          </w:p>
        </w:tc>
      </w:tr>
      <w:tr w:rsidR="008E2C2F" w:rsidRPr="008E2C2F" w14:paraId="0BCA3CD9" w14:textId="77777777" w:rsidTr="008009BF">
        <w:tc>
          <w:tcPr>
            <w:tcW w:w="2127" w:type="dxa"/>
            <w:shd w:val="clear" w:color="auto" w:fill="auto"/>
          </w:tcPr>
          <w:p w14:paraId="7941A433"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Spain</w:t>
            </w:r>
            <w:r w:rsidRPr="008E2C2F">
              <w:rPr>
                <w:bCs/>
              </w:rPr>
              <w:t>*</w:t>
            </w:r>
          </w:p>
        </w:tc>
        <w:tc>
          <w:tcPr>
            <w:tcW w:w="1594" w:type="dxa"/>
            <w:shd w:val="clear" w:color="auto" w:fill="auto"/>
          </w:tcPr>
          <w:p w14:paraId="664524B9"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24 Sept. 2009</w:t>
            </w:r>
          </w:p>
        </w:tc>
        <w:tc>
          <w:tcPr>
            <w:tcW w:w="1595" w:type="dxa"/>
            <w:shd w:val="clear" w:color="auto" w:fill="auto"/>
          </w:tcPr>
          <w:p w14:paraId="059EB224"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2010</w:t>
            </w:r>
          </w:p>
        </w:tc>
        <w:tc>
          <w:tcPr>
            <w:tcW w:w="1594" w:type="dxa"/>
            <w:shd w:val="clear" w:color="auto" w:fill="auto"/>
          </w:tcPr>
          <w:p w14:paraId="3424B5E4"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2012</w:t>
            </w:r>
          </w:p>
        </w:tc>
        <w:tc>
          <w:tcPr>
            <w:tcW w:w="1595" w:type="dxa"/>
            <w:shd w:val="clear" w:color="auto" w:fill="auto"/>
          </w:tcPr>
          <w:p w14:paraId="7F62C91C"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26 Dec. 2012</w:t>
            </w:r>
          </w:p>
        </w:tc>
      </w:tr>
      <w:tr w:rsidR="008E2C2F" w:rsidRPr="008E2C2F" w14:paraId="7D5B3BE4" w14:textId="77777777" w:rsidTr="008009BF">
        <w:tc>
          <w:tcPr>
            <w:tcW w:w="2127" w:type="dxa"/>
            <w:shd w:val="clear" w:color="auto" w:fill="auto"/>
          </w:tcPr>
          <w:p w14:paraId="688D061B"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Germany</w:t>
            </w:r>
            <w:r w:rsidRPr="008E2C2F">
              <w:rPr>
                <w:bCs/>
              </w:rPr>
              <w:t>*</w:t>
            </w:r>
          </w:p>
        </w:tc>
        <w:tc>
          <w:tcPr>
            <w:tcW w:w="1594" w:type="dxa"/>
            <w:shd w:val="clear" w:color="auto" w:fill="auto"/>
          </w:tcPr>
          <w:p w14:paraId="05301945"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24 Sept. 2009</w:t>
            </w:r>
          </w:p>
        </w:tc>
        <w:tc>
          <w:tcPr>
            <w:tcW w:w="1595" w:type="dxa"/>
            <w:shd w:val="clear" w:color="auto" w:fill="auto"/>
          </w:tcPr>
          <w:p w14:paraId="21462F47"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2010</w:t>
            </w:r>
          </w:p>
        </w:tc>
        <w:tc>
          <w:tcPr>
            <w:tcW w:w="1594" w:type="dxa"/>
            <w:shd w:val="clear" w:color="auto" w:fill="auto"/>
          </w:tcPr>
          <w:p w14:paraId="1C908E03"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2012</w:t>
            </w:r>
          </w:p>
        </w:tc>
        <w:tc>
          <w:tcPr>
            <w:tcW w:w="1595" w:type="dxa"/>
            <w:shd w:val="clear" w:color="auto" w:fill="auto"/>
          </w:tcPr>
          <w:p w14:paraId="70A4CD0C"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25 Mar. 2013</w:t>
            </w:r>
          </w:p>
        </w:tc>
      </w:tr>
      <w:tr w:rsidR="008E2C2F" w:rsidRPr="008E2C2F" w14:paraId="080A5C92" w14:textId="77777777" w:rsidTr="008009BF">
        <w:tc>
          <w:tcPr>
            <w:tcW w:w="2127" w:type="dxa"/>
            <w:shd w:val="clear" w:color="auto" w:fill="auto"/>
          </w:tcPr>
          <w:p w14:paraId="3015A7D2"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Ecuador</w:t>
            </w:r>
            <w:r w:rsidRPr="008E2C2F">
              <w:rPr>
                <w:bCs/>
              </w:rPr>
              <w:t>*</w:t>
            </w:r>
          </w:p>
        </w:tc>
        <w:tc>
          <w:tcPr>
            <w:tcW w:w="1594" w:type="dxa"/>
            <w:shd w:val="clear" w:color="auto" w:fill="auto"/>
          </w:tcPr>
          <w:p w14:paraId="49D3DEDB"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20 Oct. 2009</w:t>
            </w:r>
          </w:p>
        </w:tc>
        <w:tc>
          <w:tcPr>
            <w:tcW w:w="1595" w:type="dxa"/>
            <w:shd w:val="clear" w:color="auto" w:fill="auto"/>
          </w:tcPr>
          <w:p w14:paraId="601960E8"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2010</w:t>
            </w:r>
          </w:p>
        </w:tc>
        <w:tc>
          <w:tcPr>
            <w:tcW w:w="1594" w:type="dxa"/>
            <w:shd w:val="clear" w:color="auto" w:fill="auto"/>
          </w:tcPr>
          <w:p w14:paraId="48A78CF5"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2012</w:t>
            </w:r>
          </w:p>
        </w:tc>
        <w:tc>
          <w:tcPr>
            <w:tcW w:w="1595" w:type="dxa"/>
            <w:shd w:val="clear" w:color="auto" w:fill="auto"/>
          </w:tcPr>
          <w:p w14:paraId="5ED76353"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5 June 2015</w:t>
            </w:r>
          </w:p>
        </w:tc>
      </w:tr>
      <w:tr w:rsidR="008E2C2F" w:rsidRPr="008E2C2F" w14:paraId="636BF9E3" w14:textId="77777777" w:rsidTr="008009BF">
        <w:tc>
          <w:tcPr>
            <w:tcW w:w="2127" w:type="dxa"/>
            <w:shd w:val="clear" w:color="auto" w:fill="auto"/>
          </w:tcPr>
          <w:p w14:paraId="108DF25B"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Burkina Faso</w:t>
            </w:r>
          </w:p>
        </w:tc>
        <w:tc>
          <w:tcPr>
            <w:tcW w:w="1594" w:type="dxa"/>
            <w:shd w:val="clear" w:color="auto" w:fill="auto"/>
          </w:tcPr>
          <w:p w14:paraId="30975212"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3 Dec. 2009</w:t>
            </w:r>
          </w:p>
        </w:tc>
        <w:tc>
          <w:tcPr>
            <w:tcW w:w="1595" w:type="dxa"/>
            <w:shd w:val="clear" w:color="auto" w:fill="auto"/>
          </w:tcPr>
          <w:p w14:paraId="38343B2E"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2010</w:t>
            </w:r>
          </w:p>
        </w:tc>
        <w:tc>
          <w:tcPr>
            <w:tcW w:w="1594" w:type="dxa"/>
            <w:shd w:val="clear" w:color="auto" w:fill="auto"/>
          </w:tcPr>
          <w:p w14:paraId="46CF27DB"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2012</w:t>
            </w:r>
          </w:p>
        </w:tc>
        <w:tc>
          <w:tcPr>
            <w:tcW w:w="1595" w:type="dxa"/>
            <w:shd w:val="clear" w:color="auto" w:fill="auto"/>
          </w:tcPr>
          <w:p w14:paraId="1438D5BA"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7 Oct. 2014</w:t>
            </w:r>
          </w:p>
        </w:tc>
      </w:tr>
      <w:tr w:rsidR="008E2C2F" w:rsidRPr="008E2C2F" w14:paraId="75A8A1C2" w14:textId="77777777" w:rsidTr="008009BF">
        <w:tc>
          <w:tcPr>
            <w:tcW w:w="2127" w:type="dxa"/>
            <w:shd w:val="clear" w:color="auto" w:fill="auto"/>
          </w:tcPr>
          <w:p w14:paraId="405E77F2"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Chile</w:t>
            </w:r>
            <w:r w:rsidRPr="008E2C2F">
              <w:rPr>
                <w:bCs/>
              </w:rPr>
              <w:t>*</w:t>
            </w:r>
          </w:p>
        </w:tc>
        <w:tc>
          <w:tcPr>
            <w:tcW w:w="1594" w:type="dxa"/>
            <w:shd w:val="clear" w:color="auto" w:fill="auto"/>
          </w:tcPr>
          <w:p w14:paraId="032C49C5"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8 Dec. 2009</w:t>
            </w:r>
          </w:p>
        </w:tc>
        <w:tc>
          <w:tcPr>
            <w:tcW w:w="1595" w:type="dxa"/>
            <w:shd w:val="clear" w:color="auto" w:fill="auto"/>
          </w:tcPr>
          <w:p w14:paraId="5516CFA6"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2010</w:t>
            </w:r>
          </w:p>
        </w:tc>
        <w:tc>
          <w:tcPr>
            <w:tcW w:w="1594" w:type="dxa"/>
            <w:shd w:val="clear" w:color="auto" w:fill="auto"/>
          </w:tcPr>
          <w:p w14:paraId="6728FF47"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2012</w:t>
            </w:r>
          </w:p>
        </w:tc>
        <w:tc>
          <w:tcPr>
            <w:tcW w:w="1595" w:type="dxa"/>
            <w:shd w:val="clear" w:color="auto" w:fill="auto"/>
          </w:tcPr>
          <w:p w14:paraId="2AD62DD2"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 Dec. 2017</w:t>
            </w:r>
          </w:p>
        </w:tc>
      </w:tr>
      <w:tr w:rsidR="008E2C2F" w:rsidRPr="008E2C2F" w14:paraId="55FA9287" w14:textId="77777777" w:rsidTr="008009BF">
        <w:tc>
          <w:tcPr>
            <w:tcW w:w="2127" w:type="dxa"/>
            <w:shd w:val="clear" w:color="auto" w:fill="auto"/>
          </w:tcPr>
          <w:p w14:paraId="615292D3"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Paraguay</w:t>
            </w:r>
          </w:p>
        </w:tc>
        <w:tc>
          <w:tcPr>
            <w:tcW w:w="1594" w:type="dxa"/>
            <w:shd w:val="clear" w:color="auto" w:fill="auto"/>
          </w:tcPr>
          <w:p w14:paraId="37D79287"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3 Aug. 2010</w:t>
            </w:r>
          </w:p>
        </w:tc>
        <w:tc>
          <w:tcPr>
            <w:tcW w:w="1595" w:type="dxa"/>
            <w:shd w:val="clear" w:color="auto" w:fill="auto"/>
          </w:tcPr>
          <w:p w14:paraId="641D11C5"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2010</w:t>
            </w:r>
          </w:p>
        </w:tc>
        <w:tc>
          <w:tcPr>
            <w:tcW w:w="1594" w:type="dxa"/>
            <w:shd w:val="clear" w:color="auto" w:fill="auto"/>
          </w:tcPr>
          <w:p w14:paraId="4A3F8C68"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2012</w:t>
            </w:r>
          </w:p>
        </w:tc>
        <w:tc>
          <w:tcPr>
            <w:tcW w:w="1595" w:type="dxa"/>
            <w:shd w:val="clear" w:color="auto" w:fill="auto"/>
          </w:tcPr>
          <w:p w14:paraId="02FA4375"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28 Aug. 2013</w:t>
            </w:r>
          </w:p>
        </w:tc>
      </w:tr>
      <w:tr w:rsidR="008E2C2F" w:rsidRPr="008E2C2F" w14:paraId="1984181D" w14:textId="77777777" w:rsidTr="008009BF">
        <w:tc>
          <w:tcPr>
            <w:tcW w:w="2127" w:type="dxa"/>
            <w:shd w:val="clear" w:color="auto" w:fill="auto"/>
          </w:tcPr>
          <w:p w14:paraId="08D439A3"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Iraq</w:t>
            </w:r>
          </w:p>
        </w:tc>
        <w:tc>
          <w:tcPr>
            <w:tcW w:w="1594" w:type="dxa"/>
            <w:shd w:val="clear" w:color="auto" w:fill="auto"/>
          </w:tcPr>
          <w:p w14:paraId="50B3DE9B"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Nov. 2010</w:t>
            </w:r>
          </w:p>
        </w:tc>
        <w:tc>
          <w:tcPr>
            <w:tcW w:w="1595" w:type="dxa"/>
            <w:shd w:val="clear" w:color="auto" w:fill="auto"/>
          </w:tcPr>
          <w:p w14:paraId="1F6FC996"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2010</w:t>
            </w:r>
          </w:p>
        </w:tc>
        <w:tc>
          <w:tcPr>
            <w:tcW w:w="1594" w:type="dxa"/>
            <w:shd w:val="clear" w:color="auto" w:fill="auto"/>
          </w:tcPr>
          <w:p w14:paraId="1E953AD6"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Dec. 2012</w:t>
            </w:r>
          </w:p>
        </w:tc>
        <w:tc>
          <w:tcPr>
            <w:tcW w:w="1595" w:type="dxa"/>
            <w:shd w:val="clear" w:color="auto" w:fill="auto"/>
          </w:tcPr>
          <w:p w14:paraId="5DFEF82F"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26 June 2014</w:t>
            </w:r>
          </w:p>
        </w:tc>
      </w:tr>
      <w:tr w:rsidR="008E2C2F" w:rsidRPr="008E2C2F" w14:paraId="3979BD35" w14:textId="77777777" w:rsidTr="008009BF">
        <w:tc>
          <w:tcPr>
            <w:tcW w:w="2127" w:type="dxa"/>
            <w:shd w:val="clear" w:color="auto" w:fill="auto"/>
          </w:tcPr>
          <w:p w14:paraId="7B9DDFBB"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Brazil</w:t>
            </w:r>
          </w:p>
        </w:tc>
        <w:tc>
          <w:tcPr>
            <w:tcW w:w="1594" w:type="dxa"/>
            <w:shd w:val="clear" w:color="auto" w:fill="auto"/>
          </w:tcPr>
          <w:p w14:paraId="729D08E9"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29 Nov. 2010</w:t>
            </w:r>
          </w:p>
        </w:tc>
        <w:tc>
          <w:tcPr>
            <w:tcW w:w="1595" w:type="dxa"/>
            <w:shd w:val="clear" w:color="auto" w:fill="auto"/>
          </w:tcPr>
          <w:p w14:paraId="0D6BB5C7"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29 Dec. 2010</w:t>
            </w:r>
          </w:p>
        </w:tc>
        <w:tc>
          <w:tcPr>
            <w:tcW w:w="1594" w:type="dxa"/>
            <w:shd w:val="clear" w:color="auto" w:fill="auto"/>
          </w:tcPr>
          <w:p w14:paraId="782952C1"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29 Dec. 2012</w:t>
            </w:r>
          </w:p>
        </w:tc>
        <w:tc>
          <w:tcPr>
            <w:tcW w:w="1595" w:type="dxa"/>
            <w:shd w:val="clear" w:color="auto" w:fill="auto"/>
          </w:tcPr>
          <w:p w14:paraId="6458B08B"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30 June 2019</w:t>
            </w:r>
          </w:p>
        </w:tc>
      </w:tr>
      <w:tr w:rsidR="008E2C2F" w:rsidRPr="008E2C2F" w14:paraId="796C9E47" w14:textId="77777777" w:rsidTr="008009BF">
        <w:tc>
          <w:tcPr>
            <w:tcW w:w="2127" w:type="dxa"/>
            <w:shd w:val="clear" w:color="auto" w:fill="auto"/>
          </w:tcPr>
          <w:p w14:paraId="0E5C65A3"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Gabon</w:t>
            </w:r>
          </w:p>
        </w:tc>
        <w:tc>
          <w:tcPr>
            <w:tcW w:w="1594" w:type="dxa"/>
            <w:shd w:val="clear" w:color="auto" w:fill="auto"/>
          </w:tcPr>
          <w:p w14:paraId="09B3C75B"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19 Jan. 2011</w:t>
            </w:r>
          </w:p>
        </w:tc>
        <w:tc>
          <w:tcPr>
            <w:tcW w:w="1595" w:type="dxa"/>
            <w:shd w:val="clear" w:color="auto" w:fill="auto"/>
          </w:tcPr>
          <w:p w14:paraId="50F396D2"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18 Feb. 2011</w:t>
            </w:r>
          </w:p>
        </w:tc>
        <w:tc>
          <w:tcPr>
            <w:tcW w:w="1594" w:type="dxa"/>
            <w:shd w:val="clear" w:color="auto" w:fill="auto"/>
          </w:tcPr>
          <w:p w14:paraId="2BEDC8F0"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18 Feb. 2013</w:t>
            </w:r>
          </w:p>
        </w:tc>
        <w:tc>
          <w:tcPr>
            <w:tcW w:w="1595" w:type="dxa"/>
            <w:shd w:val="clear" w:color="auto" w:fill="auto"/>
          </w:tcPr>
          <w:p w14:paraId="5C426013"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10 June 2015</w:t>
            </w:r>
          </w:p>
        </w:tc>
      </w:tr>
      <w:tr w:rsidR="008E2C2F" w:rsidRPr="008E2C2F" w14:paraId="6DD95496" w14:textId="77777777" w:rsidTr="008009BF">
        <w:tc>
          <w:tcPr>
            <w:tcW w:w="2127" w:type="dxa"/>
            <w:shd w:val="clear" w:color="auto" w:fill="auto"/>
          </w:tcPr>
          <w:p w14:paraId="570100C7"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Armenia</w:t>
            </w:r>
          </w:p>
        </w:tc>
        <w:tc>
          <w:tcPr>
            <w:tcW w:w="1594" w:type="dxa"/>
            <w:shd w:val="clear" w:color="auto" w:fill="auto"/>
          </w:tcPr>
          <w:p w14:paraId="5C87BD37"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24 Jan. 2011</w:t>
            </w:r>
          </w:p>
        </w:tc>
        <w:tc>
          <w:tcPr>
            <w:tcW w:w="1595" w:type="dxa"/>
            <w:shd w:val="clear" w:color="auto" w:fill="auto"/>
          </w:tcPr>
          <w:p w14:paraId="5E72C889"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Feb. 2011</w:t>
            </w:r>
          </w:p>
        </w:tc>
        <w:tc>
          <w:tcPr>
            <w:tcW w:w="1594" w:type="dxa"/>
            <w:shd w:val="clear" w:color="auto" w:fill="auto"/>
          </w:tcPr>
          <w:p w14:paraId="74841CA3"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Feb. 2013</w:t>
            </w:r>
          </w:p>
        </w:tc>
        <w:tc>
          <w:tcPr>
            <w:tcW w:w="1595" w:type="dxa"/>
            <w:shd w:val="clear" w:color="auto" w:fill="auto"/>
          </w:tcPr>
          <w:p w14:paraId="0B4B9680"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14 Oct. 2013</w:t>
            </w:r>
          </w:p>
        </w:tc>
      </w:tr>
      <w:tr w:rsidR="008E2C2F" w:rsidRPr="008E2C2F" w14:paraId="11DA1EEC" w14:textId="77777777" w:rsidTr="008009BF">
        <w:tc>
          <w:tcPr>
            <w:tcW w:w="2127" w:type="dxa"/>
            <w:shd w:val="clear" w:color="auto" w:fill="auto"/>
          </w:tcPr>
          <w:p w14:paraId="458EDF26"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Netherlands</w:t>
            </w:r>
            <w:r w:rsidRPr="008E2C2F">
              <w:rPr>
                <w:bCs/>
              </w:rPr>
              <w:t>*</w:t>
            </w:r>
          </w:p>
        </w:tc>
        <w:tc>
          <w:tcPr>
            <w:tcW w:w="1594" w:type="dxa"/>
            <w:shd w:val="clear" w:color="auto" w:fill="auto"/>
          </w:tcPr>
          <w:p w14:paraId="15139AEF"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Mar. 2011</w:t>
            </w:r>
          </w:p>
        </w:tc>
        <w:tc>
          <w:tcPr>
            <w:tcW w:w="1595" w:type="dxa"/>
            <w:shd w:val="clear" w:color="auto" w:fill="auto"/>
          </w:tcPr>
          <w:p w14:paraId="2C2B8C68"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22 Apr. 2011</w:t>
            </w:r>
          </w:p>
        </w:tc>
        <w:tc>
          <w:tcPr>
            <w:tcW w:w="1594" w:type="dxa"/>
            <w:shd w:val="clear" w:color="auto" w:fill="auto"/>
          </w:tcPr>
          <w:p w14:paraId="1DB6337F"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22 Apr. 2013</w:t>
            </w:r>
          </w:p>
        </w:tc>
        <w:tc>
          <w:tcPr>
            <w:tcW w:w="1595" w:type="dxa"/>
            <w:shd w:val="clear" w:color="auto" w:fill="auto"/>
          </w:tcPr>
          <w:p w14:paraId="71E24E13"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11 June 2013</w:t>
            </w:r>
          </w:p>
        </w:tc>
      </w:tr>
      <w:tr w:rsidR="008E2C2F" w:rsidRPr="008E2C2F" w14:paraId="22EB53D5" w14:textId="77777777" w:rsidTr="008009BF">
        <w:tc>
          <w:tcPr>
            <w:tcW w:w="2127" w:type="dxa"/>
            <w:shd w:val="clear" w:color="auto" w:fill="auto"/>
          </w:tcPr>
          <w:p w14:paraId="77E10C7D"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Zambia</w:t>
            </w:r>
          </w:p>
        </w:tc>
        <w:tc>
          <w:tcPr>
            <w:tcW w:w="1594" w:type="dxa"/>
            <w:shd w:val="clear" w:color="auto" w:fill="auto"/>
          </w:tcPr>
          <w:p w14:paraId="0FA8FF90"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4 Apr. 2011</w:t>
            </w:r>
          </w:p>
        </w:tc>
        <w:tc>
          <w:tcPr>
            <w:tcW w:w="1595" w:type="dxa"/>
            <w:shd w:val="clear" w:color="auto" w:fill="auto"/>
          </w:tcPr>
          <w:p w14:paraId="6160FD5E"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4 May 2011</w:t>
            </w:r>
          </w:p>
        </w:tc>
        <w:tc>
          <w:tcPr>
            <w:tcW w:w="1594" w:type="dxa"/>
            <w:shd w:val="clear" w:color="auto" w:fill="auto"/>
          </w:tcPr>
          <w:p w14:paraId="60E4F8FB"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4 May 2013</w:t>
            </w:r>
          </w:p>
        </w:tc>
        <w:tc>
          <w:tcPr>
            <w:tcW w:w="1595" w:type="dxa"/>
            <w:shd w:val="clear" w:color="auto" w:fill="auto"/>
          </w:tcPr>
          <w:p w14:paraId="4B309C5C"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p>
        </w:tc>
      </w:tr>
      <w:tr w:rsidR="008E2C2F" w:rsidRPr="008E2C2F" w14:paraId="2AF4FF36" w14:textId="77777777" w:rsidTr="008009BF">
        <w:tc>
          <w:tcPr>
            <w:tcW w:w="2127" w:type="dxa"/>
            <w:shd w:val="clear" w:color="auto" w:fill="auto"/>
          </w:tcPr>
          <w:p w14:paraId="38FBE720"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Serbia</w:t>
            </w:r>
            <w:r w:rsidRPr="008E2C2F">
              <w:rPr>
                <w:bCs/>
              </w:rPr>
              <w:t>*</w:t>
            </w:r>
          </w:p>
        </w:tc>
        <w:tc>
          <w:tcPr>
            <w:tcW w:w="1594" w:type="dxa"/>
            <w:shd w:val="clear" w:color="auto" w:fill="auto"/>
          </w:tcPr>
          <w:p w14:paraId="32DE7AD0"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18 May 2011</w:t>
            </w:r>
          </w:p>
        </w:tc>
        <w:tc>
          <w:tcPr>
            <w:tcW w:w="1595" w:type="dxa"/>
            <w:shd w:val="clear" w:color="auto" w:fill="auto"/>
          </w:tcPr>
          <w:p w14:paraId="1C1A3C48"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17 June 2011</w:t>
            </w:r>
          </w:p>
        </w:tc>
        <w:tc>
          <w:tcPr>
            <w:tcW w:w="1594" w:type="dxa"/>
            <w:shd w:val="clear" w:color="auto" w:fill="auto"/>
          </w:tcPr>
          <w:p w14:paraId="35874AE8"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17 June 2013</w:t>
            </w:r>
          </w:p>
        </w:tc>
        <w:tc>
          <w:tcPr>
            <w:tcW w:w="1595" w:type="dxa"/>
            <w:shd w:val="clear" w:color="auto" w:fill="auto"/>
          </w:tcPr>
          <w:p w14:paraId="22517B54"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30 Dec. 2013</w:t>
            </w:r>
          </w:p>
        </w:tc>
      </w:tr>
      <w:tr w:rsidR="008E2C2F" w:rsidRPr="008E2C2F" w14:paraId="13BE05E0" w14:textId="77777777" w:rsidTr="008009BF">
        <w:tc>
          <w:tcPr>
            <w:tcW w:w="2127" w:type="dxa"/>
            <w:shd w:val="clear" w:color="auto" w:fill="auto"/>
          </w:tcPr>
          <w:p w14:paraId="13EF8F37"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Belgium</w:t>
            </w:r>
            <w:r w:rsidRPr="008E2C2F">
              <w:rPr>
                <w:bCs/>
              </w:rPr>
              <w:t>*</w:t>
            </w:r>
          </w:p>
        </w:tc>
        <w:tc>
          <w:tcPr>
            <w:tcW w:w="1594" w:type="dxa"/>
            <w:shd w:val="clear" w:color="auto" w:fill="auto"/>
          </w:tcPr>
          <w:p w14:paraId="6855E73A"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 June 2011</w:t>
            </w:r>
          </w:p>
        </w:tc>
        <w:tc>
          <w:tcPr>
            <w:tcW w:w="1595" w:type="dxa"/>
            <w:shd w:val="clear" w:color="auto" w:fill="auto"/>
          </w:tcPr>
          <w:p w14:paraId="42948964"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 July 2011</w:t>
            </w:r>
          </w:p>
        </w:tc>
        <w:tc>
          <w:tcPr>
            <w:tcW w:w="1594" w:type="dxa"/>
            <w:shd w:val="clear" w:color="auto" w:fill="auto"/>
          </w:tcPr>
          <w:p w14:paraId="57679BB1"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 July 2013</w:t>
            </w:r>
          </w:p>
        </w:tc>
        <w:tc>
          <w:tcPr>
            <w:tcW w:w="1595" w:type="dxa"/>
            <w:shd w:val="clear" w:color="auto" w:fill="auto"/>
          </w:tcPr>
          <w:p w14:paraId="3CCCB163"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8 July 2013</w:t>
            </w:r>
          </w:p>
        </w:tc>
      </w:tr>
      <w:tr w:rsidR="008E2C2F" w:rsidRPr="008E2C2F" w14:paraId="29358B76" w14:textId="77777777" w:rsidTr="008009BF">
        <w:tc>
          <w:tcPr>
            <w:tcW w:w="2127" w:type="dxa"/>
            <w:shd w:val="clear" w:color="auto" w:fill="auto"/>
          </w:tcPr>
          <w:p w14:paraId="7BF40CDB"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Panama</w:t>
            </w:r>
          </w:p>
        </w:tc>
        <w:tc>
          <w:tcPr>
            <w:tcW w:w="1594" w:type="dxa"/>
            <w:shd w:val="clear" w:color="auto" w:fill="auto"/>
          </w:tcPr>
          <w:p w14:paraId="5C9E2D63"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24 June 2011</w:t>
            </w:r>
          </w:p>
        </w:tc>
        <w:tc>
          <w:tcPr>
            <w:tcW w:w="1595" w:type="dxa"/>
            <w:shd w:val="clear" w:color="auto" w:fill="auto"/>
          </w:tcPr>
          <w:p w14:paraId="3B40044F"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24 July 2011</w:t>
            </w:r>
          </w:p>
        </w:tc>
        <w:tc>
          <w:tcPr>
            <w:tcW w:w="1594" w:type="dxa"/>
            <w:shd w:val="clear" w:color="auto" w:fill="auto"/>
          </w:tcPr>
          <w:p w14:paraId="21F22045"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24 July 2013</w:t>
            </w:r>
          </w:p>
        </w:tc>
        <w:tc>
          <w:tcPr>
            <w:tcW w:w="1595" w:type="dxa"/>
            <w:shd w:val="clear" w:color="auto" w:fill="auto"/>
          </w:tcPr>
          <w:p w14:paraId="60CCBB2D"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30 June 2019</w:t>
            </w:r>
          </w:p>
        </w:tc>
      </w:tr>
      <w:tr w:rsidR="008E2C2F" w:rsidRPr="008E2C2F" w14:paraId="137304BD" w14:textId="77777777" w:rsidTr="008009BF">
        <w:tc>
          <w:tcPr>
            <w:tcW w:w="2127" w:type="dxa"/>
            <w:tcBorders>
              <w:bottom w:val="nil"/>
            </w:tcBorders>
            <w:shd w:val="clear" w:color="auto" w:fill="auto"/>
          </w:tcPr>
          <w:p w14:paraId="0633E6BE"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Tunisia</w:t>
            </w:r>
          </w:p>
        </w:tc>
        <w:tc>
          <w:tcPr>
            <w:tcW w:w="1594" w:type="dxa"/>
            <w:tcBorders>
              <w:bottom w:val="nil"/>
            </w:tcBorders>
            <w:shd w:val="clear" w:color="auto" w:fill="auto"/>
          </w:tcPr>
          <w:p w14:paraId="1027B555"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29 June 2011</w:t>
            </w:r>
          </w:p>
        </w:tc>
        <w:tc>
          <w:tcPr>
            <w:tcW w:w="1595" w:type="dxa"/>
            <w:tcBorders>
              <w:bottom w:val="nil"/>
            </w:tcBorders>
            <w:shd w:val="clear" w:color="auto" w:fill="auto"/>
          </w:tcPr>
          <w:p w14:paraId="5E643B18"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29 July 2011</w:t>
            </w:r>
          </w:p>
        </w:tc>
        <w:tc>
          <w:tcPr>
            <w:tcW w:w="1594" w:type="dxa"/>
            <w:tcBorders>
              <w:bottom w:val="nil"/>
            </w:tcBorders>
            <w:shd w:val="clear" w:color="auto" w:fill="auto"/>
          </w:tcPr>
          <w:p w14:paraId="463BF0EB"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29 July 2013</w:t>
            </w:r>
          </w:p>
        </w:tc>
        <w:tc>
          <w:tcPr>
            <w:tcW w:w="1595" w:type="dxa"/>
            <w:tcBorders>
              <w:bottom w:val="nil"/>
            </w:tcBorders>
            <w:shd w:val="clear" w:color="auto" w:fill="auto"/>
          </w:tcPr>
          <w:p w14:paraId="0496421D"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25 Sept. 2014</w:t>
            </w:r>
          </w:p>
        </w:tc>
      </w:tr>
      <w:tr w:rsidR="008E2C2F" w:rsidRPr="008E2C2F" w14:paraId="5E250BA7" w14:textId="77777777" w:rsidTr="008009BF">
        <w:tc>
          <w:tcPr>
            <w:tcW w:w="2127" w:type="dxa"/>
            <w:tcBorders>
              <w:top w:val="nil"/>
              <w:bottom w:val="nil"/>
            </w:tcBorders>
            <w:shd w:val="clear" w:color="auto" w:fill="auto"/>
          </w:tcPr>
          <w:p w14:paraId="3E8994F6"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Montenegro</w:t>
            </w:r>
            <w:r w:rsidRPr="008E2C2F">
              <w:rPr>
                <w:bCs/>
              </w:rPr>
              <w:t>*</w:t>
            </w:r>
          </w:p>
        </w:tc>
        <w:tc>
          <w:tcPr>
            <w:tcW w:w="1594" w:type="dxa"/>
            <w:tcBorders>
              <w:top w:val="nil"/>
              <w:bottom w:val="nil"/>
            </w:tcBorders>
            <w:shd w:val="clear" w:color="auto" w:fill="auto"/>
          </w:tcPr>
          <w:p w14:paraId="3F247417"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20 Sept. 2011</w:t>
            </w:r>
          </w:p>
        </w:tc>
        <w:tc>
          <w:tcPr>
            <w:tcW w:w="1595" w:type="dxa"/>
            <w:tcBorders>
              <w:top w:val="nil"/>
              <w:bottom w:val="nil"/>
            </w:tcBorders>
            <w:shd w:val="clear" w:color="auto" w:fill="auto"/>
          </w:tcPr>
          <w:p w14:paraId="74865E35"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20 Oct. 2011</w:t>
            </w:r>
          </w:p>
        </w:tc>
        <w:tc>
          <w:tcPr>
            <w:tcW w:w="1594" w:type="dxa"/>
            <w:tcBorders>
              <w:top w:val="nil"/>
              <w:bottom w:val="nil"/>
            </w:tcBorders>
            <w:shd w:val="clear" w:color="auto" w:fill="auto"/>
          </w:tcPr>
          <w:p w14:paraId="61D91EDF"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20 Oct. 2013</w:t>
            </w:r>
          </w:p>
        </w:tc>
        <w:tc>
          <w:tcPr>
            <w:tcW w:w="1595" w:type="dxa"/>
            <w:tcBorders>
              <w:top w:val="nil"/>
              <w:bottom w:val="nil"/>
            </w:tcBorders>
            <w:shd w:val="clear" w:color="auto" w:fill="auto"/>
          </w:tcPr>
          <w:p w14:paraId="61824885"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30 Jan. 2014</w:t>
            </w:r>
          </w:p>
        </w:tc>
      </w:tr>
      <w:tr w:rsidR="008E2C2F" w:rsidRPr="008E2C2F" w14:paraId="781674D6" w14:textId="77777777" w:rsidTr="008009BF">
        <w:tc>
          <w:tcPr>
            <w:tcW w:w="2127" w:type="dxa"/>
            <w:tcBorders>
              <w:top w:val="nil"/>
              <w:bottom w:val="nil"/>
            </w:tcBorders>
            <w:shd w:val="clear" w:color="auto" w:fill="auto"/>
          </w:tcPr>
          <w:p w14:paraId="4E3CF0BD" w14:textId="77777777" w:rsidR="00EF1BB1" w:rsidRPr="008E2C2F" w:rsidRDefault="00EF1BB1" w:rsidP="008F4873">
            <w:pPr>
              <w:pStyle w:val="SingleTxtG"/>
              <w:pageBreakBefore/>
              <w:tabs>
                <w:tab w:val="clear" w:pos="1701"/>
                <w:tab w:val="clear" w:pos="2268"/>
              </w:tabs>
              <w:suppressAutoHyphens w:val="0"/>
              <w:spacing w:before="40" w:line="220" w:lineRule="exact"/>
              <w:ind w:left="0" w:right="113"/>
              <w:jc w:val="left"/>
              <w:rPr>
                <w:b/>
                <w:bCs/>
              </w:rPr>
            </w:pPr>
            <w:r w:rsidRPr="008E2C2F">
              <w:rPr>
                <w:b/>
                <w:bCs/>
              </w:rPr>
              <w:lastRenderedPageBreak/>
              <w:t>Costa Rica</w:t>
            </w:r>
          </w:p>
        </w:tc>
        <w:tc>
          <w:tcPr>
            <w:tcW w:w="1594" w:type="dxa"/>
            <w:tcBorders>
              <w:top w:val="nil"/>
              <w:bottom w:val="nil"/>
            </w:tcBorders>
            <w:shd w:val="clear" w:color="auto" w:fill="auto"/>
          </w:tcPr>
          <w:p w14:paraId="12EC7228"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16 Feb. 2012</w:t>
            </w:r>
          </w:p>
        </w:tc>
        <w:tc>
          <w:tcPr>
            <w:tcW w:w="1595" w:type="dxa"/>
            <w:tcBorders>
              <w:top w:val="nil"/>
              <w:bottom w:val="nil"/>
            </w:tcBorders>
            <w:shd w:val="clear" w:color="auto" w:fill="auto"/>
          </w:tcPr>
          <w:p w14:paraId="13E426CD"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17 Mar. 2012</w:t>
            </w:r>
          </w:p>
        </w:tc>
        <w:tc>
          <w:tcPr>
            <w:tcW w:w="1594" w:type="dxa"/>
            <w:tcBorders>
              <w:top w:val="nil"/>
              <w:bottom w:val="nil"/>
            </w:tcBorders>
            <w:shd w:val="clear" w:color="auto" w:fill="auto"/>
          </w:tcPr>
          <w:p w14:paraId="32B137C7"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17 Mar. 2014</w:t>
            </w:r>
          </w:p>
        </w:tc>
        <w:tc>
          <w:tcPr>
            <w:tcW w:w="1595" w:type="dxa"/>
            <w:tcBorders>
              <w:top w:val="nil"/>
              <w:bottom w:val="nil"/>
            </w:tcBorders>
            <w:shd w:val="clear" w:color="auto" w:fill="auto"/>
          </w:tcPr>
          <w:p w14:paraId="53B594B3"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7 May 2020</w:t>
            </w:r>
          </w:p>
        </w:tc>
      </w:tr>
      <w:tr w:rsidR="008E2C2F" w:rsidRPr="008E2C2F" w14:paraId="2EFB0D7B" w14:textId="77777777" w:rsidTr="008009BF">
        <w:tc>
          <w:tcPr>
            <w:tcW w:w="2127" w:type="dxa"/>
            <w:tcBorders>
              <w:top w:val="nil"/>
            </w:tcBorders>
            <w:shd w:val="clear" w:color="auto" w:fill="auto"/>
          </w:tcPr>
          <w:p w14:paraId="108D1F78"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Bosnia and Herzegovina</w:t>
            </w:r>
            <w:r w:rsidRPr="008E2C2F">
              <w:rPr>
                <w:bCs/>
              </w:rPr>
              <w:t>*</w:t>
            </w:r>
          </w:p>
        </w:tc>
        <w:tc>
          <w:tcPr>
            <w:tcW w:w="1594" w:type="dxa"/>
            <w:tcBorders>
              <w:top w:val="nil"/>
            </w:tcBorders>
            <w:shd w:val="clear" w:color="auto" w:fill="auto"/>
          </w:tcPr>
          <w:p w14:paraId="10FCFD76"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30 Mar. 2012</w:t>
            </w:r>
          </w:p>
        </w:tc>
        <w:tc>
          <w:tcPr>
            <w:tcW w:w="1595" w:type="dxa"/>
            <w:tcBorders>
              <w:top w:val="nil"/>
            </w:tcBorders>
            <w:shd w:val="clear" w:color="auto" w:fill="auto"/>
          </w:tcPr>
          <w:p w14:paraId="54945A8D"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29 Apr. 2012</w:t>
            </w:r>
          </w:p>
        </w:tc>
        <w:tc>
          <w:tcPr>
            <w:tcW w:w="1594" w:type="dxa"/>
            <w:tcBorders>
              <w:top w:val="nil"/>
            </w:tcBorders>
            <w:shd w:val="clear" w:color="auto" w:fill="auto"/>
          </w:tcPr>
          <w:p w14:paraId="5A62C663"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29 Apr. 2014</w:t>
            </w:r>
          </w:p>
        </w:tc>
        <w:tc>
          <w:tcPr>
            <w:tcW w:w="1595" w:type="dxa"/>
            <w:tcBorders>
              <w:top w:val="nil"/>
            </w:tcBorders>
            <w:shd w:val="clear" w:color="auto" w:fill="auto"/>
          </w:tcPr>
          <w:p w14:paraId="1A61A4C6"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26 Jan. 2015</w:t>
            </w:r>
          </w:p>
        </w:tc>
      </w:tr>
      <w:tr w:rsidR="008E2C2F" w:rsidRPr="008E2C2F" w14:paraId="50A2D35B" w14:textId="77777777" w:rsidTr="008009BF">
        <w:tc>
          <w:tcPr>
            <w:tcW w:w="2127" w:type="dxa"/>
            <w:shd w:val="clear" w:color="auto" w:fill="auto"/>
          </w:tcPr>
          <w:p w14:paraId="70410172"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Austria</w:t>
            </w:r>
            <w:r w:rsidRPr="008E2C2F">
              <w:rPr>
                <w:bCs/>
              </w:rPr>
              <w:t>*</w:t>
            </w:r>
          </w:p>
        </w:tc>
        <w:tc>
          <w:tcPr>
            <w:tcW w:w="1594" w:type="dxa"/>
            <w:shd w:val="clear" w:color="auto" w:fill="auto"/>
          </w:tcPr>
          <w:p w14:paraId="08E1637C"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7 June 2012</w:t>
            </w:r>
          </w:p>
        </w:tc>
        <w:tc>
          <w:tcPr>
            <w:tcW w:w="1595" w:type="dxa"/>
            <w:shd w:val="clear" w:color="auto" w:fill="auto"/>
          </w:tcPr>
          <w:p w14:paraId="49B24345"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7 July 2012</w:t>
            </w:r>
          </w:p>
        </w:tc>
        <w:tc>
          <w:tcPr>
            <w:tcW w:w="1594" w:type="dxa"/>
            <w:shd w:val="clear" w:color="auto" w:fill="auto"/>
          </w:tcPr>
          <w:p w14:paraId="56CB82E2"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7 July 2014</w:t>
            </w:r>
          </w:p>
        </w:tc>
        <w:tc>
          <w:tcPr>
            <w:tcW w:w="1595" w:type="dxa"/>
            <w:shd w:val="clear" w:color="auto" w:fill="auto"/>
          </w:tcPr>
          <w:p w14:paraId="5869099E"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31 May 2016</w:t>
            </w:r>
          </w:p>
        </w:tc>
      </w:tr>
      <w:tr w:rsidR="008E2C2F" w:rsidRPr="008E2C2F" w14:paraId="360ED8E0" w14:textId="77777777" w:rsidTr="008009BF">
        <w:tc>
          <w:tcPr>
            <w:tcW w:w="2127" w:type="dxa"/>
            <w:shd w:val="clear" w:color="auto" w:fill="auto"/>
          </w:tcPr>
          <w:p w14:paraId="1193258D"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Colombia</w:t>
            </w:r>
          </w:p>
        </w:tc>
        <w:tc>
          <w:tcPr>
            <w:tcW w:w="1594" w:type="dxa"/>
            <w:shd w:val="clear" w:color="auto" w:fill="auto"/>
          </w:tcPr>
          <w:p w14:paraId="55143D61"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11 July 2012</w:t>
            </w:r>
          </w:p>
        </w:tc>
        <w:tc>
          <w:tcPr>
            <w:tcW w:w="1595" w:type="dxa"/>
            <w:shd w:val="clear" w:color="auto" w:fill="auto"/>
          </w:tcPr>
          <w:p w14:paraId="0483A40F"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10 Aug. 2012</w:t>
            </w:r>
          </w:p>
        </w:tc>
        <w:tc>
          <w:tcPr>
            <w:tcW w:w="1594" w:type="dxa"/>
            <w:shd w:val="clear" w:color="auto" w:fill="auto"/>
          </w:tcPr>
          <w:p w14:paraId="4939838E"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10 Aug. 2014</w:t>
            </w:r>
          </w:p>
        </w:tc>
        <w:tc>
          <w:tcPr>
            <w:tcW w:w="1595" w:type="dxa"/>
            <w:shd w:val="clear" w:color="auto" w:fill="auto"/>
          </w:tcPr>
          <w:p w14:paraId="3E78A997"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17 Dec. 2014</w:t>
            </w:r>
          </w:p>
        </w:tc>
      </w:tr>
      <w:tr w:rsidR="008E2C2F" w:rsidRPr="008E2C2F" w14:paraId="4D003CDE" w14:textId="77777777" w:rsidTr="008009BF">
        <w:tc>
          <w:tcPr>
            <w:tcW w:w="2127" w:type="dxa"/>
            <w:shd w:val="clear" w:color="auto" w:fill="auto"/>
          </w:tcPr>
          <w:p w14:paraId="72A2ED1A"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Peru</w:t>
            </w:r>
            <w:r w:rsidRPr="008E2C2F">
              <w:rPr>
                <w:bCs/>
              </w:rPr>
              <w:t>*</w:t>
            </w:r>
          </w:p>
        </w:tc>
        <w:tc>
          <w:tcPr>
            <w:tcW w:w="1594" w:type="dxa"/>
            <w:shd w:val="clear" w:color="auto" w:fill="auto"/>
          </w:tcPr>
          <w:p w14:paraId="6F6EF594"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26 Sept. 2012</w:t>
            </w:r>
          </w:p>
        </w:tc>
        <w:tc>
          <w:tcPr>
            <w:tcW w:w="1595" w:type="dxa"/>
            <w:shd w:val="clear" w:color="auto" w:fill="auto"/>
          </w:tcPr>
          <w:p w14:paraId="0ED027C7"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26 Oct. 2012</w:t>
            </w:r>
          </w:p>
        </w:tc>
        <w:tc>
          <w:tcPr>
            <w:tcW w:w="1594" w:type="dxa"/>
            <w:shd w:val="clear" w:color="auto" w:fill="auto"/>
          </w:tcPr>
          <w:p w14:paraId="6292BE41"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26 Oct. 2014</w:t>
            </w:r>
          </w:p>
        </w:tc>
        <w:tc>
          <w:tcPr>
            <w:tcW w:w="1595" w:type="dxa"/>
            <w:shd w:val="clear" w:color="auto" w:fill="auto"/>
          </w:tcPr>
          <w:p w14:paraId="3299AFF6"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8 Aug. 2016</w:t>
            </w:r>
          </w:p>
        </w:tc>
      </w:tr>
      <w:tr w:rsidR="008E2C2F" w:rsidRPr="008E2C2F" w14:paraId="22439BCD" w14:textId="77777777" w:rsidTr="008009BF">
        <w:tc>
          <w:tcPr>
            <w:tcW w:w="2127" w:type="dxa"/>
            <w:shd w:val="clear" w:color="auto" w:fill="auto"/>
          </w:tcPr>
          <w:p w14:paraId="1D2BFBF3"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Mauritania</w:t>
            </w:r>
          </w:p>
        </w:tc>
        <w:tc>
          <w:tcPr>
            <w:tcW w:w="1594" w:type="dxa"/>
            <w:shd w:val="clear" w:color="auto" w:fill="auto"/>
          </w:tcPr>
          <w:p w14:paraId="3B6D50F3"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3 Oct. 2012</w:t>
            </w:r>
          </w:p>
        </w:tc>
        <w:tc>
          <w:tcPr>
            <w:tcW w:w="1595" w:type="dxa"/>
            <w:shd w:val="clear" w:color="auto" w:fill="auto"/>
          </w:tcPr>
          <w:p w14:paraId="6BC7528A"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 Nov. 2012</w:t>
            </w:r>
          </w:p>
        </w:tc>
        <w:tc>
          <w:tcPr>
            <w:tcW w:w="1594" w:type="dxa"/>
            <w:shd w:val="clear" w:color="auto" w:fill="auto"/>
          </w:tcPr>
          <w:p w14:paraId="58B67749"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 Nov. 2014</w:t>
            </w:r>
          </w:p>
        </w:tc>
        <w:tc>
          <w:tcPr>
            <w:tcW w:w="1595" w:type="dxa"/>
            <w:shd w:val="clear" w:color="auto" w:fill="auto"/>
          </w:tcPr>
          <w:p w14:paraId="6B0B0ECC"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29 Dec. 2020</w:t>
            </w:r>
          </w:p>
        </w:tc>
      </w:tr>
      <w:tr w:rsidR="008E2C2F" w:rsidRPr="008E2C2F" w14:paraId="64361E43" w14:textId="77777777" w:rsidTr="008009BF">
        <w:tc>
          <w:tcPr>
            <w:tcW w:w="2127" w:type="dxa"/>
            <w:shd w:val="clear" w:color="auto" w:fill="auto"/>
          </w:tcPr>
          <w:p w14:paraId="16BCCC56"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Samoa</w:t>
            </w:r>
          </w:p>
        </w:tc>
        <w:tc>
          <w:tcPr>
            <w:tcW w:w="1594" w:type="dxa"/>
            <w:shd w:val="clear" w:color="auto" w:fill="auto"/>
          </w:tcPr>
          <w:p w14:paraId="63F7AFF2"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27 Nov. 2012</w:t>
            </w:r>
          </w:p>
        </w:tc>
        <w:tc>
          <w:tcPr>
            <w:tcW w:w="1595" w:type="dxa"/>
            <w:shd w:val="clear" w:color="auto" w:fill="auto"/>
          </w:tcPr>
          <w:p w14:paraId="3025B34D"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27 Dec. 2012</w:t>
            </w:r>
          </w:p>
        </w:tc>
        <w:tc>
          <w:tcPr>
            <w:tcW w:w="1594" w:type="dxa"/>
            <w:shd w:val="clear" w:color="auto" w:fill="auto"/>
          </w:tcPr>
          <w:p w14:paraId="315C6964"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27 Dec. 2014</w:t>
            </w:r>
          </w:p>
        </w:tc>
        <w:tc>
          <w:tcPr>
            <w:tcW w:w="1595" w:type="dxa"/>
            <w:shd w:val="clear" w:color="auto" w:fill="auto"/>
          </w:tcPr>
          <w:p w14:paraId="4143E1B1"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p>
        </w:tc>
      </w:tr>
      <w:tr w:rsidR="008E2C2F" w:rsidRPr="008E2C2F" w14:paraId="76BA22D1" w14:textId="77777777" w:rsidTr="008009BF">
        <w:tc>
          <w:tcPr>
            <w:tcW w:w="2127" w:type="dxa"/>
            <w:shd w:val="clear" w:color="auto" w:fill="auto"/>
          </w:tcPr>
          <w:p w14:paraId="0B33DDD0"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Morocco</w:t>
            </w:r>
          </w:p>
        </w:tc>
        <w:tc>
          <w:tcPr>
            <w:tcW w:w="1594" w:type="dxa"/>
            <w:shd w:val="clear" w:color="auto" w:fill="auto"/>
          </w:tcPr>
          <w:p w14:paraId="5FD1367F"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14 May 2013</w:t>
            </w:r>
          </w:p>
        </w:tc>
        <w:tc>
          <w:tcPr>
            <w:tcW w:w="1595" w:type="dxa"/>
            <w:shd w:val="clear" w:color="auto" w:fill="auto"/>
          </w:tcPr>
          <w:p w14:paraId="7824A057"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13 June 2013</w:t>
            </w:r>
          </w:p>
        </w:tc>
        <w:tc>
          <w:tcPr>
            <w:tcW w:w="1594" w:type="dxa"/>
            <w:shd w:val="clear" w:color="auto" w:fill="auto"/>
          </w:tcPr>
          <w:p w14:paraId="302833A0"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13 June 2015</w:t>
            </w:r>
          </w:p>
        </w:tc>
        <w:tc>
          <w:tcPr>
            <w:tcW w:w="1595" w:type="dxa"/>
            <w:shd w:val="clear" w:color="auto" w:fill="auto"/>
          </w:tcPr>
          <w:p w14:paraId="11514B15"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p>
        </w:tc>
      </w:tr>
      <w:tr w:rsidR="008E2C2F" w:rsidRPr="008E2C2F" w14:paraId="48D48057" w14:textId="77777777" w:rsidTr="008009BF">
        <w:tc>
          <w:tcPr>
            <w:tcW w:w="2127" w:type="dxa"/>
            <w:shd w:val="clear" w:color="auto" w:fill="auto"/>
          </w:tcPr>
          <w:p w14:paraId="5DD6A2FC"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Cambodia</w:t>
            </w:r>
          </w:p>
        </w:tc>
        <w:tc>
          <w:tcPr>
            <w:tcW w:w="1594" w:type="dxa"/>
            <w:shd w:val="clear" w:color="auto" w:fill="auto"/>
          </w:tcPr>
          <w:p w14:paraId="0E378F84"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27 June 2013</w:t>
            </w:r>
          </w:p>
        </w:tc>
        <w:tc>
          <w:tcPr>
            <w:tcW w:w="1595" w:type="dxa"/>
            <w:shd w:val="clear" w:color="auto" w:fill="auto"/>
          </w:tcPr>
          <w:p w14:paraId="048978FF"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27 July 2013</w:t>
            </w:r>
          </w:p>
        </w:tc>
        <w:tc>
          <w:tcPr>
            <w:tcW w:w="1594" w:type="dxa"/>
            <w:shd w:val="clear" w:color="auto" w:fill="auto"/>
          </w:tcPr>
          <w:p w14:paraId="28F39166"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27 July 2015</w:t>
            </w:r>
          </w:p>
        </w:tc>
        <w:tc>
          <w:tcPr>
            <w:tcW w:w="1595" w:type="dxa"/>
            <w:shd w:val="clear" w:color="auto" w:fill="auto"/>
          </w:tcPr>
          <w:p w14:paraId="231DC9D4"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p>
        </w:tc>
      </w:tr>
      <w:tr w:rsidR="008E2C2F" w:rsidRPr="008E2C2F" w14:paraId="4E142F6B" w14:textId="77777777" w:rsidTr="008009BF">
        <w:tc>
          <w:tcPr>
            <w:tcW w:w="2127" w:type="dxa"/>
            <w:shd w:val="clear" w:color="auto" w:fill="auto"/>
          </w:tcPr>
          <w:p w14:paraId="1B4C5789"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Lithuania</w:t>
            </w:r>
            <w:r w:rsidRPr="008E2C2F">
              <w:rPr>
                <w:bCs/>
              </w:rPr>
              <w:t>*</w:t>
            </w:r>
          </w:p>
        </w:tc>
        <w:tc>
          <w:tcPr>
            <w:tcW w:w="1594" w:type="dxa"/>
            <w:shd w:val="clear" w:color="auto" w:fill="auto"/>
          </w:tcPr>
          <w:p w14:paraId="5AC6D2A6"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14 Aug. 2013</w:t>
            </w:r>
          </w:p>
        </w:tc>
        <w:tc>
          <w:tcPr>
            <w:tcW w:w="1595" w:type="dxa"/>
            <w:shd w:val="clear" w:color="auto" w:fill="auto"/>
          </w:tcPr>
          <w:p w14:paraId="188C06C5"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13 Sept. 2013</w:t>
            </w:r>
          </w:p>
        </w:tc>
        <w:tc>
          <w:tcPr>
            <w:tcW w:w="1594" w:type="dxa"/>
            <w:shd w:val="clear" w:color="auto" w:fill="auto"/>
          </w:tcPr>
          <w:p w14:paraId="4EEC6C96"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13 Sept. 2015</w:t>
            </w:r>
          </w:p>
        </w:tc>
        <w:tc>
          <w:tcPr>
            <w:tcW w:w="1595" w:type="dxa"/>
            <w:shd w:val="clear" w:color="auto" w:fill="auto"/>
          </w:tcPr>
          <w:p w14:paraId="5F0E9919"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6 Oct. 2015</w:t>
            </w:r>
          </w:p>
        </w:tc>
      </w:tr>
      <w:tr w:rsidR="008E2C2F" w:rsidRPr="008E2C2F" w14:paraId="3DA29796" w14:textId="77777777" w:rsidTr="008009BF">
        <w:tc>
          <w:tcPr>
            <w:tcW w:w="2127" w:type="dxa"/>
            <w:shd w:val="clear" w:color="auto" w:fill="auto"/>
          </w:tcPr>
          <w:p w14:paraId="776C05D1" w14:textId="17B635C0"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Lesotho</w:t>
            </w:r>
          </w:p>
        </w:tc>
        <w:tc>
          <w:tcPr>
            <w:tcW w:w="1594" w:type="dxa"/>
            <w:shd w:val="clear" w:color="auto" w:fill="auto"/>
          </w:tcPr>
          <w:p w14:paraId="06281CFD"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6 Dec. 2013</w:t>
            </w:r>
          </w:p>
        </w:tc>
        <w:tc>
          <w:tcPr>
            <w:tcW w:w="1595" w:type="dxa"/>
            <w:shd w:val="clear" w:color="auto" w:fill="auto"/>
          </w:tcPr>
          <w:p w14:paraId="4BECC557"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5 Jan. 2014</w:t>
            </w:r>
          </w:p>
        </w:tc>
        <w:tc>
          <w:tcPr>
            <w:tcW w:w="1594" w:type="dxa"/>
            <w:shd w:val="clear" w:color="auto" w:fill="auto"/>
          </w:tcPr>
          <w:p w14:paraId="555B739F"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5 Jan. 2016</w:t>
            </w:r>
          </w:p>
        </w:tc>
        <w:tc>
          <w:tcPr>
            <w:tcW w:w="1595" w:type="dxa"/>
            <w:shd w:val="clear" w:color="auto" w:fill="auto"/>
          </w:tcPr>
          <w:p w14:paraId="306F6C82"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p>
        </w:tc>
      </w:tr>
      <w:tr w:rsidR="008E2C2F" w:rsidRPr="008E2C2F" w14:paraId="04735059" w14:textId="77777777" w:rsidTr="008009BF">
        <w:tc>
          <w:tcPr>
            <w:tcW w:w="2127" w:type="dxa"/>
            <w:shd w:val="clear" w:color="auto" w:fill="auto"/>
          </w:tcPr>
          <w:p w14:paraId="219E1F99" w14:textId="4438B67B"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Portugal</w:t>
            </w:r>
            <w:r w:rsidRPr="008E2C2F">
              <w:rPr>
                <w:bCs/>
              </w:rPr>
              <w:t>*</w:t>
            </w:r>
          </w:p>
        </w:tc>
        <w:tc>
          <w:tcPr>
            <w:tcW w:w="1594" w:type="dxa"/>
            <w:shd w:val="clear" w:color="auto" w:fill="auto"/>
          </w:tcPr>
          <w:p w14:paraId="4A2EFCB5"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27 Jan. 2014</w:t>
            </w:r>
          </w:p>
        </w:tc>
        <w:tc>
          <w:tcPr>
            <w:tcW w:w="1595" w:type="dxa"/>
            <w:shd w:val="clear" w:color="auto" w:fill="auto"/>
          </w:tcPr>
          <w:p w14:paraId="07A19A94"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26 Feb. 2014</w:t>
            </w:r>
          </w:p>
        </w:tc>
        <w:tc>
          <w:tcPr>
            <w:tcW w:w="1594" w:type="dxa"/>
            <w:shd w:val="clear" w:color="auto" w:fill="auto"/>
          </w:tcPr>
          <w:p w14:paraId="5DB3C5AE"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26 Feb. 2016</w:t>
            </w:r>
          </w:p>
        </w:tc>
        <w:tc>
          <w:tcPr>
            <w:tcW w:w="1595" w:type="dxa"/>
            <w:shd w:val="clear" w:color="auto" w:fill="auto"/>
          </w:tcPr>
          <w:p w14:paraId="54B37A9A"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22 June 2016</w:t>
            </w:r>
          </w:p>
        </w:tc>
      </w:tr>
      <w:tr w:rsidR="008E2C2F" w:rsidRPr="008E2C2F" w14:paraId="4F3E7502" w14:textId="77777777" w:rsidTr="008009BF">
        <w:tc>
          <w:tcPr>
            <w:tcW w:w="2127" w:type="dxa"/>
            <w:shd w:val="clear" w:color="auto" w:fill="auto"/>
          </w:tcPr>
          <w:p w14:paraId="56DE171C"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Togo</w:t>
            </w:r>
          </w:p>
        </w:tc>
        <w:tc>
          <w:tcPr>
            <w:tcW w:w="1594" w:type="dxa"/>
            <w:shd w:val="clear" w:color="auto" w:fill="auto"/>
          </w:tcPr>
          <w:p w14:paraId="21297087"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21 July 2014</w:t>
            </w:r>
          </w:p>
        </w:tc>
        <w:tc>
          <w:tcPr>
            <w:tcW w:w="1595" w:type="dxa"/>
            <w:shd w:val="clear" w:color="auto" w:fill="auto"/>
          </w:tcPr>
          <w:p w14:paraId="4DCEBF56"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20 Aug. 2014</w:t>
            </w:r>
          </w:p>
        </w:tc>
        <w:tc>
          <w:tcPr>
            <w:tcW w:w="1594" w:type="dxa"/>
            <w:shd w:val="clear" w:color="auto" w:fill="auto"/>
          </w:tcPr>
          <w:p w14:paraId="0F8F2D59"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20 Aug. 2016</w:t>
            </w:r>
          </w:p>
        </w:tc>
        <w:tc>
          <w:tcPr>
            <w:tcW w:w="1595" w:type="dxa"/>
            <w:shd w:val="clear" w:color="auto" w:fill="auto"/>
          </w:tcPr>
          <w:p w14:paraId="02CB606A"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p>
        </w:tc>
      </w:tr>
      <w:tr w:rsidR="008E2C2F" w:rsidRPr="008E2C2F" w14:paraId="7789D220" w14:textId="77777777" w:rsidTr="008009BF">
        <w:tc>
          <w:tcPr>
            <w:tcW w:w="2127" w:type="dxa"/>
            <w:shd w:val="clear" w:color="auto" w:fill="auto"/>
          </w:tcPr>
          <w:p w14:paraId="2A1BB7E7"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Slovakia</w:t>
            </w:r>
            <w:r w:rsidRPr="008E2C2F">
              <w:rPr>
                <w:bCs/>
              </w:rPr>
              <w:t>*</w:t>
            </w:r>
          </w:p>
        </w:tc>
        <w:tc>
          <w:tcPr>
            <w:tcW w:w="1594" w:type="dxa"/>
            <w:shd w:val="clear" w:color="auto" w:fill="auto"/>
          </w:tcPr>
          <w:p w14:paraId="046AF229"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15 Dec. 2014</w:t>
            </w:r>
          </w:p>
        </w:tc>
        <w:tc>
          <w:tcPr>
            <w:tcW w:w="1595" w:type="dxa"/>
            <w:shd w:val="clear" w:color="auto" w:fill="auto"/>
          </w:tcPr>
          <w:p w14:paraId="15D8CF30"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14 Jan. 2015</w:t>
            </w:r>
          </w:p>
        </w:tc>
        <w:tc>
          <w:tcPr>
            <w:tcW w:w="1594" w:type="dxa"/>
            <w:shd w:val="clear" w:color="auto" w:fill="auto"/>
          </w:tcPr>
          <w:p w14:paraId="39911212"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14 Jan. 2017</w:t>
            </w:r>
          </w:p>
        </w:tc>
        <w:tc>
          <w:tcPr>
            <w:tcW w:w="1595" w:type="dxa"/>
            <w:shd w:val="clear" w:color="auto" w:fill="auto"/>
          </w:tcPr>
          <w:p w14:paraId="0D6F07C5"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26 Apr. 2018</w:t>
            </w:r>
          </w:p>
        </w:tc>
      </w:tr>
      <w:tr w:rsidR="008E2C2F" w:rsidRPr="008E2C2F" w14:paraId="5912395F" w14:textId="77777777" w:rsidTr="008009BF">
        <w:tc>
          <w:tcPr>
            <w:tcW w:w="2127" w:type="dxa"/>
            <w:shd w:val="clear" w:color="auto" w:fill="auto"/>
          </w:tcPr>
          <w:p w14:paraId="7D4F135A"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Mongolia</w:t>
            </w:r>
          </w:p>
        </w:tc>
        <w:tc>
          <w:tcPr>
            <w:tcW w:w="1594" w:type="dxa"/>
            <w:shd w:val="clear" w:color="auto" w:fill="auto"/>
          </w:tcPr>
          <w:p w14:paraId="5DA65C1B"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12 Feb. 2015</w:t>
            </w:r>
          </w:p>
        </w:tc>
        <w:tc>
          <w:tcPr>
            <w:tcW w:w="1595" w:type="dxa"/>
            <w:shd w:val="clear" w:color="auto" w:fill="auto"/>
          </w:tcPr>
          <w:p w14:paraId="52284DC0"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14 Mar. 2015</w:t>
            </w:r>
          </w:p>
        </w:tc>
        <w:tc>
          <w:tcPr>
            <w:tcW w:w="1594" w:type="dxa"/>
            <w:shd w:val="clear" w:color="auto" w:fill="auto"/>
          </w:tcPr>
          <w:p w14:paraId="6F3BA5B3"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14 Mar. 2017</w:t>
            </w:r>
          </w:p>
        </w:tc>
        <w:tc>
          <w:tcPr>
            <w:tcW w:w="1595" w:type="dxa"/>
            <w:shd w:val="clear" w:color="auto" w:fill="auto"/>
          </w:tcPr>
          <w:p w14:paraId="5E50B3E5"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27 Dec. 2018</w:t>
            </w:r>
          </w:p>
        </w:tc>
      </w:tr>
      <w:tr w:rsidR="008E2C2F" w:rsidRPr="008E2C2F" w14:paraId="2359FA2A" w14:textId="77777777" w:rsidTr="008009BF">
        <w:tc>
          <w:tcPr>
            <w:tcW w:w="2127" w:type="dxa"/>
            <w:shd w:val="clear" w:color="auto" w:fill="auto"/>
          </w:tcPr>
          <w:p w14:paraId="2B2FE1E8"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Malta</w:t>
            </w:r>
          </w:p>
        </w:tc>
        <w:tc>
          <w:tcPr>
            <w:tcW w:w="1594" w:type="dxa"/>
            <w:shd w:val="clear" w:color="auto" w:fill="auto"/>
          </w:tcPr>
          <w:p w14:paraId="66FA4670"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27 Mar. 2015</w:t>
            </w:r>
          </w:p>
        </w:tc>
        <w:tc>
          <w:tcPr>
            <w:tcW w:w="1595" w:type="dxa"/>
            <w:shd w:val="clear" w:color="auto" w:fill="auto"/>
          </w:tcPr>
          <w:p w14:paraId="2A6D29A1"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26 Apr. 2015</w:t>
            </w:r>
          </w:p>
        </w:tc>
        <w:tc>
          <w:tcPr>
            <w:tcW w:w="1594" w:type="dxa"/>
            <w:shd w:val="clear" w:color="auto" w:fill="auto"/>
          </w:tcPr>
          <w:p w14:paraId="38E2D164"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26 Apr. 2017</w:t>
            </w:r>
          </w:p>
        </w:tc>
        <w:tc>
          <w:tcPr>
            <w:tcW w:w="1595" w:type="dxa"/>
            <w:shd w:val="clear" w:color="auto" w:fill="auto"/>
          </w:tcPr>
          <w:p w14:paraId="7087C33D"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p>
        </w:tc>
      </w:tr>
      <w:tr w:rsidR="008E2C2F" w:rsidRPr="008E2C2F" w14:paraId="7489CEA7" w14:textId="77777777" w:rsidTr="008009BF">
        <w:tc>
          <w:tcPr>
            <w:tcW w:w="2127" w:type="dxa"/>
            <w:shd w:val="clear" w:color="auto" w:fill="auto"/>
          </w:tcPr>
          <w:p w14:paraId="4DDEF29A"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Greece</w:t>
            </w:r>
          </w:p>
        </w:tc>
        <w:tc>
          <w:tcPr>
            <w:tcW w:w="1594" w:type="dxa"/>
            <w:shd w:val="clear" w:color="auto" w:fill="auto"/>
          </w:tcPr>
          <w:p w14:paraId="7D0DD383"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9 July 2015</w:t>
            </w:r>
          </w:p>
        </w:tc>
        <w:tc>
          <w:tcPr>
            <w:tcW w:w="1595" w:type="dxa"/>
            <w:shd w:val="clear" w:color="auto" w:fill="auto"/>
          </w:tcPr>
          <w:p w14:paraId="16783311"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8 Aug. 2015</w:t>
            </w:r>
          </w:p>
        </w:tc>
        <w:tc>
          <w:tcPr>
            <w:tcW w:w="1594" w:type="dxa"/>
            <w:shd w:val="clear" w:color="auto" w:fill="auto"/>
          </w:tcPr>
          <w:p w14:paraId="1C4BCB00"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8 Aug. 2017</w:t>
            </w:r>
          </w:p>
        </w:tc>
        <w:tc>
          <w:tcPr>
            <w:tcW w:w="1595" w:type="dxa"/>
            <w:shd w:val="clear" w:color="auto" w:fill="auto"/>
          </w:tcPr>
          <w:p w14:paraId="22B77ED7"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 Feb. 2019</w:t>
            </w:r>
          </w:p>
        </w:tc>
      </w:tr>
      <w:tr w:rsidR="008E2C2F" w:rsidRPr="008E2C2F" w14:paraId="04AC5A78" w14:textId="77777777" w:rsidTr="008009BF">
        <w:tc>
          <w:tcPr>
            <w:tcW w:w="2127" w:type="dxa"/>
            <w:shd w:val="clear" w:color="auto" w:fill="auto"/>
          </w:tcPr>
          <w:p w14:paraId="65C9C09F"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Niger</w:t>
            </w:r>
          </w:p>
        </w:tc>
        <w:tc>
          <w:tcPr>
            <w:tcW w:w="1594" w:type="dxa"/>
            <w:shd w:val="clear" w:color="auto" w:fill="auto"/>
          </w:tcPr>
          <w:p w14:paraId="07EF7998"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24 July 2015</w:t>
            </w:r>
          </w:p>
        </w:tc>
        <w:tc>
          <w:tcPr>
            <w:tcW w:w="1595" w:type="dxa"/>
            <w:shd w:val="clear" w:color="auto" w:fill="auto"/>
          </w:tcPr>
          <w:p w14:paraId="091869EE"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Aug. 2015</w:t>
            </w:r>
          </w:p>
        </w:tc>
        <w:tc>
          <w:tcPr>
            <w:tcW w:w="1594" w:type="dxa"/>
            <w:shd w:val="clear" w:color="auto" w:fill="auto"/>
          </w:tcPr>
          <w:p w14:paraId="08A47B4C"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23 Aug. 2017</w:t>
            </w:r>
          </w:p>
        </w:tc>
        <w:tc>
          <w:tcPr>
            <w:tcW w:w="1595" w:type="dxa"/>
            <w:shd w:val="clear" w:color="auto" w:fill="auto"/>
          </w:tcPr>
          <w:p w14:paraId="291AD00D"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 Aug. 2019</w:t>
            </w:r>
          </w:p>
        </w:tc>
      </w:tr>
      <w:tr w:rsidR="008E2C2F" w:rsidRPr="008E2C2F" w14:paraId="0C680DFD" w14:textId="77777777" w:rsidTr="008009BF">
        <w:tc>
          <w:tcPr>
            <w:tcW w:w="2127" w:type="dxa"/>
            <w:shd w:val="clear" w:color="auto" w:fill="auto"/>
          </w:tcPr>
          <w:p w14:paraId="6317559B"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Belize</w:t>
            </w:r>
          </w:p>
        </w:tc>
        <w:tc>
          <w:tcPr>
            <w:tcW w:w="1594" w:type="dxa"/>
            <w:shd w:val="clear" w:color="auto" w:fill="auto"/>
          </w:tcPr>
          <w:p w14:paraId="113BF500"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14 Aug. 2015</w:t>
            </w:r>
          </w:p>
        </w:tc>
        <w:tc>
          <w:tcPr>
            <w:tcW w:w="1595" w:type="dxa"/>
            <w:shd w:val="clear" w:color="auto" w:fill="auto"/>
          </w:tcPr>
          <w:p w14:paraId="4432C4BC"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13 Sept. 2015</w:t>
            </w:r>
          </w:p>
        </w:tc>
        <w:tc>
          <w:tcPr>
            <w:tcW w:w="1594" w:type="dxa"/>
            <w:shd w:val="clear" w:color="auto" w:fill="auto"/>
          </w:tcPr>
          <w:p w14:paraId="6AB241ED"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13 Sept. 2017</w:t>
            </w:r>
          </w:p>
        </w:tc>
        <w:tc>
          <w:tcPr>
            <w:tcW w:w="1595" w:type="dxa"/>
            <w:shd w:val="clear" w:color="auto" w:fill="auto"/>
          </w:tcPr>
          <w:p w14:paraId="539814F0"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p>
        </w:tc>
      </w:tr>
      <w:tr w:rsidR="008E2C2F" w:rsidRPr="008E2C2F" w14:paraId="42173769" w14:textId="77777777" w:rsidTr="008009BF">
        <w:tc>
          <w:tcPr>
            <w:tcW w:w="2127" w:type="dxa"/>
            <w:shd w:val="clear" w:color="auto" w:fill="auto"/>
          </w:tcPr>
          <w:p w14:paraId="0EED4B60"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Ukraine</w:t>
            </w:r>
            <w:r w:rsidRPr="008E2C2F">
              <w:rPr>
                <w:bCs/>
              </w:rPr>
              <w:t>*</w:t>
            </w:r>
          </w:p>
        </w:tc>
        <w:tc>
          <w:tcPr>
            <w:tcW w:w="1594" w:type="dxa"/>
            <w:shd w:val="clear" w:color="auto" w:fill="auto"/>
          </w:tcPr>
          <w:p w14:paraId="407158A6"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14 Aug. 2015</w:t>
            </w:r>
          </w:p>
        </w:tc>
        <w:tc>
          <w:tcPr>
            <w:tcW w:w="1595" w:type="dxa"/>
            <w:shd w:val="clear" w:color="auto" w:fill="auto"/>
          </w:tcPr>
          <w:p w14:paraId="5762A9AD"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13 Sept. 2015</w:t>
            </w:r>
          </w:p>
        </w:tc>
        <w:tc>
          <w:tcPr>
            <w:tcW w:w="1594" w:type="dxa"/>
            <w:shd w:val="clear" w:color="auto" w:fill="auto"/>
          </w:tcPr>
          <w:p w14:paraId="7F1435B9"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 xml:space="preserve">13 Sept. 2017 </w:t>
            </w:r>
          </w:p>
        </w:tc>
        <w:tc>
          <w:tcPr>
            <w:tcW w:w="1595" w:type="dxa"/>
            <w:shd w:val="clear" w:color="auto" w:fill="auto"/>
          </w:tcPr>
          <w:p w14:paraId="455DFF48"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p>
        </w:tc>
      </w:tr>
      <w:tr w:rsidR="008E2C2F" w:rsidRPr="008E2C2F" w14:paraId="1F670706" w14:textId="77777777" w:rsidTr="008009BF">
        <w:tc>
          <w:tcPr>
            <w:tcW w:w="2127" w:type="dxa"/>
            <w:shd w:val="clear" w:color="auto" w:fill="auto"/>
          </w:tcPr>
          <w:p w14:paraId="0FB59136"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Italy</w:t>
            </w:r>
          </w:p>
        </w:tc>
        <w:tc>
          <w:tcPr>
            <w:tcW w:w="1594" w:type="dxa"/>
            <w:shd w:val="clear" w:color="auto" w:fill="auto"/>
          </w:tcPr>
          <w:p w14:paraId="439084D5"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8 Oct. 2015</w:t>
            </w:r>
          </w:p>
        </w:tc>
        <w:tc>
          <w:tcPr>
            <w:tcW w:w="1595" w:type="dxa"/>
            <w:shd w:val="clear" w:color="auto" w:fill="auto"/>
          </w:tcPr>
          <w:p w14:paraId="1A44AC68"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7 Nov. 2015</w:t>
            </w:r>
          </w:p>
        </w:tc>
        <w:tc>
          <w:tcPr>
            <w:tcW w:w="1594" w:type="dxa"/>
            <w:shd w:val="clear" w:color="auto" w:fill="auto"/>
          </w:tcPr>
          <w:p w14:paraId="5796E121"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7 Nov. 2017</w:t>
            </w:r>
          </w:p>
        </w:tc>
        <w:tc>
          <w:tcPr>
            <w:tcW w:w="1595" w:type="dxa"/>
            <w:shd w:val="clear" w:color="auto" w:fill="auto"/>
          </w:tcPr>
          <w:p w14:paraId="5247968A"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22 Dec. 2017</w:t>
            </w:r>
          </w:p>
        </w:tc>
      </w:tr>
      <w:tr w:rsidR="008E2C2F" w:rsidRPr="008E2C2F" w14:paraId="333C6FBA" w14:textId="77777777" w:rsidTr="008009BF">
        <w:tc>
          <w:tcPr>
            <w:tcW w:w="2127" w:type="dxa"/>
            <w:shd w:val="clear" w:color="auto" w:fill="auto"/>
          </w:tcPr>
          <w:p w14:paraId="4E853151"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Sri Lanka</w:t>
            </w:r>
          </w:p>
        </w:tc>
        <w:tc>
          <w:tcPr>
            <w:tcW w:w="1594" w:type="dxa"/>
            <w:shd w:val="clear" w:color="auto" w:fill="auto"/>
          </w:tcPr>
          <w:p w14:paraId="66C1DCD8"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25 May 2016</w:t>
            </w:r>
          </w:p>
        </w:tc>
        <w:tc>
          <w:tcPr>
            <w:tcW w:w="1595" w:type="dxa"/>
            <w:shd w:val="clear" w:color="auto" w:fill="auto"/>
          </w:tcPr>
          <w:p w14:paraId="3642444E"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24 June 2016</w:t>
            </w:r>
          </w:p>
        </w:tc>
        <w:tc>
          <w:tcPr>
            <w:tcW w:w="1594" w:type="dxa"/>
            <w:shd w:val="clear" w:color="auto" w:fill="auto"/>
          </w:tcPr>
          <w:p w14:paraId="27432527"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24 June 2018</w:t>
            </w:r>
          </w:p>
        </w:tc>
        <w:tc>
          <w:tcPr>
            <w:tcW w:w="1595" w:type="dxa"/>
            <w:shd w:val="clear" w:color="auto" w:fill="auto"/>
          </w:tcPr>
          <w:p w14:paraId="55F50137"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p>
        </w:tc>
      </w:tr>
      <w:tr w:rsidR="008E2C2F" w:rsidRPr="008E2C2F" w14:paraId="233C0641" w14:textId="77777777" w:rsidTr="008009BF">
        <w:tc>
          <w:tcPr>
            <w:tcW w:w="2127" w:type="dxa"/>
            <w:shd w:val="clear" w:color="auto" w:fill="auto"/>
          </w:tcPr>
          <w:p w14:paraId="3096F6C2"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Central African Republic</w:t>
            </w:r>
          </w:p>
        </w:tc>
        <w:tc>
          <w:tcPr>
            <w:tcW w:w="1594" w:type="dxa"/>
            <w:shd w:val="clear" w:color="auto" w:fill="auto"/>
          </w:tcPr>
          <w:p w14:paraId="2A852F31"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11 Oct. 2016</w:t>
            </w:r>
          </w:p>
        </w:tc>
        <w:tc>
          <w:tcPr>
            <w:tcW w:w="1595" w:type="dxa"/>
            <w:shd w:val="clear" w:color="auto" w:fill="auto"/>
          </w:tcPr>
          <w:p w14:paraId="527045EA"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10 Nov. 2016</w:t>
            </w:r>
          </w:p>
        </w:tc>
        <w:tc>
          <w:tcPr>
            <w:tcW w:w="1594" w:type="dxa"/>
            <w:shd w:val="clear" w:color="auto" w:fill="auto"/>
          </w:tcPr>
          <w:p w14:paraId="3836F70D"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10 Nov. 2018</w:t>
            </w:r>
          </w:p>
        </w:tc>
        <w:tc>
          <w:tcPr>
            <w:tcW w:w="1595" w:type="dxa"/>
            <w:shd w:val="clear" w:color="auto" w:fill="auto"/>
          </w:tcPr>
          <w:p w14:paraId="2FB08DC8"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p>
        </w:tc>
      </w:tr>
      <w:tr w:rsidR="008E2C2F" w:rsidRPr="008E2C2F" w14:paraId="6B58ACB4" w14:textId="77777777" w:rsidTr="008009BF">
        <w:tc>
          <w:tcPr>
            <w:tcW w:w="2127" w:type="dxa"/>
            <w:shd w:val="clear" w:color="auto" w:fill="auto"/>
          </w:tcPr>
          <w:p w14:paraId="50C8A1DC"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Switzerland</w:t>
            </w:r>
            <w:r w:rsidRPr="008E2C2F">
              <w:rPr>
                <w:bCs/>
              </w:rPr>
              <w:t>*</w:t>
            </w:r>
          </w:p>
        </w:tc>
        <w:tc>
          <w:tcPr>
            <w:tcW w:w="1594" w:type="dxa"/>
            <w:shd w:val="clear" w:color="auto" w:fill="auto"/>
          </w:tcPr>
          <w:p w14:paraId="3BF6623E"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 Dec. 2016</w:t>
            </w:r>
          </w:p>
        </w:tc>
        <w:tc>
          <w:tcPr>
            <w:tcW w:w="1595" w:type="dxa"/>
            <w:shd w:val="clear" w:color="auto" w:fill="auto"/>
          </w:tcPr>
          <w:p w14:paraId="7623BEE2"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 Jan. 2017</w:t>
            </w:r>
          </w:p>
        </w:tc>
        <w:tc>
          <w:tcPr>
            <w:tcW w:w="1594" w:type="dxa"/>
            <w:shd w:val="clear" w:color="auto" w:fill="auto"/>
          </w:tcPr>
          <w:p w14:paraId="545EE68D"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 Jan. 2019</w:t>
            </w:r>
          </w:p>
        </w:tc>
        <w:tc>
          <w:tcPr>
            <w:tcW w:w="1595" w:type="dxa"/>
            <w:shd w:val="clear" w:color="auto" w:fill="auto"/>
          </w:tcPr>
          <w:p w14:paraId="57BF9234"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21 Dec. 2018</w:t>
            </w:r>
          </w:p>
        </w:tc>
      </w:tr>
      <w:tr w:rsidR="008E2C2F" w:rsidRPr="008E2C2F" w14:paraId="68986F7C" w14:textId="77777777" w:rsidTr="008009BF">
        <w:tc>
          <w:tcPr>
            <w:tcW w:w="2127" w:type="dxa"/>
            <w:shd w:val="clear" w:color="auto" w:fill="auto"/>
          </w:tcPr>
          <w:p w14:paraId="43E67119"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Seychelles</w:t>
            </w:r>
          </w:p>
        </w:tc>
        <w:tc>
          <w:tcPr>
            <w:tcW w:w="1594" w:type="dxa"/>
            <w:shd w:val="clear" w:color="auto" w:fill="auto"/>
          </w:tcPr>
          <w:p w14:paraId="7A8DA1B9"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18 Jan. 2017</w:t>
            </w:r>
          </w:p>
        </w:tc>
        <w:tc>
          <w:tcPr>
            <w:tcW w:w="1595" w:type="dxa"/>
            <w:shd w:val="clear" w:color="auto" w:fill="auto"/>
          </w:tcPr>
          <w:p w14:paraId="268227A6"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17 Feb. 2017</w:t>
            </w:r>
          </w:p>
        </w:tc>
        <w:tc>
          <w:tcPr>
            <w:tcW w:w="1594" w:type="dxa"/>
            <w:shd w:val="clear" w:color="auto" w:fill="auto"/>
          </w:tcPr>
          <w:p w14:paraId="6A37E571"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17 Feb. 2019</w:t>
            </w:r>
          </w:p>
        </w:tc>
        <w:tc>
          <w:tcPr>
            <w:tcW w:w="1595" w:type="dxa"/>
            <w:shd w:val="clear" w:color="auto" w:fill="auto"/>
          </w:tcPr>
          <w:p w14:paraId="7D6A0D98"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p>
        </w:tc>
      </w:tr>
      <w:tr w:rsidR="008E2C2F" w:rsidRPr="008E2C2F" w14:paraId="3345B29C" w14:textId="77777777" w:rsidTr="008009BF">
        <w:tc>
          <w:tcPr>
            <w:tcW w:w="2127" w:type="dxa"/>
            <w:shd w:val="clear" w:color="auto" w:fill="auto"/>
          </w:tcPr>
          <w:p w14:paraId="3AF9DE36"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Czechia</w:t>
            </w:r>
            <w:r w:rsidRPr="008E2C2F">
              <w:rPr>
                <w:bCs/>
              </w:rPr>
              <w:t>*</w:t>
            </w:r>
          </w:p>
        </w:tc>
        <w:tc>
          <w:tcPr>
            <w:tcW w:w="1594" w:type="dxa"/>
            <w:shd w:val="clear" w:color="auto" w:fill="auto"/>
          </w:tcPr>
          <w:p w14:paraId="1ECE8241"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8 Feb. 2017</w:t>
            </w:r>
          </w:p>
        </w:tc>
        <w:tc>
          <w:tcPr>
            <w:tcW w:w="1595" w:type="dxa"/>
            <w:shd w:val="clear" w:color="auto" w:fill="auto"/>
          </w:tcPr>
          <w:p w14:paraId="7367B9C6"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10 Mar. 2017</w:t>
            </w:r>
          </w:p>
        </w:tc>
        <w:tc>
          <w:tcPr>
            <w:tcW w:w="1594" w:type="dxa"/>
            <w:shd w:val="clear" w:color="auto" w:fill="auto"/>
          </w:tcPr>
          <w:p w14:paraId="6D4EC9AD"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10 Mar. 2019</w:t>
            </w:r>
          </w:p>
        </w:tc>
        <w:tc>
          <w:tcPr>
            <w:tcW w:w="1595" w:type="dxa"/>
            <w:shd w:val="clear" w:color="auto" w:fill="auto"/>
          </w:tcPr>
          <w:p w14:paraId="029BEFA8"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22 May 2019</w:t>
            </w:r>
          </w:p>
        </w:tc>
      </w:tr>
      <w:tr w:rsidR="008E2C2F" w:rsidRPr="008E2C2F" w14:paraId="57EE745E" w14:textId="77777777" w:rsidTr="008009BF">
        <w:trPr>
          <w:trHeight w:val="157"/>
        </w:trPr>
        <w:tc>
          <w:tcPr>
            <w:tcW w:w="2127" w:type="dxa"/>
            <w:shd w:val="clear" w:color="auto" w:fill="auto"/>
          </w:tcPr>
          <w:p w14:paraId="13E1D575"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Malawi</w:t>
            </w:r>
            <w:r w:rsidRPr="008E2C2F">
              <w:rPr>
                <w:bCs/>
              </w:rPr>
              <w:t>*</w:t>
            </w:r>
          </w:p>
        </w:tc>
        <w:tc>
          <w:tcPr>
            <w:tcW w:w="1594" w:type="dxa"/>
            <w:shd w:val="clear" w:color="auto" w:fill="auto"/>
          </w:tcPr>
          <w:p w14:paraId="59C69842"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14 July 2017</w:t>
            </w:r>
          </w:p>
        </w:tc>
        <w:tc>
          <w:tcPr>
            <w:tcW w:w="1595" w:type="dxa"/>
            <w:shd w:val="clear" w:color="auto" w:fill="auto"/>
          </w:tcPr>
          <w:p w14:paraId="32CC0301"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13 Aug. 2017</w:t>
            </w:r>
          </w:p>
        </w:tc>
        <w:tc>
          <w:tcPr>
            <w:tcW w:w="1594" w:type="dxa"/>
            <w:shd w:val="clear" w:color="auto" w:fill="auto"/>
          </w:tcPr>
          <w:p w14:paraId="579C0DD6"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13 Aug. 2019</w:t>
            </w:r>
          </w:p>
        </w:tc>
        <w:tc>
          <w:tcPr>
            <w:tcW w:w="1595" w:type="dxa"/>
            <w:shd w:val="clear" w:color="auto" w:fill="auto"/>
          </w:tcPr>
          <w:p w14:paraId="18CBA7BB"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p>
        </w:tc>
      </w:tr>
      <w:tr w:rsidR="008E2C2F" w:rsidRPr="008E2C2F" w14:paraId="3919A7E1" w14:textId="77777777" w:rsidTr="008009BF">
        <w:trPr>
          <w:trHeight w:val="157"/>
        </w:trPr>
        <w:tc>
          <w:tcPr>
            <w:tcW w:w="2127" w:type="dxa"/>
            <w:shd w:val="clear" w:color="auto" w:fill="auto"/>
          </w:tcPr>
          <w:p w14:paraId="71F32644"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Benin</w:t>
            </w:r>
          </w:p>
        </w:tc>
        <w:tc>
          <w:tcPr>
            <w:tcW w:w="1594" w:type="dxa"/>
            <w:shd w:val="clear" w:color="auto" w:fill="auto"/>
          </w:tcPr>
          <w:p w14:paraId="18100307"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 Nov. 2017</w:t>
            </w:r>
          </w:p>
        </w:tc>
        <w:tc>
          <w:tcPr>
            <w:tcW w:w="1595" w:type="dxa"/>
            <w:shd w:val="clear" w:color="auto" w:fill="auto"/>
          </w:tcPr>
          <w:p w14:paraId="3950F4FE"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 Dec. 2017</w:t>
            </w:r>
          </w:p>
        </w:tc>
        <w:tc>
          <w:tcPr>
            <w:tcW w:w="1594" w:type="dxa"/>
            <w:shd w:val="clear" w:color="auto" w:fill="auto"/>
          </w:tcPr>
          <w:p w14:paraId="71D378C1"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 Dec. 2019</w:t>
            </w:r>
          </w:p>
        </w:tc>
        <w:tc>
          <w:tcPr>
            <w:tcW w:w="1595" w:type="dxa"/>
            <w:shd w:val="clear" w:color="auto" w:fill="auto"/>
          </w:tcPr>
          <w:p w14:paraId="58CC8510"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p>
        </w:tc>
      </w:tr>
      <w:tr w:rsidR="008E2C2F" w:rsidRPr="008E2C2F" w14:paraId="4AC0684E" w14:textId="77777777" w:rsidTr="008009BF">
        <w:trPr>
          <w:trHeight w:val="157"/>
        </w:trPr>
        <w:tc>
          <w:tcPr>
            <w:tcW w:w="2127" w:type="dxa"/>
            <w:shd w:val="clear" w:color="auto" w:fill="auto"/>
          </w:tcPr>
          <w:p w14:paraId="284A4040"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Gambia</w:t>
            </w:r>
          </w:p>
        </w:tc>
        <w:tc>
          <w:tcPr>
            <w:tcW w:w="1594" w:type="dxa"/>
            <w:shd w:val="clear" w:color="auto" w:fill="auto"/>
          </w:tcPr>
          <w:p w14:paraId="438FA51A"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28 Sept. 2018</w:t>
            </w:r>
          </w:p>
        </w:tc>
        <w:tc>
          <w:tcPr>
            <w:tcW w:w="1595" w:type="dxa"/>
            <w:shd w:val="clear" w:color="auto" w:fill="auto"/>
          </w:tcPr>
          <w:p w14:paraId="78BDA5B7"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28 Oct. 2018</w:t>
            </w:r>
          </w:p>
        </w:tc>
        <w:tc>
          <w:tcPr>
            <w:tcW w:w="1594" w:type="dxa"/>
            <w:shd w:val="clear" w:color="auto" w:fill="auto"/>
          </w:tcPr>
          <w:p w14:paraId="1E8B646E"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28 Oct. 2020</w:t>
            </w:r>
          </w:p>
        </w:tc>
        <w:tc>
          <w:tcPr>
            <w:tcW w:w="1595" w:type="dxa"/>
            <w:shd w:val="clear" w:color="auto" w:fill="auto"/>
          </w:tcPr>
          <w:p w14:paraId="649888AE"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15 Mar. 2021</w:t>
            </w:r>
          </w:p>
        </w:tc>
      </w:tr>
      <w:tr w:rsidR="008E2C2F" w:rsidRPr="008E2C2F" w14:paraId="4792381A" w14:textId="77777777" w:rsidTr="008F4873">
        <w:trPr>
          <w:trHeight w:val="157"/>
        </w:trPr>
        <w:tc>
          <w:tcPr>
            <w:tcW w:w="2127" w:type="dxa"/>
            <w:tcBorders>
              <w:bottom w:val="nil"/>
            </w:tcBorders>
            <w:shd w:val="clear" w:color="auto" w:fill="auto"/>
          </w:tcPr>
          <w:p w14:paraId="526E6428"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Dominica</w:t>
            </w:r>
          </w:p>
        </w:tc>
        <w:tc>
          <w:tcPr>
            <w:tcW w:w="1594" w:type="dxa"/>
            <w:tcBorders>
              <w:bottom w:val="nil"/>
            </w:tcBorders>
            <w:shd w:val="clear" w:color="auto" w:fill="auto"/>
          </w:tcPr>
          <w:p w14:paraId="70053AFB"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13 May 2019</w:t>
            </w:r>
          </w:p>
        </w:tc>
        <w:tc>
          <w:tcPr>
            <w:tcW w:w="1595" w:type="dxa"/>
            <w:tcBorders>
              <w:bottom w:val="nil"/>
            </w:tcBorders>
            <w:shd w:val="clear" w:color="auto" w:fill="auto"/>
          </w:tcPr>
          <w:p w14:paraId="13B490F8"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12 June 2019</w:t>
            </w:r>
          </w:p>
        </w:tc>
        <w:tc>
          <w:tcPr>
            <w:tcW w:w="1594" w:type="dxa"/>
            <w:tcBorders>
              <w:bottom w:val="nil"/>
            </w:tcBorders>
            <w:shd w:val="clear" w:color="auto" w:fill="auto"/>
          </w:tcPr>
          <w:p w14:paraId="112A2F39"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12 June 2021</w:t>
            </w:r>
          </w:p>
        </w:tc>
        <w:tc>
          <w:tcPr>
            <w:tcW w:w="1595" w:type="dxa"/>
            <w:tcBorders>
              <w:bottom w:val="nil"/>
            </w:tcBorders>
            <w:shd w:val="clear" w:color="auto" w:fill="auto"/>
          </w:tcPr>
          <w:p w14:paraId="1A6248DE"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p>
        </w:tc>
      </w:tr>
      <w:tr w:rsidR="008E2C2F" w:rsidRPr="008E2C2F" w14:paraId="6DC53CAA" w14:textId="77777777" w:rsidTr="008F4873">
        <w:trPr>
          <w:trHeight w:val="157"/>
        </w:trPr>
        <w:tc>
          <w:tcPr>
            <w:tcW w:w="2127" w:type="dxa"/>
            <w:tcBorders>
              <w:top w:val="nil"/>
              <w:bottom w:val="nil"/>
            </w:tcBorders>
            <w:shd w:val="clear" w:color="auto" w:fill="auto"/>
          </w:tcPr>
          <w:p w14:paraId="4F7F13E9"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Fiji</w:t>
            </w:r>
          </w:p>
        </w:tc>
        <w:tc>
          <w:tcPr>
            <w:tcW w:w="1594" w:type="dxa"/>
            <w:tcBorders>
              <w:top w:val="nil"/>
              <w:bottom w:val="nil"/>
            </w:tcBorders>
            <w:shd w:val="clear" w:color="auto" w:fill="auto"/>
          </w:tcPr>
          <w:p w14:paraId="592BC303"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19 Aug. 2019</w:t>
            </w:r>
          </w:p>
        </w:tc>
        <w:tc>
          <w:tcPr>
            <w:tcW w:w="1595" w:type="dxa"/>
            <w:tcBorders>
              <w:top w:val="nil"/>
              <w:bottom w:val="nil"/>
            </w:tcBorders>
            <w:shd w:val="clear" w:color="auto" w:fill="auto"/>
          </w:tcPr>
          <w:p w14:paraId="7EE51D1B"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18 Sept. 2019</w:t>
            </w:r>
          </w:p>
        </w:tc>
        <w:tc>
          <w:tcPr>
            <w:tcW w:w="1594" w:type="dxa"/>
            <w:tcBorders>
              <w:top w:val="nil"/>
              <w:bottom w:val="nil"/>
            </w:tcBorders>
            <w:shd w:val="clear" w:color="auto" w:fill="auto"/>
          </w:tcPr>
          <w:p w14:paraId="369A9EE7"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18 Sept. 2021</w:t>
            </w:r>
          </w:p>
        </w:tc>
        <w:tc>
          <w:tcPr>
            <w:tcW w:w="1595" w:type="dxa"/>
            <w:tcBorders>
              <w:top w:val="nil"/>
              <w:bottom w:val="nil"/>
            </w:tcBorders>
            <w:shd w:val="clear" w:color="auto" w:fill="auto"/>
          </w:tcPr>
          <w:p w14:paraId="64CED4C4"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p>
        </w:tc>
      </w:tr>
      <w:tr w:rsidR="008E2C2F" w:rsidRPr="008E2C2F" w14:paraId="3F9F04EB" w14:textId="77777777" w:rsidTr="008F4873">
        <w:trPr>
          <w:trHeight w:val="157"/>
        </w:trPr>
        <w:tc>
          <w:tcPr>
            <w:tcW w:w="2127" w:type="dxa"/>
            <w:tcBorders>
              <w:top w:val="nil"/>
            </w:tcBorders>
            <w:shd w:val="clear" w:color="auto" w:fill="auto"/>
          </w:tcPr>
          <w:p w14:paraId="42B54151" w14:textId="77777777" w:rsidR="00EF1BB1" w:rsidRPr="008E2C2F" w:rsidRDefault="00EF1BB1" w:rsidP="008F4873">
            <w:pPr>
              <w:pStyle w:val="SingleTxtG"/>
              <w:pageBreakBefore/>
              <w:tabs>
                <w:tab w:val="clear" w:pos="1701"/>
                <w:tab w:val="clear" w:pos="2268"/>
              </w:tabs>
              <w:suppressAutoHyphens w:val="0"/>
              <w:spacing w:before="40" w:line="220" w:lineRule="exact"/>
              <w:ind w:left="0" w:right="113"/>
              <w:jc w:val="left"/>
              <w:rPr>
                <w:b/>
                <w:bCs/>
              </w:rPr>
            </w:pPr>
            <w:r w:rsidRPr="008E2C2F">
              <w:rPr>
                <w:b/>
                <w:bCs/>
              </w:rPr>
              <w:lastRenderedPageBreak/>
              <w:t>Norway</w:t>
            </w:r>
          </w:p>
        </w:tc>
        <w:tc>
          <w:tcPr>
            <w:tcW w:w="1594" w:type="dxa"/>
            <w:tcBorders>
              <w:top w:val="nil"/>
            </w:tcBorders>
            <w:shd w:val="clear" w:color="auto" w:fill="auto"/>
          </w:tcPr>
          <w:p w14:paraId="3E978822"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22 Aug. 2019</w:t>
            </w:r>
          </w:p>
        </w:tc>
        <w:tc>
          <w:tcPr>
            <w:tcW w:w="1595" w:type="dxa"/>
            <w:tcBorders>
              <w:top w:val="nil"/>
            </w:tcBorders>
            <w:shd w:val="clear" w:color="auto" w:fill="auto"/>
          </w:tcPr>
          <w:p w14:paraId="564E53AC"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21 Aug. 2019</w:t>
            </w:r>
          </w:p>
        </w:tc>
        <w:tc>
          <w:tcPr>
            <w:tcW w:w="1594" w:type="dxa"/>
            <w:tcBorders>
              <w:top w:val="nil"/>
            </w:tcBorders>
            <w:shd w:val="clear" w:color="auto" w:fill="auto"/>
          </w:tcPr>
          <w:p w14:paraId="15ECC6BA"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21 Aug. 2021</w:t>
            </w:r>
          </w:p>
        </w:tc>
        <w:tc>
          <w:tcPr>
            <w:tcW w:w="1595" w:type="dxa"/>
            <w:tcBorders>
              <w:top w:val="nil"/>
            </w:tcBorders>
            <w:shd w:val="clear" w:color="auto" w:fill="auto"/>
          </w:tcPr>
          <w:p w14:paraId="37908DDC"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p>
        </w:tc>
      </w:tr>
      <w:tr w:rsidR="008E2C2F" w:rsidRPr="008E2C2F" w14:paraId="72A2CD05" w14:textId="77777777" w:rsidTr="008009BF">
        <w:trPr>
          <w:trHeight w:val="157"/>
        </w:trPr>
        <w:tc>
          <w:tcPr>
            <w:tcW w:w="2127" w:type="dxa"/>
            <w:shd w:val="clear" w:color="auto" w:fill="auto"/>
          </w:tcPr>
          <w:p w14:paraId="528C7699"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rPr>
                <w:b/>
                <w:bCs/>
              </w:rPr>
            </w:pPr>
            <w:r w:rsidRPr="008E2C2F">
              <w:rPr>
                <w:b/>
                <w:bCs/>
              </w:rPr>
              <w:t>Oman</w:t>
            </w:r>
          </w:p>
        </w:tc>
        <w:tc>
          <w:tcPr>
            <w:tcW w:w="1594" w:type="dxa"/>
            <w:shd w:val="clear" w:color="auto" w:fill="auto"/>
          </w:tcPr>
          <w:p w14:paraId="71AEB381"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12 June 2020</w:t>
            </w:r>
          </w:p>
        </w:tc>
        <w:tc>
          <w:tcPr>
            <w:tcW w:w="1595" w:type="dxa"/>
            <w:shd w:val="clear" w:color="auto" w:fill="auto"/>
          </w:tcPr>
          <w:p w14:paraId="56295998"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12 July 2020</w:t>
            </w:r>
          </w:p>
        </w:tc>
        <w:tc>
          <w:tcPr>
            <w:tcW w:w="1594" w:type="dxa"/>
            <w:shd w:val="clear" w:color="auto" w:fill="auto"/>
          </w:tcPr>
          <w:p w14:paraId="0B5EEE45"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r w:rsidRPr="008E2C2F">
              <w:t>12 July 2022</w:t>
            </w:r>
          </w:p>
        </w:tc>
        <w:tc>
          <w:tcPr>
            <w:tcW w:w="1595" w:type="dxa"/>
            <w:shd w:val="clear" w:color="auto" w:fill="auto"/>
          </w:tcPr>
          <w:p w14:paraId="53E77C92" w14:textId="77777777" w:rsidR="00EF1BB1" w:rsidRPr="008E2C2F" w:rsidRDefault="00EF1BB1" w:rsidP="008E2C2F">
            <w:pPr>
              <w:pStyle w:val="SingleTxtG"/>
              <w:tabs>
                <w:tab w:val="clear" w:pos="1701"/>
                <w:tab w:val="clear" w:pos="2268"/>
              </w:tabs>
              <w:suppressAutoHyphens w:val="0"/>
              <w:spacing w:before="40" w:line="220" w:lineRule="exact"/>
              <w:ind w:left="0" w:right="113"/>
              <w:jc w:val="left"/>
            </w:pPr>
          </w:p>
        </w:tc>
      </w:tr>
    </w:tbl>
    <w:p w14:paraId="6AA02CCE" w14:textId="3A366D50" w:rsidR="00EF1BB1" w:rsidRPr="001D0A92" w:rsidRDefault="00EF1BB1" w:rsidP="008009BF">
      <w:pPr>
        <w:pStyle w:val="SingleTxtG"/>
        <w:keepLines/>
        <w:spacing w:before="120" w:after="0"/>
        <w:ind w:firstLine="170"/>
        <w:jc w:val="left"/>
        <w:rPr>
          <w:sz w:val="18"/>
        </w:rPr>
      </w:pPr>
      <w:bookmarkStart w:id="211" w:name="BM7"/>
      <w:bookmarkStart w:id="212" w:name="_Toc460489568"/>
      <w:bookmarkStart w:id="213" w:name="_Toc522200483"/>
      <w:bookmarkStart w:id="214" w:name="_Toc326162697"/>
      <w:bookmarkStart w:id="215" w:name="_Toc326220812"/>
      <w:bookmarkEnd w:id="211"/>
      <w:r w:rsidRPr="001D0A92">
        <w:rPr>
          <w:i/>
          <w:iCs/>
          <w:sz w:val="18"/>
        </w:rPr>
        <w:t>Note</w:t>
      </w:r>
      <w:r w:rsidRPr="001D0A92">
        <w:rPr>
          <w:sz w:val="18"/>
        </w:rPr>
        <w:t>: States parties marked with an asterisk have made declarations recognizing the competence of the Committee under articles 31 and</w:t>
      </w:r>
      <w:bookmarkEnd w:id="212"/>
      <w:bookmarkEnd w:id="213"/>
      <w:r w:rsidRPr="001D0A92">
        <w:rPr>
          <w:sz w:val="18"/>
        </w:rPr>
        <w:t xml:space="preserve">/or 32 of the Convention. The full text of declarations and reservations made by States Parties is available at </w:t>
      </w:r>
      <w:hyperlink r:id="rId71" w:history="1">
        <w:r w:rsidR="005B5DB0" w:rsidRPr="006F7E66">
          <w:rPr>
            <w:rStyle w:val="Hyperlink"/>
            <w:sz w:val="18"/>
          </w:rPr>
          <w:t>https://treaties.un.org/Pages/ViewDetails.aspx?src=</w:t>
        </w:r>
        <w:r w:rsidR="005B5DB0" w:rsidRPr="006F7E66">
          <w:rPr>
            <w:rStyle w:val="Hyperlink"/>
            <w:sz w:val="18"/>
          </w:rPr>
          <w:br/>
          <w:t>TREATY&amp;mtdsg_no=IV-16&amp;chapter=4&amp;clang=_en</w:t>
        </w:r>
      </w:hyperlink>
      <w:r w:rsidRPr="001D0A92">
        <w:rPr>
          <w:sz w:val="18"/>
        </w:rPr>
        <w:t>.</w:t>
      </w:r>
    </w:p>
    <w:bookmarkEnd w:id="214"/>
    <w:bookmarkEnd w:id="215"/>
    <w:p w14:paraId="0DAC8499" w14:textId="76262E66" w:rsidR="008E2C2F" w:rsidRPr="0036433E" w:rsidRDefault="008E2C2F" w:rsidP="008E2C2F">
      <w:pPr>
        <w:spacing w:before="240"/>
        <w:jc w:val="center"/>
        <w:rPr>
          <w:u w:val="single"/>
        </w:rPr>
      </w:pPr>
      <w:r w:rsidRPr="0036433E">
        <w:rPr>
          <w:u w:val="single"/>
        </w:rPr>
        <w:tab/>
      </w:r>
      <w:r w:rsidRPr="0036433E">
        <w:rPr>
          <w:u w:val="single"/>
        </w:rPr>
        <w:tab/>
      </w:r>
      <w:r w:rsidRPr="0036433E">
        <w:rPr>
          <w:u w:val="single"/>
        </w:rPr>
        <w:tab/>
      </w:r>
    </w:p>
    <w:sectPr w:rsidR="008E2C2F" w:rsidRPr="0036433E" w:rsidSect="004F5EA0">
      <w:footerReference w:type="even" r:id="rId72"/>
      <w:endnotePr>
        <w:numFmt w:val="decimal"/>
      </w:endnotePr>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DADEBC" w14:textId="77777777" w:rsidR="00B930D6" w:rsidRPr="00C47B2E" w:rsidRDefault="00B930D6" w:rsidP="00C47B2E">
      <w:pPr>
        <w:pStyle w:val="Footer"/>
      </w:pPr>
    </w:p>
  </w:endnote>
  <w:endnote w:type="continuationSeparator" w:id="0">
    <w:p w14:paraId="4B377371" w14:textId="77777777" w:rsidR="00B930D6" w:rsidRPr="00C47B2E" w:rsidRDefault="00B930D6" w:rsidP="00C47B2E">
      <w:pPr>
        <w:pStyle w:val="Footer"/>
      </w:pPr>
    </w:p>
  </w:endnote>
  <w:endnote w:type="continuationNotice" w:id="1">
    <w:p w14:paraId="2E99530D" w14:textId="77777777" w:rsidR="00B930D6" w:rsidRPr="00C47B2E" w:rsidRDefault="00B930D6"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BCFCD8" w14:textId="14D76F82" w:rsidR="007C579F" w:rsidRPr="007C579F" w:rsidRDefault="007C579F" w:rsidP="00D47CD5">
    <w:pPr>
      <w:pStyle w:val="Footer"/>
      <w:rPr>
        <w:sz w:val="20"/>
      </w:rPr>
    </w:pPr>
    <w:bookmarkStart w:id="3" w:name="_GoBack"/>
    <w:bookmarkEnd w:id="3"/>
    <w:r>
      <w:rPr>
        <w:noProof/>
        <w:lang w:val="en-US" w:eastAsia="zh-CN"/>
      </w:rPr>
      <w:drawing>
        <wp:anchor distT="0" distB="0" distL="114300" distR="114300" simplePos="0" relativeHeight="251659264" behindDoc="1" locked="1" layoutInCell="1" allowOverlap="1" wp14:anchorId="1F7F6928" wp14:editId="75F1D36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60288" behindDoc="0" locked="0" layoutInCell="1" allowOverlap="1" wp14:anchorId="7F6350A8" wp14:editId="62325920">
          <wp:simplePos x="0" y="0"/>
          <wp:positionH relativeFrom="margin">
            <wp:posOffset>5615940</wp:posOffset>
          </wp:positionH>
          <wp:positionV relativeFrom="margin">
            <wp:posOffset>8905875</wp:posOffset>
          </wp:positionV>
          <wp:extent cx="485775" cy="4857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0F496F" w14:textId="370AE559" w:rsidR="002B4953" w:rsidRDefault="002B4953" w:rsidP="00CA6645">
    <w:pPr>
      <w:pStyle w:val="Footer"/>
      <w:tabs>
        <w:tab w:val="right" w:pos="9638"/>
      </w:tabs>
    </w:pPr>
    <w:r w:rsidRPr="00FC5D4A">
      <w:rPr>
        <w:b/>
        <w:bCs/>
        <w:sz w:val="18"/>
      </w:rPr>
      <w:fldChar w:fldCharType="begin"/>
    </w:r>
    <w:r w:rsidRPr="00FC5D4A">
      <w:rPr>
        <w:b/>
        <w:bCs/>
        <w:sz w:val="18"/>
      </w:rPr>
      <w:instrText xml:space="preserve"> PAGE  \* MERGEFORMAT </w:instrText>
    </w:r>
    <w:r w:rsidRPr="00FC5D4A">
      <w:rPr>
        <w:b/>
        <w:bCs/>
        <w:sz w:val="18"/>
      </w:rPr>
      <w:fldChar w:fldCharType="separate"/>
    </w:r>
    <w:r w:rsidRPr="00FC5D4A">
      <w:rPr>
        <w:b/>
        <w:bCs/>
        <w:noProof/>
        <w:sz w:val="18"/>
      </w:rPr>
      <w:t>2</w:t>
    </w:r>
    <w:r w:rsidRPr="00FC5D4A">
      <w:rPr>
        <w:b/>
        <w:bCs/>
        <w:sz w:val="18"/>
      </w:rPr>
      <w:fldChar w:fldCharType="end"/>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F78964" w14:textId="47EEB5BF" w:rsidR="002B4953" w:rsidRDefault="002B4953" w:rsidP="00FC5D4A">
    <w:pPr>
      <w:pStyle w:val="Footer"/>
      <w:tabs>
        <w:tab w:val="right" w:pos="9638"/>
      </w:tabs>
    </w:pPr>
    <w:r>
      <w:tab/>
    </w:r>
    <w:r w:rsidRPr="00FC5D4A">
      <w:rPr>
        <w:b/>
        <w:bCs/>
        <w:sz w:val="18"/>
      </w:rPr>
      <w:fldChar w:fldCharType="begin"/>
    </w:r>
    <w:r w:rsidRPr="00FC5D4A">
      <w:rPr>
        <w:b/>
        <w:bCs/>
        <w:sz w:val="18"/>
      </w:rPr>
      <w:instrText xml:space="preserve"> PAGE  \* MERGEFORMAT </w:instrText>
    </w:r>
    <w:r w:rsidRPr="00FC5D4A">
      <w:rPr>
        <w:b/>
        <w:bCs/>
        <w:sz w:val="18"/>
      </w:rPr>
      <w:fldChar w:fldCharType="separate"/>
    </w:r>
    <w:r w:rsidR="00DB4528">
      <w:rPr>
        <w:b/>
        <w:bCs/>
        <w:noProof/>
        <w:sz w:val="18"/>
      </w:rPr>
      <w:t>13</w:t>
    </w:r>
    <w:r w:rsidRPr="00FC5D4A">
      <w:rPr>
        <w:b/>
        <w:bCs/>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A651CA" w14:textId="27DD84B4" w:rsidR="002B4953" w:rsidRDefault="00D47CD5" w:rsidP="00A21E7B">
    <w:pPr>
      <w:pStyle w:val="Footer"/>
      <w:tabs>
        <w:tab w:val="right" w:pos="9598"/>
      </w:tabs>
    </w:pPr>
    <w:r>
      <w:rPr>
        <w:sz w:val="20"/>
      </w:rPr>
      <w:t>GE.21-08565(E)</w:t>
    </w:r>
    <w:r w:rsidR="002B4953">
      <w:tab/>
    </w:r>
    <w:r w:rsidR="002B4953" w:rsidRPr="002B4072">
      <w:rPr>
        <w:b/>
        <w:sz w:val="18"/>
      </w:rPr>
      <w:fldChar w:fldCharType="begin"/>
    </w:r>
    <w:r w:rsidR="002B4953" w:rsidRPr="002B4072">
      <w:rPr>
        <w:b/>
        <w:sz w:val="18"/>
      </w:rPr>
      <w:instrText xml:space="preserve"> PAGE  \* MERGEFORMAT </w:instrText>
    </w:r>
    <w:r w:rsidR="002B4953" w:rsidRPr="002B4072">
      <w:rPr>
        <w:b/>
        <w:sz w:val="18"/>
      </w:rPr>
      <w:fldChar w:fldCharType="separate"/>
    </w:r>
    <w:r w:rsidR="00DB4528">
      <w:rPr>
        <w:b/>
        <w:noProof/>
        <w:sz w:val="18"/>
      </w:rPr>
      <w:t>iii</w:t>
    </w:r>
    <w:r w:rsidR="002B4953" w:rsidRPr="002B4072">
      <w:rPr>
        <w:b/>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EABFDD" w14:textId="63182A02" w:rsidR="002B4953" w:rsidRDefault="002B4953" w:rsidP="00CA6645">
    <w:pPr>
      <w:pStyle w:val="Footer"/>
      <w:tabs>
        <w:tab w:val="right" w:pos="9638"/>
      </w:tabs>
    </w:pPr>
    <w:r w:rsidRPr="00FC5D4A">
      <w:rPr>
        <w:b/>
        <w:bCs/>
        <w:sz w:val="18"/>
      </w:rPr>
      <w:fldChar w:fldCharType="begin"/>
    </w:r>
    <w:r w:rsidRPr="00FC5D4A">
      <w:rPr>
        <w:b/>
        <w:bCs/>
        <w:sz w:val="18"/>
      </w:rPr>
      <w:instrText xml:space="preserve"> PAGE  \* MERGEFORMAT </w:instrText>
    </w:r>
    <w:r w:rsidRPr="00FC5D4A">
      <w:rPr>
        <w:b/>
        <w:bCs/>
        <w:sz w:val="18"/>
      </w:rPr>
      <w:fldChar w:fldCharType="separate"/>
    </w:r>
    <w:r w:rsidR="00DB4528">
      <w:rPr>
        <w:b/>
        <w:bCs/>
        <w:noProof/>
        <w:sz w:val="18"/>
      </w:rPr>
      <w:t>14</w:t>
    </w:r>
    <w:r w:rsidRPr="00FC5D4A">
      <w:rPr>
        <w:b/>
        <w:bCs/>
        <w:sz w:val="18"/>
      </w:rPr>
      <w:fldChar w:fldCharType="end"/>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FC5B99" w14:textId="77777777" w:rsidR="00B930D6" w:rsidRPr="00C47B2E" w:rsidRDefault="00B930D6" w:rsidP="00C47B2E">
      <w:pPr>
        <w:tabs>
          <w:tab w:val="right" w:pos="2155"/>
        </w:tabs>
        <w:spacing w:after="80" w:line="240" w:lineRule="auto"/>
        <w:ind w:left="680"/>
      </w:pPr>
      <w:r>
        <w:rPr>
          <w:u w:val="single"/>
        </w:rPr>
        <w:tab/>
      </w:r>
    </w:p>
  </w:footnote>
  <w:footnote w:type="continuationSeparator" w:id="0">
    <w:p w14:paraId="035183E2" w14:textId="77777777" w:rsidR="00B930D6" w:rsidRPr="00C47B2E" w:rsidRDefault="00B930D6" w:rsidP="005E716E">
      <w:pPr>
        <w:tabs>
          <w:tab w:val="right" w:pos="2155"/>
        </w:tabs>
        <w:spacing w:after="80" w:line="240" w:lineRule="auto"/>
        <w:ind w:left="680"/>
      </w:pPr>
      <w:r>
        <w:rPr>
          <w:u w:val="single"/>
        </w:rPr>
        <w:tab/>
      </w:r>
    </w:p>
  </w:footnote>
  <w:footnote w:type="continuationNotice" w:id="1">
    <w:p w14:paraId="67A14617" w14:textId="77777777" w:rsidR="00B930D6" w:rsidRPr="00C47B2E" w:rsidRDefault="00B930D6" w:rsidP="00C47B2E">
      <w:pPr>
        <w:pStyle w:val="Footer"/>
      </w:pPr>
    </w:p>
  </w:footnote>
  <w:footnote w:id="2">
    <w:p w14:paraId="449F969F" w14:textId="77777777" w:rsidR="002B4953" w:rsidRDefault="002B4953" w:rsidP="00EF1BB1">
      <w:pPr>
        <w:pStyle w:val="FootnoteText"/>
      </w:pPr>
      <w:r>
        <w:tab/>
      </w:r>
      <w:r w:rsidRPr="00EF1BB1">
        <w:rPr>
          <w:rStyle w:val="FootnoteReference"/>
        </w:rPr>
        <w:footnoteRef/>
      </w:r>
      <w:r>
        <w:tab/>
      </w:r>
      <w:hyperlink r:id="rId1" w:history="1">
        <w:r w:rsidRPr="004969C5">
          <w:rPr>
            <w:rStyle w:val="Hyperlink"/>
          </w:rPr>
          <w:t>https://treaties.un.org/Pages/ViewDetails.aspx?src=TREATY&amp;mtdsg_no=IV-16&amp;chapter=4&amp;clang=_en</w:t>
        </w:r>
      </w:hyperlink>
      <w:r>
        <w:t>.</w:t>
      </w:r>
    </w:p>
  </w:footnote>
  <w:footnote w:id="3">
    <w:p w14:paraId="39622FA6" w14:textId="0F6CD364" w:rsidR="002B4953" w:rsidRDefault="002B4953" w:rsidP="00EF1BB1">
      <w:pPr>
        <w:pStyle w:val="FootnoteText"/>
      </w:pPr>
      <w:r>
        <w:tab/>
      </w:r>
      <w:r w:rsidRPr="00EF1BB1">
        <w:rPr>
          <w:rStyle w:val="FootnoteReference"/>
        </w:rPr>
        <w:footnoteRef/>
      </w:r>
      <w:r>
        <w:tab/>
      </w:r>
      <w:bookmarkStart w:id="78" w:name="_Hlk75293609"/>
      <w:r>
        <w:t xml:space="preserve">See </w:t>
      </w:r>
      <w:hyperlink r:id="rId2" w:history="1">
        <w:r w:rsidR="000C68EB" w:rsidRPr="006F7E66">
          <w:rPr>
            <w:rStyle w:val="Hyperlink"/>
          </w:rPr>
          <w:t>www.ohchr.org/Documents/Issues/Disappearances/Guidelines-COVID19-EnforcedDisappearance.pdf</w:t>
        </w:r>
      </w:hyperlink>
      <w:r>
        <w:t>.</w:t>
      </w:r>
      <w:bookmarkEnd w:id="78"/>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F74C1F" w14:textId="77777777" w:rsidR="002B4953" w:rsidRDefault="002B4953" w:rsidP="00FC5D4A">
    <w:pPr>
      <w:pStyle w:val="Header"/>
    </w:pPr>
    <w:r>
      <w:t>A/76/56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ABCDAD" w14:textId="77777777" w:rsidR="002B4953" w:rsidRDefault="002B4953" w:rsidP="00FC5D4A">
    <w:pPr>
      <w:pStyle w:val="Header"/>
      <w:jc w:val="right"/>
    </w:pPr>
    <w:r>
      <w:t>A/76/56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C3D74A" w14:textId="77777777" w:rsidR="002B4953" w:rsidRDefault="002B4953" w:rsidP="00A3156A">
    <w:pPr>
      <w:pStyle w:val="Header"/>
      <w:jc w:val="right"/>
    </w:pPr>
    <w:r>
      <w:t>A/76/56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1229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bS0MLM0sjQ1NzC1sLBU0lEKTi0uzszPAykwqQUAfFzQLiwAAAA="/>
  </w:docVars>
  <w:rsids>
    <w:rsidRoot w:val="00BE2E80"/>
    <w:rsid w:val="00046E92"/>
    <w:rsid w:val="00063C90"/>
    <w:rsid w:val="00072607"/>
    <w:rsid w:val="000B570E"/>
    <w:rsid w:val="000C68EB"/>
    <w:rsid w:val="000E5AE5"/>
    <w:rsid w:val="00101B98"/>
    <w:rsid w:val="001D0A92"/>
    <w:rsid w:val="00201C81"/>
    <w:rsid w:val="00227F79"/>
    <w:rsid w:val="00247E2C"/>
    <w:rsid w:val="00251841"/>
    <w:rsid w:val="002A1FA4"/>
    <w:rsid w:val="002A32CB"/>
    <w:rsid w:val="002B319E"/>
    <w:rsid w:val="002B4953"/>
    <w:rsid w:val="002C5EE9"/>
    <w:rsid w:val="002D56EE"/>
    <w:rsid w:val="002D6C53"/>
    <w:rsid w:val="002E025D"/>
    <w:rsid w:val="002F5595"/>
    <w:rsid w:val="00334F6A"/>
    <w:rsid w:val="00342AC8"/>
    <w:rsid w:val="0036433E"/>
    <w:rsid w:val="003834E2"/>
    <w:rsid w:val="003B4550"/>
    <w:rsid w:val="0040017C"/>
    <w:rsid w:val="00404067"/>
    <w:rsid w:val="00461253"/>
    <w:rsid w:val="0046543F"/>
    <w:rsid w:val="00486E21"/>
    <w:rsid w:val="004969C5"/>
    <w:rsid w:val="004A2814"/>
    <w:rsid w:val="004B0827"/>
    <w:rsid w:val="004C0622"/>
    <w:rsid w:val="004D10F9"/>
    <w:rsid w:val="004E289D"/>
    <w:rsid w:val="004F5EA0"/>
    <w:rsid w:val="005042C2"/>
    <w:rsid w:val="00530A68"/>
    <w:rsid w:val="005B5DB0"/>
    <w:rsid w:val="005C4F37"/>
    <w:rsid w:val="005E716E"/>
    <w:rsid w:val="00624FC3"/>
    <w:rsid w:val="00661076"/>
    <w:rsid w:val="00671529"/>
    <w:rsid w:val="006F2417"/>
    <w:rsid w:val="0070489D"/>
    <w:rsid w:val="0072285C"/>
    <w:rsid w:val="007268F9"/>
    <w:rsid w:val="00737DFF"/>
    <w:rsid w:val="007C52B0"/>
    <w:rsid w:val="007C579F"/>
    <w:rsid w:val="007F168E"/>
    <w:rsid w:val="007F5EF6"/>
    <w:rsid w:val="008009BF"/>
    <w:rsid w:val="00805F63"/>
    <w:rsid w:val="00861B4E"/>
    <w:rsid w:val="00881A32"/>
    <w:rsid w:val="00882DAA"/>
    <w:rsid w:val="008C6C86"/>
    <w:rsid w:val="008E2C2F"/>
    <w:rsid w:val="008F4873"/>
    <w:rsid w:val="00931DC6"/>
    <w:rsid w:val="009411B4"/>
    <w:rsid w:val="00962A56"/>
    <w:rsid w:val="009D0139"/>
    <w:rsid w:val="009D2E16"/>
    <w:rsid w:val="009D717D"/>
    <w:rsid w:val="009F5CDC"/>
    <w:rsid w:val="00A21E7B"/>
    <w:rsid w:val="00A3156A"/>
    <w:rsid w:val="00A71A4C"/>
    <w:rsid w:val="00A775CF"/>
    <w:rsid w:val="00AD5671"/>
    <w:rsid w:val="00AE7EAB"/>
    <w:rsid w:val="00B06045"/>
    <w:rsid w:val="00B45F6F"/>
    <w:rsid w:val="00B52EF4"/>
    <w:rsid w:val="00B930D6"/>
    <w:rsid w:val="00BE2E80"/>
    <w:rsid w:val="00C03015"/>
    <w:rsid w:val="00C0358D"/>
    <w:rsid w:val="00C35A27"/>
    <w:rsid w:val="00C36FBE"/>
    <w:rsid w:val="00C46AD3"/>
    <w:rsid w:val="00C47B2E"/>
    <w:rsid w:val="00CA1B04"/>
    <w:rsid w:val="00CA6645"/>
    <w:rsid w:val="00CF6CB6"/>
    <w:rsid w:val="00D316F0"/>
    <w:rsid w:val="00D47CD5"/>
    <w:rsid w:val="00DB4528"/>
    <w:rsid w:val="00DC276E"/>
    <w:rsid w:val="00DE1E36"/>
    <w:rsid w:val="00E02C2B"/>
    <w:rsid w:val="00E17C95"/>
    <w:rsid w:val="00E34091"/>
    <w:rsid w:val="00E427A5"/>
    <w:rsid w:val="00E52109"/>
    <w:rsid w:val="00E75317"/>
    <w:rsid w:val="00EC2011"/>
    <w:rsid w:val="00ED6BA0"/>
    <w:rsid w:val="00ED6C48"/>
    <w:rsid w:val="00EF1BB1"/>
    <w:rsid w:val="00F11573"/>
    <w:rsid w:val="00F43BE2"/>
    <w:rsid w:val="00F57013"/>
    <w:rsid w:val="00F65F5D"/>
    <w:rsid w:val="00F85E29"/>
    <w:rsid w:val="00F86A3A"/>
    <w:rsid w:val="00FA39D9"/>
    <w:rsid w:val="00FC5D4A"/>
    <w:rsid w:val="00FE2048"/>
    <w:rsid w:val="00FF0906"/>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41F20291"/>
  <w15:docId w15:val="{C1FF194C-BC26-49CE-9C16-2F4898B90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iPriority w:val="99"/>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1">
    <w:name w:val="Unresolved Mention1"/>
    <w:basedOn w:val="DefaultParagraphFont"/>
    <w:uiPriority w:val="99"/>
    <w:semiHidden/>
    <w:unhideWhenUsed/>
    <w:rsid w:val="008E2C2F"/>
    <w:rPr>
      <w:color w:val="605E5C"/>
      <w:shd w:val="clear" w:color="auto" w:fill="E1DFDD"/>
    </w:rPr>
  </w:style>
  <w:style w:type="paragraph" w:styleId="TOC1">
    <w:name w:val="toc 1"/>
    <w:basedOn w:val="Normal"/>
    <w:next w:val="Normal"/>
    <w:autoRedefine/>
    <w:uiPriority w:val="39"/>
    <w:unhideWhenUsed/>
    <w:rsid w:val="004F5EA0"/>
    <w:pPr>
      <w:spacing w:after="100"/>
    </w:pPr>
  </w:style>
  <w:style w:type="paragraph" w:styleId="TOC2">
    <w:name w:val="toc 2"/>
    <w:basedOn w:val="Normal"/>
    <w:next w:val="Normal"/>
    <w:autoRedefine/>
    <w:uiPriority w:val="39"/>
    <w:unhideWhenUsed/>
    <w:rsid w:val="004F5EA0"/>
    <w:pPr>
      <w:spacing w:after="100"/>
      <w:ind w:left="200"/>
    </w:pPr>
  </w:style>
  <w:style w:type="paragraph" w:styleId="TOC3">
    <w:name w:val="toc 3"/>
    <w:basedOn w:val="Normal"/>
    <w:next w:val="Normal"/>
    <w:autoRedefine/>
    <w:uiPriority w:val="39"/>
    <w:unhideWhenUsed/>
    <w:rsid w:val="004F5EA0"/>
    <w:pPr>
      <w:spacing w:after="100"/>
      <w:ind w:left="400"/>
    </w:pPr>
  </w:style>
  <w:style w:type="character" w:styleId="CommentReference">
    <w:name w:val="annotation reference"/>
    <w:basedOn w:val="DefaultParagraphFont"/>
    <w:uiPriority w:val="99"/>
    <w:semiHidden/>
    <w:unhideWhenUsed/>
    <w:rsid w:val="00FA39D9"/>
    <w:rPr>
      <w:sz w:val="16"/>
      <w:szCs w:val="16"/>
    </w:rPr>
  </w:style>
  <w:style w:type="paragraph" w:styleId="CommentText">
    <w:name w:val="annotation text"/>
    <w:basedOn w:val="Normal"/>
    <w:link w:val="CommentTextChar"/>
    <w:uiPriority w:val="99"/>
    <w:semiHidden/>
    <w:unhideWhenUsed/>
    <w:rsid w:val="00FA39D9"/>
    <w:pPr>
      <w:spacing w:line="240" w:lineRule="auto"/>
    </w:pPr>
  </w:style>
  <w:style w:type="character" w:customStyle="1" w:styleId="CommentTextChar">
    <w:name w:val="Comment Text Char"/>
    <w:basedOn w:val="DefaultParagraphFont"/>
    <w:link w:val="CommentText"/>
    <w:uiPriority w:val="99"/>
    <w:semiHidden/>
    <w:rsid w:val="00FA39D9"/>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A39D9"/>
    <w:rPr>
      <w:b/>
      <w:bCs/>
    </w:rPr>
  </w:style>
  <w:style w:type="character" w:customStyle="1" w:styleId="CommentSubjectChar">
    <w:name w:val="Comment Subject Char"/>
    <w:basedOn w:val="CommentTextChar"/>
    <w:link w:val="CommentSubject"/>
    <w:uiPriority w:val="99"/>
    <w:semiHidden/>
    <w:rsid w:val="00FA39D9"/>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undocs.org/en/CED/C/20/1" TargetMode="External"/><Relationship Id="rId26" Type="http://schemas.openxmlformats.org/officeDocument/2006/relationships/hyperlink" Target="http://undocs.org/en/CED/C/20/2" TargetMode="External"/><Relationship Id="rId39" Type="http://schemas.openxmlformats.org/officeDocument/2006/relationships/hyperlink" Target="https://undocs.org/en/CED/C/LTU/CO/1/Add.1" TargetMode="External"/><Relationship Id="rId21" Type="http://schemas.openxmlformats.org/officeDocument/2006/relationships/hyperlink" Target="http://undocs.org/en/CED/C/19/2" TargetMode="External"/><Relationship Id="rId34" Type="http://schemas.openxmlformats.org/officeDocument/2006/relationships/hyperlink" Target="http://undocs.org/en/CED/C/CHL/FCO/1" TargetMode="External"/><Relationship Id="rId42" Type="http://schemas.openxmlformats.org/officeDocument/2006/relationships/hyperlink" Target="https://undocs.org/en/CED/C/BEL/AI/1" TargetMode="External"/><Relationship Id="rId47" Type="http://schemas.openxmlformats.org/officeDocument/2006/relationships/hyperlink" Target="https://undocs.org/CED/C/CZE/Q/1" TargetMode="External"/><Relationship Id="rId50" Type="http://schemas.openxmlformats.org/officeDocument/2006/relationships/hyperlink" Target="https://undocs.org/CED/C/MLI/QAR/1" TargetMode="External"/><Relationship Id="rId55" Type="http://schemas.openxmlformats.org/officeDocument/2006/relationships/hyperlink" Target="http://undocs.org/en/CED/C/MLI/1" TargetMode="External"/><Relationship Id="rId63" Type="http://schemas.openxmlformats.org/officeDocument/2006/relationships/hyperlink" Target="http://undocs.org/en/CED/C/15/3" TargetMode="External"/><Relationship Id="rId68" Type="http://schemas.openxmlformats.org/officeDocument/2006/relationships/hyperlink" Target="http://undocs.org/en/A/73/56" TargetMode="External"/><Relationship Id="rId7" Type="http://schemas.openxmlformats.org/officeDocument/2006/relationships/endnotes" Target="endnotes.xml"/><Relationship Id="rId71" Type="http://schemas.openxmlformats.org/officeDocument/2006/relationships/hyperlink" Target="https://treaties.un.org/Pages/ViewDetails.aspx?src=TREATY&amp;mtdsg_no=IV-16&amp;chapter=4&amp;clang=_en" TargetMode="Externa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hyperlink" Target="https://undocs.org/en/CED/C/CHE/1" TargetMode="External"/><Relationship Id="rId11" Type="http://schemas.openxmlformats.org/officeDocument/2006/relationships/header" Target="header1.xml"/><Relationship Id="rId24" Type="http://schemas.openxmlformats.org/officeDocument/2006/relationships/hyperlink" Target="https://undocs.org/CED/C/19/3" TargetMode="External"/><Relationship Id="rId32" Type="http://schemas.openxmlformats.org/officeDocument/2006/relationships/hyperlink" Target="http://undocs.org/en/CED/C/ALB/FCO/1" TargetMode="External"/><Relationship Id="rId37" Type="http://schemas.openxmlformats.org/officeDocument/2006/relationships/hyperlink" Target="http://undocs.org/en/CED/C/ITA/FCO/1" TargetMode="External"/><Relationship Id="rId40" Type="http://schemas.openxmlformats.org/officeDocument/2006/relationships/hyperlink" Target="http://undocs.org/en/CED/C/PRT/FCO/1" TargetMode="External"/><Relationship Id="rId45" Type="http://schemas.openxmlformats.org/officeDocument/2006/relationships/hyperlink" Target="http://undocs.org/en/CED/C/IRQ/AI/1" TargetMode="External"/><Relationship Id="rId53" Type="http://schemas.openxmlformats.org/officeDocument/2006/relationships/hyperlink" Target="http://undocs.org/en/CED/C/CRI/1" TargetMode="External"/><Relationship Id="rId58" Type="http://schemas.openxmlformats.org/officeDocument/2006/relationships/hyperlink" Target="http://undocs.org/en/CED/C/8" TargetMode="External"/><Relationship Id="rId66" Type="http://schemas.openxmlformats.org/officeDocument/2006/relationships/hyperlink" Target="http://undocs.org/en/CED/C/19/2"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undocs.org/en/CED/C/19/D/3/2019" TargetMode="External"/><Relationship Id="rId28" Type="http://schemas.openxmlformats.org/officeDocument/2006/relationships/hyperlink" Target="https://undocs.org/en/CED/C/MNG/1" TargetMode="External"/><Relationship Id="rId36" Type="http://schemas.openxmlformats.org/officeDocument/2006/relationships/hyperlink" Target="http://undocs.org/en/CED/C/HND/CO/1/Add.1" TargetMode="External"/><Relationship Id="rId49" Type="http://schemas.openxmlformats.org/officeDocument/2006/relationships/hyperlink" Target="https://undocs.org/CED/C/NER/Q/1" TargetMode="External"/><Relationship Id="rId57" Type="http://schemas.openxmlformats.org/officeDocument/2006/relationships/hyperlink" Target="http://undocs.org/en/CED/C/NGA/1" TargetMode="External"/><Relationship Id="rId61" Type="http://schemas.openxmlformats.org/officeDocument/2006/relationships/hyperlink" Target="http://undocs.org/en/CED/C/13/3" TargetMode="External"/><Relationship Id="rId10" Type="http://schemas.openxmlformats.org/officeDocument/2006/relationships/footer" Target="footer1.xml"/><Relationship Id="rId19" Type="http://schemas.openxmlformats.org/officeDocument/2006/relationships/hyperlink" Target="http://www.ohchr.org/EN/HRBodies/CED/Pages/Membership.aspx" TargetMode="External"/><Relationship Id="rId31" Type="http://schemas.openxmlformats.org/officeDocument/2006/relationships/hyperlink" Target="https://undocs.org/en/CED/C/CHE/CO/1" TargetMode="External"/><Relationship Id="rId44" Type="http://schemas.openxmlformats.org/officeDocument/2006/relationships/hyperlink" Target="http://undocs.org/en/CED/C/NLD/AI/1" TargetMode="External"/><Relationship Id="rId52" Type="http://schemas.openxmlformats.org/officeDocument/2006/relationships/hyperlink" Target="http://undocs.org/en/CED/C/ZMB/QAR/1" TargetMode="External"/><Relationship Id="rId60" Type="http://schemas.openxmlformats.org/officeDocument/2006/relationships/hyperlink" Target="http://undocs.org/en/CED/C/12/2" TargetMode="External"/><Relationship Id="rId65" Type="http://schemas.openxmlformats.org/officeDocument/2006/relationships/hyperlink" Target="http://undocs.org/en/CED/C/17/2"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 Id="rId22" Type="http://schemas.openxmlformats.org/officeDocument/2006/relationships/hyperlink" Target="http://undocs.org/en/CED/C/19/4" TargetMode="External"/><Relationship Id="rId27" Type="http://schemas.openxmlformats.org/officeDocument/2006/relationships/hyperlink" Target="http://undocs.org/en/CED/C/8" TargetMode="External"/><Relationship Id="rId30" Type="http://schemas.openxmlformats.org/officeDocument/2006/relationships/hyperlink" Target="https://undocs.org/en/CED/C/MNG/CO/1" TargetMode="External"/><Relationship Id="rId35" Type="http://schemas.openxmlformats.org/officeDocument/2006/relationships/hyperlink" Target="http://undocs.org/en/CED/C/GAB/CO/1/Add.1" TargetMode="External"/><Relationship Id="rId43" Type="http://schemas.openxmlformats.org/officeDocument/2006/relationships/hyperlink" Target="http://undocs.org/en/CED/C/DEU/AI/1" TargetMode="External"/><Relationship Id="rId48" Type="http://schemas.openxmlformats.org/officeDocument/2006/relationships/hyperlink" Target="https://undocs.org/CED/C/GRC/Q/1" TargetMode="External"/><Relationship Id="rId56" Type="http://schemas.openxmlformats.org/officeDocument/2006/relationships/hyperlink" Target="http://undocs.org/en/CED/C/MRT/1" TargetMode="External"/><Relationship Id="rId64" Type="http://schemas.openxmlformats.org/officeDocument/2006/relationships/hyperlink" Target="http://undocs.org/en/CED/C/16/3" TargetMode="External"/><Relationship Id="rId69" Type="http://schemas.openxmlformats.org/officeDocument/2006/relationships/hyperlink" Target="http://undocs.org/en/A/74/56" TargetMode="External"/><Relationship Id="rId8" Type="http://schemas.openxmlformats.org/officeDocument/2006/relationships/image" Target="media/image1.wmf"/><Relationship Id="rId51" Type="http://schemas.openxmlformats.org/officeDocument/2006/relationships/hyperlink" Target="http://undocs.org/en/CED/C/MLI/1" TargetMode="External"/><Relationship Id="rId72" Type="http://schemas.openxmlformats.org/officeDocument/2006/relationships/footer" Target="footer5.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http://undocs.org/en/CED/C/19/1" TargetMode="External"/><Relationship Id="rId25" Type="http://schemas.openxmlformats.org/officeDocument/2006/relationships/hyperlink" Target="http://undocs.org/en/CED/C/10/D/1/2013" TargetMode="External"/><Relationship Id="rId33" Type="http://schemas.openxmlformats.org/officeDocument/2006/relationships/hyperlink" Target="http://undocs.org/en/CED/C/AUT/FCO/1" TargetMode="External"/><Relationship Id="rId38" Type="http://schemas.openxmlformats.org/officeDocument/2006/relationships/hyperlink" Target="http://undocs.org/en/CED/C/JPN/FCO/1" TargetMode="External"/><Relationship Id="rId46" Type="http://schemas.openxmlformats.org/officeDocument/2006/relationships/hyperlink" Target="http://undocs.org/en/CED/C/COL/AI/1" TargetMode="External"/><Relationship Id="rId59" Type="http://schemas.openxmlformats.org/officeDocument/2006/relationships/hyperlink" Target="http://undocs.org/en/CED/C/11/3" TargetMode="External"/><Relationship Id="rId67" Type="http://schemas.openxmlformats.org/officeDocument/2006/relationships/hyperlink" Target="http://undocs.org/en/CED/C/7" TargetMode="External"/><Relationship Id="rId20" Type="http://schemas.openxmlformats.org/officeDocument/2006/relationships/hyperlink" Target="http://undocs.org/en/CED/C/IRQ/OAI/1" TargetMode="External"/><Relationship Id="rId41" Type="http://schemas.openxmlformats.org/officeDocument/2006/relationships/hyperlink" Target="http://undocs.org/en/CED/C/PER/CO/1" TargetMode="External"/><Relationship Id="rId54" Type="http://schemas.openxmlformats.org/officeDocument/2006/relationships/hyperlink" Target="http://undocs.org/en/CED/C/GMB/1" TargetMode="External"/><Relationship Id="rId62" Type="http://schemas.openxmlformats.org/officeDocument/2006/relationships/hyperlink" Target="http://undocs.org/en/CED/C/14/2" TargetMode="External"/><Relationship Id="rId70" Type="http://schemas.openxmlformats.org/officeDocument/2006/relationships/hyperlink" Target="http://undocs.org/en/A/75/56"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2" Type="http://schemas.openxmlformats.org/officeDocument/2006/relationships/hyperlink" Target="http://www.ohchr.org/Documents/Issues/Disappearances/Guidelines-COVID19-EnforcedDisappearance.pdf" TargetMode="External"/><Relationship Id="rId1" Type="http://schemas.openxmlformats.org/officeDocument/2006/relationships/hyperlink" Target="https://treaties.un.org/Pages/ViewDetails.aspx?src=TREATY&amp;mtdsg_no=IV-16&amp;chapter=4&amp;clang=_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415C65-D3D5-4281-B895-8B520980B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33</Pages>
  <Words>10971</Words>
  <Characters>57335</Characters>
  <Application>Microsoft Office Word</Application>
  <DocSecurity>0</DocSecurity>
  <Lines>1509</Lines>
  <Paragraphs>843</Paragraphs>
  <ScaleCrop>false</ScaleCrop>
  <HeadingPairs>
    <vt:vector size="2" baseType="variant">
      <vt:variant>
        <vt:lpstr>Title</vt:lpstr>
      </vt:variant>
      <vt:variant>
        <vt:i4>1</vt:i4>
      </vt:variant>
    </vt:vector>
  </HeadingPairs>
  <TitlesOfParts>
    <vt:vector size="1" baseType="lpstr">
      <vt:lpstr>A/76/56</vt:lpstr>
    </vt:vector>
  </TitlesOfParts>
  <Company>DCM</Company>
  <LinksUpToDate>false</LinksUpToDate>
  <CharactersWithSpaces>67720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A/76/56</dc:title>
  <dc:subject>2108565</dc:subject>
  <dc:creator>dm</dc:creator>
  <cp:keywords/>
  <dc:description/>
  <cp:lastModifiedBy>Maria Rosario Corazon Gatmaytan</cp:lastModifiedBy>
  <cp:revision>2</cp:revision>
  <dcterms:created xsi:type="dcterms:W3CDTF">2021-06-24T11:04:00Z</dcterms:created>
  <dcterms:modified xsi:type="dcterms:W3CDTF">2021-06-24T11:04:00Z</dcterms:modified>
</cp:coreProperties>
</file>