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C13" w:rsidRDefault="004D2C13" w:rsidP="004D2C13">
      <w:pPr>
        <w:spacing w:line="60" w:lineRule="exact"/>
        <w:rPr>
          <w:sz w:val="6"/>
        </w:rPr>
        <w:sectPr w:rsidR="004D2C13" w:rsidSect="004D2C1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4D2C13" w:rsidRDefault="004D2C13" w:rsidP="004D2C13">
      <w:pPr>
        <w:spacing w:line="60" w:lineRule="exact"/>
        <w:rPr>
          <w:sz w:val="6"/>
        </w:rPr>
      </w:pPr>
    </w:p>
    <w:p w:rsidR="00F81EDE" w:rsidRDefault="00F81EDE" w:rsidP="001439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81EDE" w:rsidRPr="001439EC" w:rsidRDefault="00F81EDE" w:rsidP="001439EC">
      <w:pPr>
        <w:pStyle w:val="SingleTxt"/>
        <w:spacing w:after="60"/>
        <w:ind w:left="0"/>
        <w:rPr>
          <w:rFonts w:ascii="SimHei" w:eastAsia="SimHei" w:hint="eastAsia"/>
          <w:color w:val="FF0000"/>
        </w:rPr>
      </w:pPr>
      <w:r w:rsidRPr="001439EC">
        <w:rPr>
          <w:rFonts w:ascii="SimHei" w:eastAsia="SimHei" w:hint="eastAsia"/>
          <w:color w:val="FF0000"/>
        </w:rPr>
        <w:t>第三十六届会议</w:t>
      </w:r>
    </w:p>
    <w:p w:rsidR="00F81EDE" w:rsidRDefault="00F81EDE" w:rsidP="001439EC">
      <w:pPr>
        <w:pStyle w:val="SingleTxt"/>
        <w:spacing w:after="60"/>
        <w:ind w:left="0"/>
        <w:rPr>
          <w:rFonts w:hint="eastAsia"/>
        </w:rPr>
      </w:pPr>
      <w:r>
        <w:rPr>
          <w:rFonts w:hint="eastAsia"/>
        </w:rPr>
        <w:t>2006年8月7日至25日</w:t>
      </w:r>
    </w:p>
    <w:p w:rsidR="001439EC" w:rsidRPr="001439EC" w:rsidRDefault="001439EC" w:rsidP="001439E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1439EC" w:rsidRPr="001439EC" w:rsidRDefault="001439EC" w:rsidP="001439E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81EDE" w:rsidRDefault="001439EC" w:rsidP="001439E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81EDE">
        <w:rPr>
          <w:rFonts w:hint="eastAsia"/>
        </w:rPr>
        <w:t>消除对妇女歧视委员会的结论意见：丹麦</w:t>
      </w:r>
    </w:p>
    <w:p w:rsidR="001439EC" w:rsidRPr="001439EC" w:rsidRDefault="001439EC" w:rsidP="001439EC">
      <w:pPr>
        <w:pStyle w:val="SingleTxt"/>
        <w:spacing w:after="0" w:line="120" w:lineRule="exact"/>
        <w:rPr>
          <w:sz w:val="10"/>
        </w:rPr>
      </w:pPr>
    </w:p>
    <w:p w:rsidR="00F81EDE" w:rsidRDefault="00F81EDE" w:rsidP="00F81EDE">
      <w:pPr>
        <w:pStyle w:val="SingleTxt"/>
        <w:rPr>
          <w:rFonts w:hint="eastAsia"/>
        </w:rPr>
      </w:pPr>
      <w:r>
        <w:rPr>
          <w:rFonts w:hint="eastAsia"/>
        </w:rPr>
        <w:t>1.</w:t>
      </w:r>
      <w:r>
        <w:rPr>
          <w:rFonts w:hint="eastAsia"/>
        </w:rPr>
        <w:tab/>
        <w:t>2006年8月9日委员会第741和742次会议（CEDAW/C/SR.741和742）审议了丹麦的第六次定期报告（CEDAW/C/DNK/6和Corr.1）。委员会的议题和问题清单载于CEDAW/C/DEN/Q/6，丹麦的答复载于CEDAW/C/DEN/Q/ Add.1。</w:t>
      </w:r>
    </w:p>
    <w:p w:rsidR="00F81EDE" w:rsidRDefault="001439EC" w:rsidP="0014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81EDE">
        <w:rPr>
          <w:rFonts w:hint="eastAsia"/>
        </w:rPr>
        <w:t>导言</w:t>
      </w:r>
    </w:p>
    <w:p w:rsidR="001439EC" w:rsidRPr="001439EC" w:rsidRDefault="001439EC" w:rsidP="001439EC">
      <w:pPr>
        <w:pStyle w:val="SingleTxt"/>
        <w:spacing w:after="0" w:line="120" w:lineRule="exact"/>
        <w:rPr>
          <w:rFonts w:hint="eastAsia"/>
          <w:sz w:val="10"/>
        </w:rPr>
      </w:pPr>
    </w:p>
    <w:p w:rsidR="00F81EDE" w:rsidRDefault="00F81EDE" w:rsidP="00F81EDE">
      <w:pPr>
        <w:pStyle w:val="SingleTxt"/>
        <w:rPr>
          <w:rFonts w:hint="eastAsia"/>
        </w:rPr>
      </w:pPr>
      <w:r>
        <w:rPr>
          <w:rFonts w:hint="eastAsia"/>
        </w:rPr>
        <w:t>2.</w:t>
      </w:r>
      <w:r>
        <w:rPr>
          <w:rFonts w:hint="eastAsia"/>
        </w:rPr>
        <w:tab/>
        <w:t>委员会赞扬缔约国提交第六次定期报告。该报告是遵照委员会定期报告编写准则编写的，并已考虑到委员会此前提出的结论意见。但令委员会感到遗憾的是，报告没有提供足够的资料，说明研究和报告对立法倡议和政治行动所产生的影响。</w:t>
      </w:r>
    </w:p>
    <w:p w:rsidR="00F81EDE" w:rsidRDefault="00F81EDE" w:rsidP="00F81EDE">
      <w:pPr>
        <w:pStyle w:val="SingleTxt"/>
        <w:rPr>
          <w:rFonts w:hint="eastAsia"/>
        </w:rPr>
      </w:pPr>
      <w:r>
        <w:rPr>
          <w:rFonts w:hint="eastAsia"/>
        </w:rPr>
        <w:t>3.</w:t>
      </w:r>
      <w:r>
        <w:rPr>
          <w:rFonts w:hint="eastAsia"/>
        </w:rPr>
        <w:tab/>
        <w:t>委员会赞扬缔约国根据《公约》第十八条及时提交其所有报告，并赞扬缔约国对会前工作组所提议题和问题清单作了书面答复。它对委员会成员提出的问题做了口头介绍和澄清。</w:t>
      </w:r>
    </w:p>
    <w:p w:rsidR="00F81EDE" w:rsidRDefault="00F81EDE" w:rsidP="00F81EDE">
      <w:pPr>
        <w:pStyle w:val="SingleTxt"/>
        <w:rPr>
          <w:rFonts w:hint="eastAsia"/>
        </w:rPr>
      </w:pPr>
      <w:r>
        <w:rPr>
          <w:rFonts w:hint="eastAsia"/>
        </w:rPr>
        <w:t>4.</w:t>
      </w:r>
      <w:r>
        <w:rPr>
          <w:rFonts w:hint="eastAsia"/>
        </w:rPr>
        <w:tab/>
        <w:t>委员会赞扬代表团将法罗群岛和格陵兰代表列入其名单内。</w:t>
      </w:r>
    </w:p>
    <w:p w:rsidR="00F81EDE" w:rsidRDefault="001439EC" w:rsidP="0014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81EDE">
        <w:rPr>
          <w:rFonts w:hint="eastAsia"/>
        </w:rPr>
        <w:t>积极方面</w:t>
      </w:r>
    </w:p>
    <w:p w:rsidR="001439EC" w:rsidRPr="001439EC" w:rsidRDefault="001439EC" w:rsidP="001439EC">
      <w:pPr>
        <w:pStyle w:val="SingleTxt"/>
        <w:spacing w:after="0" w:line="120" w:lineRule="exact"/>
        <w:rPr>
          <w:rFonts w:hint="eastAsia"/>
          <w:sz w:val="10"/>
        </w:rPr>
      </w:pPr>
    </w:p>
    <w:p w:rsidR="00F81EDE" w:rsidRDefault="00F81EDE" w:rsidP="00F81EDE">
      <w:pPr>
        <w:pStyle w:val="SingleTxt"/>
        <w:rPr>
          <w:rFonts w:hint="eastAsia"/>
        </w:rPr>
      </w:pPr>
      <w:r>
        <w:rPr>
          <w:rFonts w:hint="eastAsia"/>
        </w:rPr>
        <w:t>5.</w:t>
      </w:r>
      <w:r>
        <w:rPr>
          <w:rFonts w:hint="eastAsia"/>
        </w:rPr>
        <w:tab/>
        <w:t>委员会赞扬缔约国以双管齐下的方法开展两性平等工作，其中包括在性别主流化方面作出持续和重点的努力，以及通过制定工具，以性别观点对法案、预算、宣传运动和统计进行评估，并执行妇女所关注和需要政府注意的主要关切领域的特别倡议。</w:t>
      </w:r>
    </w:p>
    <w:p w:rsidR="00F81EDE" w:rsidRDefault="00F81EDE" w:rsidP="00F81EDE">
      <w:pPr>
        <w:pStyle w:val="SingleTxt"/>
        <w:rPr>
          <w:rFonts w:hint="eastAsia"/>
        </w:rPr>
      </w:pPr>
      <w:r>
        <w:rPr>
          <w:rFonts w:hint="eastAsia"/>
        </w:rPr>
        <w:t>6.</w:t>
      </w:r>
      <w:r>
        <w:rPr>
          <w:rFonts w:hint="eastAsia"/>
        </w:rPr>
        <w:tab/>
        <w:t>缔约国于2005年拟定关于安全理事会有关妇女与和平与安全的第1325（2000）号决议执行情况的行动计划,它是世界上第一个这样做的国家。该项行动计划与《公约》第三条、第四条第1款和第七条直接有关。委员会对此表示赞扬。</w:t>
      </w:r>
    </w:p>
    <w:p w:rsidR="00F81EDE" w:rsidRDefault="00F81EDE" w:rsidP="00F81EDE">
      <w:pPr>
        <w:pStyle w:val="SingleTxt"/>
        <w:rPr>
          <w:rFonts w:hint="eastAsia"/>
        </w:rPr>
      </w:pPr>
      <w:r>
        <w:rPr>
          <w:rFonts w:hint="eastAsia"/>
        </w:rPr>
        <w:t>7.</w:t>
      </w:r>
      <w:r>
        <w:rPr>
          <w:rFonts w:hint="eastAsia"/>
        </w:rPr>
        <w:tab/>
        <w:t>委员会欢迎国防部于2004年制订行为守则，该守则为参与国际行动的人员提供指导，告知它们应如何适应和尊重适用于有关国家的特定规则和习惯。</w:t>
      </w:r>
    </w:p>
    <w:p w:rsidR="00F81EDE" w:rsidRDefault="00F81EDE" w:rsidP="00F81EDE">
      <w:pPr>
        <w:pStyle w:val="SingleTxt"/>
        <w:rPr>
          <w:rFonts w:hint="eastAsia"/>
        </w:rPr>
      </w:pPr>
      <w:r>
        <w:rPr>
          <w:rFonts w:hint="eastAsia"/>
        </w:rPr>
        <w:t>8.</w:t>
      </w:r>
      <w:r>
        <w:rPr>
          <w:rFonts w:hint="eastAsia"/>
        </w:rPr>
        <w:tab/>
        <w:t>委员会赞扬缔约国将性别层面纳入其发展合作方案中，并在该领域的决策过程中引用委员会的结论意见。</w:t>
      </w:r>
    </w:p>
    <w:p w:rsidR="00F81EDE" w:rsidRDefault="001439EC" w:rsidP="0014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81EDE">
        <w:rPr>
          <w:rFonts w:hint="eastAsia"/>
        </w:rPr>
        <w:t>主要关切领域和建议</w:t>
      </w:r>
    </w:p>
    <w:p w:rsidR="001439EC" w:rsidRPr="001439EC" w:rsidRDefault="001439EC" w:rsidP="001439EC">
      <w:pPr>
        <w:pStyle w:val="SingleTxt"/>
        <w:spacing w:after="0" w:line="120" w:lineRule="exact"/>
        <w:rPr>
          <w:rFonts w:hint="eastAsia"/>
          <w:sz w:val="10"/>
        </w:rPr>
      </w:pP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9.</w:t>
      </w:r>
      <w:r w:rsidRPr="001439EC">
        <w:rPr>
          <w:rFonts w:ascii="SimHei" w:eastAsia="SimHei" w:hint="eastAsia"/>
          <w:color w:val="FF0000"/>
        </w:rPr>
        <w:tab/>
        <w:t>委员会回顾缔约国一贯和不断地执行《公约》所有条款的义务。它认为，在提交下次定期报告之前，缔约国必须优先注意结论意见所指明的关切领域和建议。因此，委员会呼吁缔约国在执行活动时着重注意这些领域，并在其下次定期报告中报告它所采取的行动和取得的结果。委员会呼吁缔约国向所有有关部门提交结论意见，以确保这些意见得到充分的执行。</w:t>
      </w:r>
    </w:p>
    <w:p w:rsidR="00F81EDE" w:rsidRDefault="00F81EDE" w:rsidP="00F81EDE">
      <w:pPr>
        <w:pStyle w:val="SingleTxt"/>
        <w:rPr>
          <w:rFonts w:hint="eastAsia"/>
        </w:rPr>
      </w:pPr>
      <w:r>
        <w:rPr>
          <w:rFonts w:hint="eastAsia"/>
        </w:rPr>
        <w:t>10.</w:t>
      </w:r>
      <w:r>
        <w:rPr>
          <w:rFonts w:hint="eastAsia"/>
        </w:rPr>
        <w:tab/>
        <w:t>委员会注意到，根据丹麦地方自治的规定，丹麦两性平等法规不适用于法罗群岛和格陵兰，《公约》所规定的条款和权利没有充分纳入这些领土内。令委员会关注的是，缔约国没有确保这两个领土的政府已制定法律措施及其他措施，以符合丹麦立法的方式充分执行《公约》。委员会感到遗憾，报告内有关法罗群岛和格陵兰妇女状况的资料仍然极为有限。</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11.</w:t>
      </w:r>
      <w:r w:rsidRPr="001439EC">
        <w:rPr>
          <w:rFonts w:ascii="SimHei" w:eastAsia="SimHei" w:hint="eastAsia"/>
          <w:color w:val="FF0000"/>
        </w:rPr>
        <w:tab/>
        <w:t>委员会建议缔约国进行有效协调和设立一个机制监测在各级一贯遵守《公约》条款的情况，以保证在全国各地充分执行《公约》这方面取得一致的结果。委员会促请缔约国在下次定期报告中载述详细资料，说明在法罗群岛和格陵兰执行《公约》规定的所有条款和权利的情况。</w:t>
      </w:r>
    </w:p>
    <w:p w:rsidR="00F81EDE" w:rsidRDefault="00F81EDE" w:rsidP="00F81EDE">
      <w:pPr>
        <w:pStyle w:val="SingleTxt"/>
        <w:rPr>
          <w:rFonts w:hint="eastAsia"/>
        </w:rPr>
      </w:pPr>
      <w:r>
        <w:rPr>
          <w:rFonts w:hint="eastAsia"/>
        </w:rPr>
        <w:t>12.</w:t>
      </w:r>
      <w:r>
        <w:rPr>
          <w:rFonts w:hint="eastAsia"/>
        </w:rPr>
        <w:tab/>
        <w:t>委员会表示关注</w:t>
      </w:r>
      <w:r w:rsidR="00066CF4">
        <w:rPr>
          <w:rFonts w:hint="eastAsia"/>
        </w:rPr>
        <w:t>的是</w:t>
      </w:r>
      <w:r>
        <w:rPr>
          <w:rFonts w:hint="eastAsia"/>
        </w:rPr>
        <w:t>，</w:t>
      </w:r>
      <w:r w:rsidR="00066CF4">
        <w:rPr>
          <w:rFonts w:hint="eastAsia"/>
        </w:rPr>
        <w:t>虽然某些</w:t>
      </w:r>
      <w:r>
        <w:rPr>
          <w:rFonts w:hint="eastAsia"/>
        </w:rPr>
        <w:t>立法</w:t>
      </w:r>
      <w:r w:rsidR="00066CF4">
        <w:rPr>
          <w:rFonts w:hint="eastAsia"/>
        </w:rPr>
        <w:t>规定了</w:t>
      </w:r>
      <w:r>
        <w:rPr>
          <w:rFonts w:hint="eastAsia"/>
        </w:rPr>
        <w:t>暂行特别措施，</w:t>
      </w:r>
      <w:r w:rsidR="00066CF4">
        <w:rPr>
          <w:rFonts w:hint="eastAsia"/>
        </w:rPr>
        <w:t>但未能有系统地</w:t>
      </w:r>
      <w:r>
        <w:rPr>
          <w:rFonts w:hint="eastAsia"/>
        </w:rPr>
        <w:t>利用这些措施来加快在《公约》所有领域中实现事实上的或实质性的两性平等。</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13.</w:t>
      </w:r>
      <w:r w:rsidRPr="001439EC">
        <w:rPr>
          <w:rFonts w:ascii="SimHei" w:eastAsia="SimHei" w:hint="eastAsia"/>
          <w:color w:val="FF0000"/>
        </w:rPr>
        <w:tab/>
        <w:t>委员会鼓励缔约国根据《公约》第四条第1款和委员会一般性建议25采用及有效执行暂行特别措施，以加快实现所有领域中的事实上的两性平等。它还建议缔约国应在其两性平等立法中列入有关鼓励在公私部门使用暂行特别措施的条款。</w:t>
      </w:r>
    </w:p>
    <w:p w:rsidR="00F81EDE" w:rsidRDefault="00F81EDE" w:rsidP="00F81EDE">
      <w:pPr>
        <w:pStyle w:val="SingleTxt"/>
        <w:rPr>
          <w:rFonts w:hint="eastAsia"/>
        </w:rPr>
      </w:pPr>
      <w:r>
        <w:rPr>
          <w:rFonts w:hint="eastAsia"/>
        </w:rPr>
        <w:t>14.</w:t>
      </w:r>
      <w:r>
        <w:rPr>
          <w:rFonts w:hint="eastAsia"/>
        </w:rPr>
        <w:tab/>
        <w:t>委员会确认在劳动力市场上妇女持续和高度的参与，在这方面缔约国采取措施予以支持，使男女双方都能通过扩大的产假和育儿假计划兼顾他们的工作和家庭生活。但仍令委员会关注的是，职业隔离情况严重、工资差距持续存在，在高层管理和私营企业董事会妇女任职人数甚少。</w:t>
      </w:r>
    </w:p>
    <w:p w:rsidR="00F81EDE" w:rsidRDefault="00F81EDE" w:rsidP="00F81EDE">
      <w:pPr>
        <w:pStyle w:val="SingleTxt"/>
        <w:rPr>
          <w:rFonts w:hint="eastAsia"/>
        </w:rPr>
      </w:pPr>
      <w:r w:rsidRPr="001439EC">
        <w:rPr>
          <w:rFonts w:ascii="SimHei" w:eastAsia="SimHei" w:hint="eastAsia"/>
          <w:color w:val="FF0000"/>
        </w:rPr>
        <w:t>15.</w:t>
      </w:r>
      <w:r w:rsidRPr="001439EC">
        <w:rPr>
          <w:rFonts w:ascii="SimHei" w:eastAsia="SimHei" w:hint="eastAsia"/>
          <w:color w:val="FF0000"/>
        </w:rPr>
        <w:tab/>
        <w:t>委员会促请缔约国采取政策和具体措施，以加快消除对妇女就业的歧视，努力争取在劳动力市场上男女机会在各级别实际均等，以及监测趋势和采取必要的纠正措施。委员会还促请缔约国加倍奖励男子行使其育儿假的权利。委员会进一步促请缔约国确保根据对性别问题有敏感认识的准则来制订职务评价制度,以弥补男女之间现存的工资差距。它还要求缔约国监测妇女在高层管理任职的发展情况，以通过立法举措或政策举措进一步支持她们的参与。</w:t>
      </w:r>
    </w:p>
    <w:p w:rsidR="00F81EDE" w:rsidRDefault="00F81EDE" w:rsidP="00F81EDE">
      <w:pPr>
        <w:pStyle w:val="SingleTxt"/>
        <w:rPr>
          <w:rFonts w:hint="eastAsia"/>
        </w:rPr>
      </w:pPr>
      <w:r>
        <w:rPr>
          <w:rFonts w:hint="eastAsia"/>
        </w:rPr>
        <w:t>16.</w:t>
      </w:r>
      <w:r>
        <w:rPr>
          <w:rFonts w:hint="eastAsia"/>
        </w:rPr>
        <w:tab/>
        <w:t>委员会赞扬缔约国不断努力争取更多妇女参加丹麦议会决策，但令它关注的是，在地方一级妇女人数仍然很少。还令委员会关注的是，很少妇女担任法罗群岛政治决策职位。</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17.</w:t>
      </w:r>
      <w:r w:rsidRPr="001439EC">
        <w:rPr>
          <w:rFonts w:ascii="SimHei" w:eastAsia="SimHei" w:hint="eastAsia"/>
          <w:color w:val="FF0000"/>
        </w:rPr>
        <w:tab/>
        <w:t>委员会促请缔约国采取措施，通过针对妇女和男子的提高认识运动和利用暂行特别措施，以增加妇女在全国(包括市政府和各郡)担任决策职位的人数。它还建议定期监测和评价这种措施，并采取有效的纠正措施。</w:t>
      </w:r>
    </w:p>
    <w:p w:rsidR="00F81EDE" w:rsidRDefault="00F81EDE" w:rsidP="00F81EDE">
      <w:pPr>
        <w:pStyle w:val="SingleTxt"/>
        <w:rPr>
          <w:rFonts w:hint="eastAsia"/>
        </w:rPr>
      </w:pPr>
      <w:r>
        <w:rPr>
          <w:rFonts w:hint="eastAsia"/>
        </w:rPr>
        <w:t>18.</w:t>
      </w:r>
      <w:r>
        <w:rPr>
          <w:rFonts w:hint="eastAsia"/>
        </w:rPr>
        <w:tab/>
        <w:t>委员会对学术界的妇女（如教授、高级讲师和研究人员）人数偏低仍表关注。</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19.</w:t>
      </w:r>
      <w:r w:rsidRPr="001439EC">
        <w:rPr>
          <w:rFonts w:ascii="SimHei" w:eastAsia="SimHei" w:hint="eastAsia"/>
          <w:color w:val="FF0000"/>
        </w:rPr>
        <w:tab/>
        <w:t>委员会促请缔约国通过政策增加学术界的妇女人数，并鼓励和监督执行智囊团(“人尽其材——更多妇女参加研究”)针对大学和政界人物提出的建议。</w:t>
      </w:r>
    </w:p>
    <w:p w:rsidR="00F81EDE" w:rsidRDefault="00F81EDE" w:rsidP="00F81EDE">
      <w:pPr>
        <w:pStyle w:val="SingleTxt"/>
        <w:rPr>
          <w:rFonts w:hint="eastAsia"/>
        </w:rPr>
      </w:pPr>
      <w:r>
        <w:rPr>
          <w:rFonts w:hint="eastAsia"/>
        </w:rPr>
        <w:t>20.</w:t>
      </w:r>
      <w:r>
        <w:rPr>
          <w:rFonts w:hint="eastAsia"/>
        </w:rPr>
        <w:tab/>
        <w:t>委员会赞扬缔约国自提交上次定期报告以来大力设法消除暴力侵害妇女行为，包括通过两项国家行动计划，更严厉地惩罚强奸犯，修改有关切割女性生殖器的《刑法典》，以将在国外从事或协助从事切割女性生殖器行为的丹麦国民绳之以法，以及通过一项法令，引用可能将有暴力倾向的配偶或伙伴逐出家门的条款。暴力侵害妇女和女孩行为的严重程度引起委员会关注。</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21.</w:t>
      </w:r>
      <w:r w:rsidRPr="001439EC">
        <w:rPr>
          <w:rFonts w:ascii="SimHei" w:eastAsia="SimHei" w:hint="eastAsia"/>
          <w:color w:val="FF0000"/>
        </w:rPr>
        <w:tab/>
        <w:t>委员会呼吁缔约国继续将暴力侵害妇女行为当作侵犯其人权的问题来处理。委员会特别促请缔约国根据一般性建议19，采取实质性和持续性措施，分配充足的财源，包括向受暴力侵害的妇女提供足够的收容所,以及就一切形式的暴力侵害妇女行为展开研究并执行政策，以制止这种暴力，并向受害人提供保护、支助和服务，以及惩罚和改造罪犯。</w:t>
      </w:r>
    </w:p>
    <w:p w:rsidR="00F81EDE" w:rsidRDefault="00F81EDE" w:rsidP="00F81EDE">
      <w:pPr>
        <w:pStyle w:val="SingleTxt"/>
        <w:rPr>
          <w:rFonts w:hint="eastAsia"/>
        </w:rPr>
      </w:pPr>
      <w:r>
        <w:rPr>
          <w:rFonts w:hint="eastAsia"/>
        </w:rPr>
        <w:t>22.</w:t>
      </w:r>
      <w:r>
        <w:rPr>
          <w:rFonts w:hint="eastAsia"/>
        </w:rPr>
        <w:tab/>
        <w:t>委员会赞扬缔约国批准补充《联合国打击跨国有组织犯罪公约》的《联合国打击跨国有组织犯罪公约关于预防、禁止和惩治贩运人口特别是妇女和儿童行为的议定书》以及采取许多措施，包括执行一项行动计划和开展国际合作，以设法解决贩运妇女问题。委员会对将妇女和女孩贩运到丹麦境内表示关注。</w:t>
      </w:r>
      <w:r w:rsidR="0077662B">
        <w:rPr>
          <w:rFonts w:hint="eastAsia"/>
        </w:rPr>
        <w:t>委员会没有收到关于被贩运的妇女和女孩的普遍情况的数据，对此委员会感到关切。</w:t>
      </w:r>
      <w:r>
        <w:rPr>
          <w:rFonts w:hint="eastAsia"/>
        </w:rPr>
        <w:t>它还对被贩运妇女的脆弱性表示关注。这些妇女经过所谓的“延缓期”（延缓期已延长30天）后，除非作为例外案件处理，否则将被递解回原籍国。委员会担心，延缓期不够长，受害妇女饱受折磨后可能没有足够时间复原，对返回原籍国一事尚无心理准备。</w:t>
      </w:r>
    </w:p>
    <w:p w:rsidR="00F81EDE" w:rsidRDefault="00F81EDE" w:rsidP="00F81EDE">
      <w:pPr>
        <w:pStyle w:val="SingleTxt"/>
        <w:rPr>
          <w:rFonts w:hint="eastAsia"/>
        </w:rPr>
      </w:pPr>
      <w:r w:rsidRPr="001439EC">
        <w:rPr>
          <w:rFonts w:ascii="SimHei" w:eastAsia="SimHei" w:hint="eastAsia"/>
          <w:color w:val="FF0000"/>
        </w:rPr>
        <w:t>23.</w:t>
      </w:r>
      <w:r w:rsidRPr="001439EC">
        <w:rPr>
          <w:rFonts w:ascii="SimHei" w:eastAsia="SimHei" w:hint="eastAsia"/>
          <w:color w:val="FF0000"/>
        </w:rPr>
        <w:tab/>
        <w:t>委员会要求缔约国加紧努力打击妇女贩运，包括采取措施制止贩运、尽量减少对卖淫的需求、改善数据的收集、为被贩运妇女提供服务，以及惩罚为贩运提供便利的人。委员会进一步要求缔约国考虑进一步延长上述“延缓期”,让被贩运妇女在丹麦多逗留。</w:t>
      </w:r>
    </w:p>
    <w:p w:rsidR="00F81EDE" w:rsidRDefault="00F81EDE" w:rsidP="00F81EDE">
      <w:pPr>
        <w:pStyle w:val="SingleTxt"/>
        <w:rPr>
          <w:rFonts w:hint="eastAsia"/>
        </w:rPr>
      </w:pPr>
      <w:r>
        <w:rPr>
          <w:rFonts w:hint="eastAsia"/>
        </w:rPr>
        <w:t>24.</w:t>
      </w:r>
      <w:r>
        <w:rPr>
          <w:rFonts w:hint="eastAsia"/>
        </w:rPr>
        <w:tab/>
        <w:t>委员会感到遗憾，有关利用妇女卖淫营利的数据极为有限。令它特别关注的是没有资料说明如何努力阻止妇女卖淫、如何处理卖淫需求问题，以及支助妇女摆脱其卖淫生涯。</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25.</w:t>
      </w:r>
      <w:r w:rsidRPr="001439EC">
        <w:rPr>
          <w:rFonts w:ascii="SimHei" w:eastAsia="SimHei" w:hint="eastAsia"/>
          <w:color w:val="FF0000"/>
        </w:rPr>
        <w:tab/>
        <w:t>委员会促请缔约国在其统计材料中纳入有关利用妇女卖淫营利的按性别分列的数据和资料，并将这种数据和资料纳入其下次定期报告中。委员会还促请缔约国加紧注意利用妇女卖淫营利的问题，并制订战略和方案，以杜绝卖淫需求，阻止妇女卖淫，以及为哪些想摆脱其卖淫生涯的妇女和女孩设立恢复正常生活和支助方案。</w:t>
      </w:r>
    </w:p>
    <w:p w:rsidR="00F81EDE" w:rsidRDefault="00F81EDE" w:rsidP="00F81EDE">
      <w:pPr>
        <w:pStyle w:val="SingleTxt"/>
        <w:rPr>
          <w:rFonts w:hint="eastAsia"/>
        </w:rPr>
      </w:pPr>
      <w:r>
        <w:rPr>
          <w:rFonts w:hint="eastAsia"/>
        </w:rPr>
        <w:t>26.</w:t>
      </w:r>
      <w:r>
        <w:rPr>
          <w:rFonts w:hint="eastAsia"/>
        </w:rPr>
        <w:tab/>
        <w:t>委员会注意到丹麦已采取措施促使少数族裔妇女融入丹麦社会和劳动力市场，以及打击暴力侵害妇女行为，例如：举办丹麦语成人特别教育班、讲授两性平等的主题、设立有口译服务的24小时咨询热线、举办强调有关儿童和离婚、暴力和财政状况的妇女权利的信息运动，以及建立网络。委员会对在教育、就业和保健方面的这些妇女的人权状况仍然表示关注。还令委员会关注的是，艾滋病毒抗体阳性妇女大多数是在外国出生的少数族裔妇女。</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27.</w:t>
      </w:r>
      <w:r w:rsidRPr="001439EC">
        <w:rPr>
          <w:rFonts w:ascii="SimHei" w:eastAsia="SimHei" w:hint="eastAsia"/>
          <w:color w:val="FF0000"/>
        </w:rPr>
        <w:tab/>
        <w:t>委员会促请缔约国加紧努力，消除对少数族裔妇女的歧视。它鼓励缔约国积极主动地采取措施，防止这些妇女在其社区和整个社会受到歧视，以及打击针对她们的暴力，使她们更加认识到可以利用的社会服务和法律补救办法,并让她们熟悉两性平等和不受歧视的权利。委员会建议充分注意解决外国妇女的保健需要，尤其是获得防治艾滋病毒感染信息的需要。委员会还促请缔约国就对少数族裔妇女的歧视问题进行定期和综合的研究，以及收集有关其就业、教育和保健状况及她们所遭受的一切形式的暴力的统计数字</w:t>
      </w:r>
      <w:r w:rsidR="0077662B">
        <w:rPr>
          <w:rFonts w:ascii="SimHei" w:eastAsia="SimHei" w:hint="eastAsia"/>
          <w:color w:val="FF0000"/>
        </w:rPr>
        <w:t>，并在下次定期报告中提交这些资料</w:t>
      </w:r>
      <w:r w:rsidRPr="001439EC">
        <w:rPr>
          <w:rFonts w:ascii="SimHei" w:eastAsia="SimHei" w:hint="eastAsia"/>
          <w:color w:val="FF0000"/>
        </w:rPr>
        <w:t>。</w:t>
      </w:r>
    </w:p>
    <w:p w:rsidR="00F81EDE" w:rsidRDefault="00F81EDE" w:rsidP="00F81EDE">
      <w:pPr>
        <w:pStyle w:val="SingleTxt"/>
        <w:rPr>
          <w:rFonts w:hint="eastAsia"/>
        </w:rPr>
      </w:pPr>
      <w:r>
        <w:rPr>
          <w:rFonts w:hint="eastAsia"/>
        </w:rPr>
        <w:t>28.</w:t>
      </w:r>
      <w:r>
        <w:rPr>
          <w:rFonts w:hint="eastAsia"/>
        </w:rPr>
        <w:tab/>
        <w:t>委员会对已获临时居留证的已婚外国妇女状况仍然表示关注。她们若不堪受配偶虐待而离开家门，就会被驱逐出境。委员会担心这些妇女自己申请居留证会很难达到规定的标准。由于害怕被驱逐出境，她们不愿寻求援助，也不愿采取分居或离婚的步骤。</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29.</w:t>
      </w:r>
      <w:r w:rsidRPr="001439EC">
        <w:rPr>
          <w:rFonts w:ascii="SimHei" w:eastAsia="SimHei" w:hint="eastAsia"/>
          <w:color w:val="FF0000"/>
        </w:rPr>
        <w:tab/>
        <w:t>委员会建议缔约国立即审查它的行政做法，并重新考虑被配偶虐待的已婚外国妇女申请居留权的规定。</w:t>
      </w:r>
    </w:p>
    <w:p w:rsidR="00F81EDE" w:rsidRDefault="00F81EDE" w:rsidP="00F81EDE">
      <w:pPr>
        <w:pStyle w:val="SingleTxt"/>
        <w:rPr>
          <w:rFonts w:hint="eastAsia"/>
        </w:rPr>
      </w:pPr>
      <w:r>
        <w:rPr>
          <w:rFonts w:hint="eastAsia"/>
        </w:rPr>
        <w:t>30.</w:t>
      </w:r>
      <w:r>
        <w:rPr>
          <w:rFonts w:hint="eastAsia"/>
        </w:rPr>
        <w:tab/>
        <w:t>委员会注意到缔约国于2003年推行取缔强迫婚姻和包办婚姻的国家行动计划，其中包括对话与合作、辅导与研究的举措。令委员会关注的是，在立法中将妇女与配偶团聚的最低年龄从18岁提高到24岁可能会对她们产生影响。委员会注意到没有关于强迫婚姻的统计数字。</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31.</w:t>
      </w:r>
      <w:r w:rsidRPr="001439EC">
        <w:rPr>
          <w:rFonts w:ascii="SimHei" w:eastAsia="SimHei" w:hint="eastAsia"/>
          <w:color w:val="FF0000"/>
        </w:rPr>
        <w:tab/>
        <w:t>委员会建议缔约国评价提高与配偶团聚的最低年龄对妇女的影响，以及继续探讨取缔强迫婚姻的其他方法。</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32.</w:t>
      </w:r>
      <w:r w:rsidRPr="001439EC">
        <w:rPr>
          <w:rFonts w:ascii="SimHei" w:eastAsia="SimHei" w:hint="eastAsia"/>
          <w:color w:val="FF0000"/>
        </w:rPr>
        <w:tab/>
        <w:t>委员会促请缔约国在履行《公约》所规定的义务时充分利用《北京宣言和行动纲要》。《北京宣言和行动纲要》加强了《公约》的条款。它还要求缔约国将有关资料纳入其下次定期报告中。</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33.</w:t>
      </w:r>
      <w:r w:rsidRPr="001439EC">
        <w:rPr>
          <w:rFonts w:ascii="SimHei" w:eastAsia="SimHei" w:hint="eastAsia"/>
          <w:color w:val="FF0000"/>
        </w:rPr>
        <w:tab/>
        <w:t>委员会强调，充分和切实执行《公约》是实现千年发展目标的不可缺少的条件。它呼吁在实现千年发展目标的所有努力中融入性别观点，并明确阐述《公约》的条款。它要求缔约国将这方面的资料载入其下次定期报告中。</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34.</w:t>
      </w:r>
      <w:r w:rsidRPr="001439EC">
        <w:rPr>
          <w:rFonts w:ascii="SimHei" w:eastAsia="SimHei" w:hint="eastAsia"/>
          <w:color w:val="FF0000"/>
        </w:rPr>
        <w:tab/>
        <w:t>委员会注意到缔约国遵守七项主要国际人权文书</w:t>
      </w:r>
      <w:r w:rsidR="001439EC" w:rsidRPr="001439EC">
        <w:rPr>
          <w:rStyle w:val="FootnoteReference"/>
          <w:rFonts w:ascii="SimHei" w:eastAsia="SimHei"/>
          <w:color w:val="FF0000"/>
        </w:rPr>
        <w:footnoteReference w:id="1"/>
      </w:r>
      <w:r w:rsidRPr="001439EC">
        <w:rPr>
          <w:rFonts w:ascii="SimHei" w:eastAsia="SimHei" w:hint="eastAsia"/>
          <w:color w:val="FF0000"/>
        </w:rPr>
        <w:t xml:space="preserve"> 加强了妇女在生活各方面对人权和基本自由的享受。因此，委员会鼓励缔约国考虑批准它尚未加入的那些条约，即《保护所有移徙工人及其家庭成员权利国际公约》。</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35.</w:t>
      </w:r>
      <w:r w:rsidRPr="001439EC">
        <w:rPr>
          <w:rFonts w:ascii="SimHei" w:eastAsia="SimHei" w:hint="eastAsia"/>
          <w:color w:val="FF0000"/>
        </w:rPr>
        <w:tab/>
        <w:t>委员会要求在丹麦包括在法罗群岛和格陵兰广泛散发结论意见，使人民——包括政府官员、政治人物、议员以及妇女组织和人权组织知道已采取了哪些措施确保妇女在法律上和实际上获得平等，以及在这方面需要进一步采取哪些措施。委员会要求缔约国继续向妇女组织和人权组织广泛散发《公约》及其《议定书》、委员会的结论意见、《北京宣言和行动纲要》和题为“2000年妇女：二十一世纪两性平等、发展与和平”的大会第二十三届特别会议的成果。</w:t>
      </w:r>
    </w:p>
    <w:p w:rsidR="00F81EDE" w:rsidRPr="001439EC" w:rsidRDefault="00F81EDE" w:rsidP="00F81EDE">
      <w:pPr>
        <w:pStyle w:val="SingleTxt"/>
        <w:rPr>
          <w:rFonts w:ascii="SimHei" w:eastAsia="SimHei" w:hint="eastAsia"/>
          <w:color w:val="FF0000"/>
        </w:rPr>
      </w:pPr>
      <w:r w:rsidRPr="001439EC">
        <w:rPr>
          <w:rFonts w:ascii="SimHei" w:eastAsia="SimHei" w:hint="eastAsia"/>
          <w:color w:val="FF0000"/>
        </w:rPr>
        <w:t>36.</w:t>
      </w:r>
      <w:r w:rsidRPr="001439EC">
        <w:rPr>
          <w:rFonts w:ascii="SimHei" w:eastAsia="SimHei" w:hint="eastAsia"/>
          <w:color w:val="FF0000"/>
        </w:rPr>
        <w:tab/>
        <w:t>委员会要求缔约国根据《公约》第十八条在其下次定期报告中对结论意见内所述的关切事项作出回应。该报告应于2008年5月提交。</w:t>
      </w:r>
    </w:p>
    <w:p w:rsidR="00F81EDE" w:rsidRPr="00965D17" w:rsidRDefault="00965D17" w:rsidP="00965D17">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4D2C13" w:rsidRDefault="00EA31C3" w:rsidP="00F81EDE">
      <w:pPr>
        <w:pStyle w:val="SingleTxt"/>
      </w:pPr>
    </w:p>
    <w:sectPr w:rsidR="00EA31C3" w:rsidRPr="004D2C13" w:rsidSect="004D2C1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0:07:00Z" w:initials="Start">
    <w:p w:rsidR="003731D3" w:rsidRDefault="003731D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NO&gt;&gt;N0647821C&lt;&lt;ODS JOB NO&gt;&gt;</w:t>
      </w:r>
    </w:p>
    <w:p w:rsidR="003731D3" w:rsidRDefault="003731D3">
      <w:pPr>
        <w:pStyle w:val="CommentText"/>
      </w:pPr>
      <w:r>
        <w:t>&lt;&lt;ODS DOC SYMBOL1&gt;&gt;CEDAW/C/DEN/CO/6&lt;&lt;ODS DOC SYMBOL1&gt;&gt;</w:t>
      </w:r>
    </w:p>
    <w:p w:rsidR="003731D3" w:rsidRDefault="003731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4BF" w:rsidRDefault="00E354BF">
      <w:r>
        <w:separator/>
      </w:r>
    </w:p>
  </w:endnote>
  <w:endnote w:type="continuationSeparator" w:id="0">
    <w:p w:rsidR="00E354BF" w:rsidRDefault="00E35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31D3" w:rsidTr="004D2C13">
      <w:tblPrEx>
        <w:tblCellMar>
          <w:top w:w="0" w:type="dxa"/>
          <w:bottom w:w="0" w:type="dxa"/>
        </w:tblCellMar>
      </w:tblPrEx>
      <w:tc>
        <w:tcPr>
          <w:tcW w:w="5033" w:type="dxa"/>
          <w:shd w:val="clear" w:color="auto" w:fill="auto"/>
          <w:vAlign w:val="bottom"/>
        </w:tcPr>
        <w:p w:rsidR="003731D3" w:rsidRPr="004D2C13" w:rsidRDefault="003731D3" w:rsidP="004D2C13">
          <w:pPr>
            <w:pStyle w:val="Footer"/>
            <w:jc w:val="left"/>
          </w:pPr>
          <w:r>
            <w:fldChar w:fldCharType="begin"/>
          </w:r>
          <w:r>
            <w:instrText xml:space="preserve"> PAGE  \* MERGEFORMAT </w:instrText>
          </w:r>
          <w:r>
            <w:fldChar w:fldCharType="separate"/>
          </w:r>
          <w:r w:rsidR="00645677">
            <w:t>4</w:t>
          </w:r>
          <w:r>
            <w:fldChar w:fldCharType="end"/>
          </w:r>
        </w:p>
      </w:tc>
      <w:tc>
        <w:tcPr>
          <w:tcW w:w="5033" w:type="dxa"/>
          <w:shd w:val="clear" w:color="auto" w:fill="auto"/>
          <w:vAlign w:val="bottom"/>
        </w:tcPr>
        <w:p w:rsidR="003731D3" w:rsidRPr="004D2C13" w:rsidRDefault="003731D3" w:rsidP="004D2C1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06-47821</w:t>
          </w:r>
          <w:r>
            <w:rPr>
              <w:b w:val="0"/>
              <w:sz w:val="14"/>
            </w:rPr>
            <w:fldChar w:fldCharType="end"/>
          </w:r>
        </w:p>
      </w:tc>
    </w:tr>
  </w:tbl>
  <w:p w:rsidR="003731D3" w:rsidRPr="004D2C13" w:rsidRDefault="003731D3" w:rsidP="004D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31D3" w:rsidTr="004D2C13">
      <w:tblPrEx>
        <w:tblCellMar>
          <w:top w:w="0" w:type="dxa"/>
          <w:bottom w:w="0" w:type="dxa"/>
        </w:tblCellMar>
      </w:tblPrEx>
      <w:tc>
        <w:tcPr>
          <w:tcW w:w="5033" w:type="dxa"/>
          <w:shd w:val="clear" w:color="auto" w:fill="auto"/>
          <w:vAlign w:val="bottom"/>
        </w:tcPr>
        <w:p w:rsidR="003731D3" w:rsidRPr="004D2C13" w:rsidRDefault="003731D3" w:rsidP="004D2C1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06-47821</w:t>
          </w:r>
          <w:r>
            <w:rPr>
              <w:b w:val="0"/>
              <w:sz w:val="14"/>
            </w:rPr>
            <w:fldChar w:fldCharType="end"/>
          </w:r>
        </w:p>
      </w:tc>
      <w:tc>
        <w:tcPr>
          <w:tcW w:w="5033" w:type="dxa"/>
          <w:shd w:val="clear" w:color="auto" w:fill="auto"/>
          <w:vAlign w:val="bottom"/>
        </w:tcPr>
        <w:p w:rsidR="003731D3" w:rsidRPr="004D2C13" w:rsidRDefault="003731D3" w:rsidP="004D2C13">
          <w:pPr>
            <w:pStyle w:val="Footer"/>
            <w:jc w:val="right"/>
          </w:pPr>
          <w:r>
            <w:fldChar w:fldCharType="begin"/>
          </w:r>
          <w:r>
            <w:instrText xml:space="preserve"> PAGE  \* MERGEFORMAT </w:instrText>
          </w:r>
          <w:r>
            <w:fldChar w:fldCharType="separate"/>
          </w:r>
          <w:r w:rsidR="00645677">
            <w:t>5</w:t>
          </w:r>
          <w:r>
            <w:fldChar w:fldCharType="end"/>
          </w:r>
        </w:p>
      </w:tc>
    </w:tr>
  </w:tbl>
  <w:p w:rsidR="003731D3" w:rsidRPr="004D2C13" w:rsidRDefault="003731D3" w:rsidP="004D2C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1D3" w:rsidRDefault="003731D3" w:rsidP="004D2C1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06-47821 (C)</w:t>
    </w:r>
    <w:r>
      <w:rPr>
        <w:b w:val="0"/>
        <w:sz w:val="21"/>
      </w:rPr>
      <w:fldChar w:fldCharType="end"/>
    </w:r>
    <w:r>
      <w:rPr>
        <w:b w:val="0"/>
        <w:sz w:val="21"/>
      </w:rPr>
      <w:t xml:space="preserve">    </w:t>
    </w:r>
    <w:r>
      <w:rPr>
        <w:rFonts w:hint="eastAsia"/>
        <w:b w:val="0"/>
        <w:sz w:val="21"/>
      </w:rPr>
      <w:t>29</w:t>
    </w:r>
    <w:r>
      <w:rPr>
        <w:b w:val="0"/>
        <w:sz w:val="21"/>
      </w:rPr>
      <w:t>0806    310806</w:t>
    </w:r>
  </w:p>
  <w:p w:rsidR="003731D3" w:rsidRPr="004D2C13" w:rsidRDefault="003731D3" w:rsidP="004D2C1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*0647821*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4BF" w:rsidRPr="001439EC" w:rsidRDefault="00E354BF" w:rsidP="001439EC">
      <w:pPr>
        <w:pStyle w:val="Footer"/>
        <w:spacing w:after="80"/>
        <w:ind w:left="792"/>
        <w:rPr>
          <w:sz w:val="16"/>
        </w:rPr>
      </w:pPr>
      <w:r w:rsidRPr="001439EC">
        <w:rPr>
          <w:sz w:val="16"/>
        </w:rPr>
        <w:t>__________________</w:t>
      </w:r>
    </w:p>
  </w:footnote>
  <w:footnote w:type="continuationSeparator" w:id="0">
    <w:p w:rsidR="00E354BF" w:rsidRPr="001439EC" w:rsidRDefault="00E354BF" w:rsidP="001439EC">
      <w:pPr>
        <w:pStyle w:val="Footer"/>
        <w:spacing w:after="80"/>
        <w:ind w:left="792"/>
        <w:rPr>
          <w:sz w:val="16"/>
        </w:rPr>
      </w:pPr>
      <w:r w:rsidRPr="001439EC">
        <w:rPr>
          <w:sz w:val="16"/>
        </w:rPr>
        <w:t>__________________</w:t>
      </w:r>
    </w:p>
  </w:footnote>
  <w:footnote w:id="1">
    <w:p w:rsidR="003731D3" w:rsidRDefault="003731D3" w:rsidP="00143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w:t>
      </w:r>
      <w:r w:rsidRPr="005A0B0C">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731D3" w:rsidTr="004D2C13">
      <w:tblPrEx>
        <w:tblCellMar>
          <w:top w:w="0" w:type="dxa"/>
          <w:bottom w:w="0" w:type="dxa"/>
        </w:tblCellMar>
      </w:tblPrEx>
      <w:trPr>
        <w:trHeight w:hRule="exact" w:val="864"/>
      </w:trPr>
      <w:tc>
        <w:tcPr>
          <w:tcW w:w="4838" w:type="dxa"/>
          <w:shd w:val="clear" w:color="auto" w:fill="auto"/>
          <w:vAlign w:val="bottom"/>
        </w:tcPr>
        <w:p w:rsidR="003731D3" w:rsidRPr="004D2C13" w:rsidRDefault="003731D3" w:rsidP="004D2C1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CEDAW/C/DEN/CO/6</w:t>
          </w:r>
          <w:r>
            <w:rPr>
              <w:b/>
              <w:sz w:val="17"/>
            </w:rPr>
            <w:fldChar w:fldCharType="end"/>
          </w:r>
        </w:p>
      </w:tc>
      <w:tc>
        <w:tcPr>
          <w:tcW w:w="5033" w:type="dxa"/>
          <w:shd w:val="clear" w:color="auto" w:fill="auto"/>
          <w:vAlign w:val="bottom"/>
        </w:tcPr>
        <w:p w:rsidR="003731D3" w:rsidRDefault="003731D3" w:rsidP="004D2C13">
          <w:pPr>
            <w:pStyle w:val="Header"/>
          </w:pPr>
        </w:p>
      </w:tc>
    </w:tr>
  </w:tbl>
  <w:p w:rsidR="003731D3" w:rsidRPr="004D2C13" w:rsidRDefault="003731D3" w:rsidP="004D2C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731D3" w:rsidTr="004D2C13">
      <w:tblPrEx>
        <w:tblCellMar>
          <w:top w:w="0" w:type="dxa"/>
          <w:bottom w:w="0" w:type="dxa"/>
        </w:tblCellMar>
      </w:tblPrEx>
      <w:trPr>
        <w:trHeight w:hRule="exact" w:val="864"/>
      </w:trPr>
      <w:tc>
        <w:tcPr>
          <w:tcW w:w="4838" w:type="dxa"/>
          <w:shd w:val="clear" w:color="auto" w:fill="auto"/>
          <w:vAlign w:val="bottom"/>
        </w:tcPr>
        <w:p w:rsidR="003731D3" w:rsidRDefault="003731D3" w:rsidP="004D2C13">
          <w:pPr>
            <w:pStyle w:val="Header"/>
          </w:pPr>
        </w:p>
      </w:tc>
      <w:tc>
        <w:tcPr>
          <w:tcW w:w="5033" w:type="dxa"/>
          <w:shd w:val="clear" w:color="auto" w:fill="auto"/>
          <w:vAlign w:val="bottom"/>
        </w:tcPr>
        <w:p w:rsidR="003731D3" w:rsidRPr="004D2C13" w:rsidRDefault="003731D3" w:rsidP="004D2C1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CEDAW/C/DEN/CO/6</w:t>
          </w:r>
          <w:r>
            <w:rPr>
              <w:b/>
              <w:sz w:val="17"/>
            </w:rPr>
            <w:fldChar w:fldCharType="end"/>
          </w:r>
        </w:p>
      </w:tc>
    </w:tr>
  </w:tbl>
  <w:p w:rsidR="003731D3" w:rsidRPr="004D2C13" w:rsidRDefault="003731D3" w:rsidP="004D2C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731D3" w:rsidTr="004D2C1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31D3" w:rsidRDefault="003731D3" w:rsidP="004D2C13">
          <w:pPr>
            <w:pStyle w:val="Header"/>
            <w:spacing w:after="120"/>
          </w:pPr>
        </w:p>
      </w:tc>
      <w:tc>
        <w:tcPr>
          <w:tcW w:w="1872" w:type="dxa"/>
          <w:tcBorders>
            <w:bottom w:val="single" w:sz="4" w:space="0" w:color="auto"/>
          </w:tcBorders>
          <w:shd w:val="clear" w:color="auto" w:fill="auto"/>
          <w:vAlign w:val="bottom"/>
        </w:tcPr>
        <w:p w:rsidR="003731D3" w:rsidRPr="004D2C13" w:rsidRDefault="003731D3" w:rsidP="004D2C1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731D3" w:rsidRDefault="003731D3" w:rsidP="004D2C13">
          <w:pPr>
            <w:pStyle w:val="Header"/>
            <w:spacing w:after="120"/>
          </w:pPr>
        </w:p>
      </w:tc>
      <w:tc>
        <w:tcPr>
          <w:tcW w:w="6523" w:type="dxa"/>
          <w:gridSpan w:val="3"/>
          <w:tcBorders>
            <w:bottom w:val="single" w:sz="4" w:space="0" w:color="auto"/>
          </w:tcBorders>
          <w:shd w:val="clear" w:color="auto" w:fill="auto"/>
          <w:vAlign w:val="bottom"/>
        </w:tcPr>
        <w:p w:rsidR="003731D3" w:rsidRPr="004D2C13" w:rsidRDefault="003731D3" w:rsidP="004D2C1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/C/DEN/CO/6</w:t>
          </w:r>
        </w:p>
      </w:tc>
    </w:tr>
    <w:tr w:rsidR="003731D3" w:rsidRPr="004D2C13" w:rsidTr="004D2C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31D3" w:rsidRDefault="003731D3" w:rsidP="004D2C1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731D3" w:rsidRPr="004D2C13" w:rsidRDefault="003731D3" w:rsidP="004D2C13">
          <w:pPr>
            <w:pStyle w:val="Header"/>
            <w:spacing w:before="109"/>
            <w:ind w:left="-72"/>
          </w:pPr>
        </w:p>
      </w:tc>
      <w:tc>
        <w:tcPr>
          <w:tcW w:w="5227" w:type="dxa"/>
          <w:gridSpan w:val="3"/>
          <w:tcBorders>
            <w:top w:val="single" w:sz="4" w:space="0" w:color="auto"/>
            <w:bottom w:val="single" w:sz="12" w:space="0" w:color="auto"/>
          </w:tcBorders>
          <w:shd w:val="clear" w:color="auto" w:fill="auto"/>
        </w:tcPr>
        <w:p w:rsidR="003731D3" w:rsidRPr="004D2C13" w:rsidRDefault="003731D3" w:rsidP="004D2C1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731D3" w:rsidRPr="004D2C13" w:rsidRDefault="003731D3" w:rsidP="004D2C13">
          <w:pPr>
            <w:pStyle w:val="Header"/>
            <w:spacing w:before="109"/>
          </w:pPr>
        </w:p>
      </w:tc>
      <w:tc>
        <w:tcPr>
          <w:tcW w:w="3180" w:type="dxa"/>
          <w:gridSpan w:val="2"/>
          <w:tcBorders>
            <w:top w:val="single" w:sz="4" w:space="0" w:color="auto"/>
            <w:bottom w:val="single" w:sz="12" w:space="0" w:color="auto"/>
          </w:tcBorders>
          <w:shd w:val="clear" w:color="auto" w:fill="auto"/>
        </w:tcPr>
        <w:p w:rsidR="003731D3" w:rsidRDefault="003731D3" w:rsidP="004D2C13">
          <w:pPr>
            <w:spacing w:before="240" w:line="240" w:lineRule="exact"/>
            <w:rPr>
              <w:rFonts w:ascii="Times New Roman"/>
            </w:rPr>
          </w:pPr>
          <w:r>
            <w:rPr>
              <w:rFonts w:ascii="Times New Roman"/>
            </w:rPr>
            <w:t>Distr.: General</w:t>
          </w:r>
        </w:p>
        <w:p w:rsidR="003731D3" w:rsidRDefault="003731D3" w:rsidP="004D2C13">
          <w:pPr>
            <w:spacing w:line="240" w:lineRule="exact"/>
            <w:rPr>
              <w:rFonts w:ascii="Times New Roman"/>
            </w:rPr>
          </w:pPr>
          <w:r>
            <w:rPr>
              <w:rFonts w:ascii="Times New Roman"/>
            </w:rPr>
            <w:t>25 August 2006</w:t>
          </w:r>
        </w:p>
        <w:p w:rsidR="003731D3" w:rsidRDefault="003731D3" w:rsidP="004D2C13">
          <w:pPr>
            <w:spacing w:line="240" w:lineRule="exact"/>
            <w:rPr>
              <w:rFonts w:ascii="Times New Roman"/>
            </w:rPr>
          </w:pPr>
          <w:r>
            <w:rPr>
              <w:rFonts w:ascii="Times New Roman"/>
            </w:rPr>
            <w:t>Chinese</w:t>
          </w:r>
        </w:p>
        <w:p w:rsidR="003731D3" w:rsidRPr="004D2C13" w:rsidRDefault="003731D3" w:rsidP="004D2C13">
          <w:pPr>
            <w:spacing w:line="240" w:lineRule="exact"/>
            <w:rPr>
              <w:rFonts w:ascii="Times New Roman"/>
            </w:rPr>
          </w:pPr>
          <w:r>
            <w:rPr>
              <w:rFonts w:ascii="Times New Roman"/>
            </w:rPr>
            <w:t>Original: English</w:t>
          </w:r>
        </w:p>
      </w:tc>
    </w:tr>
  </w:tbl>
  <w:p w:rsidR="003731D3" w:rsidRPr="004D2C13" w:rsidRDefault="003731D3" w:rsidP="004D2C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21*"/>
    <w:docVar w:name="CreationDt" w:val="31/08/2006 09:54:58"/>
    <w:docVar w:name="DocCategory" w:val="Doc"/>
    <w:docVar w:name="DocType" w:val="Final"/>
    <w:docVar w:name="FooterJN" w:val="06-47821"/>
    <w:docVar w:name="jobn" w:val="06-47821 (C)"/>
    <w:docVar w:name="jobnDT" w:val="06-47821 (C)   310806"/>
    <w:docVar w:name="jobnDTDT" w:val="06-47821 (C)   310806   310806"/>
    <w:docVar w:name="JobNo" w:val="0647821C"/>
    <w:docVar w:name="OandT" w:val="shi"/>
    <w:docVar w:name="sss1" w:val="CEDAW/C/DEN/CO/6"/>
    <w:docVar w:name="sss2" w:val="-"/>
    <w:docVar w:name="Symbol1" w:val="CEDAW/C/DEN/CO/6"/>
    <w:docVar w:name="Symbol2" w:val="-"/>
  </w:docVars>
  <w:rsids>
    <w:rsidRoot w:val="001C3D08"/>
    <w:rsid w:val="00034DCC"/>
    <w:rsid w:val="00037B39"/>
    <w:rsid w:val="00044CA4"/>
    <w:rsid w:val="00066CF4"/>
    <w:rsid w:val="000A31F9"/>
    <w:rsid w:val="000C1786"/>
    <w:rsid w:val="000F1058"/>
    <w:rsid w:val="00105CF5"/>
    <w:rsid w:val="00141322"/>
    <w:rsid w:val="001439EC"/>
    <w:rsid w:val="00166E33"/>
    <w:rsid w:val="0017506F"/>
    <w:rsid w:val="001C3D08"/>
    <w:rsid w:val="001E5A51"/>
    <w:rsid w:val="00252E35"/>
    <w:rsid w:val="00282D17"/>
    <w:rsid w:val="002B305F"/>
    <w:rsid w:val="002E3E19"/>
    <w:rsid w:val="00371BC6"/>
    <w:rsid w:val="003731D3"/>
    <w:rsid w:val="00463E88"/>
    <w:rsid w:val="004D2C13"/>
    <w:rsid w:val="00521275"/>
    <w:rsid w:val="0052216F"/>
    <w:rsid w:val="005541E4"/>
    <w:rsid w:val="0058302A"/>
    <w:rsid w:val="005A20E8"/>
    <w:rsid w:val="005F3273"/>
    <w:rsid w:val="00645677"/>
    <w:rsid w:val="0077662B"/>
    <w:rsid w:val="007F2278"/>
    <w:rsid w:val="00824C19"/>
    <w:rsid w:val="008378D1"/>
    <w:rsid w:val="008F5472"/>
    <w:rsid w:val="00945150"/>
    <w:rsid w:val="0096193C"/>
    <w:rsid w:val="00965D17"/>
    <w:rsid w:val="009A2F76"/>
    <w:rsid w:val="00B22CF5"/>
    <w:rsid w:val="00B8765F"/>
    <w:rsid w:val="00CF7718"/>
    <w:rsid w:val="00D1514B"/>
    <w:rsid w:val="00DC2506"/>
    <w:rsid w:val="00DE5CD1"/>
    <w:rsid w:val="00E354BF"/>
    <w:rsid w:val="00E95594"/>
    <w:rsid w:val="00EA31C3"/>
    <w:rsid w:val="00EA6970"/>
    <w:rsid w:val="00F67F90"/>
    <w:rsid w:val="00F77B3E"/>
    <w:rsid w:val="00F81E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652</Words>
  <Characters>3720</Characters>
  <Application>Microsoft Office Word</Application>
  <DocSecurity>4</DocSecurity>
  <Lines>31</Lines>
  <Paragraphs>8</Paragraphs>
  <ScaleCrop>false</ScaleCrop>
  <Company>United Nations</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 shi</dc:creator>
  <cp:keywords/>
  <dc:description/>
  <cp:lastModifiedBy>qingquan hua</cp:lastModifiedBy>
  <cp:revision>29</cp:revision>
  <cp:lastPrinted>2006-08-31T09:15:00Z</cp:lastPrinted>
  <dcterms:created xsi:type="dcterms:W3CDTF">2006-08-31T07:52:00Z</dcterms:created>
  <dcterms:modified xsi:type="dcterms:W3CDTF">2006-09-19T08:04:00Z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0647821</vt:lpwstr>
  </property>
  <property fmtid="{D5CDD505-2E9C-101B-9397-08002B2CF9AE}" pid="3" name="Symbol1">
    <vt:lpwstr>CEDAW/C/DEN/CO/6</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