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F3CD3E2" w14:textId="77777777" w:rsidTr="00877609">
        <w:trPr>
          <w:trHeight w:hRule="exact" w:val="851"/>
        </w:trPr>
        <w:tc>
          <w:tcPr>
            <w:tcW w:w="142" w:type="dxa"/>
            <w:tcBorders>
              <w:bottom w:val="single" w:sz="4" w:space="0" w:color="auto"/>
            </w:tcBorders>
          </w:tcPr>
          <w:p w14:paraId="2404C768" w14:textId="77777777" w:rsidR="002D5AAC" w:rsidRDefault="002D5AAC" w:rsidP="002F362A">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662A125"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0CCE367" w14:textId="5FCF4425" w:rsidR="002D5AAC" w:rsidRDefault="002F362A" w:rsidP="002F362A">
            <w:pPr>
              <w:jc w:val="right"/>
            </w:pPr>
            <w:r w:rsidRPr="002F362A">
              <w:rPr>
                <w:sz w:val="40"/>
              </w:rPr>
              <w:t>CED</w:t>
            </w:r>
            <w:r>
              <w:t>/C/11</w:t>
            </w:r>
          </w:p>
        </w:tc>
      </w:tr>
      <w:tr w:rsidR="002D5AAC" w:rsidRPr="002F362A" w14:paraId="05B6F75B" w14:textId="77777777" w:rsidTr="00877609">
        <w:trPr>
          <w:trHeight w:hRule="exact" w:val="2835"/>
        </w:trPr>
        <w:tc>
          <w:tcPr>
            <w:tcW w:w="1280" w:type="dxa"/>
            <w:gridSpan w:val="2"/>
            <w:tcBorders>
              <w:top w:val="single" w:sz="4" w:space="0" w:color="auto"/>
              <w:bottom w:val="single" w:sz="12" w:space="0" w:color="auto"/>
            </w:tcBorders>
          </w:tcPr>
          <w:p w14:paraId="5B9993D7" w14:textId="77777777" w:rsidR="002D5AAC" w:rsidRDefault="002E5067" w:rsidP="00877609">
            <w:pPr>
              <w:spacing w:before="120"/>
              <w:jc w:val="center"/>
            </w:pPr>
            <w:r>
              <w:rPr>
                <w:noProof/>
                <w:lang w:val="fr-CH" w:eastAsia="fr-CH"/>
              </w:rPr>
              <w:drawing>
                <wp:inline distT="0" distB="0" distL="0" distR="0" wp14:anchorId="3585316F" wp14:editId="51C64DB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DC979FF" w14:textId="77777777" w:rsidR="002D5AAC" w:rsidRPr="00033EE1" w:rsidRDefault="00B36DF7" w:rsidP="005E4B8F">
            <w:pPr>
              <w:spacing w:before="120" w:line="38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70A70CB7" w14:textId="77777777" w:rsidR="002D5AAC" w:rsidRPr="002F362A" w:rsidRDefault="002F362A" w:rsidP="00877609">
            <w:pPr>
              <w:spacing w:before="240"/>
              <w:rPr>
                <w:lang w:val="en-US"/>
              </w:rPr>
            </w:pPr>
            <w:r w:rsidRPr="002F362A">
              <w:rPr>
                <w:lang w:val="en-US"/>
              </w:rPr>
              <w:t>Distr.: General</w:t>
            </w:r>
          </w:p>
          <w:p w14:paraId="40F8F318" w14:textId="77777777" w:rsidR="002F362A" w:rsidRPr="002F362A" w:rsidRDefault="002F362A" w:rsidP="002F362A">
            <w:pPr>
              <w:spacing w:line="240" w:lineRule="exact"/>
              <w:rPr>
                <w:lang w:val="en-US"/>
              </w:rPr>
            </w:pPr>
            <w:r w:rsidRPr="002F362A">
              <w:rPr>
                <w:lang w:val="en-US"/>
              </w:rPr>
              <w:t>31 October 2024</w:t>
            </w:r>
          </w:p>
          <w:p w14:paraId="295D353E" w14:textId="77777777" w:rsidR="002F362A" w:rsidRPr="002F362A" w:rsidRDefault="002F362A" w:rsidP="002F362A">
            <w:pPr>
              <w:spacing w:line="240" w:lineRule="exact"/>
              <w:rPr>
                <w:lang w:val="en-US"/>
              </w:rPr>
            </w:pPr>
            <w:r w:rsidRPr="002F362A">
              <w:rPr>
                <w:lang w:val="en-US"/>
              </w:rPr>
              <w:t>Russian</w:t>
            </w:r>
          </w:p>
          <w:p w14:paraId="2559EBC7" w14:textId="10AAF403" w:rsidR="002F362A" w:rsidRPr="002F362A" w:rsidRDefault="002F362A" w:rsidP="002F362A">
            <w:pPr>
              <w:spacing w:line="240" w:lineRule="exact"/>
              <w:rPr>
                <w:lang w:val="en-US"/>
              </w:rPr>
            </w:pPr>
            <w:r w:rsidRPr="002F362A">
              <w:rPr>
                <w:lang w:val="en-US"/>
              </w:rPr>
              <w:t>Original: English</w:t>
            </w:r>
          </w:p>
        </w:tc>
      </w:tr>
    </w:tbl>
    <w:p w14:paraId="0D40618B" w14:textId="77777777" w:rsidR="002F362A" w:rsidRPr="002F362A" w:rsidRDefault="002F362A" w:rsidP="002F362A">
      <w:pPr>
        <w:pStyle w:val="SingleTxtG"/>
        <w:spacing w:before="120"/>
        <w:ind w:left="0"/>
        <w:rPr>
          <w:b/>
          <w:bCs/>
          <w:sz w:val="24"/>
          <w:szCs w:val="24"/>
        </w:rPr>
      </w:pPr>
      <w:r w:rsidRPr="002F362A">
        <w:rPr>
          <w:b/>
          <w:bCs/>
          <w:sz w:val="24"/>
          <w:szCs w:val="24"/>
        </w:rPr>
        <w:t>Комитет по насильственным исчезновениям</w:t>
      </w:r>
    </w:p>
    <w:p w14:paraId="313BFB17" w14:textId="714F11D7" w:rsidR="002F362A" w:rsidRPr="002F362A" w:rsidRDefault="002F362A" w:rsidP="002F362A">
      <w:pPr>
        <w:pStyle w:val="HChG"/>
      </w:pPr>
      <w:r w:rsidRPr="002F362A">
        <w:tab/>
      </w:r>
      <w:r w:rsidRPr="002F362A">
        <w:tab/>
        <w:t xml:space="preserve">Совместное заявление о так называемых </w:t>
      </w:r>
      <w:r>
        <w:t>«</w:t>
      </w:r>
      <w:r w:rsidRPr="002F362A">
        <w:t>краткосрочных насильственных исчезновениях</w:t>
      </w:r>
      <w:r>
        <w:t>»</w:t>
      </w:r>
    </w:p>
    <w:p w14:paraId="651C63F7" w14:textId="77777777" w:rsidR="002F362A" w:rsidRPr="002F362A" w:rsidRDefault="002F362A" w:rsidP="002F362A">
      <w:pPr>
        <w:pStyle w:val="HChG"/>
      </w:pPr>
      <w:r w:rsidRPr="002F362A">
        <w:tab/>
        <w:t>I.</w:t>
      </w:r>
      <w:r w:rsidRPr="002F362A">
        <w:tab/>
        <w:t>Введение</w:t>
      </w:r>
    </w:p>
    <w:p w14:paraId="0D33E6EE" w14:textId="77777777" w:rsidR="002F362A" w:rsidRPr="002F362A" w:rsidRDefault="002F362A" w:rsidP="002F362A">
      <w:pPr>
        <w:pStyle w:val="SingleTxtG"/>
      </w:pPr>
      <w:r w:rsidRPr="002F362A">
        <w:tab/>
        <w:t>Комитет по насильственным исчезновениям и Рабочая группа по насильственным или недобровольным исчезновениям,</w:t>
      </w:r>
    </w:p>
    <w:p w14:paraId="1B2EF707" w14:textId="77777777" w:rsidR="002F362A" w:rsidRPr="002F362A" w:rsidRDefault="002F362A" w:rsidP="002F362A">
      <w:pPr>
        <w:pStyle w:val="SingleTxtG"/>
      </w:pPr>
      <w:bookmarkStart w:id="0" w:name="_Hlk177913599"/>
      <w:r w:rsidRPr="002F362A">
        <w:tab/>
        <w:t>принимая во внимание Декларацию о защите всех лиц от насильственных исчезновений и Международную конвенцию для защиты всех лиц от насильственных исчезновений, а также в консультации с другими договорными органами, учрежденными на основании соответствующих международных договоров по правам человека,</w:t>
      </w:r>
    </w:p>
    <w:bookmarkEnd w:id="0"/>
    <w:p w14:paraId="73C794B7" w14:textId="77777777" w:rsidR="002F362A" w:rsidRPr="002F362A" w:rsidRDefault="002F362A" w:rsidP="002F362A">
      <w:pPr>
        <w:pStyle w:val="SingleTxtG"/>
      </w:pPr>
      <w:r w:rsidRPr="002F362A">
        <w:tab/>
        <w:t>напоминая, что под насильственным исчезновением понимается арест, задержание, похищение или лишение свободы в любой другой форме представителями государства или же лицами или группами лиц, действующими с разрешения, при поддержке или с согласия государства, при последующем отказе признать факт лишения свободы или сокрытии данных о судьбе или местонахождении исчезнувшего лица, вследствие чего это лицо оставлено без защиты закона,</w:t>
      </w:r>
    </w:p>
    <w:p w14:paraId="4AA13421" w14:textId="77777777" w:rsidR="002F362A" w:rsidRPr="002F362A" w:rsidRDefault="002F362A" w:rsidP="002F362A">
      <w:pPr>
        <w:pStyle w:val="SingleTxtG"/>
      </w:pPr>
      <w:r w:rsidRPr="002F362A">
        <w:tab/>
        <w:t>учитывая крайнюю серьезность насильственного исчезновения, которое представляет собой нарушение нескольких прав человека, таких как право на жизнь, запрет пыток или жестокого, бесчеловечного или унижающего достоинство обращения или наказания, право на свободу и личную неприкосновенность и право на признание правосубъектности,</w:t>
      </w:r>
    </w:p>
    <w:p w14:paraId="2559B560" w14:textId="77777777" w:rsidR="002F362A" w:rsidRPr="002F362A" w:rsidRDefault="002F362A" w:rsidP="002F362A">
      <w:pPr>
        <w:pStyle w:val="SingleTxtG"/>
      </w:pPr>
      <w:r w:rsidRPr="002F362A">
        <w:tab/>
        <w:t>принимая также во внимание, что при определенных обстоятельствах, определенных в международном уголовном праве, насильственные исчезновения могут быть приравнены к преступлениям против человечности и что запрет насильственных исчезновений приобрел статус императивной нормы международного права (jus cogens), имеющей универсальную обязательную силу во все времена,</w:t>
      </w:r>
    </w:p>
    <w:p w14:paraId="7D8FE01D" w14:textId="77777777" w:rsidR="002F362A" w:rsidRPr="002F362A" w:rsidRDefault="002F362A" w:rsidP="002F362A">
      <w:pPr>
        <w:pStyle w:val="SingleTxtG"/>
      </w:pPr>
      <w:r w:rsidRPr="002F362A">
        <w:tab/>
        <w:t xml:space="preserve">напоминая об обязательствах государств предотвращать преступления насильственного исчезновения и бороться с безнаказанностью, а также о правах жертв, включая любое лицо, которому был причинен вред в результате насильственного исчезновения, на правосудие и возмещение ущерба, и на знание истинных обстоятельств насильственного исчезновения, судьбе и местонахождении исчезнувшего лица, а также о ходе и результатах соответствующих расследований, </w:t>
      </w:r>
    </w:p>
    <w:p w14:paraId="1395BA3D" w14:textId="77777777" w:rsidR="002F362A" w:rsidRPr="002F362A" w:rsidRDefault="002F362A" w:rsidP="002F362A">
      <w:pPr>
        <w:pStyle w:val="SingleTxtG"/>
      </w:pPr>
      <w:r w:rsidRPr="002F362A">
        <w:tab/>
        <w:t>изучив свои собственные заявления, замечания общего порядка, доклады, заключительные замечания, тематические исследования и судебную практику, а также заявления других органов по надзору за соблюдением прав человека как на универсальном, так и на региональном уровнях, а также информацию, полученную в ответ на призыв представить материалы, свидетельствующие о распространенности так называемых краткосрочных насильственных исчезновений и соответствующих проблемах в их выявлении и борьбе с ними,</w:t>
      </w:r>
    </w:p>
    <w:p w14:paraId="721679D1" w14:textId="594D7085" w:rsidR="002F362A" w:rsidRPr="002F362A" w:rsidRDefault="002F362A" w:rsidP="002F362A">
      <w:pPr>
        <w:pStyle w:val="SingleTxtG"/>
      </w:pPr>
      <w:r w:rsidRPr="002F362A">
        <w:lastRenderedPageBreak/>
        <w:tab/>
        <w:t>осознавая, что международные органы, занимающиеся мониторингом соблюдения прав человека, включая Рабочую группу по насильственным или недобровольным исчезновениям</w:t>
      </w:r>
      <w:r w:rsidR="0047320F" w:rsidRPr="002F362A">
        <w:rPr>
          <w:rStyle w:val="aa"/>
        </w:rPr>
        <w:footnoteReference w:id="1"/>
      </w:r>
      <w:r w:rsidRPr="002F362A">
        <w:t xml:space="preserve"> и Комитет по правам человека</w:t>
      </w:r>
      <w:r w:rsidR="0047320F" w:rsidRPr="002F362A">
        <w:rPr>
          <w:rStyle w:val="aa"/>
        </w:rPr>
        <w:footnoteReference w:id="2"/>
      </w:r>
      <w:r w:rsidRPr="002F362A">
        <w:t>, а также проводящие расследования</w:t>
      </w:r>
      <w:r w:rsidR="0047320F">
        <w:t xml:space="preserve"> </w:t>
      </w:r>
      <w:r w:rsidRPr="002F362A">
        <w:t>органы Организации Объединенных Наций</w:t>
      </w:r>
      <w:r w:rsidR="0047320F" w:rsidRPr="002F362A">
        <w:rPr>
          <w:rStyle w:val="aa"/>
        </w:rPr>
        <w:footnoteReference w:id="3"/>
      </w:r>
      <w:r w:rsidRPr="002F362A">
        <w:t xml:space="preserve">, в прошлом использовали выражения </w:t>
      </w:r>
      <w:r>
        <w:t>«</w:t>
      </w:r>
      <w:r w:rsidRPr="002F362A">
        <w:t>краткосрочное насильственное исчезновение</w:t>
      </w:r>
      <w:r>
        <w:t>»</w:t>
      </w:r>
      <w:r w:rsidRPr="002F362A">
        <w:t xml:space="preserve"> или </w:t>
      </w:r>
      <w:r>
        <w:t>«</w:t>
      </w:r>
      <w:r w:rsidRPr="002F362A">
        <w:t>насильственное исчезновение небольшой продолжительности</w:t>
      </w:r>
      <w:r>
        <w:t>»</w:t>
      </w:r>
      <w:r w:rsidRPr="002F362A">
        <w:t xml:space="preserve"> для обозначения случаев, когда преступление прекращается по истечении какого-то времени,</w:t>
      </w:r>
    </w:p>
    <w:p w14:paraId="634C47F3" w14:textId="35C568B7" w:rsidR="002F362A" w:rsidRPr="002F362A" w:rsidRDefault="002F362A" w:rsidP="002F362A">
      <w:pPr>
        <w:pStyle w:val="SingleTxtG"/>
      </w:pPr>
      <w:r w:rsidRPr="002F362A">
        <w:tab/>
        <w:t xml:space="preserve">постановляет выпустить следующее совместное заявление с целью привлечь внимание к этой практике, прояснить смысл понятия так называемых </w:t>
      </w:r>
      <w:r>
        <w:t>«</w:t>
      </w:r>
      <w:r w:rsidRPr="002F362A">
        <w:t>краткосрочных</w:t>
      </w:r>
      <w:r>
        <w:t>»</w:t>
      </w:r>
      <w:r w:rsidRPr="002F362A">
        <w:t xml:space="preserve"> насильственных исчезновений и подчеркнуть, что продолжительность не является конститутивным элементом насильственного исчезновения в соответствии с международным правом прав человека. В заявлении признается, что, независимо от продолжительности насильственного исчезновения, оно наносит серьезный вред и имеет серьезные последствия для исчезнувших людей и их семей, а также создает практические проблемы, связанные с поиском ими защиты и отстаиванием своих прав. Наконец, заявление направлено на определение ключевых мер по предотвращению так называемых краткосрочных насильственных исчезновений, а также на освещение последствий такой практики с точки зрения мандата Комитета по насильственным исчезновениям и Рабочей группы по насильственным или недобровольным исчезновениям.</w:t>
      </w:r>
    </w:p>
    <w:p w14:paraId="00712D64" w14:textId="77777777" w:rsidR="002F362A" w:rsidRPr="002F362A" w:rsidRDefault="002F362A" w:rsidP="002F362A">
      <w:pPr>
        <w:pStyle w:val="HChG"/>
      </w:pPr>
      <w:r w:rsidRPr="002F362A">
        <w:tab/>
        <w:t>II.</w:t>
      </w:r>
      <w:r w:rsidRPr="002F362A">
        <w:tab/>
        <w:t>Определение контекста и подтверждение международных обязательств государств в отношении так называемых краткосрочных насильственных исчезновений</w:t>
      </w:r>
    </w:p>
    <w:p w14:paraId="10E70F53" w14:textId="015DCB14" w:rsidR="002F362A" w:rsidRPr="002F362A" w:rsidRDefault="002F362A" w:rsidP="002F362A">
      <w:pPr>
        <w:pStyle w:val="SingleTxtG"/>
      </w:pPr>
      <w:r w:rsidRPr="002F362A">
        <w:t>1.</w:t>
      </w:r>
      <w:r w:rsidRPr="002F362A">
        <w:tab/>
        <w:t>Хотя в международном праве нет определения или дифференциации краткосрочных насильственных исчезновений, в разных регионах мира систематически фиксируются и повторяются случаи насильственного исчезновения людей в течение ограниченного периода времени, даже в течение нескольких часов. Эти случаи квалифицируются как насильственные исчезновения, как они определяются в преамбуле Декларации и в статье 2 Конвенции, а также в правовой практике Комитета по правам человека, если они содержат составные элементы этого определения. Тем не менее Комитет по насильственным исчезновениям, Рабочая группа по насильственным или недобровольным исчезновениям и Комитет по правам человека</w:t>
      </w:r>
      <w:r w:rsidR="0047320F" w:rsidRPr="002F362A">
        <w:rPr>
          <w:rStyle w:val="aa"/>
        </w:rPr>
        <w:footnoteReference w:id="4"/>
      </w:r>
      <w:r w:rsidRPr="002F362A">
        <w:t xml:space="preserve"> признают, что такие случаи сопряжены со значительными практическими проблемами для жертв и их семей, которые хотят знать правду о судьбе и местонахождении человека и пытаются добиться справедливости и возмещения причиненного вреда.</w:t>
      </w:r>
    </w:p>
    <w:p w14:paraId="0B43AD43" w14:textId="77777777" w:rsidR="002F362A" w:rsidRPr="002F362A" w:rsidRDefault="002F362A" w:rsidP="002F362A">
      <w:pPr>
        <w:pStyle w:val="SingleTxtG"/>
      </w:pPr>
      <w:r w:rsidRPr="002F362A">
        <w:t>2.</w:t>
      </w:r>
      <w:r w:rsidRPr="002F362A">
        <w:tab/>
        <w:t xml:space="preserve">Хотя так называемые краткосрочные насильственные исчезновения часто происходят в периоды политической нестабильности или чрезвычайных ситуаций, никакие обстоятельства не могут служить для них оправданием (статья 1 Конвенции и статья 7 Декларации). </w:t>
      </w:r>
    </w:p>
    <w:p w14:paraId="3E5A949B" w14:textId="0ABDF859" w:rsidR="002F362A" w:rsidRPr="002F362A" w:rsidRDefault="002F362A" w:rsidP="002F362A">
      <w:pPr>
        <w:pStyle w:val="SingleTxtG"/>
      </w:pPr>
      <w:r w:rsidRPr="002F362A">
        <w:t>3.</w:t>
      </w:r>
      <w:r w:rsidRPr="002F362A">
        <w:tab/>
        <w:t xml:space="preserve">Насильственные исчезновения, включая так называемые краткосрочные насильственные исчезновения, могут происходить как в неофициальных, так и в официальных местах лишения свободы. В некоторых случаях они не признаются государственными властями, а в других государство утверждает, что эти случаи лишения свободы оправданы реализацией планов и стратегий укрепления национальной безопасности в целях борьбы с терроризмом и/или организованной преступностью, например с наркоторговлей или предполагаемыми нападениями на государственные учреждения, для урегулирования внутреннего или международного </w:t>
      </w:r>
      <w:r w:rsidRPr="002F362A">
        <w:lastRenderedPageBreak/>
        <w:t>вооруженного конфликта или для контроля демонстраций. В других случаях в качестве аргументов, оправдывающих или объясняющих эту незаконную практику, приводятся географические особенности соответствующей страны, отсутствие достаточного институционального потенциала для оперативной обработки большого числа задержанных или необходимость выполнения требований миграционного регулирования и миграционной политики.</w:t>
      </w:r>
    </w:p>
    <w:p w14:paraId="3403D56A" w14:textId="41204F8D" w:rsidR="002F362A" w:rsidRPr="002F362A" w:rsidRDefault="002F362A" w:rsidP="002F362A">
      <w:pPr>
        <w:pStyle w:val="SingleTxtG"/>
      </w:pPr>
      <w:r w:rsidRPr="002F362A">
        <w:t>4.</w:t>
      </w:r>
      <w:r w:rsidRPr="002F362A">
        <w:tab/>
        <w:t>Насильственные исчезновения, в том числе так называемые краткосрочные насильственные исчезновения, могут происходить и вне уголовного процесса или даже вне какого-либо официального разбирательства. Например, они могут происходить в отношении мигрантов, беженцев и просителей убежища, которых часто лишают свободы, хотя содержание под стражей должно быть исключительной мерой. В таких случаях задержанные лица и их семьи имеют право на все права, предусмотренные в статьях 17 и 18 Конвенции и других международных документах, как только они попадают под контроль властей, независимо от того, какой орган отвечает за их содержание под стражей, и продолжительности лишения свободы. В</w:t>
      </w:r>
      <w:r w:rsidR="00B05BC9">
        <w:t> </w:t>
      </w:r>
      <w:r w:rsidRPr="002F362A">
        <w:t>таких ситуациях государства также должны разрешить независимый мониторинг своих границ</w:t>
      </w:r>
      <w:r w:rsidRPr="002F362A">
        <w:rPr>
          <w:rStyle w:val="aa"/>
        </w:rPr>
        <w:footnoteReference w:id="5"/>
      </w:r>
      <w:r w:rsidRPr="002F362A">
        <w:t>.</w:t>
      </w:r>
    </w:p>
    <w:p w14:paraId="121F103D" w14:textId="55B9917B" w:rsidR="002F362A" w:rsidRPr="002F362A" w:rsidRDefault="002F362A" w:rsidP="002F362A">
      <w:pPr>
        <w:pStyle w:val="SingleTxtG"/>
      </w:pPr>
      <w:r w:rsidRPr="002F362A">
        <w:t>5.</w:t>
      </w:r>
      <w:r w:rsidRPr="002F362A">
        <w:tab/>
        <w:t>Длительное содержание под стражей без связи с внешним миром было признано Комитетом по правам человека равносильным произвольному задержанию в нарушение личной свободы, что противоречит статье 9 Пакта</w:t>
      </w:r>
      <w:r w:rsidR="00B05BC9" w:rsidRPr="002F362A">
        <w:rPr>
          <w:rStyle w:val="aa"/>
        </w:rPr>
        <w:footnoteReference w:id="6"/>
      </w:r>
      <w:r w:rsidRPr="002F362A">
        <w:t>, и одной из форм пыток в нарушение статьи 7 Пакта</w:t>
      </w:r>
      <w:r w:rsidR="00B05BC9" w:rsidRPr="002F362A">
        <w:rPr>
          <w:rStyle w:val="aa"/>
        </w:rPr>
        <w:footnoteReference w:id="7"/>
      </w:r>
      <w:r w:rsidRPr="002F362A">
        <w:t>, а также возможной предпосылкой насильственного исчезновения. Тайное содержание под стражей всегда равносильно насильственному исчезновению и, как таковое, запрещено (ст. 17 Конвенции и ст. 10 Декларации), независимо от его продолжительности</w:t>
      </w:r>
      <w:r w:rsidRPr="002F362A">
        <w:rPr>
          <w:rStyle w:val="aa"/>
        </w:rPr>
        <w:footnoteReference w:id="8"/>
      </w:r>
      <w:r w:rsidRPr="002F362A">
        <w:t xml:space="preserve">. </w:t>
      </w:r>
      <w:r w:rsidR="00B05BC9">
        <w:t xml:space="preserve"> </w:t>
      </w:r>
    </w:p>
    <w:p w14:paraId="4CBEA7A3" w14:textId="2A3DB128" w:rsidR="002F362A" w:rsidRPr="002F362A" w:rsidRDefault="002F362A" w:rsidP="002F362A">
      <w:pPr>
        <w:pStyle w:val="SingleTxtG"/>
      </w:pPr>
      <w:r w:rsidRPr="002F362A">
        <w:t>6.</w:t>
      </w:r>
      <w:r w:rsidRPr="002F362A">
        <w:tab/>
        <w:t>Одной из проблем, с которой сталкиваются исчезнувшие люди и их родственники, является ошибочное представление о том, что для того, чтобы можно было говорить о насильственном исчезновении, между его составными элементами должно пройти много времени. Однако Рабочая группа по насильственным или недобровольным исчезновениям</w:t>
      </w:r>
      <w:r w:rsidR="00B05BC9" w:rsidRPr="002F362A">
        <w:rPr>
          <w:rStyle w:val="aa"/>
        </w:rPr>
        <w:footnoteReference w:id="9"/>
      </w:r>
      <w:r w:rsidRPr="002F362A">
        <w:t xml:space="preserve"> и Комитет по насильственным исчезновениям</w:t>
      </w:r>
      <w:r w:rsidR="00B05BC9" w:rsidRPr="002F362A">
        <w:rPr>
          <w:rStyle w:val="aa"/>
        </w:rPr>
        <w:footnoteReference w:id="10"/>
      </w:r>
      <w:r w:rsidRPr="002F362A">
        <w:t xml:space="preserve"> подтвердили, что в международно-правовом определении насильственного исчезновения отсутствует элемент продолжительности. Той же линии придерживаются Комитет по правам человека</w:t>
      </w:r>
      <w:r w:rsidR="00B05BC9" w:rsidRPr="002F362A">
        <w:rPr>
          <w:rStyle w:val="aa"/>
        </w:rPr>
        <w:footnoteReference w:id="11"/>
      </w:r>
      <w:r w:rsidRPr="002F362A">
        <w:t xml:space="preserve"> и региональные механизмы</w:t>
      </w:r>
      <w:r w:rsidRPr="002F362A">
        <w:rPr>
          <w:rStyle w:val="aa"/>
        </w:rPr>
        <w:footnoteReference w:id="12"/>
      </w:r>
      <w:r w:rsidR="00B05BC9">
        <w:t>.</w:t>
      </w:r>
      <w:r w:rsidRPr="002F362A">
        <w:t xml:space="preserve"> Таким образом, обязательства, лежащие на государствах в рамках соответствующих документов</w:t>
      </w:r>
      <w:r w:rsidR="00B05BC9" w:rsidRPr="002F362A">
        <w:rPr>
          <w:rStyle w:val="aa"/>
        </w:rPr>
        <w:footnoteReference w:id="13"/>
      </w:r>
      <w:r w:rsidRPr="002F362A">
        <w:t>, одинаковы вне зависимости от продолжительности насильственного исчезновения.</w:t>
      </w:r>
      <w:bookmarkStart w:id="2" w:name="_Hlk178155326"/>
      <w:bookmarkEnd w:id="2"/>
      <w:r w:rsidR="00B05BC9">
        <w:t xml:space="preserve"> </w:t>
      </w:r>
    </w:p>
    <w:p w14:paraId="4931E9E3" w14:textId="4CDF7BBB" w:rsidR="002F362A" w:rsidRPr="002F362A" w:rsidRDefault="002F362A" w:rsidP="002F362A">
      <w:pPr>
        <w:pStyle w:val="SingleTxtG"/>
      </w:pPr>
      <w:r w:rsidRPr="002F362A">
        <w:t>7.</w:t>
      </w:r>
      <w:r w:rsidRPr="002F362A">
        <w:tab/>
        <w:t xml:space="preserve">Насильственно исчезнувшие люди сталкиваются со страданиями и травмами, которые наслаиваются друг на друга. Во многих случаях, вне зависимости от продолжительности насильственного исчезновения, они подвергаются пыткам и находятся в постоянном страхе за свою жизнь; им не дают связаться с родственниками или адвокатами, держат в полной изоляции от внешнего мира; а когда их освобождают, </w:t>
      </w:r>
      <w:r w:rsidRPr="002F362A">
        <w:lastRenderedPageBreak/>
        <w:t>они обычно переживают продолжительный период физических и психологических последствий, о которых часто не сообщают из-за страха репрессий. Родственники исчезнувших людей также переживают различные потрясения, мучения и страдания, не имея информации о судьбе или местонахождении исчезнувшего человека. Во</w:t>
      </w:r>
      <w:r w:rsidR="00B05BC9">
        <w:t> </w:t>
      </w:r>
      <w:r w:rsidRPr="002F362A">
        <w:t>многих ситуациях, когда насильственное исчезновение длится ограниченный период времени, жертвы не могут получить доступ к быстрым и эффективным средствам правовой защиты ни на национальном, ни на международном уровне. Для</w:t>
      </w:r>
      <w:r w:rsidR="00B05BC9">
        <w:t> </w:t>
      </w:r>
      <w:r w:rsidRPr="002F362A">
        <w:t>того чтобы задействовать традиционные средства защиты и получить от них результат может потребоваться слишком много времени. Из-за ограниченной продолжительности большинство случаев так называемых краткосрочных насильственных исчезновений замалчиваются и остаются незамеченными, поскольку они не попадают в статистику, а в отсутствие эффективных расследований, санкций и возмещ</w:t>
      </w:r>
      <w:r w:rsidR="00B05BC9">
        <w:t>ения</w:t>
      </w:r>
      <w:r w:rsidRPr="002F362A">
        <w:t xml:space="preserve"> ущерба жертвам виновные остаются безнаказанными.</w:t>
      </w:r>
    </w:p>
    <w:p w14:paraId="1AE682DB" w14:textId="77777777" w:rsidR="002F362A" w:rsidRPr="002F362A" w:rsidRDefault="002F362A" w:rsidP="002F362A">
      <w:pPr>
        <w:pStyle w:val="SingleTxtG"/>
      </w:pPr>
      <w:r w:rsidRPr="002F362A">
        <w:t>8.</w:t>
      </w:r>
      <w:r w:rsidRPr="002F362A">
        <w:tab/>
        <w:t>Государствам следует создавать и внедрять конкретные механизмы, разрабатывать политику и принимать необходимые меры для выполнения своего обязательства четко выявлять случаи так называемых краткосрочных насильственных исчезновений, вести поиск исчезнувшего человека и гарантировать права на истину, справедливость и возмещение ущерба во всех случаях насильственных исчезновений, в том числе тех, которые длятся ограниченный период времени.</w:t>
      </w:r>
    </w:p>
    <w:p w14:paraId="1836D9C9" w14:textId="77777777" w:rsidR="002F362A" w:rsidRPr="002F362A" w:rsidRDefault="002F362A" w:rsidP="002F362A">
      <w:pPr>
        <w:pStyle w:val="HChG"/>
      </w:pPr>
      <w:r w:rsidRPr="002F362A">
        <w:tab/>
        <w:t>III.</w:t>
      </w:r>
      <w:r w:rsidRPr="002F362A">
        <w:tab/>
        <w:t>Предотвращение так называемых краткосрочных насильственных исчезновений</w:t>
      </w:r>
    </w:p>
    <w:p w14:paraId="0B4DBFC7" w14:textId="32FD6E2E" w:rsidR="002F362A" w:rsidRPr="002F362A" w:rsidRDefault="002F362A" w:rsidP="002F362A">
      <w:pPr>
        <w:pStyle w:val="SingleTxtG"/>
      </w:pPr>
      <w:r w:rsidRPr="002F362A">
        <w:t>9.</w:t>
      </w:r>
      <w:r w:rsidRPr="002F362A">
        <w:tab/>
        <w:t>В соответствии с международным правом прав человека, и, в частности, в рамках правовой базы, касающейся насильственных исчезновений, были разработаны меры, которые являются ключевыми для предотвращения насильственных исчезновений в любой форме, независимо от продолжительности. К ним относятся гарантии для лиц, лишенных свободы (ст. 9, пп.1</w:t>
      </w:r>
      <w:r w:rsidR="007C6F90">
        <w:t>–</w:t>
      </w:r>
      <w:r w:rsidRPr="002F362A">
        <w:t>4 Международного пакта о гражданских и политических правах и ст. 17, п. 2 Конвенции); ведение обновленных официальных, доступных и централизованных реестров (ст. 17, п. 3 Конвенции и ст.</w:t>
      </w:r>
      <w:r w:rsidR="007C6F90">
        <w:t> </w:t>
      </w:r>
      <w:r w:rsidRPr="002F362A">
        <w:t xml:space="preserve">10, п. 3 Декларации); запрет тайного </w:t>
      </w:r>
      <w:r w:rsidRPr="002F362A">
        <w:t>содержания под</w:t>
      </w:r>
      <w:r w:rsidRPr="002F362A">
        <w:t xml:space="preserve"> стражей (ст. 9, п. 1 Международного пакта о гражданских и политических правах, ст. 17, п. 1 Конвенции и ст. 10 Декларации); и гарантии после освобождения (ст. 21 Конвенции и ст. 11 Декларации).</w:t>
      </w:r>
    </w:p>
    <w:p w14:paraId="40C2DAE8" w14:textId="303924E6" w:rsidR="002F362A" w:rsidRPr="002F362A" w:rsidRDefault="002F362A" w:rsidP="002F362A">
      <w:pPr>
        <w:pStyle w:val="SingleTxtG"/>
      </w:pPr>
      <w:r w:rsidRPr="002F362A">
        <w:t>10.</w:t>
      </w:r>
      <w:r w:rsidRPr="002F362A">
        <w:tab/>
        <w:t>Еще одной важной превентивной мерой является предоставление всем лицам, имеющим законный интерес, включая членов семьи и адвокатов, доступа ко всей соответствующей информации, касающейся лишения свободы, в том числе перевода в другие места содержания под стражей</w:t>
      </w:r>
      <w:r w:rsidR="0047320F">
        <w:t xml:space="preserve"> </w:t>
      </w:r>
      <w:r w:rsidRPr="002F362A">
        <w:t>(ст. 18, 19 и 20 Конвенции и ст. 10, п. 2 Декларации). Для предотвращения так называемых краткосрочных насильственных исчезновений очень важно, чтобы информация была точной, доступной и предоставлялась оперативно. Хотя обеспечение доступности и предоставление информации является ключевой превентивной мерой, официальный или неофициальный запрос информации не является необходимым для того, чтобы конкретная ситуация считалась насильственным исчезновением, если налицо все составляющие его элементы.</w:t>
      </w:r>
    </w:p>
    <w:p w14:paraId="0E54D72B" w14:textId="1536859F" w:rsidR="002F362A" w:rsidRPr="002F362A" w:rsidRDefault="002F362A" w:rsidP="002F362A">
      <w:pPr>
        <w:pStyle w:val="SingleTxtG"/>
      </w:pPr>
      <w:r w:rsidRPr="002F362A">
        <w:t>11.</w:t>
      </w:r>
      <w:r w:rsidRPr="002F362A">
        <w:tab/>
        <w:t>Чтобы эффективно предотвращать случаи так называемого краткосрочного насильственного исчезновения, сотрудники правоохранительных органов, лишающие человека свободы, должны незамедлительно и в установленные законом сроки сообщать об этом в прокуратуру или судебные органы. Государство также обязано предоставить лишенному свободы лицу возможность уведомить свою семью или адвоката по своему выбору (ст. 9 Международного пакта о гражданских и политических правах, ст. 17, п. 2 Конвенции и ст. 10.2 Декларации)</w:t>
      </w:r>
      <w:r w:rsidRPr="002F362A">
        <w:rPr>
          <w:rStyle w:val="aa"/>
        </w:rPr>
        <w:footnoteReference w:id="14"/>
      </w:r>
      <w:r w:rsidRPr="002F362A">
        <w:t xml:space="preserve">. Хотя национальное законодательство может различаться, если срок, в течение которого </w:t>
      </w:r>
      <w:r w:rsidRPr="002F362A">
        <w:lastRenderedPageBreak/>
        <w:t>человек должен был предстать перед судебным или административным органом для проверки законности его задержания, уже истек</w:t>
      </w:r>
      <w:r w:rsidR="007C6F90" w:rsidRPr="002F362A">
        <w:rPr>
          <w:rStyle w:val="aa"/>
        </w:rPr>
        <w:footnoteReference w:id="15"/>
      </w:r>
      <w:r w:rsidRPr="002F362A">
        <w:t>, а он так и не предстал перед компетентным органом, не может быть никаких сомнений в том, что он оказался вне защиты закона и, следовательно, подвергся насильственному исчезновению.</w:t>
      </w:r>
    </w:p>
    <w:p w14:paraId="67CF3AC6" w14:textId="71D639A5" w:rsidR="002F362A" w:rsidRPr="002F362A" w:rsidRDefault="002F362A" w:rsidP="002F362A">
      <w:pPr>
        <w:pStyle w:val="HChG"/>
      </w:pPr>
      <w:r w:rsidRPr="002F362A">
        <w:tab/>
        <w:t>IV.</w:t>
      </w:r>
      <w:r w:rsidRPr="002F362A">
        <w:tab/>
        <w:t>Роль Комитета по насильственным исчезновениям и</w:t>
      </w:r>
      <w:r w:rsidR="007C6F90">
        <w:t> </w:t>
      </w:r>
      <w:r w:rsidRPr="002F362A">
        <w:t>Рабочей группы по насильственным или</w:t>
      </w:r>
      <w:r w:rsidR="007C6F90">
        <w:t> </w:t>
      </w:r>
      <w:r w:rsidRPr="002F362A">
        <w:t>недобровольным исчезновениям в выявлении так</w:t>
      </w:r>
      <w:r w:rsidR="007C6F90">
        <w:t> </w:t>
      </w:r>
      <w:r w:rsidRPr="002F362A">
        <w:t>называемых краткосрочных насильственных исчезновений, их предотвращении и борьбе с ними</w:t>
      </w:r>
    </w:p>
    <w:p w14:paraId="140EB9F0" w14:textId="075BF6C9" w:rsidR="002F362A" w:rsidRPr="002F362A" w:rsidRDefault="002F362A" w:rsidP="002F362A">
      <w:pPr>
        <w:pStyle w:val="SingleTxtG"/>
      </w:pPr>
      <w:r w:rsidRPr="002F362A">
        <w:t>12.</w:t>
      </w:r>
      <w:r w:rsidRPr="002F362A">
        <w:tab/>
        <w:t>В силу своей небольшой продолжительности так называемые краткосрочные насильственные исчезновения создают особые проблемы в плане доступа к национальным властям и международным механизмам и, как таковые, могут не доходить до Комитета по насильственным исчезновениям в соответствии со статьей</w:t>
      </w:r>
      <w:r w:rsidR="007C6F90">
        <w:t> </w:t>
      </w:r>
      <w:r w:rsidRPr="002F362A">
        <w:t>30 Конвенции и Рабочей группы по насильственным или недобровольным исчезновениям в рамках ее процедуры незамедлительных действий, в частности поскольку</w:t>
      </w:r>
      <w:r w:rsidR="0047320F">
        <w:t xml:space="preserve"> </w:t>
      </w:r>
      <w:r w:rsidRPr="002F362A">
        <w:t>продолжительность насильственного исчезновения может не позволить своевременно задействовать эти процедуры. Существуют также проблемы с подачей жалоб по статье</w:t>
      </w:r>
      <w:r w:rsidR="007C6F90">
        <w:t> </w:t>
      </w:r>
      <w:r w:rsidRPr="002F362A">
        <w:t>1 Факультативного протокола к Международному пакту о гражданских и политических правах из-за отсутствия доказательств, непризнания так называемых краткосрочных насильственных исчезновений на национальном уровне и/или отсутствия сотрудничества со стороны государства.</w:t>
      </w:r>
    </w:p>
    <w:p w14:paraId="13FFF745" w14:textId="77777777" w:rsidR="002F362A" w:rsidRPr="002F362A" w:rsidRDefault="002F362A" w:rsidP="002F362A">
      <w:pPr>
        <w:pStyle w:val="SingleTxtG"/>
      </w:pPr>
      <w:r w:rsidRPr="002F362A">
        <w:t>13.</w:t>
      </w:r>
      <w:r w:rsidRPr="002F362A">
        <w:tab/>
        <w:t>Комитет по насильственным исчезновениям и Рабочая группа по насильственным или недобровольным исчезновениям предлагают договорным органам Организации Объединенных Наций поднимать проблемы насильственных исчезновений, длящихся ограниченное время, в перечнях вопросов и обзорах в рамках процедуры рассмотрения докладов государств, а также предлагают специальным процедурам Совета по правам человека и другим правозащитным органам учитывать это нарушение прав человека при осуществлении своих мандатов.</w:t>
      </w:r>
    </w:p>
    <w:p w14:paraId="5DBDC5B1" w14:textId="77777777" w:rsidR="002F362A" w:rsidRPr="002F362A" w:rsidRDefault="002F362A" w:rsidP="002F362A">
      <w:pPr>
        <w:pStyle w:val="SingleTxtG"/>
      </w:pPr>
      <w:r w:rsidRPr="002F362A">
        <w:t>14.</w:t>
      </w:r>
      <w:r w:rsidRPr="002F362A">
        <w:tab/>
        <w:t>Комитет по насильственным исчезновениям и Рабочая группа по насильственным или недобровольным исчезновениям используют все имеющиеся в их распоряжении процедуры, включая обязательства по представлению докладов, индивидуальные сообщения, заявления и незамедлительные действия, чтобы повысить осведомленность о так называемых краткосрочных насильственных исчезновениях и призвать государства и других субъектов, потенциально причастных к ним, соблюдать международное право прав человека.</w:t>
      </w:r>
    </w:p>
    <w:p w14:paraId="5455F6E9" w14:textId="6E1726AE" w:rsidR="002F362A" w:rsidRPr="002F362A" w:rsidRDefault="007C6F90" w:rsidP="002F362A">
      <w:pPr>
        <w:pStyle w:val="HChG"/>
      </w:pPr>
      <w:r>
        <w:tab/>
      </w:r>
      <w:r w:rsidR="002F362A" w:rsidRPr="002F362A">
        <w:t>V.</w:t>
      </w:r>
      <w:r w:rsidR="002F362A" w:rsidRPr="002F362A">
        <w:tab/>
        <w:t>Заключение</w:t>
      </w:r>
    </w:p>
    <w:p w14:paraId="00EE19CC" w14:textId="77777777" w:rsidR="002F362A" w:rsidRPr="002F362A" w:rsidRDefault="002F362A" w:rsidP="002F362A">
      <w:pPr>
        <w:pStyle w:val="SingleTxtG"/>
      </w:pPr>
      <w:r w:rsidRPr="002F362A">
        <w:t>15.</w:t>
      </w:r>
      <w:r w:rsidRPr="002F362A">
        <w:tab/>
        <w:t>Комитет по насильственным исчезновениям и Рабочая группа по насильственным или недобровольным исчезновениям напоминают, что насильственное исчезновение представляет собой серьезное нарушение прав человека независимо от его продолжительности и что государства должны полностью выполнять свои обязательства во всех случаях насильственных исчезновений.</w:t>
      </w:r>
    </w:p>
    <w:p w14:paraId="0672DFA7" w14:textId="648846EA" w:rsidR="00381C24" w:rsidRPr="002F362A" w:rsidRDefault="002F362A" w:rsidP="002F362A">
      <w:pPr>
        <w:pStyle w:val="SingleTxtG"/>
        <w:spacing w:before="240" w:after="0"/>
        <w:jc w:val="center"/>
        <w:rPr>
          <w:u w:val="single"/>
        </w:rPr>
      </w:pPr>
      <w:r>
        <w:rPr>
          <w:u w:val="single"/>
        </w:rPr>
        <w:tab/>
      </w:r>
      <w:r>
        <w:rPr>
          <w:u w:val="single"/>
        </w:rPr>
        <w:tab/>
      </w:r>
      <w:r>
        <w:rPr>
          <w:u w:val="single"/>
        </w:rPr>
        <w:tab/>
      </w:r>
    </w:p>
    <w:sectPr w:rsidR="00381C24" w:rsidRPr="002F362A" w:rsidSect="002F362A">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27A2E" w14:textId="77777777" w:rsidR="00B37C3B" w:rsidRPr="00A312BC" w:rsidRDefault="00B37C3B" w:rsidP="00A312BC"/>
  </w:endnote>
  <w:endnote w:type="continuationSeparator" w:id="0">
    <w:p w14:paraId="71845828" w14:textId="77777777" w:rsidR="00B37C3B" w:rsidRPr="00A312BC" w:rsidRDefault="00B37C3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1B5F2" w14:textId="3578639A" w:rsidR="002F362A" w:rsidRPr="002F362A" w:rsidRDefault="002F362A">
    <w:pPr>
      <w:pStyle w:val="a8"/>
    </w:pPr>
    <w:r w:rsidRPr="002F362A">
      <w:rPr>
        <w:b/>
        <w:sz w:val="18"/>
      </w:rPr>
      <w:fldChar w:fldCharType="begin"/>
    </w:r>
    <w:r w:rsidRPr="002F362A">
      <w:rPr>
        <w:b/>
        <w:sz w:val="18"/>
      </w:rPr>
      <w:instrText xml:space="preserve"> PAGE  \* MERGEFORMAT </w:instrText>
    </w:r>
    <w:r w:rsidRPr="002F362A">
      <w:rPr>
        <w:b/>
        <w:sz w:val="18"/>
      </w:rPr>
      <w:fldChar w:fldCharType="separate"/>
    </w:r>
    <w:r w:rsidRPr="002F362A">
      <w:rPr>
        <w:b/>
        <w:noProof/>
        <w:sz w:val="18"/>
      </w:rPr>
      <w:t>2</w:t>
    </w:r>
    <w:r w:rsidRPr="002F362A">
      <w:rPr>
        <w:b/>
        <w:sz w:val="18"/>
      </w:rPr>
      <w:fldChar w:fldCharType="end"/>
    </w:r>
    <w:r>
      <w:rPr>
        <w:b/>
        <w:sz w:val="18"/>
      </w:rPr>
      <w:tab/>
    </w:r>
    <w:r>
      <w:t>GE.24-19175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E1B08" w14:textId="4C7D938F" w:rsidR="002F362A" w:rsidRPr="002F362A" w:rsidRDefault="002F362A" w:rsidP="002F362A">
    <w:pPr>
      <w:pStyle w:val="a8"/>
      <w:tabs>
        <w:tab w:val="clear" w:pos="9639"/>
        <w:tab w:val="right" w:pos="9638"/>
      </w:tabs>
      <w:rPr>
        <w:b/>
        <w:sz w:val="18"/>
      </w:rPr>
    </w:pPr>
    <w:r>
      <w:t>GE.24-19175</w:t>
    </w:r>
    <w:r>
      <w:tab/>
    </w:r>
    <w:r w:rsidRPr="002F362A">
      <w:rPr>
        <w:b/>
        <w:sz w:val="18"/>
      </w:rPr>
      <w:fldChar w:fldCharType="begin"/>
    </w:r>
    <w:r w:rsidRPr="002F362A">
      <w:rPr>
        <w:b/>
        <w:sz w:val="18"/>
      </w:rPr>
      <w:instrText xml:space="preserve"> PAGE  \* MERGEFORMAT </w:instrText>
    </w:r>
    <w:r w:rsidRPr="002F362A">
      <w:rPr>
        <w:b/>
        <w:sz w:val="18"/>
      </w:rPr>
      <w:fldChar w:fldCharType="separate"/>
    </w:r>
    <w:r w:rsidRPr="002F362A">
      <w:rPr>
        <w:b/>
        <w:noProof/>
        <w:sz w:val="18"/>
      </w:rPr>
      <w:t>3</w:t>
    </w:r>
    <w:r w:rsidRPr="002F362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EB72F" w14:textId="5027720A" w:rsidR="00042B72" w:rsidRPr="002F362A" w:rsidRDefault="002F362A" w:rsidP="002F362A">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07EECE0" wp14:editId="572EEBA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24-19175  (R)</w:t>
    </w:r>
    <w:r>
      <w:rPr>
        <w:noProof/>
      </w:rPr>
      <w:drawing>
        <wp:anchor distT="0" distB="0" distL="114300" distR="114300" simplePos="0" relativeHeight="251659264" behindDoc="0" locked="0" layoutInCell="1" allowOverlap="1" wp14:anchorId="018BD153" wp14:editId="7EE869D2">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251124   261124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0FA0B" w14:textId="77777777" w:rsidR="00B37C3B" w:rsidRPr="001075E9" w:rsidRDefault="00B37C3B" w:rsidP="001075E9">
      <w:pPr>
        <w:tabs>
          <w:tab w:val="right" w:pos="2155"/>
        </w:tabs>
        <w:spacing w:after="80" w:line="240" w:lineRule="auto"/>
        <w:ind w:left="680"/>
        <w:rPr>
          <w:u w:val="single"/>
        </w:rPr>
      </w:pPr>
      <w:r>
        <w:rPr>
          <w:u w:val="single"/>
        </w:rPr>
        <w:tab/>
      </w:r>
    </w:p>
  </w:footnote>
  <w:footnote w:type="continuationSeparator" w:id="0">
    <w:p w14:paraId="670295CA" w14:textId="77777777" w:rsidR="00B37C3B" w:rsidRDefault="00B37C3B" w:rsidP="00407B78">
      <w:pPr>
        <w:tabs>
          <w:tab w:val="right" w:pos="2155"/>
        </w:tabs>
        <w:spacing w:after="80"/>
        <w:ind w:left="680"/>
        <w:rPr>
          <w:u w:val="single"/>
        </w:rPr>
      </w:pPr>
      <w:r>
        <w:rPr>
          <w:u w:val="single"/>
        </w:rPr>
        <w:tab/>
      </w:r>
    </w:p>
  </w:footnote>
  <w:footnote w:id="1">
    <w:p w14:paraId="47786BC7" w14:textId="6DBAA5A6" w:rsidR="0047320F" w:rsidRPr="002F362A" w:rsidRDefault="0047320F" w:rsidP="0047320F">
      <w:pPr>
        <w:pStyle w:val="ad"/>
        <w:rPr>
          <w:szCs w:val="18"/>
          <w:lang w:val="en-US"/>
        </w:rPr>
      </w:pPr>
      <w:r w:rsidRPr="00133640">
        <w:rPr>
          <w:szCs w:val="18"/>
        </w:rPr>
        <w:tab/>
      </w:r>
      <w:r w:rsidRPr="0047320F">
        <w:rPr>
          <w:rStyle w:val="aa"/>
        </w:rPr>
        <w:footnoteRef/>
      </w:r>
      <w:r w:rsidRPr="00415A97">
        <w:rPr>
          <w:lang w:val="en-US"/>
        </w:rPr>
        <w:tab/>
      </w:r>
      <w:r>
        <w:t>См</w:t>
      </w:r>
      <w:r w:rsidRPr="00415A97">
        <w:rPr>
          <w:lang w:val="en-US"/>
        </w:rPr>
        <w:t xml:space="preserve">. </w:t>
      </w:r>
      <w:hyperlink r:id="rId1" w:history="1">
        <w:r w:rsidRPr="002F362A">
          <w:rPr>
            <w:rStyle w:val="af1"/>
            <w:lang w:val="en-US"/>
          </w:rPr>
          <w:t>A/HRC/30/38</w:t>
        </w:r>
      </w:hyperlink>
      <w:r w:rsidRPr="00415A97">
        <w:rPr>
          <w:lang w:val="en-US"/>
        </w:rPr>
        <w:t xml:space="preserve">, </w:t>
      </w:r>
      <w:r>
        <w:t>п</w:t>
      </w:r>
      <w:r w:rsidRPr="0047320F">
        <w:rPr>
          <w:lang w:val="en-US"/>
        </w:rPr>
        <w:t>.</w:t>
      </w:r>
      <w:r w:rsidRPr="00415A97">
        <w:rPr>
          <w:lang w:val="en-US"/>
        </w:rPr>
        <w:t xml:space="preserve"> 102.</w:t>
      </w:r>
    </w:p>
  </w:footnote>
  <w:footnote w:id="2">
    <w:p w14:paraId="5664C28C" w14:textId="5F3A24F9" w:rsidR="0047320F" w:rsidRPr="0047320F" w:rsidRDefault="0047320F" w:rsidP="0047320F">
      <w:pPr>
        <w:pStyle w:val="ad"/>
        <w:rPr>
          <w:szCs w:val="18"/>
          <w:lang w:val="en-US"/>
        </w:rPr>
      </w:pPr>
      <w:r w:rsidRPr="00415A97">
        <w:rPr>
          <w:szCs w:val="18"/>
          <w:lang w:val="en-US"/>
        </w:rPr>
        <w:tab/>
      </w:r>
      <w:r w:rsidRPr="0047320F">
        <w:rPr>
          <w:rStyle w:val="aa"/>
        </w:rPr>
        <w:footnoteRef/>
      </w:r>
      <w:r w:rsidRPr="00415A97">
        <w:rPr>
          <w:lang w:val="en-US"/>
        </w:rPr>
        <w:tab/>
      </w:r>
      <w:hyperlink r:id="rId2" w:history="1">
        <w:r w:rsidRPr="002F362A">
          <w:rPr>
            <w:rStyle w:val="af1"/>
            <w:lang w:val="en-US"/>
          </w:rPr>
          <w:t>CCPR/C/VEN/CO/5</w:t>
        </w:r>
      </w:hyperlink>
      <w:r w:rsidRPr="00415A97">
        <w:rPr>
          <w:lang w:val="en-US"/>
        </w:rPr>
        <w:t xml:space="preserve">, </w:t>
      </w:r>
      <w:r>
        <w:t>п</w:t>
      </w:r>
      <w:r w:rsidRPr="00415A97">
        <w:rPr>
          <w:lang w:val="en-US"/>
        </w:rPr>
        <w:t xml:space="preserve">. </w:t>
      </w:r>
      <w:r w:rsidRPr="0047320F">
        <w:rPr>
          <w:lang w:val="en-US"/>
        </w:rPr>
        <w:t>23.</w:t>
      </w:r>
    </w:p>
  </w:footnote>
  <w:footnote w:id="3">
    <w:p w14:paraId="3E3236AA" w14:textId="1A86F641" w:rsidR="0047320F" w:rsidRPr="00415A97" w:rsidRDefault="0047320F" w:rsidP="0047320F">
      <w:pPr>
        <w:pStyle w:val="ad"/>
        <w:rPr>
          <w:szCs w:val="18"/>
        </w:rPr>
      </w:pPr>
      <w:r w:rsidRPr="0047320F">
        <w:rPr>
          <w:szCs w:val="18"/>
          <w:lang w:val="en-US"/>
        </w:rPr>
        <w:tab/>
      </w:r>
      <w:r w:rsidRPr="0047320F">
        <w:rPr>
          <w:rStyle w:val="aa"/>
        </w:rPr>
        <w:footnoteRef/>
      </w:r>
      <w:r>
        <w:tab/>
      </w:r>
      <w:r w:rsidRPr="0047320F">
        <w:t>A/HRC/57/57</w:t>
      </w:r>
      <w:r>
        <w:t>, пп. 74</w:t>
      </w:r>
      <w:r>
        <w:t>–</w:t>
      </w:r>
      <w:r>
        <w:t>82.</w:t>
      </w:r>
    </w:p>
  </w:footnote>
  <w:footnote w:id="4">
    <w:p w14:paraId="0644715F" w14:textId="47B520FC" w:rsidR="0047320F" w:rsidRPr="00415A97" w:rsidRDefault="0047320F" w:rsidP="0047320F">
      <w:pPr>
        <w:pStyle w:val="ad"/>
        <w:rPr>
          <w:szCs w:val="18"/>
        </w:rPr>
      </w:pPr>
      <w:r w:rsidRPr="00133640">
        <w:rPr>
          <w:szCs w:val="18"/>
        </w:rPr>
        <w:tab/>
      </w:r>
      <w:r w:rsidRPr="0047320F">
        <w:rPr>
          <w:rStyle w:val="aa"/>
        </w:rPr>
        <w:footnoteRef/>
      </w:r>
      <w:r>
        <w:tab/>
        <w:t xml:space="preserve">Комитет по правам человека, замечание общего порядка № 36 (2019); и </w:t>
      </w:r>
      <w:hyperlink r:id="rId3" w:history="1">
        <w:r w:rsidRPr="002F362A">
          <w:rPr>
            <w:rStyle w:val="af1"/>
          </w:rPr>
          <w:t>CCPR/C/VEN/CO/5</w:t>
        </w:r>
      </w:hyperlink>
      <w:r>
        <w:t>, п.</w:t>
      </w:r>
      <w:r>
        <w:t> </w:t>
      </w:r>
      <w:r>
        <w:t>23.</w:t>
      </w:r>
    </w:p>
  </w:footnote>
  <w:footnote w:id="5">
    <w:p w14:paraId="2CBA0376" w14:textId="77777777" w:rsidR="002F362A" w:rsidRPr="00415A97" w:rsidRDefault="002F362A" w:rsidP="0047320F">
      <w:pPr>
        <w:pStyle w:val="ad"/>
        <w:rPr>
          <w:szCs w:val="18"/>
        </w:rPr>
      </w:pPr>
      <w:r w:rsidRPr="00133640">
        <w:rPr>
          <w:szCs w:val="18"/>
        </w:rPr>
        <w:tab/>
      </w:r>
      <w:r w:rsidRPr="0047320F">
        <w:rPr>
          <w:rStyle w:val="aa"/>
        </w:rPr>
        <w:footnoteRef/>
      </w:r>
      <w:r>
        <w:tab/>
        <w:t>Комитет по насильственным исчезновениям, замечание общего порядка № 1 (2023), п. 33.</w:t>
      </w:r>
    </w:p>
  </w:footnote>
  <w:footnote w:id="6">
    <w:p w14:paraId="5D6410CE" w14:textId="77777777" w:rsidR="00B05BC9" w:rsidRPr="00415A97" w:rsidRDefault="00B05BC9" w:rsidP="00B05BC9">
      <w:pPr>
        <w:pStyle w:val="ad"/>
        <w:rPr>
          <w:szCs w:val="18"/>
        </w:rPr>
      </w:pPr>
      <w:r w:rsidRPr="00133640">
        <w:rPr>
          <w:szCs w:val="18"/>
        </w:rPr>
        <w:tab/>
      </w:r>
      <w:r w:rsidRPr="0047320F">
        <w:rPr>
          <w:rStyle w:val="aa"/>
        </w:rPr>
        <w:footnoteRef/>
      </w:r>
      <w:r>
        <w:tab/>
        <w:t>Комитет по правам человека, замечание общего порядка № 35 (2014), п. 56.</w:t>
      </w:r>
    </w:p>
  </w:footnote>
  <w:footnote w:id="7">
    <w:p w14:paraId="187EDB8E" w14:textId="4A23AEBB" w:rsidR="00B05BC9" w:rsidRPr="00415A97" w:rsidRDefault="00B05BC9" w:rsidP="00B05BC9">
      <w:pPr>
        <w:pStyle w:val="ad"/>
        <w:rPr>
          <w:szCs w:val="18"/>
        </w:rPr>
      </w:pPr>
      <w:r w:rsidRPr="001419A1">
        <w:rPr>
          <w:szCs w:val="18"/>
        </w:rPr>
        <w:tab/>
      </w:r>
      <w:r w:rsidRPr="0047320F">
        <w:rPr>
          <w:rStyle w:val="aa"/>
        </w:rPr>
        <w:footnoteRef/>
      </w:r>
      <w:r>
        <w:tab/>
      </w:r>
      <w:r w:rsidRPr="00B05BC9">
        <w:rPr>
          <w:i/>
          <w:iCs/>
        </w:rPr>
        <w:t>Муконг против Камеруна</w:t>
      </w:r>
      <w:r>
        <w:t xml:space="preserve"> (</w:t>
      </w:r>
      <w:hyperlink r:id="rId4" w:history="1">
        <w:r w:rsidRPr="00B05BC9">
          <w:rPr>
            <w:rStyle w:val="af1"/>
          </w:rPr>
          <w:t>CCPR/C/51/D/458/1991</w:t>
        </w:r>
      </w:hyperlink>
      <w:r>
        <w:t xml:space="preserve">), п. 9.4; </w:t>
      </w:r>
      <w:r w:rsidRPr="00B05BC9">
        <w:rPr>
          <w:i/>
          <w:iCs/>
        </w:rPr>
        <w:t>Эль-Мегрейзи против Ливийской Арабской Джамахирии</w:t>
      </w:r>
      <w:r>
        <w:t xml:space="preserve"> (</w:t>
      </w:r>
      <w:hyperlink r:id="rId5" w:history="1">
        <w:r w:rsidRPr="002F362A">
          <w:rPr>
            <w:rStyle w:val="af1"/>
          </w:rPr>
          <w:t>CCPR/C/50/D/440/1990</w:t>
        </w:r>
      </w:hyperlink>
      <w:r>
        <w:t xml:space="preserve">), п. 5.4; Комитет по правам человека, замечание общего порядка № 20 (2009), п. 11. См. также резолюцию </w:t>
      </w:r>
      <w:hyperlink r:id="rId6" w:history="1">
        <w:r w:rsidRPr="002F362A">
          <w:rPr>
            <w:rStyle w:val="af1"/>
          </w:rPr>
          <w:t>68/156</w:t>
        </w:r>
      </w:hyperlink>
      <w:r>
        <w:t xml:space="preserve"> Генеральной Ассамблеи, п. 27.</w:t>
      </w:r>
    </w:p>
  </w:footnote>
  <w:footnote w:id="8">
    <w:p w14:paraId="4B00FBB5" w14:textId="3956A042" w:rsidR="002F362A" w:rsidRPr="00415A97" w:rsidRDefault="002F362A" w:rsidP="0047320F">
      <w:pPr>
        <w:pStyle w:val="ad"/>
        <w:rPr>
          <w:szCs w:val="18"/>
        </w:rPr>
      </w:pPr>
      <w:r w:rsidRPr="001419A1">
        <w:rPr>
          <w:szCs w:val="18"/>
        </w:rPr>
        <w:tab/>
      </w:r>
      <w:r w:rsidRPr="0047320F">
        <w:rPr>
          <w:rStyle w:val="aa"/>
        </w:rPr>
        <w:footnoteRef/>
      </w:r>
      <w:r>
        <w:tab/>
      </w:r>
      <w:hyperlink r:id="rId7" w:history="1">
        <w:r w:rsidRPr="002F362A">
          <w:rPr>
            <w:rStyle w:val="af1"/>
          </w:rPr>
          <w:t>A/HRC/13/42</w:t>
        </w:r>
      </w:hyperlink>
      <w:r>
        <w:t>, п. 28.</w:t>
      </w:r>
    </w:p>
  </w:footnote>
  <w:footnote w:id="9">
    <w:p w14:paraId="66F8ACEB" w14:textId="77777777" w:rsidR="00B05BC9" w:rsidRPr="002F362A" w:rsidRDefault="00B05BC9" w:rsidP="00B05BC9">
      <w:pPr>
        <w:pStyle w:val="ad"/>
        <w:rPr>
          <w:szCs w:val="18"/>
        </w:rPr>
      </w:pPr>
      <w:r w:rsidRPr="001419A1">
        <w:rPr>
          <w:szCs w:val="18"/>
        </w:rPr>
        <w:tab/>
      </w:r>
      <w:r w:rsidRPr="0047320F">
        <w:rPr>
          <w:rStyle w:val="aa"/>
        </w:rPr>
        <w:footnoteRef/>
      </w:r>
      <w:r w:rsidRPr="002F362A">
        <w:tab/>
      </w:r>
      <w:r>
        <w:t>См</w:t>
      </w:r>
      <w:r w:rsidRPr="002F362A">
        <w:t xml:space="preserve">., </w:t>
      </w:r>
      <w:r>
        <w:t>например</w:t>
      </w:r>
      <w:r w:rsidRPr="002F362A">
        <w:t xml:space="preserve">, </w:t>
      </w:r>
      <w:hyperlink r:id="rId8" w:history="1">
        <w:r w:rsidRPr="002F362A">
          <w:rPr>
            <w:rStyle w:val="af1"/>
            <w:lang w:val="en-US"/>
          </w:rPr>
          <w:t>A</w:t>
        </w:r>
        <w:r w:rsidRPr="002F362A">
          <w:rPr>
            <w:rStyle w:val="af1"/>
          </w:rPr>
          <w:t>/</w:t>
        </w:r>
        <w:r w:rsidRPr="002F362A">
          <w:rPr>
            <w:rStyle w:val="af1"/>
            <w:lang w:val="en-US"/>
          </w:rPr>
          <w:t>HRC</w:t>
        </w:r>
        <w:r w:rsidRPr="002F362A">
          <w:rPr>
            <w:rStyle w:val="af1"/>
          </w:rPr>
          <w:t>/48/57</w:t>
        </w:r>
      </w:hyperlink>
      <w:r w:rsidRPr="002F362A">
        <w:t xml:space="preserve">, </w:t>
      </w:r>
      <w:r>
        <w:t>п</w:t>
      </w:r>
      <w:r w:rsidRPr="002F362A">
        <w:t xml:space="preserve">. 60 </w:t>
      </w:r>
      <w:r w:rsidRPr="002F362A">
        <w:rPr>
          <w:lang w:val="en-US"/>
        </w:rPr>
        <w:t>c</w:t>
      </w:r>
      <w:r w:rsidRPr="002F362A">
        <w:t xml:space="preserve">); </w:t>
      </w:r>
      <w:hyperlink r:id="rId9" w:history="1">
        <w:r w:rsidRPr="002F362A">
          <w:rPr>
            <w:rStyle w:val="af1"/>
            <w:lang w:val="en-US"/>
          </w:rPr>
          <w:t>A</w:t>
        </w:r>
        <w:r w:rsidRPr="002F362A">
          <w:rPr>
            <w:rStyle w:val="af1"/>
          </w:rPr>
          <w:t>/</w:t>
        </w:r>
        <w:r w:rsidRPr="002F362A">
          <w:rPr>
            <w:rStyle w:val="af1"/>
            <w:lang w:val="en-US"/>
          </w:rPr>
          <w:t>HRC</w:t>
        </w:r>
        <w:r w:rsidRPr="002F362A">
          <w:rPr>
            <w:rStyle w:val="af1"/>
          </w:rPr>
          <w:t>/45/13</w:t>
        </w:r>
      </w:hyperlink>
      <w:r w:rsidRPr="002F362A">
        <w:t xml:space="preserve">, </w:t>
      </w:r>
      <w:r>
        <w:t>п</w:t>
      </w:r>
      <w:r w:rsidRPr="002F362A">
        <w:t xml:space="preserve">. 97; </w:t>
      </w:r>
      <w:r>
        <w:t>и</w:t>
      </w:r>
      <w:r w:rsidRPr="002F362A">
        <w:t xml:space="preserve"> </w:t>
      </w:r>
      <w:hyperlink r:id="rId10" w:history="1">
        <w:r w:rsidRPr="002F362A">
          <w:rPr>
            <w:rStyle w:val="af1"/>
            <w:lang w:val="en-US"/>
          </w:rPr>
          <w:t>A</w:t>
        </w:r>
        <w:r w:rsidRPr="002F362A">
          <w:rPr>
            <w:rStyle w:val="af1"/>
          </w:rPr>
          <w:t>/</w:t>
        </w:r>
        <w:r w:rsidRPr="002F362A">
          <w:rPr>
            <w:rStyle w:val="af1"/>
            <w:lang w:val="en-US"/>
          </w:rPr>
          <w:t>HRC</w:t>
        </w:r>
        <w:r w:rsidRPr="002F362A">
          <w:rPr>
            <w:rStyle w:val="af1"/>
          </w:rPr>
          <w:t>/39/46</w:t>
        </w:r>
      </w:hyperlink>
      <w:r w:rsidRPr="002F362A">
        <w:t xml:space="preserve">, </w:t>
      </w:r>
      <w:r>
        <w:t>п</w:t>
      </w:r>
      <w:r w:rsidRPr="002F362A">
        <w:t xml:space="preserve">. 143. </w:t>
      </w:r>
    </w:p>
  </w:footnote>
  <w:footnote w:id="10">
    <w:p w14:paraId="1E76D341" w14:textId="77777777" w:rsidR="00B05BC9" w:rsidRPr="00415A97" w:rsidRDefault="00B05BC9" w:rsidP="00B05BC9">
      <w:pPr>
        <w:pStyle w:val="ad"/>
        <w:rPr>
          <w:szCs w:val="18"/>
        </w:rPr>
      </w:pPr>
      <w:r w:rsidRPr="002F362A">
        <w:rPr>
          <w:szCs w:val="18"/>
        </w:rPr>
        <w:tab/>
      </w:r>
      <w:r w:rsidRPr="0047320F">
        <w:rPr>
          <w:rStyle w:val="aa"/>
        </w:rPr>
        <w:footnoteRef/>
      </w:r>
      <w:r>
        <w:tab/>
      </w:r>
      <w:r w:rsidRPr="00B05BC9">
        <w:rPr>
          <w:i/>
          <w:iCs/>
        </w:rPr>
        <w:t>Ируста и Ируста против Аргентины</w:t>
      </w:r>
      <w:r>
        <w:t xml:space="preserve"> (</w:t>
      </w:r>
      <w:hyperlink r:id="rId11" w:history="1">
        <w:r w:rsidRPr="002F362A">
          <w:rPr>
            <w:rStyle w:val="af1"/>
          </w:rPr>
          <w:t>CED/C/10/D/1/2013</w:t>
        </w:r>
      </w:hyperlink>
      <w:r>
        <w:t xml:space="preserve">), п. 10.3. </w:t>
      </w:r>
    </w:p>
  </w:footnote>
  <w:footnote w:id="11">
    <w:p w14:paraId="481E9C31" w14:textId="23E85A84" w:rsidR="00B05BC9" w:rsidRPr="00415A97" w:rsidRDefault="00B05BC9" w:rsidP="00B05BC9">
      <w:pPr>
        <w:pStyle w:val="ad"/>
        <w:rPr>
          <w:szCs w:val="18"/>
        </w:rPr>
      </w:pPr>
      <w:r w:rsidRPr="00133640">
        <w:rPr>
          <w:szCs w:val="18"/>
        </w:rPr>
        <w:tab/>
      </w:r>
      <w:r w:rsidRPr="0047320F">
        <w:rPr>
          <w:rStyle w:val="aa"/>
        </w:rPr>
        <w:footnoteRef/>
      </w:r>
      <w:r>
        <w:tab/>
        <w:t xml:space="preserve">Комитет по правам человека, замечание общего порядка № 36 (2019); </w:t>
      </w:r>
      <w:hyperlink r:id="rId12" w:history="1">
        <w:r w:rsidRPr="002F362A">
          <w:rPr>
            <w:rStyle w:val="af1"/>
          </w:rPr>
          <w:t>CCPR/C/VEN/CO/5</w:t>
        </w:r>
      </w:hyperlink>
      <w:r>
        <w:t>, п.</w:t>
      </w:r>
      <w:r>
        <w:t> </w:t>
      </w:r>
      <w:r>
        <w:t xml:space="preserve">23; </w:t>
      </w:r>
      <w:r w:rsidRPr="00B05BC9">
        <w:rPr>
          <w:i/>
          <w:iCs/>
        </w:rPr>
        <w:t>Дриф и Рафраф против Алжира</w:t>
      </w:r>
      <w:r>
        <w:t xml:space="preserve"> (</w:t>
      </w:r>
      <w:hyperlink r:id="rId13" w:history="1">
        <w:r w:rsidRPr="00B05BC9">
          <w:rPr>
            <w:rStyle w:val="af1"/>
            <w:lang w:val="en-GB"/>
          </w:rPr>
          <w:t>CCPR</w:t>
        </w:r>
        <w:r w:rsidRPr="00B05BC9">
          <w:rPr>
            <w:rStyle w:val="af1"/>
          </w:rPr>
          <w:t>/</w:t>
        </w:r>
        <w:r w:rsidRPr="00B05BC9">
          <w:rPr>
            <w:rStyle w:val="af1"/>
            <w:lang w:val="en-GB"/>
          </w:rPr>
          <w:t>C</w:t>
        </w:r>
        <w:r w:rsidRPr="00B05BC9">
          <w:rPr>
            <w:rStyle w:val="af1"/>
          </w:rPr>
          <w:t>/135/</w:t>
        </w:r>
        <w:r w:rsidRPr="00B05BC9">
          <w:rPr>
            <w:rStyle w:val="af1"/>
            <w:lang w:val="en-GB"/>
          </w:rPr>
          <w:t>D</w:t>
        </w:r>
        <w:r w:rsidRPr="00B05BC9">
          <w:rPr>
            <w:rStyle w:val="af1"/>
          </w:rPr>
          <w:t>/3321/2019</w:t>
        </w:r>
      </w:hyperlink>
      <w:r>
        <w:t xml:space="preserve">); и </w:t>
      </w:r>
      <w:r w:rsidRPr="00B05BC9">
        <w:rPr>
          <w:i/>
          <w:iCs/>
        </w:rPr>
        <w:t>Тхару и др. против Непала</w:t>
      </w:r>
      <w:r>
        <w:t xml:space="preserve"> (</w:t>
      </w:r>
      <w:hyperlink r:id="rId14" w:history="1">
        <w:r w:rsidRPr="002F362A">
          <w:rPr>
            <w:rStyle w:val="af1"/>
          </w:rPr>
          <w:t>CCPR/C/114/D/2038/2011</w:t>
        </w:r>
      </w:hyperlink>
      <w:r>
        <w:t>).</w:t>
      </w:r>
      <w:bookmarkStart w:id="1" w:name="_Hlk178155364"/>
      <w:bookmarkEnd w:id="1"/>
    </w:p>
  </w:footnote>
  <w:footnote w:id="12">
    <w:p w14:paraId="618B156D" w14:textId="77777777" w:rsidR="002F362A" w:rsidRPr="00415A97" w:rsidRDefault="002F362A" w:rsidP="0047320F">
      <w:pPr>
        <w:pStyle w:val="ad"/>
        <w:rPr>
          <w:szCs w:val="18"/>
        </w:rPr>
      </w:pPr>
      <w:r w:rsidRPr="00133640">
        <w:rPr>
          <w:szCs w:val="18"/>
        </w:rPr>
        <w:tab/>
      </w:r>
      <w:r w:rsidRPr="0047320F">
        <w:rPr>
          <w:rStyle w:val="aa"/>
        </w:rPr>
        <w:footnoteRef/>
      </w:r>
      <w:r>
        <w:tab/>
        <w:t>Межамериканская конвенция о насильственном исчезновении лиц, ст. 2.</w:t>
      </w:r>
    </w:p>
  </w:footnote>
  <w:footnote w:id="13">
    <w:p w14:paraId="7F639450" w14:textId="05A46B2D" w:rsidR="00B05BC9" w:rsidRPr="00415A97" w:rsidRDefault="00B05BC9" w:rsidP="00B05BC9">
      <w:pPr>
        <w:pStyle w:val="ad"/>
        <w:rPr>
          <w:szCs w:val="18"/>
        </w:rPr>
      </w:pPr>
      <w:r w:rsidRPr="00133640">
        <w:rPr>
          <w:szCs w:val="18"/>
        </w:rPr>
        <w:tab/>
      </w:r>
      <w:r w:rsidRPr="0047320F">
        <w:rPr>
          <w:rStyle w:val="aa"/>
        </w:rPr>
        <w:footnoteRef/>
      </w:r>
      <w:r>
        <w:tab/>
        <w:t>Международная конвенция для защиты всех лиц от насильственных исчезновений, ст. 4-24. См. также Декларацию о защите всех лиц от насильственных исчезновений, ст. 2</w:t>
      </w:r>
      <w:r>
        <w:t>–</w:t>
      </w:r>
      <w:r>
        <w:t>9; и</w:t>
      </w:r>
      <w:r>
        <w:t> </w:t>
      </w:r>
      <w:r>
        <w:t>Международный пакт о гражданских и политических правах, ст. 6, 7, 9 и 16, рассматриваемые по отдельности и в совокупности со ст. 2 (п. 3).</w:t>
      </w:r>
    </w:p>
  </w:footnote>
  <w:footnote w:id="14">
    <w:p w14:paraId="394F2B65" w14:textId="274872B6" w:rsidR="002F362A" w:rsidRPr="00415A97" w:rsidRDefault="002F362A" w:rsidP="0047320F">
      <w:pPr>
        <w:pStyle w:val="ad"/>
        <w:rPr>
          <w:szCs w:val="18"/>
        </w:rPr>
      </w:pPr>
      <w:r w:rsidRPr="00133640">
        <w:rPr>
          <w:szCs w:val="18"/>
        </w:rPr>
        <w:tab/>
      </w:r>
      <w:r w:rsidRPr="0047320F">
        <w:rPr>
          <w:rStyle w:val="aa"/>
        </w:rPr>
        <w:footnoteRef/>
      </w:r>
      <w:r>
        <w:tab/>
        <w:t>Основные принципы и Руководящие положения в отношении средств правовой защиты и процедур, связанных с правом лишенных свободы лиц обращаться в суд, п</w:t>
      </w:r>
      <w:r w:rsidR="007C6F90">
        <w:t>.</w:t>
      </w:r>
      <w:r>
        <w:t xml:space="preserve"> 2.</w:t>
      </w:r>
    </w:p>
  </w:footnote>
  <w:footnote w:id="15">
    <w:p w14:paraId="67B0E1C0" w14:textId="2249702D" w:rsidR="007C6F90" w:rsidRPr="00133640" w:rsidRDefault="007C6F90" w:rsidP="007C6F90">
      <w:pPr>
        <w:pStyle w:val="ad"/>
        <w:rPr>
          <w:szCs w:val="18"/>
        </w:rPr>
      </w:pPr>
      <w:r w:rsidRPr="00133640">
        <w:rPr>
          <w:szCs w:val="18"/>
        </w:rPr>
        <w:tab/>
      </w:r>
      <w:r w:rsidRPr="0047320F">
        <w:rPr>
          <w:rStyle w:val="aa"/>
        </w:rPr>
        <w:footnoteRef/>
      </w:r>
      <w:r>
        <w:tab/>
        <w:t xml:space="preserve">Специальный докладчик по вопросу о пытках и других жестоких, бесчеловечных или унижающих достоинство видах обращения и наказания неоднократно заявлял, что родственники должны уведомляться в течение 18 часов (см. </w:t>
      </w:r>
      <w:hyperlink r:id="rId15" w:history="1">
        <w:r w:rsidRPr="002F362A">
          <w:rPr>
            <w:rStyle w:val="af1"/>
          </w:rPr>
          <w:t>A/68/295</w:t>
        </w:r>
      </w:hyperlink>
      <w:r>
        <w:t>, para. 41; и</w:t>
      </w:r>
      <w:r>
        <w:t> </w:t>
      </w:r>
      <w:hyperlink r:id="rId16" w:history="1">
        <w:r w:rsidRPr="002F362A">
          <w:rPr>
            <w:rStyle w:val="af1"/>
          </w:rPr>
          <w:t>E/CN.4/2003/68</w:t>
        </w:r>
      </w:hyperlink>
      <w:r>
        <w:t>, п. 26 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4BA18" w14:textId="7EFA74E8" w:rsidR="002F362A" w:rsidRPr="002F362A" w:rsidRDefault="002F362A">
    <w:pPr>
      <w:pStyle w:val="a5"/>
    </w:pPr>
    <w:fldSimple w:instr=" TITLE  \* MERGEFORMAT ">
      <w:r w:rsidR="00D2211F">
        <w:t>CED/C/11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EF36F" w14:textId="398CE6C7" w:rsidR="002F362A" w:rsidRPr="002F362A" w:rsidRDefault="002F362A" w:rsidP="002F362A">
    <w:pPr>
      <w:pStyle w:val="a5"/>
      <w:jc w:val="right"/>
    </w:pPr>
    <w:fldSimple w:instr=" TITLE  \* MERGEFORMAT ">
      <w:r w:rsidR="00D2211F">
        <w:t>CED/C/11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6"/>
  </w:num>
  <w:num w:numId="2" w16cid:durableId="1156648124">
    <w:abstractNumId w:val="11"/>
  </w:num>
  <w:num w:numId="3" w16cid:durableId="1627082632">
    <w:abstractNumId w:val="10"/>
  </w:num>
  <w:num w:numId="4" w16cid:durableId="2013753441">
    <w:abstractNumId w:val="17"/>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C3B"/>
    <w:rsid w:val="00033EE1"/>
    <w:rsid w:val="00042B72"/>
    <w:rsid w:val="00046E2F"/>
    <w:rsid w:val="00052360"/>
    <w:rsid w:val="000558BD"/>
    <w:rsid w:val="000B57E7"/>
    <w:rsid w:val="000B6373"/>
    <w:rsid w:val="000F09DF"/>
    <w:rsid w:val="000F2F61"/>
    <w:rsid w:val="000F61B2"/>
    <w:rsid w:val="001075E9"/>
    <w:rsid w:val="00180183"/>
    <w:rsid w:val="0018024D"/>
    <w:rsid w:val="0018649F"/>
    <w:rsid w:val="00196389"/>
    <w:rsid w:val="001B3EF6"/>
    <w:rsid w:val="001C7A89"/>
    <w:rsid w:val="00206F9C"/>
    <w:rsid w:val="00215F21"/>
    <w:rsid w:val="00277A08"/>
    <w:rsid w:val="002A2EFC"/>
    <w:rsid w:val="002C0E18"/>
    <w:rsid w:val="002D5AAC"/>
    <w:rsid w:val="002E5067"/>
    <w:rsid w:val="002F362A"/>
    <w:rsid w:val="002F405F"/>
    <w:rsid w:val="002F7EEC"/>
    <w:rsid w:val="00301299"/>
    <w:rsid w:val="00305C08"/>
    <w:rsid w:val="00307FB6"/>
    <w:rsid w:val="00317339"/>
    <w:rsid w:val="00322004"/>
    <w:rsid w:val="003402C2"/>
    <w:rsid w:val="00381C24"/>
    <w:rsid w:val="003958D0"/>
    <w:rsid w:val="003B00E5"/>
    <w:rsid w:val="003D578C"/>
    <w:rsid w:val="00407B78"/>
    <w:rsid w:val="00424203"/>
    <w:rsid w:val="00452493"/>
    <w:rsid w:val="00454E07"/>
    <w:rsid w:val="00472C5C"/>
    <w:rsid w:val="0047320F"/>
    <w:rsid w:val="00475A37"/>
    <w:rsid w:val="004E4CB3"/>
    <w:rsid w:val="004F21B5"/>
    <w:rsid w:val="004F2C88"/>
    <w:rsid w:val="0050108D"/>
    <w:rsid w:val="00513081"/>
    <w:rsid w:val="00517901"/>
    <w:rsid w:val="00526683"/>
    <w:rsid w:val="00536A7D"/>
    <w:rsid w:val="005709E0"/>
    <w:rsid w:val="00572E19"/>
    <w:rsid w:val="005961C8"/>
    <w:rsid w:val="005D7914"/>
    <w:rsid w:val="005E2B41"/>
    <w:rsid w:val="005E4B8F"/>
    <w:rsid w:val="005F0B42"/>
    <w:rsid w:val="00681A10"/>
    <w:rsid w:val="006A1ED8"/>
    <w:rsid w:val="006C2031"/>
    <w:rsid w:val="006D461A"/>
    <w:rsid w:val="006F35EE"/>
    <w:rsid w:val="007021FF"/>
    <w:rsid w:val="00712895"/>
    <w:rsid w:val="00725545"/>
    <w:rsid w:val="00757357"/>
    <w:rsid w:val="007601E9"/>
    <w:rsid w:val="007B6441"/>
    <w:rsid w:val="007C6F90"/>
    <w:rsid w:val="008027E5"/>
    <w:rsid w:val="008227B1"/>
    <w:rsid w:val="00825F8D"/>
    <w:rsid w:val="00834B71"/>
    <w:rsid w:val="0086445C"/>
    <w:rsid w:val="00877609"/>
    <w:rsid w:val="00894693"/>
    <w:rsid w:val="008A08D7"/>
    <w:rsid w:val="008B6909"/>
    <w:rsid w:val="00906890"/>
    <w:rsid w:val="00911BE4"/>
    <w:rsid w:val="00942A43"/>
    <w:rsid w:val="00951972"/>
    <w:rsid w:val="009608F3"/>
    <w:rsid w:val="009A24AC"/>
    <w:rsid w:val="00A14DA8"/>
    <w:rsid w:val="00A312BC"/>
    <w:rsid w:val="00A84021"/>
    <w:rsid w:val="00A84D35"/>
    <w:rsid w:val="00A917B3"/>
    <w:rsid w:val="00A947A9"/>
    <w:rsid w:val="00AB4B51"/>
    <w:rsid w:val="00B05BC9"/>
    <w:rsid w:val="00B10CC7"/>
    <w:rsid w:val="00B36DF7"/>
    <w:rsid w:val="00B37C3B"/>
    <w:rsid w:val="00B539E7"/>
    <w:rsid w:val="00B54E04"/>
    <w:rsid w:val="00B62458"/>
    <w:rsid w:val="00BC18B2"/>
    <w:rsid w:val="00BD33EE"/>
    <w:rsid w:val="00C106D6"/>
    <w:rsid w:val="00C60F0C"/>
    <w:rsid w:val="00C805C9"/>
    <w:rsid w:val="00C92939"/>
    <w:rsid w:val="00CA1679"/>
    <w:rsid w:val="00CA24E6"/>
    <w:rsid w:val="00CB151C"/>
    <w:rsid w:val="00CE5A1A"/>
    <w:rsid w:val="00CF55F6"/>
    <w:rsid w:val="00D2211F"/>
    <w:rsid w:val="00D33D63"/>
    <w:rsid w:val="00D36B65"/>
    <w:rsid w:val="00D55C9D"/>
    <w:rsid w:val="00D90028"/>
    <w:rsid w:val="00D90138"/>
    <w:rsid w:val="00DB0902"/>
    <w:rsid w:val="00DD1D1E"/>
    <w:rsid w:val="00DD78D1"/>
    <w:rsid w:val="00DE32CD"/>
    <w:rsid w:val="00DF71B9"/>
    <w:rsid w:val="00E61978"/>
    <w:rsid w:val="00E73F76"/>
    <w:rsid w:val="00EA2C9F"/>
    <w:rsid w:val="00EA420E"/>
    <w:rsid w:val="00ED0BDA"/>
    <w:rsid w:val="00EF1360"/>
    <w:rsid w:val="00EF3220"/>
    <w:rsid w:val="00F41C74"/>
    <w:rsid w:val="00F43903"/>
    <w:rsid w:val="00F94155"/>
    <w:rsid w:val="00F9777C"/>
    <w:rsid w:val="00F9783F"/>
    <w:rsid w:val="00FB7B74"/>
    <w:rsid w:val="00FC1F6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9504C"/>
  <w15:docId w15:val="{E39C8A5D-F2B4-499C-9183-9A3759FED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u w:val="none"/>
    </w:rPr>
  </w:style>
  <w:style w:type="character" w:styleId="af2">
    <w:name w:val="FollowedHyperlink"/>
    <w:basedOn w:val="a0"/>
    <w:rsid w:val="00E61978"/>
    <w:rPr>
      <w:color w:val="0000FF"/>
      <w:u w:val="none"/>
    </w:rPr>
  </w:style>
  <w:style w:type="character" w:styleId="af3">
    <w:name w:val="Unresolved Mention"/>
    <w:basedOn w:val="a0"/>
    <w:uiPriority w:val="99"/>
    <w:semiHidden/>
    <w:unhideWhenUsed/>
    <w:rsid w:val="002F36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A/HRC/48/57" TargetMode="External"/><Relationship Id="rId13" Type="http://schemas.openxmlformats.org/officeDocument/2006/relationships/hyperlink" Target="http://undocs.org/ru/CCPR/C/135/D/3321/2019" TargetMode="External"/><Relationship Id="rId3" Type="http://schemas.openxmlformats.org/officeDocument/2006/relationships/hyperlink" Target="http://undocs.org/ru/CCPR/C/VEN/CO/5" TargetMode="External"/><Relationship Id="rId7" Type="http://schemas.openxmlformats.org/officeDocument/2006/relationships/hyperlink" Target="http://undocs.org/ru/A/HRC/13/42" TargetMode="External"/><Relationship Id="rId12" Type="http://schemas.openxmlformats.org/officeDocument/2006/relationships/hyperlink" Target="http://undocs.org/ru/CCPR/C/VEN/CO/5" TargetMode="External"/><Relationship Id="rId2" Type="http://schemas.openxmlformats.org/officeDocument/2006/relationships/hyperlink" Target="http://undocs.org/ru/CCPR/C/VEN/CO/5" TargetMode="External"/><Relationship Id="rId16" Type="http://schemas.openxmlformats.org/officeDocument/2006/relationships/hyperlink" Target="http://undocs.org/ru/E/CN.4/2003/68" TargetMode="External"/><Relationship Id="rId1" Type="http://schemas.openxmlformats.org/officeDocument/2006/relationships/hyperlink" Target="http://undocs.org/ru/A/HRC/30/38" TargetMode="External"/><Relationship Id="rId6" Type="http://schemas.openxmlformats.org/officeDocument/2006/relationships/hyperlink" Target="http://undocs.org/ru/A/RES/68/156" TargetMode="External"/><Relationship Id="rId11" Type="http://schemas.openxmlformats.org/officeDocument/2006/relationships/hyperlink" Target="http://undocs.org/ru/CED/C/10/D/1/2013" TargetMode="External"/><Relationship Id="rId5" Type="http://schemas.openxmlformats.org/officeDocument/2006/relationships/hyperlink" Target="http://undocs.org/ru/CCPR/C/50/D/440/1990" TargetMode="External"/><Relationship Id="rId15" Type="http://schemas.openxmlformats.org/officeDocument/2006/relationships/hyperlink" Target="http://undocs.org/ru/A/68/295" TargetMode="External"/><Relationship Id="rId10" Type="http://schemas.openxmlformats.org/officeDocument/2006/relationships/hyperlink" Target="http://undocs.org/ru/A/HRC/39/46" TargetMode="External"/><Relationship Id="rId4" Type="http://schemas.openxmlformats.org/officeDocument/2006/relationships/hyperlink" Target="http://undocs.org/en/CCPR/C/51/D/458/1991" TargetMode="External"/><Relationship Id="rId9" Type="http://schemas.openxmlformats.org/officeDocument/2006/relationships/hyperlink" Target="http://undocs.org/ru/A/HRC/45/13" TargetMode="External"/><Relationship Id="rId14" Type="http://schemas.openxmlformats.org/officeDocument/2006/relationships/hyperlink" Target="http://undocs.org/ru/CCPR/C/114/D/2038/20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5</Pages>
  <Words>1884</Words>
  <Characters>13441</Characters>
  <Application>Microsoft Office Word</Application>
  <DocSecurity>0</DocSecurity>
  <Lines>232</Lines>
  <Paragraphs>38</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CED/C/11</vt:lpstr>
      <vt:lpstr>A/</vt:lpstr>
      <vt:lpstr>A/</vt:lpstr>
      <vt:lpstr>A/</vt:lpstr>
    </vt:vector>
  </TitlesOfParts>
  <Company>DCM</Company>
  <LinksUpToDate>false</LinksUpToDate>
  <CharactersWithSpaces>15301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CED/C/11</dc:title>
  <dc:subject/>
  <dc:creator>Anna BLAGODATSKIKH</dc:creator>
  <cp:keywords/>
  <cp:lastModifiedBy>Anna Blagodatskikh</cp:lastModifiedBy>
  <cp:revision>3</cp:revision>
  <cp:lastPrinted>2024-11-26T09:15:00Z</cp:lastPrinted>
  <dcterms:created xsi:type="dcterms:W3CDTF">2024-11-26T09:15:00Z</dcterms:created>
  <dcterms:modified xsi:type="dcterms:W3CDTF">2024-11-26T09:16:00Z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