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de conformidad con el artículo 18 de la Convención sobre la</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 inicial e informes periódicos segundo y tercero combinados </w:t>
      </w:r>
      <w:r>
        <w:br/>
      </w:r>
      <w:r>
        <w:tab/>
      </w:r>
      <w:r>
        <w:tab/>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 República Yugoslava de Macedonia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r>
        <w:rPr>
          <w:sz w:val="10"/>
        </w:rPr>
        <w:tab/>
      </w:r>
      <w:r>
        <w:rPr>
          <w:sz w:val="10"/>
        </w:rPr>
        <w:tab/>
      </w: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r>
            <w:r>
              <w:tab/>
              <w:t>Primera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1.</w:t>
            </w:r>
            <w:r>
              <w:tab/>
              <w:t>Características naturales y geográficas del país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2.</w:t>
            </w:r>
            <w:r>
              <w:tab/>
              <w:t>Principales acontecimientos históricos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3.</w:t>
            </w:r>
            <w:r>
              <w:tab/>
              <w:t>Población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4.</w:t>
            </w:r>
            <w:r>
              <w:tab/>
              <w:t>Información sobre las características fundamentales del país</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5.</w:t>
            </w:r>
            <w:r>
              <w:tab/>
              <w:t>Incorporación del derecho internacional al ordenamiento jurídico interno</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6.</w:t>
            </w:r>
            <w:r>
              <w:tab/>
              <w:t>Principio de la división de poderes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7.</w:t>
            </w:r>
            <w:r>
              <w:tab/>
              <w:t>Indicadores económicos</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7.1.</w:t>
            </w:r>
            <w:r>
              <w:tab/>
              <w:t>Población activa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r>
            <w:r>
              <w:tab/>
              <w:t>7.2.</w:t>
            </w:r>
            <w:r>
              <w:tab/>
              <w:t>Indicadores económicos básicos de la República de Macedonia correspondientes al período comprendido entre 1994 y 2000</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t>8.</w:t>
            </w:r>
            <w:r>
              <w:tab/>
              <w:t>Marco jurídico de la igualdad entre los géneros</w:t>
            </w:r>
            <w:r>
              <w:rPr>
                <w:spacing w:val="60"/>
                <w:sz w:val="17"/>
              </w:rPr>
              <w:tab/>
            </w:r>
          </w:p>
        </w:tc>
        <w:tc>
          <w:tcPr>
            <w:tcW w:w="792" w:type="dxa"/>
            <w:vAlign w:val="bottom"/>
          </w:tcPr>
          <w:p w:rsidR="00000000" w:rsidRDefault="00000000">
            <w:pPr>
              <w:spacing w:after="120"/>
              <w:ind w:right="40"/>
              <w:jc w:val="right"/>
            </w:pPr>
            <w:r>
              <w:t>11</w:t>
            </w:r>
          </w:p>
        </w:tc>
      </w:tr>
    </w:tbl>
    <w:p w:rsidR="00000000" w:rsidRDefault="00000000">
      <w:pPr>
        <w:spacing w:line="120" w:lineRule="exact"/>
        <w:rPr>
          <w:sz w:val="10"/>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pPr>
            <w:r>
              <w:tab/>
            </w:r>
            <w:r>
              <w:tab/>
              <w:t>Segunda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1</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2</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3</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4</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5</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6</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7</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8</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9</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10</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11</w:t>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12</w:t>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13</w:t>
            </w:r>
            <w:r>
              <w:rPr>
                <w:spacing w:val="60"/>
                <w:sz w:val="17"/>
              </w:rPr>
              <w:tab/>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14</w:t>
            </w:r>
            <w:r>
              <w:rPr>
                <w:spacing w:val="60"/>
                <w:sz w:val="17"/>
              </w:rPr>
              <w:tab/>
            </w:r>
          </w:p>
        </w:tc>
        <w:tc>
          <w:tcPr>
            <w:tcW w:w="792" w:type="dxa"/>
            <w:vAlign w:val="bottom"/>
          </w:tcPr>
          <w:p w:rsidR="00000000" w:rsidRDefault="00000000">
            <w:pPr>
              <w:spacing w:after="120"/>
              <w:ind w:right="40"/>
              <w:jc w:val="right"/>
            </w:pPr>
            <w:r>
              <w:t>126</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15</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16</w:t>
            </w:r>
            <w:r>
              <w:rPr>
                <w:spacing w:val="60"/>
                <w:sz w:val="17"/>
              </w:rPr>
              <w:tab/>
            </w:r>
          </w:p>
        </w:tc>
        <w:tc>
          <w:tcPr>
            <w:tcW w:w="792" w:type="dxa"/>
            <w:vAlign w:val="bottom"/>
          </w:tcPr>
          <w:p w:rsidR="00000000" w:rsidRDefault="00000000">
            <w:pPr>
              <w:spacing w:after="120"/>
              <w:ind w:right="40"/>
              <w:jc w:val="right"/>
            </w:pPr>
            <w:r>
              <w:t>133</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pPr>
            <w:r>
              <w:tab/>
            </w:r>
            <w:r>
              <w:tab/>
              <w:t>Tercera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Anexo 1. Datos del Instituto Estatal de Estadística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Anexo 2. Relativo a las organizaciones no gubernamentales</w:t>
            </w:r>
          </w:p>
        </w:tc>
        <w:tc>
          <w:tcPr>
            <w:tcW w:w="792" w:type="dxa"/>
            <w:vAlign w:val="bottom"/>
          </w:tcPr>
          <w:p w:rsidR="00000000" w:rsidRDefault="00000000">
            <w:pPr>
              <w:spacing w:after="120"/>
              <w:ind w:right="40"/>
              <w:jc w:val="right"/>
            </w:pP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anexo 1 (Datos del Instituto Estatal de Estadística) y el anexo 2 (Relativo a las organizaciones no gubernamentales) se pondrá a disposición de los miembros del Comité en el idioma en que se recibió.</w:t>
      </w: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1.</w:t>
      </w:r>
      <w:r>
        <w:rPr>
          <w:b w:val="0"/>
        </w:rPr>
        <w:tab/>
      </w:r>
      <w:r>
        <w:t>Características naturales y geográficas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Macedonia está situada en Europa sudoriental, al norte de Grecia, al oeste de Bulgaria, al este de Albania y al sur de Serbia y Montenegro. Tiene una extensión 25.713 km</w:t>
      </w:r>
      <w:r>
        <w:rPr>
          <w:vertAlign w:val="superscript"/>
        </w:rPr>
        <w:t>2</w:t>
      </w:r>
      <w:r>
        <w:t>, de los que 477 corresponden a aguas de superficie y 24.856 a tierra propiamente dicha. La República de Macedonia es un país sin lit</w:t>
      </w:r>
      <w:r>
        <w:t>o</w:t>
      </w:r>
      <w:r>
        <w:t>ral de clima mediterráneo. Es la principal encrucijada entre Europa occidental y central y el Mar Egeo, así como entre Europa meridional y Europa occidental. Su t</w:t>
      </w:r>
      <w:r>
        <w:t>e</w:t>
      </w:r>
      <w:r>
        <w:t>rreno es montañoso y está atravesado por varios valles y tres lagos naturales, cada uno de los cu</w:t>
      </w:r>
      <w:r>
        <w:t>a</w:t>
      </w:r>
      <w:r>
        <w:t>les está dividido por una frontera con uno de sus países vecinos.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2.</w:t>
      </w:r>
      <w:r>
        <w:rPr>
          <w:b w:val="0"/>
        </w:rPr>
        <w:tab/>
      </w:r>
      <w:r>
        <w:t>Principales acontecimientos históricos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siglo XX es un período de despertar de la conciencia nacional del pueblo macedonio. Hay tres acontecimientos históricos de especial importancia en el su</w:t>
      </w:r>
      <w:r>
        <w:t>r</w:t>
      </w:r>
      <w:r>
        <w:t>gimiento del Estado macedonio: la República de Krusevo, en 1903, la convocatoria y las decisiones de la Asamblea antifascista de liberación popular de Macedonia (ASNOM) y el referéndum y la Declaración de independencia y soberanía de 1991.</w:t>
      </w:r>
    </w:p>
    <w:p w:rsidR="00000000" w:rsidRDefault="00000000">
      <w:pPr>
        <w:pStyle w:val="SingleTxt"/>
        <w:suppressAutoHyphens/>
      </w:pPr>
      <w:r>
        <w:tab/>
        <w:t>En un referéndum celebrado el 8 de septiembre de 1991, los ciudadanos de la República de Macedonia confirmaron la condición de Estado y la soberanía del país y votaron en favor de que Macedonia se construyera como Estado soberano e independiente.</w:t>
      </w:r>
    </w:p>
    <w:p w:rsidR="00000000" w:rsidRDefault="00000000">
      <w:pPr>
        <w:pStyle w:val="SingleTxt"/>
      </w:pPr>
      <w:r>
        <w:tab/>
        <w:t>Los resultados del referéndum quedaron confirmados por una Declaración emitida por la Asamblea (Parlamento) de la República de Macedonia en la sesión que cel</w:t>
      </w:r>
      <w:r>
        <w:t>e</w:t>
      </w:r>
      <w:r>
        <w:t>bró el 17 de septiembre de 1991.</w:t>
      </w:r>
    </w:p>
    <w:p w:rsidR="00000000" w:rsidRDefault="00000000">
      <w:pPr>
        <w:pStyle w:val="SingleTxt"/>
      </w:pPr>
      <w:r>
        <w:tab/>
        <w:t>Paralelamente a las actividades relacionadas con el acceso a la independencia de la República de Macedonia, se preparó una nueva Constitución que fue aprobada por el Parlamento el 17 de noviembre de 1991. Desde entonces se han llevado a c</w:t>
      </w:r>
      <w:r>
        <w:t>a</w:t>
      </w:r>
      <w:r>
        <w:t>bo varias reformas de la Constitución, las últimas de las cuales son las Enmiendas Nos. 4 a 18, aprobadas el 20 de noviembre de 2001, que se basaron en el Acuerdo Marco de Ohrid, de agosto de 2001.</w:t>
      </w:r>
    </w:p>
    <w:p w:rsidR="00000000" w:rsidRDefault="00000000">
      <w:pPr>
        <w:pStyle w:val="SingleTxt"/>
      </w:pPr>
      <w:r>
        <w:tab/>
        <w:t>El 19 de diciembre de 1991, el Parlamento aprobó una Declaración por la que pedía que se reconociera internacionalmente a la República de Macedonia como Estado soberano e independiente.</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3.</w:t>
      </w:r>
      <w:r>
        <w:rPr>
          <w:b w:val="0"/>
        </w:rPr>
        <w:tab/>
      </w:r>
      <w:r>
        <w:t>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origen étnico de los habitantes de la República de Macedonia es el siguie</w:t>
      </w:r>
      <w:r>
        <w:t>n</w:t>
      </w:r>
      <w:r>
        <w:t>te: 64,18% de macedonios, 25,17% de albaneses, 3,85% de turcos, 2,66% de rom</w:t>
      </w:r>
      <w:r>
        <w:t>a</w:t>
      </w:r>
      <w:r>
        <w:t>níes, 0,48% de valacos, 1,78% de serbios, 0,84% de bosnios y 1,04% de otros oríg</w:t>
      </w:r>
      <w:r>
        <w:t>e</w:t>
      </w:r>
      <w:r>
        <w:t>nes étnicos. Las religiones predominantes en el país son la ortodoxa y la musulm</w:t>
      </w:r>
      <w:r>
        <w:t>a</w:t>
      </w:r>
      <w:r>
        <w:t>na.</w:t>
      </w:r>
    </w:p>
    <w:p w:rsidR="00000000" w:rsidRDefault="00000000">
      <w:pPr>
        <w:pStyle w:val="SingleTxt"/>
      </w:pPr>
      <w:r>
        <w:tab/>
        <w:t>La República de Macedonia cuenta con 2.022.547 habitantes según el último censo, realizado en 2002.</w:t>
      </w:r>
    </w:p>
    <w:p w:rsidR="00000000" w:rsidRDefault="00000000">
      <w:pPr>
        <w:pStyle w:val="SingleTxt"/>
        <w:keepNext/>
        <w:keepLines/>
      </w:pPr>
      <w:r>
        <w:tab/>
        <w:t>La estructura de edades de la población es la siguiente:</w:t>
      </w:r>
    </w:p>
    <w:p w:rsidR="00000000" w:rsidRDefault="00000000">
      <w:pPr>
        <w:pStyle w:val="SingleTxt"/>
        <w:keepNext/>
        <w:keepLines/>
        <w:ind w:left="1742" w:hanging="475"/>
      </w:pPr>
      <w:r>
        <w:rPr>
          <w:b/>
        </w:rPr>
        <w:tab/>
        <w:t xml:space="preserve">0 a 14 años: </w:t>
      </w:r>
      <w:r>
        <w:t>426.280 personas, lo que representa el 21,08% (219.628 hombres (el 21,63%); y 206.652 mujeres (el 20,52%))</w:t>
      </w:r>
    </w:p>
    <w:p w:rsidR="00000000" w:rsidRDefault="00000000">
      <w:pPr>
        <w:pStyle w:val="SingleTxt"/>
        <w:keepNext/>
        <w:keepLines/>
        <w:ind w:left="1742" w:hanging="475"/>
      </w:pPr>
      <w:r>
        <w:rPr>
          <w:b/>
        </w:rPr>
        <w:tab/>
        <w:t xml:space="preserve">15 a 64 años: </w:t>
      </w:r>
      <w:r>
        <w:t>1.381.352 personas, lo que representa el 68,30% (698.997 ho</w:t>
      </w:r>
      <w:r>
        <w:t>m</w:t>
      </w:r>
      <w:r>
        <w:t>bres (el 68,84%); y 682.355 muj</w:t>
      </w:r>
      <w:r>
        <w:t>e</w:t>
      </w:r>
      <w:r>
        <w:t>res (el 67,75%))</w:t>
      </w:r>
    </w:p>
    <w:p w:rsidR="00000000" w:rsidRDefault="00000000">
      <w:pPr>
        <w:pStyle w:val="SingleTxt"/>
        <w:keepNext/>
        <w:keepLines/>
        <w:ind w:left="1742" w:hanging="475"/>
      </w:pPr>
      <w:r>
        <w:rPr>
          <w:b/>
        </w:rPr>
        <w:tab/>
        <w:t xml:space="preserve">A partir de 65 años: </w:t>
      </w:r>
      <w:r>
        <w:t>213.712 personas, lo que representa el 10,57% (96.428 ho</w:t>
      </w:r>
      <w:r>
        <w:t>m</w:t>
      </w:r>
      <w:r>
        <w:t>bres (el 9,50%); y 117.284 mujeres (el 11,64%))</w:t>
      </w:r>
    </w:p>
    <w:p w:rsidR="00000000" w:rsidRDefault="00000000">
      <w:pPr>
        <w:pStyle w:val="SingleTxt"/>
        <w:keepNext/>
        <w:keepLines/>
        <w:ind w:left="1742" w:hanging="475"/>
      </w:pPr>
      <w:r>
        <w:rPr>
          <w:b/>
        </w:rPr>
        <w:tab/>
        <w:t>Edad desconocida:</w:t>
      </w:r>
      <w:r>
        <w:t xml:space="preserve"> 1.203 personas, lo que representa el 0,06% (324 hombres (el 0,03%); y 879 mujeres (el 0,09%))</w:t>
      </w:r>
    </w:p>
    <w:p w:rsidR="00000000" w:rsidRDefault="00000000">
      <w:pPr>
        <w:pStyle w:val="SingleTxt"/>
      </w:pPr>
      <w:r>
        <w:tab/>
        <w:t>Las tasas de natalidad y de mortalidad se cifran en 13,35 nacimientos por 1.000 habitantes y 7,74 fallecimientos por 1.000 habitantes, respectivamente. La t</w:t>
      </w:r>
      <w:r>
        <w:t>a</w:t>
      </w:r>
      <w:r>
        <w:t>sa de mortalidad infantil ascendía en 2002 a 12,54 fallecimientos por 1.000 nac</w:t>
      </w:r>
      <w:r>
        <w:t>i</w:t>
      </w:r>
      <w:r>
        <w:t>mientos, en tanto que la tasa de fecundidad se cifraba en 1,77 hijos por mujer.</w:t>
      </w:r>
    </w:p>
    <w:p w:rsidR="00000000" w:rsidRDefault="00000000">
      <w:pPr>
        <w:pStyle w:val="SingleTxt"/>
      </w:pPr>
      <w:r>
        <w:tab/>
        <w:t>La esperanza media de vida se cifra en 76 años en el caso de las mujeres y en 72 años en el caso los hombres. Hay numerosos indicadores que muestran que la e</w:t>
      </w:r>
      <w:r>
        <w:t>s</w:t>
      </w:r>
      <w:r>
        <w:t>peranza de vida de hombres y mujeres ha aume</w:t>
      </w:r>
      <w:r>
        <w:t>n</w:t>
      </w:r>
      <w:r>
        <w:t>tado en los últimos años.</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4.</w:t>
      </w:r>
      <w:r>
        <w:rPr>
          <w:b w:val="0"/>
        </w:rPr>
        <w:tab/>
      </w:r>
      <w:r>
        <w:t>Información sobre las características fundamentales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1 de la Constitución, la República de Maced</w:t>
      </w:r>
      <w:r>
        <w:t>o</w:t>
      </w:r>
      <w:r>
        <w:t>nia es un país soberano, independiente, democrático y de bienestar social, en el que la s</w:t>
      </w:r>
      <w:r>
        <w:t>o</w:t>
      </w:r>
      <w:r>
        <w:t>beranía dimana de sus ciudadanos y pertenece a ellos.</w:t>
      </w:r>
    </w:p>
    <w:p w:rsidR="00000000" w:rsidRDefault="00000000">
      <w:pPr>
        <w:pStyle w:val="SingleTxt"/>
      </w:pPr>
      <w:r>
        <w:tab/>
        <w:t>La Constitución, al afirmar que los ciudadanos son quienes detentan el poder, establece un sistema pol</w:t>
      </w:r>
      <w:r>
        <w:t>í</w:t>
      </w:r>
      <w:r>
        <w:t>tico de democracia parlamentaria.</w:t>
      </w:r>
    </w:p>
    <w:p w:rsidR="00000000" w:rsidRDefault="00000000">
      <w:pPr>
        <w:pStyle w:val="SingleTxt"/>
      </w:pPr>
      <w:r>
        <w:tab/>
        <w:t>En el artículo 8 de la Constitución se indican los valores fundamentales del sistema constitucional de la República de Macedonia: los derechos y libertades fu</w:t>
      </w:r>
      <w:r>
        <w:t>n</w:t>
      </w:r>
      <w:r>
        <w:t>damentales de la persona y de los ciudadanos, reconocidos en el derecho internaci</w:t>
      </w:r>
      <w:r>
        <w:t>o</w:t>
      </w:r>
      <w:r>
        <w:t>nal y delimitados por la Constitución; la libertad de expresión de las distintas etnias y la representación adecuada y justa de los ciudadanos pertenecientes a todas las comunidades en los órganos del Estado y otras instituciones públicas a todos los n</w:t>
      </w:r>
      <w:r>
        <w:t>i</w:t>
      </w:r>
      <w:r>
        <w:t>veles; el imperio del derecho; la división de poderes del Estado (legislativo, ejecut</w:t>
      </w:r>
      <w:r>
        <w:t>i</w:t>
      </w:r>
      <w:r>
        <w:t>vo y judicial); el pluralismo político y la celebración de elecciones libres, directas y democráticas; la protección de la propiedad privada; la libertad de mercado y de empresa; el humanismo y la justicia y la solidaridad sociales; la autonomía local; la regulación y la humanización del espacio; la protección del medio ambiente y de la naturaleza; y la mejora y el respeto de las normas universalmente aceptadas de der</w:t>
      </w:r>
      <w:r>
        <w:t>e</w:t>
      </w:r>
      <w:r>
        <w:t>cho internacional.</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5.</w:t>
      </w:r>
      <w:r>
        <w:rPr>
          <w:b w:val="0"/>
        </w:rPr>
        <w:tab/>
      </w:r>
      <w:r>
        <w:t>Incorporación del derecho internacional al ordenamiento jurídico interno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Macedonia pertenece al grupo de Estados que aplican los principios del derecho continental. Las fuentes básicas del derecho en la República de Macedonia son la Constitución, la legislación y los tratados internacionales rat</w:t>
      </w:r>
      <w:r>
        <w:t>i</w:t>
      </w:r>
      <w:r>
        <w:t>ficados por el Parlamento. Los principios básicos de este sistema son la constituci</w:t>
      </w:r>
      <w:r>
        <w:t>o</w:t>
      </w:r>
      <w:r>
        <w:t>nalidad y la legalidad: todas las normas promulgadas en el ordenamiento jurídico de la República de Macedonia han de estar en consonancia con otra norma jurídica i</w:t>
      </w:r>
      <w:r>
        <w:t>n</w:t>
      </w:r>
      <w:r>
        <w:t>mediatamente superior y, por consiguiente, todas ellas han de ajustarse a la ley s</w:t>
      </w:r>
      <w:r>
        <w:t>u</w:t>
      </w:r>
      <w:r>
        <w:t>prema, a saber, la Constitución.</w:t>
      </w:r>
    </w:p>
    <w:p w:rsidR="00000000" w:rsidRDefault="00000000">
      <w:pPr>
        <w:pStyle w:val="SingleTxt"/>
      </w:pPr>
      <w:r>
        <w:tab/>
        <w:t>La práctica judicial (desarrollada mediante las posiciones adoptadas sobre la base de los principios y opiniones jurídicas del Tribunal Supremo y de los fallos de los tribunales de instancia inferior) es la fuente su</w:t>
      </w:r>
      <w:r>
        <w:t>b</w:t>
      </w:r>
      <w:r>
        <w:t>sidiaria del derecho.</w:t>
      </w:r>
    </w:p>
    <w:p w:rsidR="00000000" w:rsidRDefault="00000000">
      <w:pPr>
        <w:pStyle w:val="SingleTxt"/>
      </w:pPr>
      <w:r>
        <w:tab/>
        <w:t>Los tratados internacionales son una de las fuentes directas del derecho. Con arreglo al artículo 118 de la Constitución de la República de Macedonia, los tratados internacionales ratificados de conformidad con la Constitución forman parte int</w:t>
      </w:r>
      <w:r>
        <w:t>e</w:t>
      </w:r>
      <w:r>
        <w:t>grante del ordenamiento jurídico interno de la República de Macedonia y no pueden ser modificados por otras leyes o normas. Esta disposición constitucional se des</w:t>
      </w:r>
      <w:r>
        <w:t>a</w:t>
      </w:r>
      <w:r>
        <w:t>rrolla en el artículo 98 de la Constitución, según el cual los tribunales de la Repúbl</w:t>
      </w:r>
      <w:r>
        <w:t>i</w:t>
      </w:r>
      <w:r>
        <w:t>ca de Macedonia juzgan sobre la base de la Constitución, las leyes y los tratados internacionales ratificados de conformidad con la Constitución. Así pues, cuando dictan un fallo, los tribunales tienen libertad para aplicar directamente (sin que te</w:t>
      </w:r>
      <w:r>
        <w:t>n</w:t>
      </w:r>
      <w:r>
        <w:t>ga que mediar la promulgación previa de normas jurídicas especiales o suplement</w:t>
      </w:r>
      <w:r>
        <w:t>a</w:t>
      </w:r>
      <w:r>
        <w:t>rias ni de reglamentos) las disposiciones de cualquier convenio internacional pr</w:t>
      </w:r>
      <w:r>
        <w:t>e</w:t>
      </w:r>
      <w:r>
        <w:t>viamente ratificado por el Parlamento. A este respecto, hay diversos convenios que son direct</w:t>
      </w:r>
      <w:r>
        <w:t>a</w:t>
      </w:r>
      <w:r>
        <w:t>mente aplicables en la República de Macedonia</w:t>
      </w:r>
      <w:r>
        <w:rPr>
          <w:rStyle w:val="FootnoteReference"/>
        </w:rPr>
        <w:footnoteReference w:id="1"/>
      </w:r>
      <w:r>
        <w:t>.</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6.</w:t>
      </w:r>
      <w:r>
        <w:rPr>
          <w:b w:val="0"/>
        </w:rPr>
        <w:tab/>
      </w:r>
      <w:r>
        <w:t>Principio de la división de poderes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sistema de la democracia parlamentaria se pone de manifiesto en la organ</w:t>
      </w:r>
      <w:r>
        <w:t>i</w:t>
      </w:r>
      <w:r>
        <w:t>zación de la autoridad del Estado, que se basa en el principio de la división de pod</w:t>
      </w:r>
      <w:r>
        <w:t>e</w:t>
      </w:r>
      <w:r>
        <w:t>res. Un valor fundamental del sistema constitucional de la República de Macedonia es la d</w:t>
      </w:r>
      <w:r>
        <w:t>i</w:t>
      </w:r>
      <w:r>
        <w:t>visión de poderes entre los órganos legislativo, ejecutivo y judicial.</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Asamblea (Parlamento) de la República de Macedonia</w:t>
      </w:r>
    </w:p>
    <w:p w:rsidR="00000000" w:rsidRDefault="00000000">
      <w:pPr>
        <w:pStyle w:val="SingleTxt"/>
        <w:spacing w:after="0" w:line="120" w:lineRule="exact"/>
        <w:rPr>
          <w:sz w:val="10"/>
        </w:rPr>
      </w:pPr>
    </w:p>
    <w:p w:rsidR="00000000" w:rsidRDefault="00000000">
      <w:pPr>
        <w:pStyle w:val="SingleTxt"/>
      </w:pPr>
      <w:r>
        <w:tab/>
        <w:t>El Parlamento de la República de Macedonia es un órgano representativo de los ciudadanos y detenta el poder legislativo del país. El Parlamento está integrado por 120 diputados, elegidos por un período de cuatro años en general, mediante elecciones directas, libres y secretas. Entre otras cosas, el Parlamento promulga y reforma la Constitución; promulga leyes y realiza interpretaciones auténticas de la legislación; ratifica los tratados internacionales; dicta decisiones en relación con la modificación de las fronteras de la República de Macedonia; anuncia la celebración de referéndums; elige al Gobierno de la República de Macedonia y a los magistr</w:t>
      </w:r>
      <w:r>
        <w:t>a</w:t>
      </w:r>
      <w:r>
        <w:t>dos del Tribunal Constitucional; da fuerza legal a la elección y destitución de los jueces; procede al control y a la supervisión políticos del Gobierno y de otros titul</w:t>
      </w:r>
      <w:r>
        <w:t>a</w:t>
      </w:r>
      <w:r>
        <w:t>res de cargos públicos que sean responsables ante el Parlamento; y concede amni</w:t>
      </w:r>
      <w:r>
        <w:t>s</w:t>
      </w:r>
      <w:r>
        <w:t>tías.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Presidente de la República de Macedonia </w:t>
      </w:r>
    </w:p>
    <w:p w:rsidR="00000000" w:rsidRDefault="00000000">
      <w:pPr>
        <w:pStyle w:val="SingleTxt"/>
        <w:spacing w:after="0" w:line="120" w:lineRule="exact"/>
        <w:rPr>
          <w:sz w:val="10"/>
        </w:rPr>
      </w:pPr>
    </w:p>
    <w:p w:rsidR="00000000" w:rsidRDefault="00000000">
      <w:pPr>
        <w:pStyle w:val="SingleTxt"/>
      </w:pPr>
      <w:r>
        <w:tab/>
        <w:t>El Presidente de la República de Macedonia es el Jefe del Estado y representa a éste. Es el comandante en jefe de las fuerzas armadas de la República de Maced</w:t>
      </w:r>
      <w:r>
        <w:t>o</w:t>
      </w:r>
      <w:r>
        <w:t>nia. El Presidente nombra al Jefe del Gobierno; nombra y destituye mediante d</w:t>
      </w:r>
      <w:r>
        <w:t>e</w:t>
      </w:r>
      <w:r>
        <w:t>creto a los embajadores y representantes de la República de Macedonia en el e</w:t>
      </w:r>
      <w:r>
        <w:t>x</w:t>
      </w:r>
      <w:r>
        <w:t>tranjero; recibe las cartas credenciales y de retirada de los representantes diplomát</w:t>
      </w:r>
      <w:r>
        <w:t>i</w:t>
      </w:r>
      <w:r>
        <w:t>cos; propone a dos magistrados para que formen parte del Tribunal Constitucional; propone a dos miembros para que formen parte del Consejo Judicial Estatal; nombra a tres miembros del Consejo de Seguridad Nacional; y concede indultos con arreglo a d</w:t>
      </w:r>
      <w:r>
        <w:t>e</w:t>
      </w:r>
      <w:r>
        <w:t>recho.</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Gobierno de la República de Macedonia</w:t>
      </w:r>
    </w:p>
    <w:p w:rsidR="00000000" w:rsidRDefault="00000000">
      <w:pPr>
        <w:pStyle w:val="SingleTxt"/>
        <w:spacing w:after="0" w:line="120" w:lineRule="exact"/>
        <w:rPr>
          <w:sz w:val="10"/>
        </w:rPr>
      </w:pPr>
    </w:p>
    <w:p w:rsidR="00000000" w:rsidRDefault="00000000">
      <w:pPr>
        <w:pStyle w:val="SingleTxt"/>
      </w:pPr>
      <w:r>
        <w:tab/>
        <w:t>El Gobierno de la República de Macedonia es el titular básico del poder ejec</w:t>
      </w:r>
      <w:r>
        <w:t>u</w:t>
      </w:r>
      <w:r>
        <w:t>tivo. La organización y las actividades del Gobierno se rigen por la Ley del Gobie</w:t>
      </w:r>
      <w:r>
        <w:t>r</w:t>
      </w:r>
      <w:r>
        <w:t>no. El Gobierno y cada uno de sus miembros son responsables de su labor ante el Parl</w:t>
      </w:r>
      <w:r>
        <w:t>a</w:t>
      </w:r>
      <w:r>
        <w:t>mento.</w:t>
      </w:r>
    </w:p>
    <w:p w:rsidR="00000000" w:rsidRDefault="00000000">
      <w:pPr>
        <w:pStyle w:val="SingleTxt"/>
      </w:pPr>
      <w:r>
        <w:tab/>
        <w:t>De conformidad con el artículo 91 de la Constitución, el Gobierno de la Rep</w:t>
      </w:r>
      <w:r>
        <w:t>ú</w:t>
      </w:r>
      <w:r>
        <w:t>blica de Macedonia, entre otras cosas, define la política de aplicación de las leyes y otros reglamentos aprobados por el Parlamento y se encarga de su aplicación; pr</w:t>
      </w:r>
      <w:r>
        <w:t>o</w:t>
      </w:r>
      <w:r>
        <w:t>pone leyes, el presupuesto del Estado y otras normas generales que promulga el Parlamento; establece principios de organización interna de los ministerios y otros órganos administrativos; formula opiniones respecto de los proyectos de leyes y normas que se preparan en el Parlamento y otros órganos responsables; decide ace</w:t>
      </w:r>
      <w:r>
        <w:t>r</w:t>
      </w:r>
      <w:r>
        <w:t>ca del reconocimiento de Estados y gobiernos; establece relaciones diplomáticas y consulares con otros países; propone a una persona para que desempeñe el cargo de Fiscal General; propone el nombramiento de embajadores y representantes de la R</w:t>
      </w:r>
      <w:r>
        <w:t>e</w:t>
      </w:r>
      <w:r>
        <w:t>pública de Macedonia en el extranjero; y desempeña otras funciones que le enc</w:t>
      </w:r>
      <w:r>
        <w:t>o</w:t>
      </w:r>
      <w:r>
        <w:t>miendan la Constitución y otras normas jurídicas.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poder judicial</w:t>
      </w:r>
    </w:p>
    <w:p w:rsidR="00000000" w:rsidRDefault="00000000">
      <w:pPr>
        <w:pStyle w:val="SingleTxt"/>
        <w:spacing w:after="0" w:line="120" w:lineRule="exact"/>
        <w:rPr>
          <w:sz w:val="10"/>
        </w:rPr>
      </w:pPr>
    </w:p>
    <w:p w:rsidR="00000000" w:rsidRDefault="00000000">
      <w:pPr>
        <w:pStyle w:val="SingleTxt"/>
      </w:pPr>
      <w:r>
        <w:tab/>
        <w:t>De conformidad con el artículo 98 de la Constitución, “el poder judicial es ejercitado por los tribunales. Los tribunales son independientes y autónomos y ju</w:t>
      </w:r>
      <w:r>
        <w:t>z</w:t>
      </w:r>
      <w:r>
        <w:t>gan sobre la base de la Constitución, las leyes y los tratados internacionales ratific</w:t>
      </w:r>
      <w:r>
        <w:t>a</w:t>
      </w:r>
      <w:r>
        <w:t>dos con arreglo a la Constitución. La organización de los tribunales es uniforme. Se prohíben los tribunales de emergencia. Los tipos, la competencia, el establecimie</w:t>
      </w:r>
      <w:r>
        <w:t>n</w:t>
      </w:r>
      <w:r>
        <w:t>to, la anulación, la organización y la composición de los tribunales, así como el pr</w:t>
      </w:r>
      <w:r>
        <w:t>o</w:t>
      </w:r>
      <w:r>
        <w:t>cedimiento que éstos siguen, se regulan por una ley aprobada por las dos terceras pa</w:t>
      </w:r>
      <w:r>
        <w:t>r</w:t>
      </w:r>
      <w:r>
        <w:t>tes del total de los diputados del Parlamento”.</w:t>
      </w:r>
    </w:p>
    <w:p w:rsidR="00000000" w:rsidRDefault="00000000">
      <w:pPr>
        <w:pStyle w:val="SingleTxt"/>
      </w:pPr>
      <w:r>
        <w:tab/>
        <w:t>En 1995 se aprobó la Ley de tribunales para poner en práctica la disposición constitucional sobre la judicatura. Entre otras cosas, en la Ley se definen los objet</w:t>
      </w:r>
      <w:r>
        <w:t>i</w:t>
      </w:r>
      <w:r>
        <w:t>vos y funciones de la judicatura, que incluyen: a) la aplicación imparcial del der</w:t>
      </w:r>
      <w:r>
        <w:t>e</w:t>
      </w:r>
      <w:r>
        <w:t>cho, con independencia de la posición y de la capacidad de las partes; b) el fomento, dentro del marco de las capacidades judiciales, de la protección y el respeto de los derechos humanos y de las libertades fundamentales; y c) las garantías jurídicas y el establecimiento de condiciones para que toda persona viva en condiciones de seg</w:t>
      </w:r>
      <w:r>
        <w:t>u</w:t>
      </w:r>
      <w:r>
        <w:t>ridad con arreglo a la ley. En cuanto a la competencia de los tribunales, en la Ley se establece que los tribunales decidirán, con arreglo al procedimiento legalmente e</w:t>
      </w:r>
      <w:r>
        <w:t>s</w:t>
      </w:r>
      <w:r>
        <w:t>tablecido, acerca de los derechos y los intereses de los ciudadanos sobre la base del derecho; las controversias entre los ciudadanos y otras entidades jurídicas; y los a</w:t>
      </w:r>
      <w:r>
        <w:t>c</w:t>
      </w:r>
      <w:r>
        <w:t>tos punibles y otras cuestiones que entren dentro de la competencia de los tribunales con arreglo a derecho. En la República de Macedonia el poder judicial se ejercita por 27 tribunales de primera instancia, tres tribunales de apelaciones y el Tribunal Supr</w:t>
      </w:r>
      <w:r>
        <w:t>e</w:t>
      </w:r>
      <w:r>
        <w:t>mo.</w:t>
      </w:r>
    </w:p>
    <w:p w:rsidR="00000000" w:rsidRDefault="00000000">
      <w:pPr>
        <w:pStyle w:val="SingleTxt"/>
      </w:pPr>
      <w:r>
        <w:tab/>
        <w:t>Las reformas de la judicatura incluyen la Estrategia de reforma de la judicat</w:t>
      </w:r>
      <w:r>
        <w:t>u</w:t>
      </w:r>
      <w:r>
        <w:t>ra, la promulgación de la Ley de independencia del presupuesto de los tribunales y las modificaciones de la Ley de tribunales, cuyo objetivo es reforzar la independe</w:t>
      </w:r>
      <w:r>
        <w:t>n</w:t>
      </w:r>
      <w:r>
        <w:t>cia y la autonomía de la judicatura de la República de Macedonia.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7.</w:t>
      </w:r>
      <w:r>
        <w:rPr>
          <w:b w:val="0"/>
        </w:rPr>
        <w:tab/>
      </w:r>
      <w:r>
        <w:t>Indicadores económicos</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7.1</w:t>
      </w:r>
      <w:r>
        <w:rPr>
          <w:b w:val="0"/>
        </w:rPr>
        <w:t>.</w:t>
      </w:r>
      <w:r>
        <w:rPr>
          <w:b w:val="0"/>
        </w:rPr>
        <w:tab/>
      </w:r>
      <w:r>
        <w:t>Población activa</w:t>
      </w:r>
    </w:p>
    <w:p w:rsidR="00000000" w:rsidRDefault="00000000">
      <w:pPr>
        <w:pStyle w:val="SingleTxt"/>
        <w:spacing w:after="0" w:line="120" w:lineRule="exact"/>
        <w:rPr>
          <w:sz w:val="10"/>
        </w:rPr>
      </w:pPr>
    </w:p>
    <w:p w:rsidR="00000000" w:rsidRDefault="00000000">
      <w:pPr>
        <w:pStyle w:val="SingleTxt"/>
      </w:pPr>
      <w:r>
        <w:tab/>
        <w:t>Las modificaciones estructurales de la economía macedonia en los últimos años entrañan grandes cambios tanto en la estructura de la población activa como en sus c</w:t>
      </w:r>
      <w:r>
        <w:t>a</w:t>
      </w:r>
      <w:r>
        <w:t>racterísticas básicas.</w:t>
      </w:r>
    </w:p>
    <w:p w:rsidR="00000000" w:rsidRDefault="00000000">
      <w:pPr>
        <w:pStyle w:val="SingleTxt"/>
      </w:pPr>
      <w:r>
        <w:tab/>
        <w:t>El empleo en la República de Macedonia se caracteriza por una estructura muy desfavorable en función del género, la edad y el nivel de instrucción. Esa estructura no ha experimentado cambios desde hace largo tiempo, principalmente como cons</w:t>
      </w:r>
      <w:r>
        <w:t>e</w:t>
      </w:r>
      <w:r>
        <w:t>cuencia de la inestable situación económica y social del país y la discrepancia entre las calificaciones de los trabajadores y las que requiere el mercado laboral.</w:t>
      </w:r>
    </w:p>
    <w:p w:rsidR="00000000" w:rsidRDefault="00000000">
      <w:pPr>
        <w:pStyle w:val="SingleTxt"/>
      </w:pPr>
      <w:r>
        <w:tab/>
        <w:t>De conformidad con la encuesta de población activa realizada en 2000, había 1.534.256 personas con más de 15 años de edad. De ellas, el 52,9% estaban integr</w:t>
      </w:r>
      <w:r>
        <w:t>a</w:t>
      </w:r>
      <w:r>
        <w:t>das en el mercado laboral, en tanto que el 47,1% eran personas inactivas. El número total de personas que formaban parte de la población activa de la República de M</w:t>
      </w:r>
      <w:r>
        <w:t>a</w:t>
      </w:r>
      <w:r>
        <w:t>cedonia en 2000 era de 811.557. La tasa de empleo de la población activa total era del 67,8 %, mientras que la tasa de desempleo se cifraba en el 32,2%.</w:t>
      </w:r>
    </w:p>
    <w:p w:rsidR="00000000" w:rsidRDefault="00000000">
      <w:pPr>
        <w:pStyle w:val="SingleTxt"/>
      </w:pPr>
      <w:r>
        <w:tab/>
        <w:t>Según el análisis de las tasas de actividad de la población en los cinco últimos años, la actividad de la población total está disminuyendo, no se han producido cambios significativos en materia de empleo y está aumentando la tasa de dese</w:t>
      </w:r>
      <w:r>
        <w:t>m</w:t>
      </w:r>
      <w:r>
        <w:t>pleo. Los datos confirman que, como consecuencia de las condiciones negativas i</w:t>
      </w:r>
      <w:r>
        <w:t>m</w:t>
      </w:r>
      <w:r>
        <w:t xml:space="preserve">perantes durante largo tiempo en el mercado laboral (elevada tasa de desempleo y desempleo de larga data), una parte considerable de la población en edad de trabajar está fuera del mercado laboral. </w:t>
      </w:r>
    </w:p>
    <w:p w:rsidR="00000000" w:rsidRDefault="00000000">
      <w:pPr>
        <w:pStyle w:val="SingleTxt"/>
      </w:pPr>
      <w:r>
        <w:tab/>
        <w:t>Los indicadores básicos de la actividad económica de la población muestran una disminución de las tasas de actividad, una reducción de la tasa de empleo y el</w:t>
      </w:r>
      <w:r>
        <w:t>e</w:t>
      </w:r>
      <w:r>
        <w:t>vadas tasas de desempleo.</w:t>
      </w:r>
    </w:p>
    <w:p w:rsidR="00000000" w:rsidRDefault="00000000">
      <w:pPr>
        <w:pStyle w:val="SingleTxt"/>
      </w:pPr>
      <w:r>
        <w:tab/>
        <w:t>En el cuadro 1 figuran datos sobre la población activa y el número de emple</w:t>
      </w:r>
      <w:r>
        <w:t>a</w:t>
      </w:r>
      <w:r>
        <w:t>dos y desempleados en función del género y del origen nacional durante el período co</w:t>
      </w:r>
      <w:r>
        <w:t>m</w:t>
      </w:r>
      <w:r>
        <w:t>prendido entre 1996 y 2000, en valores absolutos.</w:t>
      </w:r>
    </w:p>
    <w:p w:rsidR="00000000" w:rsidRDefault="00000000">
      <w:pPr>
        <w:pStyle w:val="DualTxt"/>
        <w:rPr>
          <w:b/>
        </w:rPr>
      </w:pPr>
      <w:r>
        <w:br w:type="page"/>
      </w:r>
      <w:r>
        <w:rPr>
          <w:b/>
        </w:rPr>
        <w:t>1.</w:t>
      </w:r>
      <w:r>
        <w:rPr>
          <w:b/>
        </w:rPr>
        <w:tab/>
        <w:t>Población activa en función del género y del origen nacional</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jc w:val="right"/>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Macedonios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Albaneses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Romaníes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789 081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608 605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99 488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18 748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13 739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22 198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537 591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451 540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44 973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251 490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157 065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54 515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13 377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10 768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800 513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614 572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108 365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512 300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429 169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45 136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11 018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10 360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288 213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185 403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63 229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8 285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11 070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823 825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643 689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112 190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15 033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539 761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455 946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50 915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284 064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187 743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61 275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8 057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806 674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636 306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15 196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545 224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460 009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49 131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261 450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176 297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52 782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4 116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811 556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639 364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105 928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549 846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459 200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53 866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12 474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7 416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11 747</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261 710</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180 164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52 062</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7 833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9 776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Reference"/>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Hombres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jc w:val="right"/>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Macedonios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Albaneses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Romaníes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480 259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80 483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14 079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340 579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273 154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7 904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139 680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73 841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41 594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6 175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490 121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350 264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89 562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8 667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13 550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328 404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260 569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41 278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161 717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89 695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6 604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506 835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366 375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95 653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9 669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341 875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272 635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4 734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164 960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93 740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48 783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496 126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359 543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88 925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10 067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337 995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268 341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43 870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8 106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158 131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6 798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488 544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355 630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89 401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12 276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339 550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266 737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47 642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8 299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8 396</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148 994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88 893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41 759</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5 781</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Mujeres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jc w:val="right"/>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Macedonios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Albaneses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Romaníes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Valacos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Serbios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308 822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261 610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19 005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8 119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197 012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178 386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111 810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4 593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310 392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264 308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183 896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168 600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126 496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95 708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4 466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316 990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277 314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197 886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183 311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119 104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94 003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310 548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276 763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207 229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191 668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103 319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85 095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323 012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283 734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210 296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192 463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112 716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91 271</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10 303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2 052</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1 940</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Instituto Estatal de Estadística.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En esta columna, además de incluirse a “otras nacionalidades”, figuran las cifras correspondientes a las personas que se abstuvieron de facilitar información.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SingleTxt"/>
      </w:pPr>
      <w:r>
        <w:tab/>
        <w:t>Según la Oficina de Empleo (cuyos datos difieren de los de la encuesta de p</w:t>
      </w:r>
      <w:r>
        <w:t>o</w:t>
      </w:r>
      <w:r>
        <w:t>blación activa, realizada por el Instituto Estatal de Estadística para su utilización por fuentes administrativas y de investigación) en junio de 2003 el número de dese</w:t>
      </w:r>
      <w:r>
        <w:t>m</w:t>
      </w:r>
      <w:r>
        <w:t>pleados en la República de Macedonia ascendía a 382.275 y era superior en un 3,3% al número correspondiente a junio de 2002. En junio 2003 el número de desemple</w:t>
      </w:r>
      <w:r>
        <w:t>a</w:t>
      </w:r>
      <w:r>
        <w:t>dos había aumentado en más de 100.000 respecto del número correspondiente a d</w:t>
      </w:r>
      <w:r>
        <w:t>i</w:t>
      </w:r>
      <w:r>
        <w:t>ciembre de 1998, fecha en que el número de desempleados ascendía a 284.064. S</w:t>
      </w:r>
      <w:r>
        <w:t>e</w:t>
      </w:r>
      <w:r>
        <w:t>gún esos mismos datos, el número total de desempleados en 1999 ascendió a 354.660, en 2000 a 366.211, en 2001 a 360.340 y finales de 2002 a 374.144.</w:t>
      </w:r>
    </w:p>
    <w:p w:rsidR="00000000" w:rsidRDefault="00000000">
      <w:pPr>
        <w:pStyle w:val="SingleTxt"/>
      </w:pPr>
      <w:r>
        <w:tab/>
        <w:t>Por ejemplo, en junio de 2003, 5.650 personas que se habían inscrito en la Of</w:t>
      </w:r>
      <w:r>
        <w:t>i</w:t>
      </w:r>
      <w:r>
        <w:t>cina de Empleo adquirieron la condición de desempleadas. El mayor número de d</w:t>
      </w:r>
      <w:r>
        <w:t>e</w:t>
      </w:r>
      <w:r>
        <w:t>sempleados corresponde a Skopje (89.008), Kumanovo (32.106), Tetovo (28.605), Prilep (26.723), Strumica (24.726) y Bitola (21.120). Del número total de dese</w:t>
      </w:r>
      <w:r>
        <w:t>m</w:t>
      </w:r>
      <w:r>
        <w:t>pleados del país, el 58,2 % se concentra en esas seis ciudades.</w:t>
      </w:r>
    </w:p>
    <w:p w:rsidR="00000000" w:rsidRDefault="00000000">
      <w:pPr>
        <w:pStyle w:val="SingleTxt"/>
      </w:pPr>
      <w:r>
        <w:tab/>
        <w:t>Por lo que respecta a la distribución por sexos, hay desempleados 215.321 hombres (el 56,3%) y 166.954 mujeres (el 43,7%). La mayor parte de los dese</w:t>
      </w:r>
      <w:r>
        <w:t>m</w:t>
      </w:r>
      <w:r>
        <w:t>pleados tiene como máximo 30 años de edad (el 35,2%).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7.2.</w:t>
      </w:r>
      <w:r>
        <w:tab/>
        <w:t>Indicadores económicos básicos de la República de Macedonia correspondientes al período comprendido entre 1994 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 mediados de año (en miles de habitantes)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1 946</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1 966</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33 487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32 154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15 771</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16 338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Sueldo neto promedio por trabajador (en dinares)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7 754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8 581</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1 086 343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1 204 048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1 844 092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1 718 904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Precios al por menor</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115,9</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(en millones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r>
      <w:tr w:rsidR="00000000">
        <w:tblPrEx>
          <w:tblCellMar>
            <w:top w:w="0" w:type="dxa"/>
            <w:left w:w="0" w:type="dxa"/>
            <w:bottom w:w="0" w:type="dxa"/>
            <w:right w:w="0" w:type="dxa"/>
          </w:tblCellMar>
        </w:tblPrEx>
        <w:tc>
          <w:tcPr>
            <w:tcW w:w="4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per cápita (en dólares EE.UU.)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1 742</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1 705</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 mediados de año (en miles de habitantes)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1 997</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31 403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29 478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16 063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16 596</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Sueldo neto promedio por trabajador (en dinares)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8 817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9 063</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1 147 440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1 236 808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1 626 917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1 778 515</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101,5</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Precios al por menor</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(en millones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3 458</w:t>
            </w:r>
          </w:p>
        </w:tc>
      </w:tr>
      <w:tr w:rsidR="00000000">
        <w:tblPrEx>
          <w:tblCellMar>
            <w:top w:w="0" w:type="dxa"/>
            <w:left w:w="0" w:type="dxa"/>
            <w:bottom w:w="0" w:type="dxa"/>
            <w:right w:w="0" w:type="dxa"/>
          </w:tblCellMar>
        </w:tblPrEx>
        <w:tc>
          <w:tcPr>
            <w:tcW w:w="4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per cápita (en dólares EE.UU.)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1 709</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93" w:right="40"/>
              <w:jc w:val="right"/>
              <w:rPr>
                <w:sz w:val="17"/>
              </w:rPr>
            </w:pPr>
            <w:r>
              <w:rPr>
                <w:sz w:val="17"/>
              </w:rPr>
              <w:t>1 732</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 mediados de año (en miles de habitantes)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2 017</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29 244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27 309</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16 870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16 789</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Sueldo neto promedio por trabajador (en dinares)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9 394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9 664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1 310 679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1 191 266</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1 914 663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1 776 151</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Precios al por menor</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(en millones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3 730</w:t>
            </w:r>
          </w:p>
        </w:tc>
      </w:tr>
      <w:tr w:rsidR="00000000">
        <w:tblPrEx>
          <w:tblCellMar>
            <w:top w:w="0" w:type="dxa"/>
            <w:left w:w="0" w:type="dxa"/>
            <w:bottom w:w="0" w:type="dxa"/>
            <w:right w:w="0" w:type="dxa"/>
          </w:tblCellMar>
        </w:tblPrEx>
        <w:tc>
          <w:tcPr>
            <w:tcW w:w="4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per cápita (en dólares EE.UU.)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1 781</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 mediados de año (en miles de habitantes)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2 026</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2 031</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26 972</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17 253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16 778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Sueldo neto promedio por trabajador (en dinares)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10 193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10 552</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1 318 993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1 155 068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Importaciones (en miles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2 084 738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1 687 600</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Precios al por menor</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110,6</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105,2</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(en millones de dólares EE.UU.)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 interno bruto per cápita (en dólares EE.UU.)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1 924</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comentarios correspondientes a determinados artículos de la Conve</w:t>
      </w:r>
      <w:r>
        <w:t>n</w:t>
      </w:r>
      <w:r>
        <w:t>ción sobre la eliminación de todas las formas de discriminación contra la mujer f</w:t>
      </w:r>
      <w:r>
        <w:t>i</w:t>
      </w:r>
      <w:r>
        <w:t>gura información más detallada, desde la perspectiva de género, acerca de las cue</w:t>
      </w:r>
      <w:r>
        <w:t>s</w:t>
      </w:r>
      <w:r>
        <w:t>tiones planteadas.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8.</w:t>
      </w:r>
      <w:r>
        <w:rPr>
          <w:b w:val="0"/>
        </w:rPr>
        <w:tab/>
      </w:r>
      <w:r>
        <w:t>Marco jurídico de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Constitución de la República de Macedonia, los ciud</w:t>
      </w:r>
      <w:r>
        <w:t>a</w:t>
      </w:r>
      <w:r>
        <w:t>danos tienen los mismos derechos y libertades con independencia de su género, r</w:t>
      </w:r>
      <w:r>
        <w:t>a</w:t>
      </w:r>
      <w:r>
        <w:t>za, color, origen nacional y social, ideas políticas y religiosas, patrimonio y situ</w:t>
      </w:r>
      <w:r>
        <w:t>a</w:t>
      </w:r>
      <w:r>
        <w:t>ción social. Además, la igualdad entre el hombre y la mujer se pone de manifiesto en todas las normas jurídicas del país. La República de Macedonia es firmante de cierto número de instrumentos jurídicos internacionales relacionados con la igua</w:t>
      </w:r>
      <w:r>
        <w:t>l</w:t>
      </w:r>
      <w:r>
        <w:t>dad entre los géneros y la posición de la mujer. En su calidad del país sucesor de la ex Yugoslavia, Macedonia se adhirió a la Convención sobre la eliminación de todas las formas de discriminación contra la mujer, que entró en vigor el 17 de septiembre de 1991, fecha en la que el país asumió las obligaciones necesarias ante la comun</w:t>
      </w:r>
      <w:r>
        <w:t>i</w:t>
      </w:r>
      <w:r>
        <w:t>dad intern</w:t>
      </w:r>
      <w:r>
        <w:t>a</w:t>
      </w:r>
      <w:r>
        <w:t>cional.</w:t>
      </w:r>
    </w:p>
    <w:p w:rsidR="00000000" w:rsidRDefault="00000000">
      <w:pPr>
        <w:pStyle w:val="SingleTxt"/>
      </w:pPr>
      <w:r>
        <w:tab/>
        <w:t>La República de Macedonia firmó el Protocolo Facultativo de la Convención sobre la eliminación de todas las formas de discriminación contra la mujer, 2000, que procedió a ratificar el 24 de junio de 2003, tras de lo cual el Protocolo entró en vigor el 17 octubre de ese mismo año.</w:t>
      </w:r>
    </w:p>
    <w:p w:rsidR="00000000" w:rsidRDefault="00000000">
      <w:pPr>
        <w:pStyle w:val="SingleTxt"/>
      </w:pPr>
      <w:r>
        <w:tab/>
        <w:t>Según la Constitución, todo ciudadano tiene derecho a trabajar, a elegir libr</w:t>
      </w:r>
      <w:r>
        <w:t>e</w:t>
      </w:r>
      <w:r>
        <w:t>mente su trabajo, a ser protegido en el trabajo y a contar con apoyo económico en caso de desempleo. El mercado laboral es accesible a todos, sin que exista ninguna discriminación basada en el género. La mayor parte de las mujeres del sector no i</w:t>
      </w:r>
      <w:r>
        <w:t>n</w:t>
      </w:r>
      <w:r>
        <w:t>dustrial trabajan en actividades de atención de la salud y de protección social, así como en la administración, pero muy rara vez ocupan cargos elevados en el proceso de ado</w:t>
      </w:r>
      <w:r>
        <w:t>p</w:t>
      </w:r>
      <w:r>
        <w:t>ción de decisiones.</w:t>
      </w:r>
    </w:p>
    <w:p w:rsidR="00000000" w:rsidRDefault="00000000">
      <w:pPr>
        <w:pStyle w:val="SingleTxt"/>
        <w:keepNext/>
        <w:keepLines/>
      </w:pPr>
      <w:r>
        <w:tab/>
        <w:t>Así pues, la igualdad entre los géneros se instrumentaliza en las normas juríd</w:t>
      </w:r>
      <w:r>
        <w:t>i</w:t>
      </w:r>
      <w:r>
        <w:t>cas de la República de Macedonia. Las normas y reglamentos en vigor que detallan esa cuestión ocupan un lugar muy elevado y abarcan una amplia gama de cuesti</w:t>
      </w:r>
      <w:r>
        <w:t>o</w:t>
      </w:r>
      <w:r>
        <w:t>nes, lo que contrasta con la situación de otros países.</w:t>
      </w:r>
    </w:p>
    <w:p w:rsidR="00000000" w:rsidRDefault="00000000">
      <w:pPr>
        <w:pStyle w:val="SingleTxt"/>
      </w:pPr>
      <w:r>
        <w:tab/>
        <w:t>El mecanismo nacional para conseguir la igualdad entre los géneros es la D</w:t>
      </w:r>
      <w:r>
        <w:t>e</w:t>
      </w:r>
      <w:r>
        <w:t>pende</w:t>
      </w:r>
      <w:r>
        <w:t>n</w:t>
      </w:r>
      <w:r>
        <w:t>cia de igualdad entre los géneros del Ministerio de Trabajo y Política Social.</w:t>
      </w:r>
    </w:p>
    <w:p w:rsidR="00000000" w:rsidRDefault="00000000">
      <w:pPr>
        <w:pStyle w:val="SingleTxt"/>
      </w:pPr>
      <w:r>
        <w:tab/>
        <w:t>A fin de destacar la importancia de la adopción de decisiones en pro de la igualdad entre los géneros, en 1998 el Parlamento de la República de Macedonia aprobó una Declaración sobre la igualdad entre los géneros en el proceso de ado</w:t>
      </w:r>
      <w:r>
        <w:t>p</w:t>
      </w:r>
      <w:r>
        <w:t>ción de dec</w:t>
      </w:r>
      <w:r>
        <w:t>i</w:t>
      </w:r>
      <w:r>
        <w:t>siones.</w:t>
      </w:r>
    </w:p>
    <w:p w:rsidR="00000000" w:rsidRDefault="00000000">
      <w:pPr>
        <w:pStyle w:val="SingleTxt"/>
        <w:rPr>
          <w:spacing w:val="2"/>
          <w:w w:val="101"/>
        </w:rPr>
      </w:pPr>
      <w:r>
        <w:rPr>
          <w:spacing w:val="2"/>
          <w:w w:val="101"/>
        </w:rPr>
        <w:tab/>
        <w:t>Además, la Conferencia de Beijing de 1995 dio lugar a la preparación del Plan de Acción Nacional, que fuera aprobado por el Gobierno en diciembre de 1999 y, a partir de entonces, se han aprobado diversas normas y directrices como compl</w:t>
      </w:r>
      <w:r>
        <w:rPr>
          <w:spacing w:val="2"/>
          <w:w w:val="101"/>
        </w:rPr>
        <w:t>e</w:t>
      </w:r>
      <w:r>
        <w:rPr>
          <w:spacing w:val="2"/>
          <w:w w:val="101"/>
        </w:rPr>
        <w:t>mento.</w:t>
      </w:r>
    </w:p>
    <w:p w:rsidR="00000000" w:rsidRDefault="00000000">
      <w:pPr>
        <w:pStyle w:val="SingleTxt"/>
      </w:pPr>
      <w:r>
        <w:tab/>
        <w:t>Las disposiciones de numerosas leyes y reglamentos no establecen en modo alguno un trato desigual para la mujer (es decir, no establecen ninguna situación privilegiada ni ventajosa para el hombre), al tiempo que hay diversas normas juríd</w:t>
      </w:r>
      <w:r>
        <w:t>i</w:t>
      </w:r>
      <w:r>
        <w:t>cas que h</w:t>
      </w:r>
      <w:r>
        <w:t>a</w:t>
      </w:r>
      <w:r>
        <w:t>cen expresamente hincapié en la igualdad entre los géneros.</w:t>
      </w:r>
    </w:p>
    <w:p w:rsidR="00000000" w:rsidRDefault="00000000">
      <w:pPr>
        <w:pStyle w:val="SingleTxt"/>
      </w:pPr>
      <w:r>
        <w:tab/>
        <w:t>La enseñanza es la esfera en que se han obtenido los mejores logros en rel</w:t>
      </w:r>
      <w:r>
        <w:t>a</w:t>
      </w:r>
      <w:r>
        <w:t>ción con los objetivos de establecer la igualdad de trato entre el hombre y la mujer. Las Leyes de enseñanza primaria y secundaria y la Ley de enseñanza superior no contienen disposiciones que promuevan la desigualdad entre los géneros. En el pr</w:t>
      </w:r>
      <w:r>
        <w:t>o</w:t>
      </w:r>
      <w:r>
        <w:t>ceso docente queda claro y explícito el trato no discriminatorio en materia de gén</w:t>
      </w:r>
      <w:r>
        <w:t>e</w:t>
      </w:r>
      <w:r>
        <w:t>ro. La enseñanza primaria obligatoria abarca a todos los niños de Macedonia con i</w:t>
      </w:r>
      <w:r>
        <w:t>n</w:t>
      </w:r>
      <w:r>
        <w:t>dependencia de su sexo. Además, ese principio de la no discriminación se observa plenamente en la enseñanza secundaria. No obstante, las mujeres representan el 75,1% del total de analfabetos.</w:t>
      </w:r>
    </w:p>
    <w:p w:rsidR="00000000" w:rsidRDefault="00000000">
      <w:pPr>
        <w:pStyle w:val="SingleTxt"/>
      </w:pPr>
      <w:r>
        <w:tab/>
        <w:t>En el marco del reconocimiento de los derechos humanos y las libertades fu</w:t>
      </w:r>
      <w:r>
        <w:t>n</w:t>
      </w:r>
      <w:r>
        <w:t>damentales de los ciudadanos, en el artículo 42 de la Constitución se garantiza una protección especial del trabajo de los menores y de las madres, sobre la base de su situación especial. La Ley del empleo se ajusta a las disposiciones constitucionales y en sus artículos 58 a 68 regula la protección especial que se brinda a la mujer.</w:t>
      </w:r>
    </w:p>
    <w:p w:rsidR="00000000" w:rsidRDefault="00000000">
      <w:pPr>
        <w:pStyle w:val="SingleTxt"/>
      </w:pPr>
      <w:r>
        <w:tab/>
        <w:t>De conformidad con esa Ley, las trabajadoras de la República de Macedonia también disfrutan de todos los derechos a la protección en el trabajo durante el e</w:t>
      </w:r>
      <w:r>
        <w:t>m</w:t>
      </w:r>
      <w:r>
        <w:t>barazo. No se pueden encomendar a las mujeres trabajos que redunden en menosc</w:t>
      </w:r>
      <w:r>
        <w:t>a</w:t>
      </w:r>
      <w:r>
        <w:t>bo de su salud ni trabajos nocturnos. Se brinda también esa protección a las trabaj</w:t>
      </w:r>
      <w:r>
        <w:t>a</w:t>
      </w:r>
      <w:r>
        <w:t>doras con hijos menores de dos años de edad.</w:t>
      </w:r>
    </w:p>
    <w:p w:rsidR="00000000" w:rsidRDefault="00000000">
      <w:pPr>
        <w:pStyle w:val="SingleTxt"/>
      </w:pPr>
      <w:r>
        <w:tab/>
        <w:t>Las mujeres tienen derecho a una licencia de maternidad de nueve meses ini</w:t>
      </w:r>
      <w:r>
        <w:t>n</w:t>
      </w:r>
      <w:r>
        <w:t>terrumpidos y, en caso que den a luz a más de un hijo (mellizos, trillizos, etc.) tienen derecho a una licencia de una año. Las trabajadoras pueden comenzar a disfrutar de la licencia de maternidad entre los 28 y los 45 días previos al parto. En caso de que hayan adoptado un niño, tienen los mismos derechos. El padre puede ejercitar el d</w:t>
      </w:r>
      <w:r>
        <w:t>e</w:t>
      </w:r>
      <w:r>
        <w:t>recho a la licencia de paternidad en caso de muerte de la madre o si ésta abandona al hijo o se ve impedida de ejercitar sus derechos por causas justificadas.</w:t>
      </w:r>
    </w:p>
    <w:p w:rsidR="00000000" w:rsidRDefault="00000000">
      <w:pPr>
        <w:pStyle w:val="SingleTxt"/>
        <w:suppressAutoHyphens/>
      </w:pPr>
      <w:r>
        <w:tab/>
        <w:t>Si una trabajadora da a luz a un hijo muerto o si el hijo muere antes de que termine la licencia de maternidad, la trabajadora tiene derecho a prorrogar esa licencia hasta que se recupere según prescripción médica, pero al menos durante un período de 45 días, durante el cual está facultada para ejercitar todos los derechos correspondientes a la licencia de maternidad.</w:t>
      </w:r>
    </w:p>
    <w:p w:rsidR="00000000" w:rsidRDefault="00000000">
      <w:pPr>
        <w:pStyle w:val="SingleTxt"/>
      </w:pPr>
      <w:r>
        <w:tab/>
        <w:t>Durante la licencia de maternidad, las trabajadoras tienen derecho a una pre</w:t>
      </w:r>
      <w:r>
        <w:t>s</w:t>
      </w:r>
      <w:r>
        <w:t>tación salarial por la cuantía que se determine en las normas de empleo y de ate</w:t>
      </w:r>
      <w:r>
        <w:t>n</w:t>
      </w:r>
      <w:r>
        <w:t>ción de la salud.</w:t>
      </w:r>
    </w:p>
    <w:p w:rsidR="00000000" w:rsidRDefault="00000000">
      <w:pPr>
        <w:pStyle w:val="SingleTxt"/>
        <w:rPr>
          <w:spacing w:val="2"/>
          <w:w w:val="101"/>
        </w:rPr>
      </w:pPr>
      <w:r>
        <w:rPr>
          <w:spacing w:val="2"/>
          <w:w w:val="101"/>
        </w:rPr>
        <w:tab/>
        <w:t>Una vez concluida la licencia de maternidad, toda trabajadora tiene derecho a una licencia con goce de sueldo para atender y criar a su hijo hasta que cumpla tres años de edad, en caso de que éste padezca una enfermedad que requiera atención intensiva. Además, tiene derecho a un horario laboral más corto con la misma finalidad. Esos d</w:t>
      </w:r>
      <w:r>
        <w:rPr>
          <w:spacing w:val="2"/>
          <w:w w:val="101"/>
        </w:rPr>
        <w:t>e</w:t>
      </w:r>
      <w:r>
        <w:rPr>
          <w:spacing w:val="2"/>
          <w:w w:val="101"/>
        </w:rPr>
        <w:t>rechos también se reconocen al padre. El padre o la madre de un hijo gravemente disc</w:t>
      </w:r>
      <w:r>
        <w:rPr>
          <w:spacing w:val="2"/>
          <w:w w:val="101"/>
        </w:rPr>
        <w:t>a</w:t>
      </w:r>
      <w:r>
        <w:rPr>
          <w:spacing w:val="2"/>
          <w:w w:val="101"/>
        </w:rPr>
        <w:t>pacitado tiene derecho a trabajar durante la mitad de la jornada laboral en caso de que ambos padres estén empleados o se trate de un padre o madre sin pareja, teniendo en cuenta las conclusiones de la junta médica competente. En esos casos, la jornada laboral reducida tendrá la consideración de jornada laboral completa.</w:t>
      </w:r>
    </w:p>
    <w:p w:rsidR="00000000" w:rsidRDefault="00000000">
      <w:pPr>
        <w:pStyle w:val="SingleTxt"/>
      </w:pPr>
      <w:r>
        <w:tab/>
        <w:t>Las leyes en que se hace especial hincapié en la situación de la mujer son la Ley de sucesiones y la Ley de la familia, en las que se destaca la igualdad entre el hombre la mujer por lo que respecta a los derechos y obligaciones dimanantes de las relaciones familiares, la paternidad o maternidad y el matrimonio. De conformidad con la Ley de sucesiones, el hombre y la mujer tienen los mismos derechos a la h</w:t>
      </w:r>
      <w:r>
        <w:t>e</w:t>
      </w:r>
      <w:r>
        <w:t>rencia. En la práctica, esos derechos no son iguales en el caso del hombre y la m</w:t>
      </w:r>
      <w:r>
        <w:t>u</w:t>
      </w:r>
      <w:r>
        <w:t>jer, lo que obedecen al hecho de que las mujeres están menos familiarizadas con las instituciones que proporcionan asesoramiento, en las que podrían encontrar ayuda y ser debidamente asesoradas para ejercer sus derechos a la herencia después de d</w:t>
      </w:r>
      <w:r>
        <w:t>i</w:t>
      </w:r>
      <w:r>
        <w:t>vorciarse. Las normas jurídicas sobre los derechos de la mujer relacionados con los recursos financieros, la información, la tierra, los recursos de capital, etc. en la R</w:t>
      </w:r>
      <w:r>
        <w:t>e</w:t>
      </w:r>
      <w:r>
        <w:t>pública de Macedonia no imponen restricciones en función del sexo.</w:t>
      </w:r>
    </w:p>
    <w:p w:rsidR="00000000" w:rsidRDefault="00000000">
      <w:pPr>
        <w:pStyle w:val="SingleTxt"/>
        <w:rPr>
          <w:spacing w:val="2"/>
          <w:w w:val="101"/>
        </w:rPr>
      </w:pPr>
      <w:r>
        <w:rPr>
          <w:spacing w:val="2"/>
          <w:w w:val="101"/>
        </w:rPr>
        <w:tab/>
        <w:t>La pobreza afecta mucho más a la mujer que al hombre. Aún no existe un plan de acción encaminado a delimitar y eliminar las causas del mayor grado pobreza entre las mujeres. Es necesario adoptar de inmediato medidas al respecto, habida cuenta de que el problema principal no es la discriminación directa basada en el género, sino la inte</w:t>
      </w:r>
      <w:r>
        <w:rPr>
          <w:spacing w:val="2"/>
          <w:w w:val="101"/>
        </w:rPr>
        <w:t>r</w:t>
      </w:r>
      <w:r>
        <w:rPr>
          <w:spacing w:val="2"/>
          <w:w w:val="101"/>
        </w:rPr>
        <w:t>conexión entre la situación social de la mujer, su papel en la familia y otros factores como la edad y las diferencias geográficas. Las medidas adoptadas hasta el momento se concentran más en la reforma social y en otras políticas sociales a fin de que no se e</w:t>
      </w:r>
      <w:r>
        <w:rPr>
          <w:spacing w:val="2"/>
          <w:w w:val="101"/>
        </w:rPr>
        <w:t>x</w:t>
      </w:r>
      <w:r>
        <w:rPr>
          <w:spacing w:val="2"/>
          <w:w w:val="101"/>
        </w:rPr>
        <w:t>cluya de la vida social a esos y otros grupos menos pr</w:t>
      </w:r>
      <w:r>
        <w:rPr>
          <w:spacing w:val="2"/>
          <w:w w:val="101"/>
        </w:rPr>
        <w:t>i</w:t>
      </w:r>
      <w:r>
        <w:rPr>
          <w:spacing w:val="2"/>
          <w:w w:val="101"/>
        </w:rPr>
        <w:t>vilegiados.</w:t>
      </w:r>
    </w:p>
    <w:p w:rsidR="00000000" w:rsidRDefault="00000000">
      <w:pPr>
        <w:pStyle w:val="SingleTxt"/>
      </w:pPr>
      <w:r>
        <w:tab/>
        <w:t>La Ley del empleo regula la cuestión del trabajo y el empleo y no contiene disposiciones que promuevan la discriminación de la mujer (en relación con el e</w:t>
      </w:r>
      <w:r>
        <w:t>m</w:t>
      </w:r>
      <w:r>
        <w:t>pleo y la asignación de un trabajo apropiado o por lo que respecta al sueldo y otras prestaciones). Pese a que esa Ley no contiene disposiciones relacionadas direct</w:t>
      </w:r>
      <w:r>
        <w:t>a</w:t>
      </w:r>
      <w:r>
        <w:t>mente con la igualdad entre los géneros, en ella se garantiza en gran medida esa igualdad en lo tocante al empleo y la igualdad de derechos y obligaciones laborales.</w:t>
      </w:r>
    </w:p>
    <w:p w:rsidR="00000000" w:rsidRDefault="00000000">
      <w:pPr>
        <w:pStyle w:val="SingleTxt"/>
      </w:pPr>
      <w:r>
        <w:tab/>
        <w:t>Con arreglo a los datos de que se dispone, la falta de participación en la vida pública y en el proceso de adopción de decisiones es uno de los principales probl</w:t>
      </w:r>
      <w:r>
        <w:t>e</w:t>
      </w:r>
      <w:r>
        <w:t>mas de la discriminación entre los géneros, situación ésta que afecta en general a t</w:t>
      </w:r>
      <w:r>
        <w:t>o</w:t>
      </w:r>
      <w:r>
        <w:t>das las mujeres, con la salvedad de una pequeña minoría. Para hacer frente al déficit democrático resultante de la presencia insuficiente de la mujer en todas las estruct</w:t>
      </w:r>
      <w:r>
        <w:t>u</w:t>
      </w:r>
      <w:r>
        <w:t>ras de poder, los órganos pertinentes del país deben concentrarse en resolver los problemas relacionados con el contenido y el proceso de adopción de decisiones, en lugar de abordar la cuestión de la discriminación como un factor aislado.</w:t>
      </w:r>
    </w:p>
    <w:p w:rsidR="00000000" w:rsidRDefault="00000000">
      <w:pPr>
        <w:pStyle w:val="SingleTxt"/>
        <w:suppressAutoHyphens/>
        <w:rPr>
          <w:spacing w:val="2"/>
          <w:w w:val="101"/>
        </w:rPr>
      </w:pPr>
      <w:r>
        <w:rPr>
          <w:spacing w:val="2"/>
          <w:w w:val="101"/>
        </w:rPr>
        <w:tab/>
        <w:t>Las reformas legislativas realizadas a partir de 1991 han ido encaminadas en su mayor parte a fomentar la igualdad entre los géneros y la protección de la mujer, lo que se complementa con las crecientes oportunidades que tienen tanto el hombre como la mujer de elegir debidamente; esas reformas se basan en el concepto global de la protección de los derechos humanos y las libertades fundamentales de la persona.</w:t>
      </w:r>
    </w:p>
    <w:p w:rsidR="00000000" w:rsidRDefault="00000000">
      <w:pPr>
        <w:pStyle w:val="SingleTxt"/>
      </w:pPr>
      <w:r>
        <w:tab/>
        <w:t>En este contexto, cabe mencionar que se han reformado la Ley del empleo para eliminar la discriminación por razón de género en lo concerniente a la edad de jub</w:t>
      </w:r>
      <w:r>
        <w:t>i</w:t>
      </w:r>
      <w:r>
        <w:t>lación y los años de servicio, respecto de los que se establecían diferencias en las normas anteriores; la Ley de defensa, según la cual la mujer podía prestar el servicio militar (es decir, podía formar parte activamente de las fuerzas armadas de la Rep</w:t>
      </w:r>
      <w:r>
        <w:t>ú</w:t>
      </w:r>
      <w:r>
        <w:t>blica de Macedonia); la Ley de asuntos internos y la Directriz sobre uniformes y distintivos de la Policía del Ministerio del Interior (Gaceta Oficial de la República de Macedonia, Nos. 10/2000, 17/2000, 92/2000, 72/2001, 16/2002 y 11/2003), que contiene disposiciones tales como los artículos 5, 6 y 7, relativos a los uniformes de las agentes de policía; y el Código Penal, en el que se prevé la posibilidad de ent</w:t>
      </w:r>
      <w:r>
        <w:t>a</w:t>
      </w:r>
      <w:r>
        <w:t>blar actuaciones judiciales a instancia de parte en caso de agresión sexual y viol</w:t>
      </w:r>
      <w:r>
        <w:t>a</w:t>
      </w:r>
      <w:r>
        <w:t>ción por el marido, etc.</w:t>
      </w:r>
    </w:p>
    <w:p w:rsidR="00000000" w:rsidRDefault="00000000">
      <w:pPr>
        <w:pStyle w:val="SingleTxt"/>
      </w:pPr>
      <w:r>
        <w:tab/>
        <w:t>El análisis de las normas jurídicas en materia de protección de la mujer y pr</w:t>
      </w:r>
      <w:r>
        <w:t>o</w:t>
      </w:r>
      <w:r>
        <w:t>moción de la igualdad entre los géneros pone de manifiesto las posibles direcciones hacia las que se encaminarán las nuevas reformas del sistema al respecto.</w:t>
      </w:r>
    </w:p>
    <w:p w:rsidR="00000000" w:rsidRDefault="00000000">
      <w:pPr>
        <w:pStyle w:val="SingleTxt"/>
      </w:pPr>
      <w:r>
        <w:tab/>
        <w:t>Hay que mejorar algunos aspectos para conseguir lo siguiente:</w:t>
      </w:r>
    </w:p>
    <w:p w:rsidR="00000000" w:rsidRDefault="00000000">
      <w:pPr>
        <w:pStyle w:val="SingleTxt"/>
        <w:tabs>
          <w:tab w:val="right" w:pos="1685"/>
        </w:tabs>
        <w:ind w:left="1742" w:hanging="475"/>
      </w:pPr>
      <w:r>
        <w:tab/>
        <w:t>–</w:t>
      </w:r>
      <w:r>
        <w:tab/>
        <w:t>Normas jurídicas basadas en la igualdad y por las que se afirme ésta;</w:t>
      </w:r>
    </w:p>
    <w:p w:rsidR="00000000" w:rsidRDefault="00000000">
      <w:pPr>
        <w:pStyle w:val="SingleTxt"/>
        <w:tabs>
          <w:tab w:val="right" w:pos="1685"/>
        </w:tabs>
        <w:ind w:left="1742" w:hanging="475"/>
      </w:pPr>
      <w:r>
        <w:tab/>
        <w:t>–</w:t>
      </w:r>
      <w:r>
        <w:tab/>
        <w:t>Promoción de la participación política, haciendo hincapié en la igualdad de r</w:t>
      </w:r>
      <w:r>
        <w:t>e</w:t>
      </w:r>
      <w:r>
        <w:t>presentación de la mujer y el hombre en las estructuras políticas, establec</w:t>
      </w:r>
      <w:r>
        <w:t>i</w:t>
      </w:r>
      <w:r>
        <w:t>miento de cuotas con arreglo a derecho y adopción de medidas positivas, que deben aplicarse y actualizarse constantemente en lo sucesivo;</w:t>
      </w:r>
    </w:p>
    <w:p w:rsidR="00000000" w:rsidRDefault="00000000">
      <w:pPr>
        <w:pStyle w:val="SingleTxt"/>
        <w:tabs>
          <w:tab w:val="right" w:pos="1685"/>
        </w:tabs>
        <w:ind w:left="1742" w:hanging="475"/>
      </w:pPr>
      <w:r>
        <w:tab/>
        <w:t>–</w:t>
      </w:r>
      <w:r>
        <w:tab/>
        <w:t>Definición de la igualdad como acción afirmativa y positiva en los programas polít</w:t>
      </w:r>
      <w:r>
        <w:t>i</w:t>
      </w:r>
      <w:r>
        <w:t>cos de los partidos;</w:t>
      </w:r>
    </w:p>
    <w:p w:rsidR="00000000" w:rsidRDefault="00000000">
      <w:pPr>
        <w:pStyle w:val="SingleTxt"/>
        <w:tabs>
          <w:tab w:val="right" w:pos="1685"/>
        </w:tabs>
        <w:ind w:left="1742" w:hanging="475"/>
      </w:pPr>
      <w:r>
        <w:tab/>
        <w:t>–</w:t>
      </w:r>
      <w:r>
        <w:tab/>
        <w:t>Aprobación de normas positivas que permitan que la mujer tenga igualdad de oportunidades para participar en las esferas de la adopción de decisiones, i</w:t>
      </w:r>
      <w:r>
        <w:t>n</w:t>
      </w:r>
      <w:r>
        <w:t>cluida la representación internacional, y desempeñar cargos en la administr</w:t>
      </w:r>
      <w:r>
        <w:t>a</w:t>
      </w:r>
      <w:r>
        <w:t>ción p</w:t>
      </w:r>
      <w:r>
        <w:t>ú</w:t>
      </w:r>
      <w:r>
        <w:t>blica en los que se adopten decisiones;</w:t>
      </w:r>
    </w:p>
    <w:p w:rsidR="00000000" w:rsidRDefault="00000000">
      <w:pPr>
        <w:pStyle w:val="SingleTxt"/>
        <w:tabs>
          <w:tab w:val="right" w:pos="1685"/>
        </w:tabs>
        <w:ind w:left="1742" w:hanging="475"/>
      </w:pPr>
      <w:r>
        <w:tab/>
        <w:t>–</w:t>
      </w:r>
      <w:r>
        <w:tab/>
        <w:t>No promulgación en lo sucesivo de leyes y reglamentos que, en lugar de tener en cuenta las aptitudes, capacidades y características de las personas, conte</w:t>
      </w:r>
      <w:r>
        <w:t>n</w:t>
      </w:r>
      <w:r>
        <w:t>gan disposiciones generales que puedan utilizarse con fines de discriminación por razones de género;</w:t>
      </w:r>
    </w:p>
    <w:p w:rsidR="00000000" w:rsidRDefault="00000000">
      <w:pPr>
        <w:pStyle w:val="SingleTxt"/>
        <w:tabs>
          <w:tab w:val="right" w:pos="1685"/>
        </w:tabs>
        <w:ind w:left="1742" w:hanging="475"/>
      </w:pPr>
      <w:r>
        <w:tab/>
        <w:t>–</w:t>
      </w:r>
      <w:r>
        <w:tab/>
        <w:t>Adopción de normas penales, civiles, laborales y administrativas para castigar el trato ilegal y discriminatorio de las mujeres y niñas que sufran de cualquier forma de violencia en el hogar, el lugar de trabajo, la comunidad en que vivan o la soci</w:t>
      </w:r>
      <w:r>
        <w:t>e</w:t>
      </w:r>
      <w:r>
        <w:t>dad en general;</w:t>
      </w:r>
    </w:p>
    <w:p w:rsidR="00000000" w:rsidRDefault="00000000">
      <w:pPr>
        <w:pStyle w:val="SingleTxt"/>
        <w:tabs>
          <w:tab w:val="right" w:pos="1685"/>
        </w:tabs>
        <w:ind w:left="1742" w:hanging="475"/>
      </w:pPr>
      <w:r>
        <w:tab/>
        <w:t>–</w:t>
      </w:r>
      <w:r>
        <w:tab/>
        <w:t>Adopción de medidas para promulgar una Ley de igualdad de oportunidades para el hombre y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Segunda parte</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Artículo 1</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la discriminación contra la mujer</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A los efectos de la presente Convención, la expresión “discriminación contra mujer” denotará toda distinción, exclusión o restricción basada en el sexo que te</w:t>
      </w:r>
      <w:r>
        <w:rPr>
          <w:i/>
        </w:rPr>
        <w:t>n</w:t>
      </w:r>
      <w:r>
        <w:rPr>
          <w:i/>
        </w:rPr>
        <w:t>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ordenamiento constitucional de la República de Macedonia se caracteriza básicamente por ser de carácter cívico. Ese concepto se basa en la idea de la indiv</w:t>
      </w:r>
      <w:r>
        <w:t>i</w:t>
      </w:r>
      <w:r>
        <w:t>dualidad y de los derechos de las personas. El concepto cívico de la Constitución se pone particularmente de manifiesto en la delimitación de los valores fundamentales del ordenamiento constitucional. Entre otras cosas, las libertades y los derechos h</w:t>
      </w:r>
      <w:r>
        <w:t>u</w:t>
      </w:r>
      <w:r>
        <w:t>manos básicos reconocidos por el derecho internacional y el respeto de las normas generalmente aceptadas del derecho internacional son los valores fundamentales del ordenamiento constitucional de la República de Macedonia. De conformidad con esa determinación constitucional, en la Constitución de la República de Macedonia se establece y garantiza una larga lista de derechos y libertades de la persona que sienta las bases del sistema político democrático. Los derechos y libertades básicos de la persona y del ciudadano (que son más de 70) figuran inmediatamente después de las disposiciones fundamentales de la Constitución relativas al Estado y sus sí</w:t>
      </w:r>
      <w:r>
        <w:t>m</w:t>
      </w:r>
      <w:r>
        <w:t>bolos. En el Capítulo sobre los derechos y libertades básicos se definen, desde el punto de vista de la constitucionalidad y de la legalidad, las libertades y los der</w:t>
      </w:r>
      <w:r>
        <w:t>e</w:t>
      </w:r>
      <w:r>
        <w:t>chos cívicos y políticos, los derechos económicos, sociales y culturales concretos y las garantías para el ejercicio de las libertades y los derechos básicos.</w:t>
      </w:r>
    </w:p>
    <w:p w:rsidR="00000000" w:rsidRDefault="00000000">
      <w:pPr>
        <w:pStyle w:val="SingleTxt"/>
      </w:pPr>
      <w:r>
        <w:tab/>
        <w:t>En la parte 1 (Libertades y derechos civiles y políticos (artículos 10 a 29)) del Capítulo II de la Constitución, titulado “Libertades y derechos básicos de las pers</w:t>
      </w:r>
      <w:r>
        <w:t>o</w:t>
      </w:r>
      <w:r>
        <w:t>nas y los ciudadanos”, figuran los siguientes derechos y libertades:</w:t>
      </w:r>
    </w:p>
    <w:p w:rsidR="00000000" w:rsidRDefault="00000000">
      <w:pPr>
        <w:pStyle w:val="SingleTxt"/>
        <w:rPr>
          <w:spacing w:val="2"/>
          <w:w w:val="101"/>
        </w:rPr>
      </w:pPr>
      <w:r>
        <w:tab/>
        <w:t>Derecho a la vida; a la dignidad física y moral; a la libertad; a la presunción de inocencia; a la impunidad de los actos no considerados ilícitos por la ley u otros instrumentos antes de que se hayan cometido o respecto de los que no se establezca ningún castigo (además, el principio de que un tribunal no puede condenar a alguien por un delito por el que ya haya sido juzgado o respeto del cual ya se haya dictado un fallo); a recurrir contra las decisiones de los tribunales de primera instancia, los órganos administrativos y las organizaciones u otras instituciones de carácter públ</w:t>
      </w:r>
      <w:r>
        <w:t>i</w:t>
      </w:r>
      <w:r>
        <w:t>co; a responder en los medios de comunicación; a hacer rectificaciones en los m</w:t>
      </w:r>
      <w:r>
        <w:t>e</w:t>
      </w:r>
      <w:r>
        <w:t>dios de comunicación; a proteger las fuentes de información de los medios de c</w:t>
      </w:r>
      <w:r>
        <w:t>o</w:t>
      </w:r>
      <w:r>
        <w:t>municación; a expresar libre y públicamente las convicciones individuales o colect</w:t>
      </w:r>
      <w:r>
        <w:t>i</w:t>
      </w:r>
      <w:r>
        <w:t>vas; a reunirse pacíficamente y manifestarse públicamente sin previo anuncio o permiso especial; a votar (a partir de los 18 años de edad); a participar en la labor de las instituciones públicas; a firmar peticiones dirigidas al Estado u otros órganos públicos; al respeto y la protección de la intimidad personal y familiar y a la dign</w:t>
      </w:r>
      <w:r>
        <w:t>i</w:t>
      </w:r>
      <w:r>
        <w:t>dad y la reputación personales; a la inviolabilidad del hogar; a la libre circulación por el territorio de la República de Macedonia y a la libre elección del lugar de res</w:t>
      </w:r>
      <w:r>
        <w:t>i</w:t>
      </w:r>
      <w:r>
        <w:t>dencia; a salir del territorio de la República de Macedonia y regresar a él; a defender a la República de Macedonia; a obtener asilo, en el caso de los extranjeros y exp</w:t>
      </w:r>
      <w:r>
        <w:t>a</w:t>
      </w:r>
      <w:r>
        <w:t>triados exiliados por sus actividades democráticas y políticas y sus creencias; libe</w:t>
      </w:r>
      <w:r>
        <w:t>r</w:t>
      </w:r>
      <w:r>
        <w:t>tad de creencias, conciencia, opinión y expresión pública del pensamiento; derecho a la libre expresión en público, a la información pública y al establecimiento de in</w:t>
      </w:r>
      <w:r>
        <w:t>s</w:t>
      </w:r>
      <w:r>
        <w:t>tituciones de información pública; libertad y confidencialidad de la correspondencia y otros medios de comunicación; derecho a la seguridad y confidencialidad de los datos personales; libertad de cultos; libertad de asociación para ejercitar derechos po</w:t>
      </w:r>
      <w:r>
        <w:rPr>
          <w:spacing w:val="2"/>
          <w:w w:val="101"/>
        </w:rPr>
        <w:t>líticos, económicos, sociales y de otra índole y derecho a la protección de esos der</w:t>
      </w:r>
      <w:r>
        <w:rPr>
          <w:spacing w:val="2"/>
          <w:w w:val="101"/>
        </w:rPr>
        <w:t>e</w:t>
      </w:r>
      <w:r>
        <w:rPr>
          <w:spacing w:val="2"/>
          <w:w w:val="101"/>
        </w:rPr>
        <w:t>chos.</w:t>
      </w:r>
    </w:p>
    <w:p w:rsidR="00000000" w:rsidRDefault="00000000">
      <w:pPr>
        <w:pStyle w:val="SingleTxt"/>
      </w:pPr>
      <w:r>
        <w:tab/>
        <w:t>Merced a la inclusión del artículo 9 en el Capítulo II de la Constitución de la República de Macedonia, relativo a los derechos básicos de las personas y de los ciudadanos, es decir, la parte relativa a los derechos civiles y políticos, los redact</w:t>
      </w:r>
      <w:r>
        <w:t>o</w:t>
      </w:r>
      <w:r>
        <w:t>res de la Constitución aceptaron que “el derecho a la no discriminación” tenía la consideración de derecho humano. Ese “derecho” se considera un marco, es decir, un derecho general que debe respetarse como referencia de los derechos humanos individuales.</w:t>
      </w:r>
    </w:p>
    <w:p w:rsidR="00000000" w:rsidRDefault="00000000">
      <w:pPr>
        <w:pStyle w:val="SingleTxt"/>
      </w:pPr>
      <w:r>
        <w:tab/>
        <w:t>La Constitución de la República de Macedonia incorpora ciertamente la proh</w:t>
      </w:r>
      <w:r>
        <w:t>i</w:t>
      </w:r>
      <w:r>
        <w:t>bición de la discriminación, pero la configura de una manera más amplia como un principio de igualdad entre los ciudadanos. Por una parte, el principio de la igualdad contiene la prohibición de la discriminación y, por otra, tiene simultáneamente por objeto lograr que otras libertades y derechos garantizados por la Constitución se sistematicen desde el punto de vista cívico, político, económico, social y cultural. Así pues, la Constitución de la República de Macedonia reconoce todos los derechos de los hombres y mujeres en las mismas condiciones (por ejemplo, la mujer ejercita su derecho a votar en las mismas condiciones que el hombre, así como el derecho a participar en el desempeño de cargos públicos, el derecho a la nacionalidad, el der</w:t>
      </w:r>
      <w:r>
        <w:t>e</w:t>
      </w:r>
      <w:r>
        <w:t>cho de asociación, el derecho a la propiedad privada, etc.).</w:t>
      </w:r>
    </w:p>
    <w:p w:rsidR="00000000" w:rsidRDefault="00000000">
      <w:pPr>
        <w:pStyle w:val="SingleTxt"/>
      </w:pPr>
      <w:r>
        <w:tab/>
        <w:t>Hay tres consecuencias fundamentales que dimanan de esa disposición const</w:t>
      </w:r>
      <w:r>
        <w:t>i</w:t>
      </w:r>
      <w:r>
        <w:t>tuci</w:t>
      </w:r>
      <w:r>
        <w:t>o</w:t>
      </w:r>
      <w:r>
        <w:t>nal en lo concerniente a la prohibición de la discriminación:</w:t>
      </w:r>
    </w:p>
    <w:p w:rsidR="00000000" w:rsidRDefault="00000000">
      <w:pPr>
        <w:pStyle w:val="SingleTxt"/>
      </w:pPr>
      <w:r>
        <w:tab/>
        <w:t>En primer lugar, al incorporar el principio de la igualdad como norma const</w:t>
      </w:r>
      <w:r>
        <w:t>i</w:t>
      </w:r>
      <w:r>
        <w:t>tucional, se le confiere la más alta garantía desde el punto de vista jurídico dentro del o</w:t>
      </w:r>
      <w:r>
        <w:t>r</w:t>
      </w:r>
      <w:r>
        <w:t>denamiento jurídico interno.</w:t>
      </w:r>
    </w:p>
    <w:p w:rsidR="00000000" w:rsidRDefault="00000000">
      <w:pPr>
        <w:pStyle w:val="SingleTxt"/>
      </w:pPr>
      <w:r>
        <w:tab/>
        <w:t>En segundo lugar, se prohíbe que las características personales y la situación social sirvan de base para establecer una condición jurídica desigual de los ciudad</w:t>
      </w:r>
      <w:r>
        <w:t>a</w:t>
      </w:r>
      <w:r>
        <w:t>nos al regularse las relaciones sociales o normas jurídicas generales.</w:t>
      </w:r>
    </w:p>
    <w:p w:rsidR="00000000" w:rsidRDefault="00000000">
      <w:pPr>
        <w:pStyle w:val="SingleTxt"/>
      </w:pPr>
      <w:r>
        <w:tab/>
        <w:t>Y, en tercer lugar, el ejercicio de las libertades y derechos y el cumplimiento de las obligaciones de la persona y el ciudadano deben enmarcarse dentro de la igualdad de aplicación de la Constitución y de las leyes.</w:t>
      </w:r>
    </w:p>
    <w:p w:rsidR="00000000" w:rsidRDefault="00000000">
      <w:pPr>
        <w:pStyle w:val="SingleTxt"/>
        <w:suppressAutoHyphens/>
      </w:pPr>
      <w:r>
        <w:tab/>
        <w:t>Desde el punto de vista de la Constitución, los derechos y libertades de la persona se ejercitan, como norma, en el marco de respeto a la Constitución, al tiempo que las condiciones y el modo de su ejercicio pueden establecerse por la ley, únicamente en caso de que la Constitución lo autorice y dentro de los límites de esa aut</w:t>
      </w:r>
      <w:r>
        <w:t>o</w:t>
      </w:r>
      <w:r>
        <w:t>rización.</w:t>
      </w:r>
    </w:p>
    <w:p w:rsidR="00000000" w:rsidRDefault="00000000">
      <w:pPr>
        <w:pStyle w:val="SingleTxt"/>
      </w:pPr>
      <w:r>
        <w:tab/>
        <w:t>Los logros de la civilización y su influencia, dentro de la política penal, en la esfera de la delincuencia sexual han dado lugar al abandono de normas morales y a su sustitución por comportamientos ilícitos que van en contra de la libertad de ele</w:t>
      </w:r>
      <w:r>
        <w:t>c</w:t>
      </w:r>
      <w:r>
        <w:t>ción de la persona en lo tocante a mantener relaciones sexuales. A este respecto, la actual solución que da la legislación es particularmente importante en el sentido de que no considera a la mujer como un mero sujeto pasivo, sino como un participante en igualdad de condiciones con el hombre para determinar libremente su propia vida sexual. Sobre la base de este concepto y este marco, el Capítulo 19 del Código Penal de la República de Macedonia, relativo a los delitos contra la libertad sexual y la moral, contiene disposiciones que protegen la libertad de decisión respecto del est</w:t>
      </w:r>
      <w:r>
        <w:t>a</w:t>
      </w:r>
      <w:r>
        <w:t>blecimiento de relaciones sexuales por parte de la mujer y el hombre. Se consideran ilegales las conductas que entrañan violaciones y abusos. Concretamente, en la tip</w:t>
      </w:r>
      <w:r>
        <w:t>i</w:t>
      </w:r>
      <w:r>
        <w:t>ficación de los delitos de este Capítulo del Código Penal se establece lo siguiente: 1) la protección de la libre decisión respecto de las relaciones sexuales; 2) el punto de partida para la tipificación de los delitos es la protección igual de la personalidad del hombre y de la mujer como sujetos de relaciones sexuales; 3) se penalizan la violencia, el abuso de la situación de superioridad y el hecho de aprovecharse de la condición o la indefensión del sujeto pasivo; 4) se protege especialmente a los m</w:t>
      </w:r>
      <w:r>
        <w:t>e</w:t>
      </w:r>
      <w:r>
        <w:t>nores, en el sentido de que su voluntad, cuando pone de manifiesto que el menor no es suficientemente maduro, no se tiene en cuenta para determinar la ilicitud de un acto; y 5) también se consideran ilícitos todos los actos relacionados con la prostit</w:t>
      </w:r>
      <w:r>
        <w:t>u</w:t>
      </w:r>
      <w:r>
        <w:t>ción por afectar en gran medida a la libertad personal.</w:t>
      </w:r>
    </w:p>
    <w:p w:rsidR="00000000" w:rsidRDefault="00000000">
      <w:pPr>
        <w:pStyle w:val="SingleTxt"/>
      </w:pPr>
      <w:r>
        <w:tab/>
        <w:t>En relación con lo que antecede, cabe señalar que la condición especial de la mujer y el respeto de su personalidad y dignidad son las razones por las que el C</w:t>
      </w:r>
      <w:r>
        <w:t>ó</w:t>
      </w:r>
      <w:r>
        <w:t>digo de Procedimiento Penal (Gaceta Oficial de la República de Macedonia, nos. 15/97 y 44/2002) incluye una disposición especial para los casos en que hayan de adoptarse ciertas medidas de investigación en relación con la mujer. Así, en el párr</w:t>
      </w:r>
      <w:r>
        <w:t>a</w:t>
      </w:r>
      <w:r>
        <w:t>fo 3 del artículo 200 del Código de Procedimiento Penal se dispone que una mujer únicamente puede ser registrada por otra y sólo pueden ser testigos del registro otras m</w:t>
      </w:r>
      <w:r>
        <w:t>u</w:t>
      </w:r>
      <w:r>
        <w:t>jeres.</w:t>
      </w:r>
    </w:p>
    <w:p w:rsidR="00000000" w:rsidRDefault="00000000">
      <w:pPr>
        <w:pStyle w:val="SingleTxt"/>
      </w:pPr>
      <w:r>
        <w:tab/>
        <w:t>Las mencionadas disposiciones también se articulan en el artículo 56 del M</w:t>
      </w:r>
      <w:r>
        <w:t>a</w:t>
      </w:r>
      <w:r>
        <w:t>nual para la realización de actividades del Ministerio del Interior (Gaceta Oficial de la República de Macedonia, nos. 12/98 y 15/2003), en el que se dispone que las mujeres que viajen en medios de transporte únicamente pueden ser registradas por funcion</w:t>
      </w:r>
      <w:r>
        <w:t>a</w:t>
      </w:r>
      <w:r>
        <w:t>rias autorizadas y sólo pueden ser testigos del registro otras mujeres.</w:t>
      </w:r>
    </w:p>
    <w:p w:rsidR="00000000" w:rsidRDefault="00000000">
      <w:pPr>
        <w:pStyle w:val="SingleTxt"/>
      </w:pPr>
      <w:r>
        <w:tab/>
        <w:t>Además, en el artículo 23 del Manual para la realización de actividades del Ministerio del Interior se prohíbe esposar a las mujeres manifiestamente embaraz</w:t>
      </w:r>
      <w:r>
        <w:t>a</w:t>
      </w:r>
      <w:r>
        <w:t>das en caso de que ofrezcan resistencia, salvo en caso de que, utilizando objetos p</w:t>
      </w:r>
      <w:r>
        <w:t>e</w:t>
      </w:r>
      <w:r>
        <w:t>ligrosos, puedan poner en peligro la vida de los funcionarios autorizados. Las muj</w:t>
      </w:r>
      <w:r>
        <w:t>e</w:t>
      </w:r>
      <w:r>
        <w:t>res manifiestamente embarazadas también pueden ser aprehendidas, lo que autoriza el Manual en los casos en que sea necesario llevarlas al Ministerio del Interior por mediar contra ellas una orden de detención o cuando hayan de ser trasladadas a otro órgano competente. En el artículo 40 del Manual se dispone que ha de informarse inmediatamente de la situación de la mujer al órgano que haya dictado la orden de dete</w:t>
      </w:r>
      <w:r>
        <w:t>n</w:t>
      </w:r>
      <w:r>
        <w:t>ción.</w:t>
      </w:r>
    </w:p>
    <w:p w:rsidR="00000000" w:rsidRDefault="00000000">
      <w:pPr>
        <w:pStyle w:val="SingleTxt"/>
      </w:pPr>
      <w:r>
        <w:tab/>
        <w:t>Violencia en el hogar: tradicionalmente la mujer de la República de Macedonia se encontraba en una situación inferior respecto del hombre en diversos aspectos de la vida social y, por ello, dentro de la familia. A este respecto, la posición de la m</w:t>
      </w:r>
      <w:r>
        <w:t>u</w:t>
      </w:r>
      <w:r>
        <w:t>jer en el matrimonio no se abordaba adecuadamente en la mayoría de los casos de violencia en el hogar. En este contexto, cabe señalar en general que las mujeres suelen llamar a la policía pidiendo ayuda en los casos críticos, cuando corren un riesgo i</w:t>
      </w:r>
      <w:r>
        <w:t>n</w:t>
      </w:r>
      <w:r>
        <w:t>mediato, sufren graves lesiones o ven su vida amenazada.</w:t>
      </w:r>
    </w:p>
    <w:p w:rsidR="00000000" w:rsidRDefault="00000000">
      <w:pPr>
        <w:pStyle w:val="SingleTxt"/>
      </w:pPr>
      <w:r>
        <w:tab/>
        <w:t>En mayo de 2003 se estableció una Dependencia de delitos de menores y f</w:t>
      </w:r>
      <w:r>
        <w:t>e</w:t>
      </w:r>
      <w:r>
        <w:t>nómenos sociopatológicos dentro del Departamento de Policía Criminal del Minist</w:t>
      </w:r>
      <w:r>
        <w:t>e</w:t>
      </w:r>
      <w:r>
        <w:t>rio del Interior, Dependencia integrada por personal que trabajaba anteriormente en el D</w:t>
      </w:r>
      <w:r>
        <w:t>e</w:t>
      </w:r>
      <w:r>
        <w:t>partamento de Homicidios y Delitos Sexuales.</w:t>
      </w:r>
    </w:p>
    <w:p w:rsidR="00000000" w:rsidRDefault="00000000">
      <w:pPr>
        <w:pStyle w:val="SingleTxt"/>
        <w:suppressAutoHyphens/>
      </w:pPr>
      <w:r>
        <w:tab/>
        <w:t>Los problemas son examinados por inspectoras, que se ocupan de todas las cuestiones relacionadas con los niños y la familia. Cabe mencionar que el problema de la violencia en el hogar no se considera de manera separada y, por consiguiente, no se ocupan de él el Ministerio del Interior ni otras instituciones gubernamentales, si bien puede ser analizado, en la medida necesaria, en el contexto de los delitos que se cometan, lo que, por otra parte, no ofrece una visión general de la situación ni permite realizar las estadísticas necesarias de la incidencia del fenómeno en Macedonia.</w:t>
      </w:r>
    </w:p>
    <w:p w:rsidR="00000000" w:rsidRDefault="00000000">
      <w:pPr>
        <w:pStyle w:val="SingleTxt"/>
      </w:pPr>
      <w:r>
        <w:tab/>
        <w:t>La prevalencia de la violencia en el hogar en Macedonia es un hecho bien c</w:t>
      </w:r>
      <w:r>
        <w:t>o</w:t>
      </w:r>
      <w:r>
        <w:t>nocido, pese a que rara vez se hace mención a él en público. También es sabido que las normas culturales disuaden de denunciar casos de violencia en el hogar, con la excusa de que se trata de “un asunto privado de la familia”.</w:t>
      </w:r>
    </w:p>
    <w:p w:rsidR="00000000" w:rsidRDefault="00000000">
      <w:pPr>
        <w:pStyle w:val="SingleTxt"/>
      </w:pPr>
      <w:r>
        <w:tab/>
        <w:t>En contra de esas actitudes, las organizaciones de mujeres trabajan dentro de las limitaciones de sus capacidades y prestan apoyo y protección a las mujeres, au</w:t>
      </w:r>
      <w:r>
        <w:t>n</w:t>
      </w:r>
      <w:r>
        <w:t>que hay que reconocer que ello no resulta suficiente.</w:t>
      </w:r>
    </w:p>
    <w:p w:rsidR="00000000" w:rsidRDefault="00000000">
      <w:pPr>
        <w:pStyle w:val="SingleTxt"/>
      </w:pPr>
      <w:r>
        <w:tab/>
        <w:t>El Ministerio del Interior considera que esos problemas deben ser examinados por personal con una formación especial, de ser posible mujeres, dado que requieren un enfoque más complejo, al igual que la situación de los hijos. No obstante, el M</w:t>
      </w:r>
      <w:r>
        <w:t>i</w:t>
      </w:r>
      <w:r>
        <w:t>nisterio del Interior también debería prestar apoyo a la formación del personal e</w:t>
      </w:r>
      <w:r>
        <w:t>n</w:t>
      </w:r>
      <w:r>
        <w:t>cargado de esas cuestiones, particularmente la formación del personal de uniforme cuyo trabajo guarda relación con la recepción del testimonio de esas personas y con la intervención ante las comisarías de policía. Además, debería establecerse un crit</w:t>
      </w:r>
      <w:r>
        <w:t>e</w:t>
      </w:r>
      <w:r>
        <w:t>rio metodológico homogéneo para realizar intervenciones en los casos de violencia en el hogar.</w:t>
      </w:r>
    </w:p>
    <w:p w:rsidR="00000000" w:rsidRDefault="00000000">
      <w:pPr>
        <w:pStyle w:val="SingleTxt"/>
      </w:pPr>
      <w:r>
        <w:tab/>
        <w:t>Durante las intervenciones cotidianas, los agentes de policía, además de las víctimas, son los que observan las grandes discrepancias que existen entre la no</w:t>
      </w:r>
      <w:r>
        <w:t>r</w:t>
      </w:r>
      <w:r>
        <w:t>mativa y la complejidad de los hechos reales.</w:t>
      </w:r>
    </w:p>
    <w:p w:rsidR="00000000" w:rsidRDefault="00000000">
      <w:pPr>
        <w:pStyle w:val="SingleTxt"/>
      </w:pPr>
      <w:r>
        <w:tab/>
        <w:t>La policía de Macedonia sigue siendo la única institución dentro del orden</w:t>
      </w:r>
      <w:r>
        <w:t>a</w:t>
      </w:r>
      <w:r>
        <w:t>miento jurídico a la que las mujeres víctimas pueden recurrir para denunciar casos de violencia y, si la situación planteada entra dentro del ámbito de la labor que real</w:t>
      </w:r>
      <w:r>
        <w:t>i</w:t>
      </w:r>
      <w:r>
        <w:t>za la policía, ésta puede proceder a resolverla o intervenir de la manera necesaria. No obstante, en Macedonia aún no existen centros estatales de acogida para prestar todo el apoyo necesario a las mujeres víctimas de la violencia, a excepción de un centro de acogida en Skopje, que cuenta con el apoyo de una organización no g</w:t>
      </w:r>
      <w:r>
        <w:t>u</w:t>
      </w:r>
      <w:r>
        <w:t>bern</w:t>
      </w:r>
      <w:r>
        <w:t>a</w:t>
      </w:r>
      <w:r>
        <w:t>mental y resulta insuficiente como consecuencia del gran número de casos.</w:t>
      </w:r>
    </w:p>
    <w:p w:rsidR="00000000" w:rsidRDefault="00000000">
      <w:pPr>
        <w:pStyle w:val="SingleTxt"/>
      </w:pPr>
      <w:r>
        <w:tab/>
        <w:t>Es necesario que el Estado establezca mecanismos para alentar la presentación de denuncias, sensibilizar a la opinión pública y poner en marcha campañas que presten a la mujeres por lo menos un poco de apoyo en lo concerniente a su prote</w:t>
      </w:r>
      <w:r>
        <w:t>c</w:t>
      </w:r>
      <w:r>
        <w:t>ción pe</w:t>
      </w:r>
      <w:r>
        <w:t>r</w:t>
      </w:r>
      <w:r>
        <w:t>sonal y a su autonomía.</w:t>
      </w:r>
    </w:p>
    <w:p w:rsidR="00000000" w:rsidRDefault="00000000">
      <w:pPr>
        <w:pStyle w:val="SingleTxt"/>
      </w:pPr>
      <w:r>
        <w:tab/>
        <w:t>Es importante sensibilizar a las instituciones del Gobierno para que aborden el problema de la violencia en el hogar, dado que, además de protegerse a la víctima primaria, también debe hacerse lo propio con las víctimas secundarias, a saber, los hijos, ya que los traumas son graves, intensos y difíciles de curar; además, lo más importante es que los hijos pueden llegar a cometer actos de violencia en el hogar y, por ello, tendrán que vérselas de nuevo con los órganos del Estado al cabo de cierto tiempo.</w:t>
      </w:r>
    </w:p>
    <w:p w:rsidR="00000000" w:rsidRDefault="00000000">
      <w:pPr>
        <w:pStyle w:val="SingleTxt"/>
      </w:pPr>
      <w:r>
        <w:tab/>
        <w:t>Son de destacar las actividades de la organización no gubernamental Emanc</w:t>
      </w:r>
      <w:r>
        <w:t>i</w:t>
      </w:r>
      <w:r>
        <w:t>pación, Solidaridad e Igualdad (ESI), la cual ha presentado una propuesta relacion</w:t>
      </w:r>
      <w:r>
        <w:t>a</w:t>
      </w:r>
      <w:r>
        <w:t>da con el Código de Procedimiento Penal, una propuesta para que se promulgue una Ley de Modificación de la Ley de Procedimiento Civil y una propuesta encaminada al establecimiento de procedimientos especiales, incluidas órdenes civiles de prote</w:t>
      </w:r>
      <w:r>
        <w:t>c</w:t>
      </w:r>
      <w:r>
        <w:t>ción contra la violencia en el hogar, etc. Además, esa organización no gubername</w:t>
      </w:r>
      <w:r>
        <w:t>n</w:t>
      </w:r>
      <w:r>
        <w:t>tal ha realizado una encuesta que pone de manifiesto que el 61,2 % de las 850 muj</w:t>
      </w:r>
      <w:r>
        <w:t>e</w:t>
      </w:r>
      <w:r>
        <w:t>res entrevistadas manifestaron que habían sido víctimas de la violencia en el hogar. Se entrevistó a mujeres de entre 30 y 40 años que eran amas de casa con escaso n</w:t>
      </w:r>
      <w:r>
        <w:t>i</w:t>
      </w:r>
      <w:r>
        <w:t>vel de instrucción y llevaban entre 10 y 20 años de casadas. El 40% de las entrevi</w:t>
      </w:r>
      <w:r>
        <w:t>s</w:t>
      </w:r>
      <w:r>
        <w:t>tadas manifestaron que habían sido víctimas de violencia psíquica y el 72,8% de golpes. Las causas más frecuentes, después de éstas, eran las amenazas, las palizas, el esca</w:t>
      </w:r>
      <w:r>
        <w:t>l</w:t>
      </w:r>
      <w:r>
        <w:t>damiento y las agresiones con cuchillos o pistolas.</w:t>
      </w:r>
    </w:p>
    <w:p w:rsidR="00000000" w:rsidRDefault="00000000">
      <w:pPr>
        <w:pStyle w:val="SingleTxt"/>
      </w:pPr>
      <w:r>
        <w:tab/>
        <w:t>El Código Penal de la República de Macedonia no tipifica la violencia contra la mujer como delito separado. Todos los casos de mujeres que son víctima de vi</w:t>
      </w:r>
      <w:r>
        <w:t>o</w:t>
      </w:r>
      <w:r>
        <w:t>lencia en el hogar se regulan en el marco de los delitos generales como el asesinato, las lesiones, las lesiones graves, la mediación para la prostitución, etc. La única e</w:t>
      </w:r>
      <w:r>
        <w:t>x</w:t>
      </w:r>
      <w:r>
        <w:t>cepción es el delito de violación, cuya tipificación como violación en el matrimonio fue introducida en el Código Penal en 1996. No obstante, el procedimiento que se sigue en este tipo de delito se inicia a instancia de parte, a diferencia de otras viol</w:t>
      </w:r>
      <w:r>
        <w:t>a</w:t>
      </w:r>
      <w:r>
        <w:t>ciones, en las que los autores son personas distintas del cónyuge y en las que el pr</w:t>
      </w:r>
      <w:r>
        <w:t>o</w:t>
      </w:r>
      <w:r>
        <w:t>ced</w:t>
      </w:r>
      <w:r>
        <w:t>i</w:t>
      </w:r>
      <w:r>
        <w:t>miento se inicia de oficio.</w:t>
      </w:r>
    </w:p>
    <w:p w:rsidR="00000000" w:rsidRDefault="00000000">
      <w:pPr>
        <w:pStyle w:val="SingleTxt"/>
      </w:pPr>
      <w:r>
        <w:tab/>
        <w:t>Cuando las propias mujeres, sus vecinos otros ciudadanos denuncian actos de violencia contra ellas dentro de la familia, las autoridades del Ministerio del Interior adoptan medidas de inmediato en relación con la comisión de faltas o delitos. Una vez denunciado el caso correspondiente, un grupo de intervención se desplaza de inmediato al lugar de los hechos y, en función de la situación, adopta las medidas policiales pertinentes (advertencia, invitación, entrevista informativa, detención, etc.). Una vez examinado el caso, se imputan los cargos correspondientes por la c</w:t>
      </w:r>
      <w:r>
        <w:t>o</w:t>
      </w:r>
      <w:r>
        <w:t>misión de una falta o de un delito contra el autor o autores.</w:t>
      </w:r>
    </w:p>
    <w:p w:rsidR="00000000" w:rsidRDefault="00000000">
      <w:pPr>
        <w:pStyle w:val="SingleTxt"/>
      </w:pPr>
      <w:r>
        <w:tab/>
        <w:t>Pese a la falta de datos estadísticos sobre la cuestión, puede afirmarse en gen</w:t>
      </w:r>
      <w:r>
        <w:t>e</w:t>
      </w:r>
      <w:r>
        <w:t>ral que, en principio, habida cuenta de la creciente sensibilización de la opinión p</w:t>
      </w:r>
      <w:r>
        <w:t>ú</w:t>
      </w:r>
      <w:r>
        <w:t>blica tras la organización de campañas y de que la cuestión se trata cada vez más en los medios de comunicación, se han registrado por lo menos ciertas mejoras, que ayudan a comprender y abordar de manera más adecuada el trato y la protección de la mujer dentro de la familia.</w:t>
      </w:r>
    </w:p>
    <w:p w:rsidR="00000000" w:rsidRDefault="00000000">
      <w:pPr>
        <w:pStyle w:val="SingleTxt"/>
      </w:pPr>
      <w:r>
        <w:tab/>
        <w:t>De conformidad con las disposiciones del Código Penal de la República de Macedonia, todo acto ilícito, con independencia de que sea cometido por un hombre o una mujer, se trata de manera igual, es decir, no hay ninguna discriminación por razones de género en relación con la responsabilidad legal. Tampoco hay discrim</w:t>
      </w:r>
      <w:r>
        <w:t>i</w:t>
      </w:r>
      <w:r>
        <w:t>nación por razones de género en lo tocante al trato de las partes lesionadas (víctimas de los delitos). Por consiguiente, los datos estadísticos del Ministerio del Interior están clasificados en función de los autores de las diversas categorías de delitos y no por gén</w:t>
      </w:r>
      <w:r>
        <w:t>e</w:t>
      </w:r>
      <w:r>
        <w:t>ro, como tampoco lo están las víctimas.</w:t>
      </w:r>
    </w:p>
    <w:p w:rsidR="00000000" w:rsidRDefault="00000000">
      <w:pPr>
        <w:pStyle w:val="SingleTxt"/>
      </w:pPr>
      <w:r>
        <w:tab/>
        <w:t>Sin embargo, cabe observar lo siguiente a la vista de los datos estadísticos de que dispone el Ministerio del Interior: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 de homicidio (artículo 123 del Código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830"/>
        <w:gridCol w:w="830"/>
        <w:gridCol w:w="831"/>
        <w:gridCol w:w="830"/>
        <w:gridCol w:w="830"/>
        <w:gridCol w:w="831"/>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982" w:type="dxa"/>
            <w:gridSpan w:val="6"/>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autores</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autoras</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Casos de homicidio cuyas víctimas son mujeres</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Interior–Sector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1210"/>
        <w:gridCol w:w="1210"/>
        <w:gridCol w:w="121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36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homicidios cometidos contra mujeres por sus parejas</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Interior–Sector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 vista de los datos expuestos, no cabe duda de que son poco frecuentes los casos de mujeres autoras de esos delitos y de que los casos de los asesinatos comet</w:t>
      </w:r>
      <w:r>
        <w:t>i</w:t>
      </w:r>
      <w:r>
        <w:t>dos por mujeres suelen guardar relación principalmente con el delito de infanticidio durante el parto (artículo 27 1)). Además, se pone de manifiesto que el número de mujeres víctimas del delito de homicidio es más elevado.</w:t>
      </w:r>
    </w:p>
    <w:p w:rsidR="00000000" w:rsidRDefault="00000000">
      <w:pPr>
        <w:pStyle w:val="SingleTxt"/>
      </w:pPr>
      <w:r>
        <w:tab/>
        <w:t>Al analizar las causas más frecuentes de los asesinatos de mujeres, se observa que, frecuentemente (en alrededor del 50% de los casos), la mujer mantuvo una r</w:t>
      </w:r>
      <w:r>
        <w:t>e</w:t>
      </w:r>
      <w:r>
        <w:t>lación con el autor del delito y que éste cometió el asesinato realizando un acto s</w:t>
      </w:r>
      <w:r>
        <w:t>u</w:t>
      </w:r>
      <w:r>
        <w:t>mamente violento contra la mujer. Las razones de los homicidios contra mujeres son de diversa índole y cabe señalar, por orden de importancia, los celos, los conflictos familiares, las discusiones y las dificultades de convivencia. Por otra parte, es muy raro el caso de la mujer que atenta contra la vida de su esposo o pareja, salvo en ci</w:t>
      </w:r>
      <w:r>
        <w:t>r</w:t>
      </w:r>
      <w:r>
        <w:t>cunsta</w:t>
      </w:r>
      <w:r>
        <w:t>n</w:t>
      </w:r>
      <w:r>
        <w:t>cias excepcionales, como la perturbación mental o problemas similares.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76"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144</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140</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Hombres</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111</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Interior–Sector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A la vista de los datos expuestos, no cabe duda de que el porcentaje de ho</w:t>
      </w:r>
      <w:r>
        <w:t>m</w:t>
      </w:r>
      <w:r>
        <w:t>bres que se suicidan es superior al de mujeres. Por lo que respecta a las razones, la mayor parte de los suicidios se cometen como consecuencia de perturbaciones mentales (alrededor del 50%); también cabe señalar las disputas familiares y los probl</w:t>
      </w:r>
      <w:r>
        <w:t>e</w:t>
      </w:r>
      <w:r>
        <w:t>mas de pareja y similares.</w:t>
      </w:r>
    </w:p>
    <w:p w:rsidR="00000000" w:rsidRDefault="00000000">
      <w:pPr>
        <w:pStyle w:val="SingleTxt"/>
      </w:pPr>
      <w:r>
        <w:tab/>
        <w:t>En cuanto a los métodos de suicidio, el más frecuente es el ahorcamiento y los menos frecuentes son la sobredosis de fármacos, la ingestión de sustancias venen</w:t>
      </w:r>
      <w:r>
        <w:t>o</w:t>
      </w:r>
      <w:r>
        <w:t>sas, el salto desde gran altura, etc.</w:t>
      </w:r>
    </w:p>
    <w:p w:rsidR="00000000" w:rsidRDefault="00000000">
      <w:pPr>
        <w:pStyle w:val="SingleTxt"/>
      </w:pPr>
      <w:r>
        <w:tab/>
        <w:t>Los suicidas suelen tener más de 30 años de edad.</w:t>
      </w:r>
    </w:p>
    <w:p w:rsidR="00000000" w:rsidRDefault="00000000">
      <w:pPr>
        <w:pStyle w:val="SingleTxt"/>
      </w:pPr>
      <w:r>
        <w:tab/>
        <w:t>En la tipificación del delito de violación (artículo 186 del Código Penal) se dispone que el violador es “la persona que, valiéndose de la fuerza contra otra o de amenazas directas contra la vida o la integridad física de esa otra persona o de un tercero próximo a ella, obliga a ésta a realizar el coito”. En el artículo 186 del Cód</w:t>
      </w:r>
      <w:r>
        <w:t>i</w:t>
      </w:r>
      <w:r>
        <w:t>go Penal también figuran circunstancias agravantes de la violación en caso de que se ocasionen graves lesiones corporales, la muerte u otras consecuencias graves, el acto haya sido cometido por más de una persona, resulte particularmente cruel o humillante o se haya ejercido coacción para realizar el coito, amenazando grav</w:t>
      </w:r>
      <w:r>
        <w:t>e</w:t>
      </w:r>
      <w:r>
        <w:t>mente a la persona de que se revelará sobre ella o sobre una persona próxima a ella cierta información que puede menoscabar el honor y la reputación de la víctima o de que puede causársele otro grave mal. Cabe destacar en particular el hecho de que, desde 1996, se tipifica el delito de “violación de personas con las que el autor co</w:t>
      </w:r>
      <w:r>
        <w:t>n</w:t>
      </w:r>
      <w:r>
        <w:t>viva por estar casado o cohabitar con ellas”.</w:t>
      </w:r>
    </w:p>
    <w:p w:rsidR="00000000" w:rsidRDefault="00000000">
      <w:pPr>
        <w:pStyle w:val="SingleTxt"/>
      </w:pPr>
      <w:r>
        <w:tab/>
        <w:t>Los datos estadísticos relativos al delito de violación durante el período co</w:t>
      </w:r>
      <w:r>
        <w:t>m</w:t>
      </w:r>
      <w:r>
        <w:t>prend</w:t>
      </w:r>
      <w:r>
        <w:t>i</w:t>
      </w:r>
      <w:r>
        <w:t>do entre 1997 y 2002 son los siguientes: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770"/>
        <w:gridCol w:w="770"/>
        <w:gridCol w:w="771"/>
        <w:gridCol w:w="770"/>
        <w:gridCol w:w="770"/>
        <w:gridCol w:w="771"/>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2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7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delitos de violación</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Casos resueltos</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violadores denunciados</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Interior–Sector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A continuación figura información más detallada sobre los delitos tipificados en varios artículos del Código Penal durante el período comprendido entre 1997 y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Código Penal de la República de Macedonia</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Delitos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Artículo 2</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contra la discriminación</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b/>
          <w:i/>
        </w:rPr>
        <w:tab/>
      </w:r>
      <w:r>
        <w:rPr>
          <w:i/>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rPr>
          <w:i/>
        </w:rPr>
        <w:tab/>
        <w:t>b)</w:t>
      </w:r>
      <w:r>
        <w:rPr>
          <w:i/>
        </w:rPr>
        <w:tab/>
        <w:t>Adoptar medidas adecuadas, legislativas y de otro carácter, con las sa</w:t>
      </w:r>
      <w:r>
        <w:rPr>
          <w:i/>
        </w:rPr>
        <w:t>n</w:t>
      </w:r>
      <w:r>
        <w:rPr>
          <w:i/>
        </w:rPr>
        <w:t>ciones c</w:t>
      </w:r>
      <w:r>
        <w:rPr>
          <w:i/>
        </w:rPr>
        <w:t>o</w:t>
      </w:r>
      <w:r>
        <w:rPr>
          <w:i/>
        </w:rPr>
        <w:t>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criminación contra la mujer;</w:t>
      </w:r>
    </w:p>
    <w:p w:rsidR="00000000" w:rsidRDefault="00000000">
      <w:pPr>
        <w:pStyle w:val="SingleTxt"/>
        <w:rPr>
          <w:i/>
        </w:rPr>
      </w:pPr>
      <w:r>
        <w:rPr>
          <w:i/>
        </w:rPr>
        <w:tab/>
        <w:t>g)</w:t>
      </w:r>
      <w:r>
        <w:rPr>
          <w:i/>
        </w:rPr>
        <w:tab/>
        <w:t>Derogar todas las disposiciones penales nacionales que constituyan di</w:t>
      </w:r>
      <w:r>
        <w:rPr>
          <w:i/>
        </w:rPr>
        <w:t>s</w:t>
      </w:r>
      <w:r>
        <w:rPr>
          <w:i/>
        </w:rPr>
        <w:t>crimin</w:t>
      </w:r>
      <w:r>
        <w:rPr>
          <w:i/>
        </w:rPr>
        <w:t>a</w:t>
      </w:r>
      <w:r>
        <w:rPr>
          <w:i/>
        </w:rP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 República de Macedonia pertenece al grupo de países en los que se aplica el derecho continental. Las fuentes básicas del derecho en la República de Macedonia son la Constitución, la legislación y los tratados internacionales ratificados por el Parlamento que se ajusten a la Constitución. Los principios básicos de este sistema son la constitucionalidad y la legalidad: todas las normas promulgadas en el ordenamiento jurídico de la República de Macedonia han de estar en consonancia con otra norma jurídica inmediatamente superior y, por consiguiente, todas ellas han de ajustarse a la ley suprema, a saber, la Constitución.</w:t>
      </w:r>
    </w:p>
    <w:p w:rsidR="00000000" w:rsidRDefault="00000000">
      <w:pPr>
        <w:pStyle w:val="SingleTxt"/>
      </w:pPr>
      <w:r>
        <w:tab/>
        <w:t>La práctica judicial (desarrollada mediante las disposiciones adoptadas sobre la base de los principios y opiniones jurídicas del Tribunal Supremo y de los fallos de los tribunales de instancia inferior) es la fuente subsidiaria del derecho. Eso si</w:t>
      </w:r>
      <w:r>
        <w:t>g</w:t>
      </w:r>
      <w:r>
        <w:t>nifica que, al aplicar las normas jurídicas, los jueces no están oficialmente obligados a aplicar la posición adoptada por un tribunal de instancia superior ni la opinión del Tribunal Supremo. Sin embargo, en cierto número de casos los tribunales de insta</w:t>
      </w:r>
      <w:r>
        <w:t>n</w:t>
      </w:r>
      <w:r>
        <w:t>cia inferior aplican directamente las posiciones y las opiniones de los tribunales de instancia superior debido a la autoridad que tienen esas instituciones y no a su c</w:t>
      </w:r>
      <w:r>
        <w:t>a</w:t>
      </w:r>
      <w:r>
        <w:t>rácter imperativo ni al precedente de las decisiones adoptadas.</w:t>
      </w:r>
    </w:p>
    <w:p w:rsidR="00000000" w:rsidRDefault="00000000">
      <w:pPr>
        <w:pStyle w:val="SingleTxt"/>
      </w:pPr>
      <w:r>
        <w:tab/>
        <w:t>Como ya se ha indicado, los tratados internacionales también son una fuente del derecho, junto con la Constitución y la legislación. En la República de Maced</w:t>
      </w:r>
      <w:r>
        <w:t>o</w:t>
      </w:r>
      <w:r>
        <w:t>nia, la jerarquía de los instrumentos jurídicos coloca a los tratados internacionales entre la Constitución y la legislación, es decir, en caso de posible discrepancia de un tratado internacional ya ratificado con las leyes en vigor en la República de Mac</w:t>
      </w:r>
      <w:r>
        <w:t>e</w:t>
      </w:r>
      <w:r>
        <w:t>donia, las disposiciones del tratado internacional prevalecerán y, por ende, se aplic</w:t>
      </w:r>
      <w:r>
        <w:t>a</w:t>
      </w:r>
      <w:r>
        <w:t>rán. De conformidad con el artículo 118 de la Constitución, los tratados internaci</w:t>
      </w:r>
      <w:r>
        <w:t>o</w:t>
      </w:r>
      <w:r>
        <w:t>nales ratificados con arreglo a la Constitución (los tratados internacionales firmados son ratificados mediante una ley aprobada por el Parlamento) pasan a ser partes del ordenamiento jurídico interno de la República de Macedonia y no pueden ser mod</w:t>
      </w:r>
      <w:r>
        <w:t>i</w:t>
      </w:r>
      <w:r>
        <w:t>ficados mediante una ley. En consecuencia, de conformidad con el artículo 98 de la Constitución, los tribunales de la República de Macedonia basan sus fallos en la Constitución, la legislación y los tratados internacionales ratificados con arreglo a la Constitución. Así pues, al dictar un fallo, los tribunales tienen libertad para aplicar libremente (sin que sea necesaria la previa promulgación de leyes o reglamentos e</w:t>
      </w:r>
      <w:r>
        <w:t>s</w:t>
      </w:r>
      <w:r>
        <w:t>peciales o suplementarios) las disposiciones de los convenios internacionales pr</w:t>
      </w:r>
      <w:r>
        <w:t>e</w:t>
      </w:r>
      <w:r>
        <w:t>viamente ratificados por el Parlamento.</w:t>
      </w:r>
    </w:p>
    <w:p w:rsidR="00000000" w:rsidRDefault="00000000">
      <w:pPr>
        <w:pStyle w:val="SingleTxt"/>
      </w:pPr>
      <w:r>
        <w:tab/>
        <w:t>La República de Macedonia ha firmado cierto número de instrumentos intern</w:t>
      </w:r>
      <w:r>
        <w:t>a</w:t>
      </w:r>
      <w:r>
        <w:t>cionales relacionados con la igualdad entre los géneros y la condición de la mujer. En su calidad de Estado sucesor de la ex República Federativa Socialista de Yugo</w:t>
      </w:r>
      <w:r>
        <w:t>s</w:t>
      </w:r>
      <w:r>
        <w:t>lavia, Macedonia se ha adherido a la Convención de las Naciones Unidas sobre la eliminación de todas las formas de discriminación contra la mujer. La Convención entró en vigor el 17 de septiembre de 1991, fecha en que el país asumió las oblig</w:t>
      </w:r>
      <w:r>
        <w:t>a</w:t>
      </w:r>
      <w:r>
        <w:t>ciones pertinentes ante la comunidad internacional. La República de Macedonia firmó el Protocolo Facultativo de la Convención sobre la eliminación de todas las formas de discriminación contra la mujer, 2000, lo ratificó el 24 de junio de 2003 y el Protocolo entró en vigor el 17 de octubre de ese mismo año. En el Protocolo se reconoce la competencia del Comité para la Eliminación de la Discriminación co</w:t>
      </w:r>
      <w:r>
        <w:t>n</w:t>
      </w:r>
      <w:r>
        <w:t>tra la Mujer a los efectos de examinar las solicitudes presentadas en nombre de pe</w:t>
      </w:r>
      <w:r>
        <w:t>r</w:t>
      </w:r>
      <w:r>
        <w:t xml:space="preserve">sonas o grupos en relación con la protección de los derechos consignados en la </w:t>
      </w:r>
      <w:r>
        <w:br/>
        <w:t>Co</w:t>
      </w:r>
      <w:r>
        <w:t>n</w:t>
      </w:r>
      <w:r>
        <w:t>vención.</w:t>
      </w:r>
    </w:p>
    <w:p w:rsidR="00000000" w:rsidRDefault="00000000">
      <w:pPr>
        <w:pStyle w:val="SingleTxt"/>
      </w:pPr>
      <w:r>
        <w:tab/>
        <w:t>Los convenios de la Organización Internacional del Trabajo en que Macedonia es parte en su calidad de Estado sucesor del ex Reino de los Serbios, Croatas y E</w:t>
      </w:r>
      <w:r>
        <w:t>s</w:t>
      </w:r>
      <w:r>
        <w:t>lov</w:t>
      </w:r>
      <w:r>
        <w:t>e</w:t>
      </w:r>
      <w:r>
        <w:t>nos y de la ex República Federativa Socialista de Yugoslavia son los siguientes: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C2 Convenio sobre el desempleo, 1919</w:t>
      </w:r>
    </w:p>
    <w:p w:rsidR="00000000" w:rsidRDefault="00000000">
      <w:pPr>
        <w:pStyle w:val="SingleTxt"/>
        <w:keepNext/>
        <w:keepLines/>
        <w:spacing w:after="0" w:line="120" w:lineRule="exact"/>
        <w:rPr>
          <w:sz w:val="10"/>
        </w:rPr>
      </w:pPr>
    </w:p>
    <w:p w:rsidR="00000000" w:rsidRDefault="00000000">
      <w:pPr>
        <w:pStyle w:val="SingleTxt"/>
        <w:keepNext/>
        <w:keepLines/>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C3 Convenio sobre la protección a la maternidad, 1919</w:t>
      </w:r>
    </w:p>
    <w:p w:rsidR="00000000" w:rsidRDefault="00000000">
      <w:pPr>
        <w:pStyle w:val="SingleTxt"/>
        <w:spacing w:after="0" w:line="120" w:lineRule="exact"/>
        <w:rPr>
          <w:sz w:val="10"/>
        </w:rPr>
      </w:pPr>
    </w:p>
    <w:p w:rsidR="00000000" w:rsidRDefault="00000000">
      <w:pPr>
        <w:pStyle w:val="SingleTxt"/>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C8 Convenio sobre las indemnizaciones de desempleo (naufragio), 1920</w:t>
      </w:r>
    </w:p>
    <w:p w:rsidR="00000000" w:rsidRDefault="00000000">
      <w:pPr>
        <w:pStyle w:val="SingleTxt"/>
        <w:spacing w:after="0" w:line="120" w:lineRule="exact"/>
        <w:rPr>
          <w:sz w:val="10"/>
        </w:rPr>
      </w:pPr>
    </w:p>
    <w:p w:rsidR="00000000" w:rsidRDefault="00000000">
      <w:pPr>
        <w:pStyle w:val="SingleTxt"/>
      </w:pPr>
      <w:r>
        <w:t>Gaceta Oficial, No. 44/XVI de 25 de febrero de 1930.</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C14 Convenio sobre el descanso semanal (industria), 1921</w:t>
      </w:r>
    </w:p>
    <w:p w:rsidR="00000000" w:rsidRDefault="00000000">
      <w:pPr>
        <w:pStyle w:val="SingleTxt"/>
        <w:spacing w:after="0" w:line="120" w:lineRule="exact"/>
        <w:rPr>
          <w:sz w:val="10"/>
        </w:rPr>
      </w:pPr>
    </w:p>
    <w:p w:rsidR="00000000" w:rsidRDefault="00000000">
      <w:pPr>
        <w:pStyle w:val="SingleTxt"/>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C17 Convenio sobre la indemnización por accidentes del trabajo, 1925</w:t>
      </w:r>
    </w:p>
    <w:p w:rsidR="00000000" w:rsidRDefault="00000000">
      <w:pPr>
        <w:pStyle w:val="SingleTxt"/>
        <w:spacing w:after="0" w:line="120" w:lineRule="exact"/>
        <w:rPr>
          <w:sz w:val="10"/>
        </w:rPr>
      </w:pPr>
    </w:p>
    <w:p w:rsidR="00000000" w:rsidRDefault="00000000">
      <w:pPr>
        <w:pStyle w:val="SingleTxt"/>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C18 Convenio sobre las enfermedades profesionales, 1925</w:t>
      </w:r>
    </w:p>
    <w:p w:rsidR="00000000" w:rsidRDefault="00000000">
      <w:pPr>
        <w:pStyle w:val="SingleTxt"/>
        <w:spacing w:after="0" w:line="120" w:lineRule="exact"/>
        <w:rPr>
          <w:sz w:val="10"/>
        </w:rPr>
      </w:pPr>
    </w:p>
    <w:p w:rsidR="00000000" w:rsidRDefault="00000000">
      <w:pPr>
        <w:pStyle w:val="SingleTxt"/>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C19 Convenio sobre la igualdad de trato (accidentes del trabajo), 1925</w:t>
      </w:r>
    </w:p>
    <w:p w:rsidR="00000000" w:rsidRDefault="00000000">
      <w:pPr>
        <w:pStyle w:val="SingleTxt"/>
        <w:spacing w:after="0" w:line="120" w:lineRule="exact"/>
        <w:rPr>
          <w:sz w:val="10"/>
        </w:rPr>
      </w:pPr>
    </w:p>
    <w:p w:rsidR="00000000" w:rsidRDefault="00000000">
      <w:pPr>
        <w:pStyle w:val="SingleTxt"/>
      </w:pPr>
      <w:r>
        <w:t>Gaceta Oficial, No. 95-XXII de 30 de abril de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C29 Convenio sobre el trabajo forzoso, 1930</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C45 Convenio sobre el trabajo subterráneo (mujeres), 1935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w w:val="101"/>
        </w:rPr>
        <w:tab/>
      </w:r>
      <w:r>
        <w:rPr>
          <w:w w:val="101"/>
        </w:rPr>
        <w:tab/>
        <w:t>C48 Convenio sobre la conservación de los derechos de pensión de los migrantes, 1935</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C81 Convenio sobre la inspección del trabajo, 1947</w:t>
      </w:r>
    </w:p>
    <w:p w:rsidR="00000000" w:rsidRDefault="00000000">
      <w:pPr>
        <w:pStyle w:val="SingleTxt"/>
        <w:spacing w:after="0" w:line="120" w:lineRule="exact"/>
        <w:rPr>
          <w:sz w:val="10"/>
        </w:rPr>
      </w:pPr>
    </w:p>
    <w:p w:rsidR="00000000" w:rsidRDefault="00000000">
      <w:pPr>
        <w:pStyle w:val="SingleTxt"/>
      </w:pPr>
      <w:r>
        <w:t>Colección de Acuerdos de las Naciones Unidas, libro 54, anexo a la Gaceta Oficial de la República Federativa Socialista de Yugoslavia, No. 5/1956, Colección de Acuerdos de la República Federativa Socialista de Yugoslavia, libro No. 57/1956.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C89 Convenio (revisado) sobre el trabajo nocturno (mujeres), 1948</w:t>
      </w:r>
    </w:p>
    <w:p w:rsidR="00000000" w:rsidRDefault="00000000">
      <w:pPr>
        <w:pStyle w:val="SingleTxt"/>
        <w:spacing w:after="0" w:line="120" w:lineRule="exact"/>
        <w:rPr>
          <w:sz w:val="10"/>
        </w:rPr>
      </w:pPr>
    </w:p>
    <w:p w:rsidR="00000000" w:rsidRDefault="00000000">
      <w:pPr>
        <w:pStyle w:val="SingleTxt"/>
      </w:pPr>
      <w:r>
        <w:t>Colección de Acuerdos de las Naciones Unidas, libro 81, anexo a la Gaceta Oficial de la República Federativa Socialista de Yugoslavia, No. 12/1956, Colección de Acuerdos de la República Federativa Socialista de Yugoslavia, libro No. 19/1957.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C98 Convenio sobre el derecho de sindicación y de negociación colectiva, 1949</w:t>
      </w:r>
    </w:p>
    <w:p w:rsidR="00000000" w:rsidRDefault="00000000">
      <w:pPr>
        <w:pStyle w:val="SingleTxt"/>
        <w:spacing w:after="0" w:line="120" w:lineRule="exact"/>
        <w:rPr>
          <w:sz w:val="10"/>
        </w:rPr>
      </w:pPr>
    </w:p>
    <w:p w:rsidR="00000000" w:rsidRDefault="00000000">
      <w:pPr>
        <w:pStyle w:val="SingleTxt"/>
      </w:pPr>
      <w:r>
        <w:t>Anexo a la Gaceta Oficial de la República Federativa Socialista de Yugoslavia, No. 11/1958, Colección de Acuerdos de la República Federativa Socialista de Yugosl</w:t>
      </w:r>
      <w:r>
        <w:t>a</w:t>
      </w:r>
      <w:r>
        <w:t>via, libro No. 11/1956.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C100 Convenio sobre igualdad de remuneración, 1951</w:t>
      </w:r>
    </w:p>
    <w:p w:rsidR="00000000" w:rsidRDefault="00000000">
      <w:pPr>
        <w:pStyle w:val="SingleTxt"/>
        <w:spacing w:after="0" w:line="120" w:lineRule="exact"/>
        <w:rPr>
          <w:sz w:val="10"/>
        </w:rPr>
      </w:pPr>
    </w:p>
    <w:p w:rsidR="00000000" w:rsidRDefault="00000000">
      <w:pPr>
        <w:pStyle w:val="SingleTxt"/>
      </w:pPr>
      <w:r>
        <w:t>Gaceta Oficial del Presidium de la Asamblea Nacional de la República Federativa Socialista de Yugoslavia, No. 2/1952, Colección de Acuerdos de las Naciones Un</w:t>
      </w:r>
      <w:r>
        <w:t>i</w:t>
      </w:r>
      <w:r>
        <w:t>das, libro 156, Colección de Acuerdos de la República Federativa Socialista de Y</w:t>
      </w:r>
      <w:r>
        <w:t>u</w:t>
      </w:r>
      <w:r>
        <w:t>goslavia, libro No. 11/1952.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C102 Convenio sobre la seguridad social (norma mínima), 1952</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C103 Convenio sobre la protección de la maternidad (revisado), 1952</w:t>
      </w: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rPr>
          <w:spacing w:val="2"/>
          <w:w w:val="101"/>
        </w:rPr>
        <w:t>Colección de Acuerdos de la República Federativa Socialista de Yugoslavia, libro No. 9/1955, Colección de Acuerdos de la República Federativa Socialista de Yugoslavia, l</w:t>
      </w:r>
      <w:r>
        <w:rPr>
          <w:spacing w:val="2"/>
          <w:w w:val="101"/>
        </w:rPr>
        <w:t>i</w:t>
      </w:r>
      <w:r>
        <w:rPr>
          <w:spacing w:val="2"/>
          <w:w w:val="101"/>
        </w:rPr>
        <w:t>bro No. 23/1956, Colección de Acuerdos de las Naciones Unidas, libro 214.</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C105 Convenio sobre la abolición del trabajo forzoso, 1957</w:t>
      </w:r>
    </w:p>
    <w:p w:rsidR="00000000" w:rsidRDefault="00000000">
      <w:pPr>
        <w:pStyle w:val="SingleTxt"/>
        <w:spacing w:after="0" w:line="120" w:lineRule="exact"/>
        <w:rPr>
          <w:sz w:val="10"/>
        </w:rPr>
      </w:pPr>
    </w:p>
    <w:p w:rsidR="00000000" w:rsidRDefault="00000000">
      <w:pPr>
        <w:pStyle w:val="SingleTxt"/>
        <w:suppressAutoHyphens/>
      </w:pPr>
      <w:r>
        <w:t>Gaceta Oficial de la República de Macedonia, No. 6/2003 (en Acuerdos internacionales).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C106 Convenio sobre el descanso semanal (comercio y oficinas), 1957</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C111 Convenio sobre la discriminación (empleo y ocupación), 1958</w:t>
      </w:r>
    </w:p>
    <w:p w:rsidR="00000000" w:rsidRDefault="00000000">
      <w:pPr>
        <w:pStyle w:val="SingleTxt"/>
        <w:spacing w:after="0" w:line="120" w:lineRule="exact"/>
        <w:rPr>
          <w:sz w:val="10"/>
        </w:rPr>
      </w:pPr>
    </w:p>
    <w:p w:rsidR="00000000" w:rsidRDefault="00000000">
      <w:pPr>
        <w:pStyle w:val="SingleTxt"/>
      </w:pPr>
      <w:r>
        <w:t>Anexo a la Gaceta Oficial de la República Federativa Socialista de Yugoslavia, No. 3/1961.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C122 Convenio sobre la política del empleo, 1964</w:t>
      </w:r>
    </w:p>
    <w:p w:rsidR="00000000" w:rsidRDefault="00000000">
      <w:pPr>
        <w:pStyle w:val="SingleTxt"/>
        <w:spacing w:after="0" w:line="120" w:lineRule="exact"/>
        <w:rPr>
          <w:sz w:val="10"/>
        </w:rPr>
      </w:pPr>
    </w:p>
    <w:p w:rsidR="00000000" w:rsidRDefault="00000000">
      <w:pPr>
        <w:pStyle w:val="SingleTxt"/>
      </w:pPr>
      <w:r>
        <w:t>Gaceta Oficial de la República Federativa Socialista de Yugoslavia, No. 34/1971 (en Tratados y otros acuerdos internacionales).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C129 Convenio sobre la inspección del trabajo (agricultura), 1969</w:t>
      </w:r>
    </w:p>
    <w:p w:rsidR="00000000" w:rsidRDefault="00000000">
      <w:pPr>
        <w:pStyle w:val="SingleTxt"/>
        <w:spacing w:after="0" w:line="120" w:lineRule="exact"/>
        <w:rPr>
          <w:sz w:val="10"/>
        </w:rPr>
      </w:pPr>
    </w:p>
    <w:p w:rsidR="00000000" w:rsidRDefault="00000000">
      <w:pPr>
        <w:pStyle w:val="SingleTxt"/>
      </w:pPr>
      <w:r>
        <w:t>Gaceta Oficial de la República Federativa Socialista de Yugoslavia, No.22/75.</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C131 Convenio sobre la fijación de salarios mínimos, 1970</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C132 Convenio sobre las vacaciones pagadas (revisado), 1970</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C143 Convenio sobre los trabajadores migrantes (disposiciones complementarias), 1975</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C155 Convenio sobre seguridad y salud de los trabajadores, 1981</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C165 Convenio sobre los trabajadores con responsabilidades familiares, 1981</w:t>
      </w:r>
    </w:p>
    <w:p w:rsidR="00000000" w:rsidRDefault="00000000">
      <w:pPr>
        <w:pStyle w:val="SingleTxt"/>
        <w:spacing w:after="0" w:line="120" w:lineRule="exact"/>
        <w:rPr>
          <w:sz w:val="10"/>
        </w:rPr>
      </w:pPr>
    </w:p>
    <w:p w:rsidR="00000000" w:rsidRDefault="00000000">
      <w:pPr>
        <w:pStyle w:val="SingleTxt"/>
      </w:pPr>
      <w:r>
        <w:t>Gaceta Oficial de la República Federativa Socialista de Yugoslavia, Acuerdos inte</w:t>
      </w:r>
      <w:r>
        <w:t>r</w:t>
      </w:r>
      <w:r>
        <w:t>nacionales, No. 7/87 de 3 de julio de 1987.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Prohibición de la discriminación en el ordenamiento jurídico de la República de Macedonia</w:t>
      </w:r>
    </w:p>
    <w:p w:rsidR="00000000" w:rsidRDefault="00000000">
      <w:pPr>
        <w:pStyle w:val="SingleTxt"/>
        <w:spacing w:after="0" w:line="120" w:lineRule="exact"/>
        <w:rPr>
          <w:sz w:val="10"/>
        </w:rPr>
      </w:pPr>
    </w:p>
    <w:p w:rsidR="00000000" w:rsidRDefault="00000000">
      <w:pPr>
        <w:pStyle w:val="SingleTxt"/>
      </w:pPr>
      <w:r>
        <w:tab/>
        <w:t>Indudablemente el principio fundamental del ordenamiento constitucional es el principio de la igualdad, es decir, la no discriminación, en cumplimiento de lo di</w:t>
      </w:r>
      <w:r>
        <w:t>s</w:t>
      </w:r>
      <w:r>
        <w:t>puesto en el artículo 9 de la Constitución de la República de Macedonia, en el que se dispone que “los ciudadanos de la República de Macedonia tienen los mismos d</w:t>
      </w:r>
      <w:r>
        <w:t>e</w:t>
      </w:r>
      <w:r>
        <w:t>rechos y libertades, con independencia del género, la raza, el color de la piel, el or</w:t>
      </w:r>
      <w:r>
        <w:t>i</w:t>
      </w:r>
      <w:r>
        <w:t>gen nacional o social, las convicciones, el patrimonio y la situación social. Los ci</w:t>
      </w:r>
      <w:r>
        <w:t>u</w:t>
      </w:r>
      <w:r>
        <w:t>dad</w:t>
      </w:r>
      <w:r>
        <w:t>a</w:t>
      </w:r>
      <w:r>
        <w:t>nos son iguales ante la Constitución y las leyes …”</w:t>
      </w:r>
    </w:p>
    <w:p w:rsidR="00000000" w:rsidRDefault="00000000">
      <w:pPr>
        <w:pStyle w:val="SingleTxt"/>
      </w:pPr>
      <w:r>
        <w:tab/>
        <w:t>Esta disposición también figura en el artículo 54 de la Constitución, según el cual:</w:t>
      </w:r>
    </w:p>
    <w:p w:rsidR="00000000" w:rsidRDefault="00000000">
      <w:pPr>
        <w:pStyle w:val="SingleTxt"/>
        <w:ind w:left="1742" w:hanging="475"/>
      </w:pPr>
      <w:r>
        <w:tab/>
      </w:r>
      <w:r>
        <w:tab/>
        <w:t>“Las libertades y los derechos de la persona y del ciudadano únicamente pueden l</w:t>
      </w:r>
      <w:r>
        <w:t>i</w:t>
      </w:r>
      <w:r>
        <w:t>mitarse en los casos indicados en la Constitución.</w:t>
      </w:r>
    </w:p>
    <w:p w:rsidR="00000000" w:rsidRDefault="00000000">
      <w:pPr>
        <w:pStyle w:val="SingleTxt"/>
        <w:ind w:left="1742" w:hanging="475"/>
      </w:pPr>
      <w:r>
        <w:tab/>
      </w:r>
      <w:r>
        <w:tab/>
        <w:t>Las libertades y los derechos de la persona y del ciudadano únicamente pueden limitarse en caso de guerra o de estado de excepción, de conformidad con la Con</w:t>
      </w:r>
      <w:r>
        <w:t>s</w:t>
      </w:r>
      <w:r>
        <w:t>titución.</w:t>
      </w:r>
    </w:p>
    <w:p w:rsidR="00000000" w:rsidRDefault="00000000">
      <w:pPr>
        <w:pStyle w:val="SingleTxt"/>
        <w:ind w:left="1742" w:hanging="475"/>
      </w:pPr>
      <w:r>
        <w:tab/>
      </w:r>
      <w:r>
        <w:tab/>
        <w:t>Las limitaciones a las libertades y los derechos no pueden tener carácter discriminatorio por razón del sexo, la raza, el color de piel, el idioma, la rel</w:t>
      </w:r>
      <w:r>
        <w:t>i</w:t>
      </w:r>
      <w:r>
        <w:t>gión, el origen nacional o social, el patrimonio o la situación social.</w:t>
      </w:r>
    </w:p>
    <w:p w:rsidR="00000000" w:rsidRDefault="00000000">
      <w:pPr>
        <w:pStyle w:val="SingleTxt"/>
        <w:ind w:left="1742" w:hanging="475"/>
      </w:pPr>
      <w:r>
        <w:tab/>
      </w:r>
      <w:r>
        <w:tab/>
        <w:t>Las limitaciones a las libertades y los derechos no pueden afectar al d</w:t>
      </w:r>
      <w:r>
        <w:t>e</w:t>
      </w:r>
      <w:r>
        <w:t>recho a la vida, el principio de prohibición de la tortura y otros tratos o penas inhumanos o degradantes, la tipificación de los actos punibles, la definición de las penas ni la libertad de creencias, conciencia, pensamiento y expresión p</w:t>
      </w:r>
      <w:r>
        <w:t>ú</w:t>
      </w:r>
      <w:r>
        <w:t>blica de las ideas y la co</w:t>
      </w:r>
      <w:r>
        <w:t>n</w:t>
      </w:r>
      <w:r>
        <w:t>fesión religiosa.”</w:t>
      </w:r>
    </w:p>
    <w:p w:rsidR="00000000" w:rsidRDefault="00000000">
      <w:pPr>
        <w:pStyle w:val="SingleTxt"/>
      </w:pPr>
      <w:r>
        <w:tab/>
        <w:t>En la Constitución de la República de Macedonia se establecen dos tipos de limitaciones a las libertades y derechos de la persona: las limitaciones enumeradas a los efectos de garantizar las libertades y los derechos individuales</w:t>
      </w:r>
      <w:r>
        <w:rPr>
          <w:rStyle w:val="FootnoteReference"/>
        </w:rPr>
        <w:footnoteReference w:id="2"/>
      </w:r>
      <w:r>
        <w:t xml:space="preserve"> y la limitación gen</w:t>
      </w:r>
      <w:r>
        <w:t>e</w:t>
      </w:r>
      <w:r>
        <w:t>ral de las libertades y los derechos en caso de guerra o de estado de excepción.</w:t>
      </w:r>
    </w:p>
    <w:p w:rsidR="00000000" w:rsidRDefault="00000000">
      <w:pPr>
        <w:pStyle w:val="SingleTxt"/>
      </w:pPr>
      <w:r>
        <w:tab/>
        <w:t>Tienen especial importancia la prohibición de la discriminación en los casos de las limitaciones de las libertades y derechos de la persona y la rigurosa prohibición de limitar ciertas libertades y derechos fundamentales. En este sentido, la limitación de las libertades y los derechos de la persona no puede tener carácter discriminatorio en función del género.</w:t>
      </w:r>
    </w:p>
    <w:p w:rsidR="00000000" w:rsidRDefault="00000000">
      <w:pPr>
        <w:pStyle w:val="SingleTxt"/>
      </w:pPr>
      <w:r>
        <w:tab/>
        <w:t>La no discriminación en el disfrute de los derechos, que se considera un der</w:t>
      </w:r>
      <w:r>
        <w:t>e</w:t>
      </w:r>
      <w:r>
        <w:t>cho adquirido, obliga al Estado a adoptar ciertas medidas para sancionar su incu</w:t>
      </w:r>
      <w:r>
        <w:t>m</w:t>
      </w:r>
      <w:r>
        <w:t>plimiento. En este sentido, el Código Penal incluye una disposición en cuya virtud la violación de la igualdad entre los ciudadanos es objeto de sanciones penales (art</w:t>
      </w:r>
      <w:r>
        <w:t>í</w:t>
      </w:r>
      <w:r>
        <w:t>culo 13 del Código Penal): “1) La persona que, sobre la base del género, la raza, el color de piel, el origen nacional o social, las convicciones políticas y religiosas, el patrimonio, la situación social, el idioma u otras características similares, prive o restrinja los derechos de un ser humano y ciudadano, según lo dispuesto en la Con</w:t>
      </w:r>
      <w:r>
        <w:t>s</w:t>
      </w:r>
      <w:r>
        <w:t>titución, la ley o un tratado internacional ratificado o, basándose en esas diferencias, otorgue privilegios a ciudadanos en contra de la Constitución, la ley o un tratado internacional ratificado, será castigada con una pena de privación de libertad de tres meses a tres años. 2) Si el acto indicado en el párrafo 1 es cometido por un funci</w:t>
      </w:r>
      <w:r>
        <w:t>o</w:t>
      </w:r>
      <w:r>
        <w:t>nario mientras presta servicios, dicho funcionario será castigado con una pena de privación de l</w:t>
      </w:r>
      <w:r>
        <w:t>i</w:t>
      </w:r>
      <w:r>
        <w:t>bertad de seis meses a cinco años”.</w:t>
      </w:r>
    </w:p>
    <w:p w:rsidR="00000000" w:rsidRDefault="00000000">
      <w:pPr>
        <w:pStyle w:val="SingleTxt"/>
        <w:suppressAutoHyphens/>
      </w:pPr>
      <w:r>
        <w:tab/>
        <w:t>De conformidad con el mencionado principio de la no discriminación del artículo 9 de la Constitución, se proclama constitucionalmente la igualdad entre los géneros. Además de esa disposición, la Constitución de la República de Macedonia contiene otras de carácter general, que en parte se refieren a derechos económicos, sociales y culturales y confieren una protección especial a la mujer, básicamente en su calidad de madre y trabajadora, disposiciones éstas que se utilizan como base de la legislación protectora vigente en la esfera de las relaciones familiares y el empleo. Así, en el párrafo 1 del artículo 40 de la Constitución, se dispone que el Estado ha de prestar especial atención y protección a la familia. En el párrafo 1 del artículo 41 se reconoce el derecho a decidir libremente sobre la procreación de los hijos, al tiempo que en los párrafos 1 y 2 del artículo 42 se dispone que el Estado ha de brindar una protección especial a las madres, los hijos y los menores. Los menores y las madres tienen derecho a una protección especial en el trabajo.</w:t>
      </w:r>
    </w:p>
    <w:p w:rsidR="00000000" w:rsidRDefault="00000000">
      <w:pPr>
        <w:pStyle w:val="SingleTxt"/>
      </w:pPr>
      <w:r>
        <w:tab/>
        <w:t>Esas disposiciones constitucionales se precisan más en varios textos jurídicos de c</w:t>
      </w:r>
      <w:r>
        <w:t>a</w:t>
      </w:r>
      <w:r>
        <w:t>rácter penal, familiar y laboral, así como en otras leyes y reglamentos.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jurídica</w:t>
      </w:r>
    </w:p>
    <w:p w:rsidR="00000000" w:rsidRDefault="00000000">
      <w:pPr>
        <w:pStyle w:val="SingleTxt"/>
        <w:spacing w:after="0" w:line="120" w:lineRule="exact"/>
        <w:rPr>
          <w:sz w:val="10"/>
        </w:rPr>
      </w:pPr>
    </w:p>
    <w:p w:rsidR="00000000" w:rsidRDefault="00000000">
      <w:pPr>
        <w:pStyle w:val="SingleTxt"/>
      </w:pPr>
      <w:r>
        <w:tab/>
        <w:t>La protección de las libertades y los derechos de la persona tiene rango con</w:t>
      </w:r>
      <w:r>
        <w:t>s</w:t>
      </w:r>
      <w:r>
        <w:t>titucional. En consecuencia, de conformidad con el artículo 50 de la Constitución, todo ciudadano puede exigir que las libertades y los derechos que le confiere la Constitución se protejan ante los tribunales ordinarios y ante el Tribunal Constit</w:t>
      </w:r>
      <w:r>
        <w:t>u</w:t>
      </w:r>
      <w:r>
        <w:t>cional de la República de Macedonia con arreglo a un procedimiento que tenga en cuenta los principios prioritarios y de urgencia.</w:t>
      </w:r>
    </w:p>
    <w:p w:rsidR="00000000" w:rsidRDefault="00000000">
      <w:pPr>
        <w:pStyle w:val="SingleTxt"/>
      </w:pPr>
      <w:r>
        <w:tab/>
        <w:t>En el párrafo 2 de ese mismo artículo se garantiza la aplicación del principio judicial de las dos instancias en la República de Macedonia. Todas las sentencias dictadas en primera instancia puede ser objeto de revisión por el tribunal inmedi</w:t>
      </w:r>
      <w:r>
        <w:t>a</w:t>
      </w:r>
      <w:r>
        <w:t>tamente superior. En ciertos casos, se prescribe una tercera instancia. El recurso en segunda instancia produce efectos suspensivos (es decir, suspende la ejecución de las sentencias dictadas en primera instancia) y lo resuelve el Tribunal Supremo. También se garantiza el procedimiento de dos instancias en relación con todos los actos administrativos. Además, se garantiza la protección judicial (en los casos planteados ante la jurisdicción administrativa) respecto de la legalidad de los actos individuales de la administración y otras instituciones públicas.</w:t>
      </w:r>
    </w:p>
    <w:p w:rsidR="00000000" w:rsidRDefault="00000000">
      <w:pPr>
        <w:pStyle w:val="SingleTxt"/>
      </w:pPr>
      <w:r>
        <w:tab/>
        <w:t>Para que los derechos humanos puedan ejercitarse debidamente, es fundame</w:t>
      </w:r>
      <w:r>
        <w:t>n</w:t>
      </w:r>
      <w:r>
        <w:t>tal que la judicatura sea independiente y autónoma. En varias disposiciones, la Ley de tribunales garantiza la independencia de los jueces en el desempeño de sus fu</w:t>
      </w:r>
      <w:r>
        <w:t>n</w:t>
      </w:r>
      <w:r>
        <w:t>ciones judiciales. Además, con el fin de garantizar la protección jurídica, la Ley di</w:t>
      </w:r>
      <w:r>
        <w:t>s</w:t>
      </w:r>
      <w:r>
        <w:t>pone que todo órgano estatal, dentro de sus competencias, está obligado a hacer cumplir los fallos de los tribunales. Las medidas para dar cumplimiento a los fallos ejecutables se adoptan de la manera más rápida y eficaz posible y no pueden verse obstac</w:t>
      </w:r>
      <w:r>
        <w:t>u</w:t>
      </w:r>
      <w:r>
        <w:t xml:space="preserve">lizadas por las decisiones de otros órganos del Estado. </w:t>
      </w:r>
    </w:p>
    <w:p w:rsidR="00000000" w:rsidRDefault="00000000">
      <w:pPr>
        <w:pStyle w:val="SingleTxt"/>
      </w:pPr>
      <w:r>
        <w:tab/>
        <w:t>En la Constitución de la República de Macedonia de 1991 se prevén los s</w:t>
      </w:r>
      <w:r>
        <w:t>i</w:t>
      </w:r>
      <w:r>
        <w:t>guientes tipos de protección de las libertades y los derechos:</w:t>
      </w:r>
    </w:p>
    <w:p w:rsidR="00000000" w:rsidRDefault="00000000">
      <w:pPr>
        <w:pStyle w:val="SingleTxt"/>
        <w:tabs>
          <w:tab w:val="right" w:pos="1685"/>
        </w:tabs>
        <w:ind w:left="1742" w:hanging="475"/>
      </w:pPr>
      <w:r>
        <w:tab/>
        <w:t>1.</w:t>
      </w:r>
      <w:r>
        <w:tab/>
        <w:t>Protección judicial</w:t>
      </w:r>
    </w:p>
    <w:p w:rsidR="00000000" w:rsidRDefault="00000000">
      <w:pPr>
        <w:pStyle w:val="SingleTxt"/>
        <w:tabs>
          <w:tab w:val="right" w:pos="1685"/>
        </w:tabs>
        <w:ind w:left="1742" w:hanging="475"/>
      </w:pPr>
      <w:r>
        <w:tab/>
        <w:t>–</w:t>
      </w:r>
      <w:r>
        <w:tab/>
        <w:t>por los tribunales ordinarios</w:t>
      </w:r>
    </w:p>
    <w:p w:rsidR="00000000" w:rsidRDefault="00000000">
      <w:pPr>
        <w:pStyle w:val="SingleTxt"/>
        <w:tabs>
          <w:tab w:val="right" w:pos="1685"/>
        </w:tabs>
        <w:ind w:left="1742" w:hanging="475"/>
      </w:pPr>
      <w:r>
        <w:tab/>
        <w:t>–</w:t>
      </w:r>
      <w:r>
        <w:tab/>
        <w:t>por el Tribunal Constitucional de la República de Macedonia</w:t>
      </w:r>
    </w:p>
    <w:p w:rsidR="00000000" w:rsidRDefault="00000000">
      <w:pPr>
        <w:pStyle w:val="SingleTxt"/>
        <w:tabs>
          <w:tab w:val="right" w:pos="1685"/>
        </w:tabs>
        <w:ind w:left="1742" w:hanging="475"/>
      </w:pPr>
      <w:r>
        <w:tab/>
        <w:t>2.</w:t>
      </w:r>
      <w:r>
        <w:tab/>
        <w:t>Por el defensor del Pueblo</w:t>
      </w:r>
    </w:p>
    <w:p w:rsidR="00000000" w:rsidRDefault="00000000">
      <w:pPr>
        <w:pStyle w:val="SingleTxt"/>
        <w:tabs>
          <w:tab w:val="right" w:pos="1685"/>
        </w:tabs>
        <w:ind w:left="1742" w:hanging="475"/>
      </w:pPr>
      <w:r>
        <w:tab/>
        <w:t>3.</w:t>
      </w:r>
      <w:r>
        <w:tab/>
        <w:t>Por la Comisión Permanente del Parlamento, que es un equipo de tareas del Parl</w:t>
      </w:r>
      <w:r>
        <w:t>a</w:t>
      </w:r>
      <w:r>
        <w:t>mento de la República de Macedonia.</w:t>
      </w:r>
    </w:p>
    <w:p w:rsidR="00000000" w:rsidRDefault="00000000">
      <w:pPr>
        <w:pStyle w:val="SingleTxt"/>
      </w:pPr>
      <w:r>
        <w:tab/>
        <w:t>En el artículo 6 de la Ley de tribunales de 1995 (Gaceta Oficial, No. 36/95), se dispone que los tribunales protegen las libertades y los derechos de la persona y del ciudadano, así como los derechos de otras entidades jurídicas, a menos que, a tenor de lo dispuesto en la Constitución, esa protección corresponda al Tribunal Constit</w:t>
      </w:r>
      <w:r>
        <w:t>u</w:t>
      </w:r>
      <w:r>
        <w:t>cional. Además, la competencia de los tribunales abarca la protección de los ciud</w:t>
      </w:r>
      <w:r>
        <w:t>a</w:t>
      </w:r>
      <w:r>
        <w:t>danos frente a los actos ilícitos individuales de la administración y otras instituci</w:t>
      </w:r>
      <w:r>
        <w:t>o</w:t>
      </w:r>
      <w:r>
        <w:t>nes públicas, lo que está en consonancia con lo dispuesto en el artículo 15 de la Constitución, a cuyo tenor: “Se garantiza el derecho a recurrir contra actos jurídicos individuales realizados en el marco de un procedimiento de primera instancia ante un tribunal, un órgano administrativo, una organización u otra institución que d</w:t>
      </w:r>
      <w:r>
        <w:t>e</w:t>
      </w:r>
      <w:r>
        <w:t>sempeñe funciones públicas”.</w:t>
      </w:r>
    </w:p>
    <w:p w:rsidR="00000000" w:rsidRDefault="00000000">
      <w:pPr>
        <w:pStyle w:val="SingleTxt"/>
      </w:pPr>
      <w:r>
        <w:tab/>
        <w:t>La igualdad entre los ciudadanos, es decir, la igualdad entre el hombre y la mujer, se protege no sólo por los tribunales ordinarios, sino también por el Tribunal Constit</w:t>
      </w:r>
      <w:r>
        <w:t>u</w:t>
      </w:r>
      <w:r>
        <w:t>cional.</w:t>
      </w:r>
    </w:p>
    <w:p w:rsidR="00000000" w:rsidRDefault="00000000">
      <w:pPr>
        <w:pStyle w:val="SingleTxt"/>
      </w:pPr>
      <w:r>
        <w:tab/>
        <w:t>Así, la protección constitucional más directa frente a la violación de los der</w:t>
      </w:r>
      <w:r>
        <w:t>e</w:t>
      </w:r>
      <w:r>
        <w:t>chos humanos se articula mediante las peticiones individuales ante el Tribunal Constitucional de la República de Macedonia. De conformidad con el artículo 110 de la Constitución, el Tribunal Constitucional protege de manera inmediata los der</w:t>
      </w:r>
      <w:r>
        <w:t>e</w:t>
      </w:r>
      <w:r>
        <w:t>chos y las libertades del hombre y del ciudadano en el marco de la libertad de cree</w:t>
      </w:r>
      <w:r>
        <w:t>n</w:t>
      </w:r>
      <w:r>
        <w:t>cias, conciencia, pensamiento y manifestación pública de las ideas, asociación pol</w:t>
      </w:r>
      <w:r>
        <w:t>í</w:t>
      </w:r>
      <w:r>
        <w:t>tica y prohibición de la discriminación por las razones que sean, incluida la discr</w:t>
      </w:r>
      <w:r>
        <w:t>i</w:t>
      </w:r>
      <w:r>
        <w:t>minación por razones de género.</w:t>
      </w:r>
    </w:p>
    <w:p w:rsidR="00000000" w:rsidRDefault="00000000">
      <w:pPr>
        <w:pStyle w:val="SingleTxt"/>
      </w:pPr>
      <w:r>
        <w:tab/>
        <w:t>El procedimiento para la protección de las libertades y los derechos ante el Tribunal Constitucional se regula por el Estatuto del Tribunal Constitucional, a cuyo tenor todo ciudadano tiene derecho a pedir que se protejan sus libertades y derechos ante el Tribunal Constitucional dentro del período comprendido entre los dos meses y los cinco años siguientes al día de la realización de un acto definitivo, es decir, a partir del día en que dicha persona haya tenido conocimiento de que ha tenido lugar una violación. Por regla general, el Tribunal Constitucional resuelve tras la celebr</w:t>
      </w:r>
      <w:r>
        <w:t>a</w:t>
      </w:r>
      <w:r>
        <w:t>ción de una audiencia pública, en la que se invita a participar a las partes y al D</w:t>
      </w:r>
      <w:r>
        <w:t>e</w:t>
      </w:r>
      <w:r>
        <w:t>fensor del Pueblo. Mediante la adopción de una resolución sobre la protección de las libertades y los derechos, el Tribunal Constitucional determinará si se ha producido una violación y, en función de esa resolución, anulará el acto individual, prohibirá el acto que haya dado lugar a la violación o desestimará la petición. El Tribunal Con</w:t>
      </w:r>
      <w:r>
        <w:t>s</w:t>
      </w:r>
      <w:r>
        <w:t>titucional puede dictar una resolución retrasando el cumplimiento del acto indiv</w:t>
      </w:r>
      <w:r>
        <w:t>i</w:t>
      </w:r>
      <w:r>
        <w:t>dual o su efecto hasta que se haya adoptado un fallo definitivo. Mediante ese mismo fallo, el Tribunal Constitucional aplicará el principio de restablecimiento de la s</w:t>
      </w:r>
      <w:r>
        <w:t>i</w:t>
      </w:r>
      <w:r>
        <w:t>tuación existente (</w:t>
      </w:r>
      <w:r>
        <w:rPr>
          <w:i/>
        </w:rPr>
        <w:t>restitutio ad integrum</w:t>
      </w:r>
      <w:r>
        <w:t>) y, en caso de que no sea posible, ordenará que se otorgue una compensación.</w:t>
      </w:r>
    </w:p>
    <w:p w:rsidR="00000000" w:rsidRDefault="00000000">
      <w:pPr>
        <w:pStyle w:val="SingleTxt"/>
      </w:pPr>
      <w:r>
        <w:tab/>
        <w:t>Además de la protección inmediata que brinda en el marco de su competencia fundamental, a saber, el control de la constitucionalidad y la legalidad, el Tribunal Constitucional se ocupa permanentemente de la denominada protección abstracta de los derechos humanos mediante su facultad de anular las disposiciones de las leyes y los reglamentos que estén en contradicción con la Constitución, es decir, que i</w:t>
      </w:r>
      <w:r>
        <w:t>n</w:t>
      </w:r>
      <w:r>
        <w:t>frinjan derechos garantizados constitucionalmente.</w:t>
      </w:r>
    </w:p>
    <w:p w:rsidR="00000000" w:rsidRDefault="00000000">
      <w:pPr>
        <w:pStyle w:val="SingleTxt"/>
      </w:pPr>
      <w:r>
        <w:tab/>
        <w:t>De conformidad con lo que antecede, el derecho a la igualdad entre los ciud</w:t>
      </w:r>
      <w:r>
        <w:t>a</w:t>
      </w:r>
      <w:r>
        <w:t>danos y, particularmente, la igualdad entre los géneros, disfruta de la protección del Tribunal Constitucional. Teniendo en cuenta los datos de que dispone el Tribunal Constitucional sobre el período comprendido entre 1996 y 2000, se presentaron al Tribunal Constitucional 36 peticiones individuales de ciudadanos para que se prot</w:t>
      </w:r>
      <w:r>
        <w:t>e</w:t>
      </w:r>
      <w:r>
        <w:t>gieran sus libertades y derechos humanos. De ese número, 14 peticiones guardaban relación con la prohibición de la discriminación y únicamente dos de ellas guard</w:t>
      </w:r>
      <w:r>
        <w:t>a</w:t>
      </w:r>
      <w:r>
        <w:t>ban relación con la discriminación por razones de género. Los datos del Tribunal Constitucional indican que únicamente un porcentaje muy reducido de mujeres pr</w:t>
      </w:r>
      <w:r>
        <w:t>e</w:t>
      </w:r>
      <w:r>
        <w:t>senta peticiones individuales relacionadas con la discriminación. Así, de esas 14 p</w:t>
      </w:r>
      <w:r>
        <w:t>e</w:t>
      </w:r>
      <w:r>
        <w:t>ticiones, únicamente tres fueron presentadas por mujeres. En 2001, el Tribunal Constitucional dictó cinco fallos sobre peticiones relacionadas con la protección de las libertades y los derechos humanos y ninguno de ellos se refería a la discrimin</w:t>
      </w:r>
      <w:r>
        <w:t>a</w:t>
      </w:r>
      <w:r>
        <w:t>ción por razones de género, en tanto que en 2000 se dictaron nueve fallos, de los que ninguno tamp</w:t>
      </w:r>
      <w:r>
        <w:t>o</w:t>
      </w:r>
      <w:r>
        <w:t>co guardaba relación con ese tipo de discriminación.</w:t>
      </w:r>
    </w:p>
    <w:p w:rsidR="00000000" w:rsidRDefault="00000000">
      <w:pPr>
        <w:pStyle w:val="SingleTxt"/>
      </w:pPr>
      <w:r>
        <w:tab/>
        <w:t>La protección penal frente a los actos y medidas de carácter discriminatorio contra las libertades y los derechos de la mujer está consignada en el artículo 137 del Código Penal, que figura dentro del Capítulo 15, titulado “Delitos contra las l</w:t>
      </w:r>
      <w:r>
        <w:t>i</w:t>
      </w:r>
      <w:r>
        <w:t>bertades y los derechos del hombre y del ciudadano”, Capítulo en el que se sanciona la violación de la igualdad entre los ciudadanos. En el Código Penal se prevé una pena de privación de libertad de tres meses a tres años por la comisión de actos que restrinjan los derechos del hombre y del ciudadano definidos en la Constitución, la ley o los tratados internacionales ratificados, por razones de género, raza, color de piel, origen nacional o social, creencias políticas o religiosas, patrimonio, situación social, idioma u otra característica o condición personal, es decir, actos que, basá</w:t>
      </w:r>
      <w:r>
        <w:t>n</w:t>
      </w:r>
      <w:r>
        <w:t>dose en esas diferencias, establezcan privilegios para ciudadanos en contravención de la Constitución, la ley o un tratado internacional ratificado. Uno de los agrava</w:t>
      </w:r>
      <w:r>
        <w:t>n</w:t>
      </w:r>
      <w:r>
        <w:t>tes de ese delito se produce cuando éste es cometido por un funcionario mientras presta servicios, lo que lleva aparejada una pena de privación de libertad de seis m</w:t>
      </w:r>
      <w:r>
        <w:t>e</w:t>
      </w:r>
      <w:r>
        <w:t>ses a cinco años. Sin embargo, los datos del Instituto de Estadística indican que es insignificante el número de denuncias presentadas en relación con ese delito: en 1996 sólo se presentó una denuncia y en 1997 se presentaron dos. Con arreglo a los datos del Instituto de Estadística correspondientes al período 1995-1997, no se di</w:t>
      </w:r>
      <w:r>
        <w:t>c</w:t>
      </w:r>
      <w:r>
        <w:t>taron sentencias condenatorias por la comisión de ese delito. En 1998 se condenó a cinco mujeres y 85 hombres por ese delito, en 1999 a seis mujeres y 61 hombres, en 2002 a dos mujeres y 35 hombres y en 2001 a dos mujeres y 56 hombres (en el an</w:t>
      </w:r>
      <w:r>
        <w:t>e</w:t>
      </w:r>
      <w:r>
        <w:t>xo No. 1 del presente informe figuran más detalles, junto con datos estadísticos).</w:t>
      </w:r>
    </w:p>
    <w:p w:rsidR="00000000" w:rsidRDefault="00000000">
      <w:pPr>
        <w:pStyle w:val="SingleTxt"/>
      </w:pPr>
      <w:r>
        <w:tab/>
        <w:t>La protección penal de las libertades y los derechos del hombre y del ciudad</w:t>
      </w:r>
      <w:r>
        <w:t>a</w:t>
      </w:r>
      <w:r>
        <w:t>no es una de las formas más eficaces de protección en los casos de infracción. El Código Penal, en un Capítulo especial titulado “Delitos contra las libertades y los derechos del hombre y del ciudadano”, tipifica el delito de violación de la igualdad entre los ciudadanos (artículo 137), el delito de coacción (artículo 139), el secuestro (artículo 141), la tortura (artículo 142), el hostigamiento en el desempeño del serv</w:t>
      </w:r>
      <w:r>
        <w:t>i</w:t>
      </w:r>
      <w:r>
        <w:t>cio (art</w:t>
      </w:r>
      <w:r>
        <w:t>í</w:t>
      </w:r>
      <w:r>
        <w:t>culo 143) y la violación del derecho a recurrir (artículo 153).</w:t>
      </w:r>
    </w:p>
    <w:p w:rsidR="00000000" w:rsidRDefault="00000000">
      <w:pPr>
        <w:pStyle w:val="SingleTxt"/>
      </w:pPr>
      <w:r>
        <w:tab/>
        <w:t>Además de la protección de esas libertades y derechos, el Código Penal prevé la protección de otros derechos, para lo cual tipifica los delitos contra la vida y la integridad física (Capítulo XIV); los delitos contra del honor y la reputación (Cap</w:t>
      </w:r>
      <w:r>
        <w:t>í</w:t>
      </w:r>
      <w:r>
        <w:t>tulo XVIII); los delitos contra la libertad sexual y la moral (Capítulo XIX); los d</w:t>
      </w:r>
      <w:r>
        <w:t>e</w:t>
      </w:r>
      <w:r>
        <w:t>litos contra el matrimonio, la familia y la juventud (Capítulo XX); los delitos contra la salud (Capítulo XXI); y los delitos de lesa humanidad y contra el derecho intern</w:t>
      </w:r>
      <w:r>
        <w:t>a</w:t>
      </w:r>
      <w:r>
        <w:t>cional (Capítulo XXXIV).</w:t>
      </w:r>
    </w:p>
    <w:p w:rsidR="00000000" w:rsidRDefault="00000000">
      <w:pPr>
        <w:pStyle w:val="SingleTxt"/>
      </w:pPr>
      <w:r>
        <w:tab/>
      </w:r>
      <w:r>
        <w:rPr>
          <w:b/>
        </w:rPr>
        <w:t>Papel del Defensor del Pueblo</w:t>
      </w:r>
      <w:r>
        <w:t>: el establecimiento y funcionamiento del D</w:t>
      </w:r>
      <w:r>
        <w:t>e</w:t>
      </w:r>
      <w:r>
        <w:t>fensor del Pueblo en la República de Macedonia están regulados por la Ley del D</w:t>
      </w:r>
      <w:r>
        <w:t>e</w:t>
      </w:r>
      <w:r>
        <w:t>fe</w:t>
      </w:r>
      <w:r>
        <w:t>n</w:t>
      </w:r>
      <w:r>
        <w:t>sor del Pueblo (Gaceta Oficial, No. 60/03).</w:t>
      </w:r>
    </w:p>
    <w:p w:rsidR="00000000" w:rsidRDefault="00000000">
      <w:pPr>
        <w:pStyle w:val="SingleTxt"/>
      </w:pPr>
      <w:r>
        <w:tab/>
        <w:t>El Defensor del Pueblo es una institución de la República de Macedonia que tiene su sede en Skopje y se encarga de proteger los derechos constitucionales y j</w:t>
      </w:r>
      <w:r>
        <w:t>u</w:t>
      </w:r>
      <w:r>
        <w:t>rídicos de los ciudadanos y todas las demás personas en caso de violación de esos derechos por acciones u omisiones de los órganos de la administración pública y otros órganos y organizaciones que desempeñan funciones públicas, para lo cual adopta medidas para proteger los principios de la no discriminación y de la justa r</w:t>
      </w:r>
      <w:r>
        <w:t>e</w:t>
      </w:r>
      <w:r>
        <w:t>presentación de las personas pertenecientes a todas las comunidades en los órganos de la administración pública, los órganos de gobierno local y las instituciones y se</w:t>
      </w:r>
      <w:r>
        <w:t>r</w:t>
      </w:r>
      <w:r>
        <w:t>vicios públicos. El Defensor del Pueblo desempeña sus funciones teniendo en cuenta las disposiciones de la Constitución, la ley y los tratados internacionales ratificados con arreglo a la Constitución. Es independiente y autónomo en el desempeño de sus funciones y se financia con cargo al presupuesto de la República de Macedonia.</w:t>
      </w:r>
    </w:p>
    <w:p w:rsidR="00000000" w:rsidRDefault="00000000">
      <w:pPr>
        <w:pStyle w:val="SingleTxt"/>
      </w:pPr>
      <w:r>
        <w:tab/>
        <w:t>El Defensor del Pueblo es elegido por el Parlamento, a propuesta del comité parlamentario competente. El Defensor del Pueblo ha de reunir las condiciones g</w:t>
      </w:r>
      <w:r>
        <w:t>e</w:t>
      </w:r>
      <w:r>
        <w:t>nerales establecidas por la ley para formar parte de un órgano de la administración pública, tener el título de licenciado en derecho, contar con más de nueve años de experiencia en asuntos jurídicos, particularmente en la esfera de la protección de los derechos de los ciudadanos, y disfrutar de gran prestigio. El Parlamento elige y de</w:t>
      </w:r>
      <w:r>
        <w:t>s</w:t>
      </w:r>
      <w:r>
        <w:t>tituye al Defensor del Pueblo por mayoría de votos del total de los diputados pert</w:t>
      </w:r>
      <w:r>
        <w:t>e</w:t>
      </w:r>
      <w:r>
        <w:t>necientes a las diferentes comunidades que no son mayoritarias en la República de Macedonia. El Defensor del Pueblo cuenta con varios asistentes, cuyo número es determinado por el Parlamento a propuesta del Defensor del Pueblo. El Defensor del Pueblo y sus asistentes son elegidos para desempeñar sus funciones durante ocho años, con derecho a ser reelegidos una sola vez.</w:t>
      </w:r>
    </w:p>
    <w:p w:rsidR="00000000" w:rsidRDefault="00000000">
      <w:pPr>
        <w:pStyle w:val="SingleTxt"/>
      </w:pPr>
      <w:r>
        <w:tab/>
        <w:t>En relación con sus competencias y con sus métodos de trabajo, el Defensor del Pueblo puede entablar actuaciones de oficio, cuando considere que los derechos constitucionales y jurídicos de los ciudadanos se han infringido, o a petición de un ciudadano, si este último considera que se han infringido esos derechos o los princ</w:t>
      </w:r>
      <w:r>
        <w:t>i</w:t>
      </w:r>
      <w:r>
        <w:t>pios de la no discriminación y de la justa representación de las personas perten</w:t>
      </w:r>
      <w:r>
        <w:t>e</w:t>
      </w:r>
      <w:r>
        <w:t>cientes a todas las comunidades en los órganos de la administración pública, los ó</w:t>
      </w:r>
      <w:r>
        <w:t>r</w:t>
      </w:r>
      <w:r>
        <w:t>ganos de gobierno local y las instituciones y servicios públicos. En la comunicación dirigida al Defensor del Pueblo, la persona en cuestión tiene libertad para utilizar cualquiera de los idiomas oficiales y su correspondiente alfabeto, en tanto que el Defensor del Pueblo ha de responder en macedonio y con alfabeto cirílico, así como en el idioma oficial y en el alfabeto utilizado por la persona que haya presentado la solicitud.</w:t>
      </w:r>
    </w:p>
    <w:p w:rsidR="00000000" w:rsidRDefault="00000000">
      <w:pPr>
        <w:pStyle w:val="SingleTxt"/>
      </w:pPr>
      <w:r>
        <w:tab/>
        <w:t xml:space="preserve">Tras la recepción de una solicitud, el Defensor del Pueblo puede decidir no iniciar ninguna actuación si la solicitud es anónima (salvo que se trate de un asunto de interés común); la solicitud se utiliza para ofender a un órgano o para abusar del derecho a presentar una solicitud; la solicitud está incompleta y la persona que la ha presentado no la completa después de haber sido informado de ello por el Defensor del Pueblo; si considera que la solicitud se refiere a un caso de menor importancia que no produciría resultados satisfactorios ni siquiera después de que se hubiese realizado una investigación; si de la petición, las circunstancias, los hechos y las pruebas expuestos se desprende que los órganos competentes no infringieron los </w:t>
      </w:r>
      <w:r>
        <w:br/>
        <w:t>derechos constitucionales o jurídicos de la parte que presentó la solicitud o de la parte en cuyo nombre se presentó; si el Defensor del Pueblo no tiene competencia al respecto; o si ha transcurrido más de un año desde que se realizó la acción o se dictó la decisión definitiva del órgano, organización o institución, a menos que el Defe</w:t>
      </w:r>
      <w:r>
        <w:t>n</w:t>
      </w:r>
      <w:r>
        <w:t>sor del Pueblo considere que la parte que presentó al solicitud no se ajustó al plazo por razones justificadas y hay en marcha un proceso judicial en relación con el caso.</w:t>
      </w:r>
    </w:p>
    <w:p w:rsidR="00000000" w:rsidRDefault="00000000">
      <w:pPr>
        <w:pStyle w:val="SingleTxt"/>
      </w:pPr>
      <w:r>
        <w:tab/>
        <w:t>Para examinar la solicitud, el Defensor del Pueblo, dentro de sus compete</w:t>
      </w:r>
      <w:r>
        <w:t>n</w:t>
      </w:r>
      <w:r>
        <w:t>cias, puede adoptar las siguientes medidas: pedir las explicaciones, la información y las pruebas necesarias en relación con las denuncias formuladas en la solicitud; de</w:t>
      </w:r>
      <w:r>
        <w:t>s</w:t>
      </w:r>
      <w:r>
        <w:t>plazarse al órgano público pertinente y observar directamente los asuntos de la competencia del órgano; invitar a una persona elegida o nombrada, a un funcionario o a otra persona a que facilite detalles durante el procedimiento; pedir una opinión a instituciones científicas y profesionales; y adoptar otras medidas prescritas por la legislación u otros reglamentos.</w:t>
      </w:r>
    </w:p>
    <w:p w:rsidR="00000000" w:rsidRDefault="00000000">
      <w:pPr>
        <w:pStyle w:val="SingleTxt"/>
        <w:suppressAutoHyphens/>
      </w:pPr>
      <w:r>
        <w:tab/>
        <w:t>Los órganos y las organizaciones competentes han de cooperar con el Defensor del Pueblo y, a petición de éste, presentar toda la información necesaria, cualquiera que sea su grado de confidencialidad, a fin de ayudarlo en el desempeño de sus funci</w:t>
      </w:r>
      <w:r>
        <w:t>o</w:t>
      </w:r>
      <w:r>
        <w:t>nes.</w:t>
      </w:r>
    </w:p>
    <w:p w:rsidR="00000000" w:rsidRDefault="00000000">
      <w:pPr>
        <w:pStyle w:val="SingleTxt"/>
      </w:pPr>
      <w:r>
        <w:tab/>
        <w:t>Si el Defensor del Pueblo detecta una violación de los derechos constitucion</w:t>
      </w:r>
      <w:r>
        <w:t>a</w:t>
      </w:r>
      <w:r>
        <w:t>les y jurídicos del solicitante u otras irregularidades, puede formular recomendaci</w:t>
      </w:r>
      <w:r>
        <w:t>o</w:t>
      </w:r>
      <w:r>
        <w:t>nes, sugerencias, opiniones e indicaciones sobre el modo de eliminar las violaciones detectadas; proponer que se aplique cierto procedimiento en cumplimiento de lo dispuesto la ley; emprender una iniciativa para incoar un procedimiento disciplin</w:t>
      </w:r>
      <w:r>
        <w:t>a</w:t>
      </w:r>
      <w:r>
        <w:t>rio contra el funcionario correspondiente; y presentar una solicitud al fiscal comp</w:t>
      </w:r>
      <w:r>
        <w:t>e</w:t>
      </w:r>
      <w:r>
        <w:t>tente para que emprenda actuaciones con el fin de depurar responsabilidades pen</w:t>
      </w:r>
      <w:r>
        <w:t>a</w:t>
      </w:r>
      <w:r>
        <w:t>les.</w:t>
      </w:r>
    </w:p>
    <w:p w:rsidR="00000000" w:rsidRDefault="00000000">
      <w:pPr>
        <w:pStyle w:val="SingleTxt"/>
        <w:rPr>
          <w:spacing w:val="2"/>
          <w:w w:val="101"/>
        </w:rPr>
      </w:pPr>
      <w:r>
        <w:tab/>
        <w:t>En relación con la publicidad de sus actividades, el Defensor del Pueblo debe presentar un informe anual sobre su labor, cuya publicación es obligatoria en los medios de comunicación. El Defensor del Pueblo puede presentar un informe sep</w:t>
      </w:r>
      <w:r>
        <w:t>a</w:t>
      </w:r>
      <w:r>
        <w:t xml:space="preserve">rado en relación con sus competencias en el marco de los órganos de gobierno local </w:t>
      </w:r>
      <w:r>
        <w:rPr>
          <w:spacing w:val="2"/>
          <w:w w:val="101"/>
        </w:rPr>
        <w:t>de los territorios en los que exista una dependencia orgánica del Defensor del Pu</w:t>
      </w:r>
      <w:r>
        <w:rPr>
          <w:spacing w:val="2"/>
          <w:w w:val="101"/>
        </w:rPr>
        <w:t>e</w:t>
      </w:r>
      <w:r>
        <w:rPr>
          <w:spacing w:val="2"/>
          <w:w w:val="101"/>
        </w:rPr>
        <w:t>blo.</w:t>
      </w:r>
    </w:p>
    <w:p w:rsidR="00000000" w:rsidRDefault="00000000">
      <w:pPr>
        <w:pStyle w:val="SingleTxt"/>
      </w:pPr>
      <w:r>
        <w:tab/>
        <w:t>La información recibida hasta el momento de la Oficina del Defensor del Pu</w:t>
      </w:r>
      <w:r>
        <w:t>e</w:t>
      </w:r>
      <w:r>
        <w:t>blo indica que no hay ninguna mujer que haya presentado una solicitud en relación con la violación de un derecho constitucional o jurídico (así, de 1.000 solicitudes, ninguna se refiere a la discriminación por razones de género). Es necesario mejorar la información de que dispone la opinión pública acerca de las competencias y act</w:t>
      </w:r>
      <w:r>
        <w:t>i</w:t>
      </w:r>
      <w:r>
        <w:t>vidades del Defensor del Pueblo en relación con la protección de los derechos h</w:t>
      </w:r>
      <w:r>
        <w:t>u</w:t>
      </w:r>
      <w:r>
        <w:t>manos, incluidos los derechos de la mujer, lo que contribuirá considerablemente al logro de una igualdad real entre los géneros.</w:t>
      </w:r>
    </w:p>
    <w:p w:rsidR="00000000" w:rsidRDefault="00000000">
      <w:pPr>
        <w:pStyle w:val="SingleTxt"/>
      </w:pPr>
      <w:r>
        <w:tab/>
        <w:t>Uno de los asistentes del Defensor del Pueblo es una mujer, que se encarga de vigilar la observancia de los derechos humanos y presta especial atención a los d</w:t>
      </w:r>
      <w:r>
        <w:t>e</w:t>
      </w:r>
      <w:r>
        <w:t>rechos de la mujer.</w:t>
      </w:r>
    </w:p>
    <w:p w:rsidR="00000000" w:rsidRDefault="00000000">
      <w:pPr>
        <w:pStyle w:val="SingleTxt"/>
      </w:pPr>
      <w:r>
        <w:tab/>
      </w:r>
      <w:r>
        <w:rPr>
          <w:b/>
        </w:rPr>
        <w:t>Comisión Permanente para la protección de las libertades y los derechos de los ciudadanos</w:t>
      </w:r>
      <w:r>
        <w:t>: con objeto de proteger las libertades y los derechos del hombre y del ciudadano, el Parlamento de la República de Macedonia estableció una Com</w:t>
      </w:r>
      <w:r>
        <w:t>i</w:t>
      </w:r>
      <w:r>
        <w:t>sión Permanente para la protección de las libertades y los derechos de los ciudad</w:t>
      </w:r>
      <w:r>
        <w:t>a</w:t>
      </w:r>
      <w:r>
        <w:t>nos (párrafo 4 del artículo 76 de la Constitución). Sus conclusiones sirven de base para emprender actuaciones con el fin de determinar la responsabilidad de quienes detentan cargos públicos. Esa responsabilidad se refiere primordialmente a los actos y al comportamiento de los titulares de esos cargos en caso de que las libertades y los derechos de los ciudadanos se vean infringidos o amenazados. En el desempeño de su labor, la Comisión coopera con organizaciones científicas y profesionales en la esfera de la protección de las libertades y los derechos de los ciudadanos, así c</w:t>
      </w:r>
      <w:r>
        <w:t>o</w:t>
      </w:r>
      <w:r>
        <w:t>mo con órganos extranjeros e internacionales encargados de la protección de esos der</w:t>
      </w:r>
      <w:r>
        <w:t>e</w:t>
      </w:r>
      <w:r>
        <w:t>chos y con los órganos pertinentes del Parlamento.</w:t>
      </w:r>
    </w:p>
    <w:p w:rsidR="00000000" w:rsidRDefault="00000000">
      <w:pPr>
        <w:pStyle w:val="SingleTxt"/>
        <w:rPr>
          <w:spacing w:val="2"/>
          <w:w w:val="101"/>
        </w:rPr>
      </w:pPr>
      <w:r>
        <w:tab/>
        <w:t xml:space="preserve">Los datos presentados (sobre todos los posibles mecanismos de protección) ponen claramente de manifiesto que los ciudadanos de la República de Macedonia, incluidas las mujeres, utilizan insuficientemente los mecanismos y medios jurídicos </w:t>
      </w:r>
      <w:r>
        <w:rPr>
          <w:spacing w:val="2"/>
          <w:w w:val="101"/>
        </w:rPr>
        <w:t>existentes para la protección de las libertades y de los derechos en caso de infracción, lo que obedece principalmente al hecho de que no tienen un conocimiento adecuado de las libertades y los derechos garantizados ni de los métodos para prot</w:t>
      </w:r>
      <w:r>
        <w:rPr>
          <w:spacing w:val="2"/>
          <w:w w:val="101"/>
        </w:rPr>
        <w:t>e</w:t>
      </w:r>
      <w:r>
        <w:rPr>
          <w:spacing w:val="2"/>
          <w:w w:val="101"/>
        </w:rPr>
        <w:t>gerlos.</w:t>
      </w:r>
    </w:p>
    <w:p w:rsidR="00000000" w:rsidRDefault="00000000">
      <w:pPr>
        <w:pStyle w:val="SingleTxt"/>
      </w:pPr>
      <w:r>
        <w:tab/>
        <w:t>Teniendo presente esa situación, y a la vista de la disposición constitucional del artículo 50, según la cual los ciudadanos tienen derecho a que se les facilite i</w:t>
      </w:r>
      <w:r>
        <w:t>n</w:t>
      </w:r>
      <w:r>
        <w:t>formación sobre los derechos humanos y a participar activamente en su promoción y protección, el Gobierno de la República de Macedonia, en el Plan de Acción Naci</w:t>
      </w:r>
      <w:r>
        <w:t>o</w:t>
      </w:r>
      <w:r>
        <w:t>nal aprobado en diciembre de 1999, especialmente en la parte relacionada con los derechos humanos de la mujer, estableció los siguientes objetivos estratégicos: velar por el pleno disfrute de todos los derechos humanos y de las libertades fundame</w:t>
      </w:r>
      <w:r>
        <w:t>n</w:t>
      </w:r>
      <w:r>
        <w:t>tales de las mujeres y las niñas y eliminar todos los tipos de discriminación; poner en consonancia los derechos y libertades garantizados con su disfrute efectivo; se</w:t>
      </w:r>
      <w:r>
        <w:t>n</w:t>
      </w:r>
      <w:r>
        <w:t>sibilizar acerca de la existencia de los derechos y de la necesidad natural de disfr</w:t>
      </w:r>
      <w:r>
        <w:t>u</w:t>
      </w:r>
      <w:r>
        <w:t xml:space="preserve">tarlos. Para la consecución de esos objetivos estratégicos, se prevén las actividades </w:t>
      </w:r>
      <w:r>
        <w:br/>
        <w:t>s</w:t>
      </w:r>
      <w:r>
        <w:t>i</w:t>
      </w:r>
      <w:r>
        <w:t>guientes:</w:t>
      </w:r>
    </w:p>
    <w:p w:rsidR="00000000" w:rsidRDefault="00000000">
      <w:pPr>
        <w:pStyle w:val="SingleTxt"/>
      </w:pPr>
      <w:r>
        <w:tab/>
        <w:t>1.</w:t>
      </w:r>
      <w:r>
        <w:tab/>
        <w:t>Establecimiento de una enseñanza amplia y multidireccional mediante lo siguiente: fomento de las libertades y de los derechos humanos y familiarización con los métodos destinados a protegerlos; promoción de programas de cultura jur</w:t>
      </w:r>
      <w:r>
        <w:t>í</w:t>
      </w:r>
      <w:r>
        <w:t>dica (introducción a la legislación nacional y a las normas e instrumentos intern</w:t>
      </w:r>
      <w:r>
        <w:t>a</w:t>
      </w:r>
      <w:r>
        <w:t>cionales de protección de los derechos de la mujer; incorporación de la asignatura de derechos humanos a los programas de estudios de la enseñanza primaria y secu</w:t>
      </w:r>
      <w:r>
        <w:t>n</w:t>
      </w:r>
      <w:r>
        <w:t>daria); puesta en marcha de campañas sobre la igualdad entre el hombre y la mujer en la vida pública y privada; y formación especial en derechos humanos para los funcionarios públicos, los trabajadores sociales y sanitarios, los maestros de todos los niveles de enseñanza, los jueces, los políticos, etc.;</w:t>
      </w:r>
    </w:p>
    <w:p w:rsidR="00000000" w:rsidRDefault="00000000">
      <w:pPr>
        <w:pStyle w:val="SingleTxt"/>
      </w:pPr>
      <w:r>
        <w:tab/>
        <w:t>2.</w:t>
      </w:r>
      <w:r>
        <w:tab/>
        <w:t>Intensas actividades informativas mediante el suministro constante de i</w:t>
      </w:r>
      <w:r>
        <w:t>n</w:t>
      </w:r>
      <w:r>
        <w:t>formación sobre los derechos humanos de la mujer; inclusión de la dimensión de género en la información sobre diversas cuestiones; familiarización con los doc</w:t>
      </w:r>
      <w:r>
        <w:t>u</w:t>
      </w:r>
      <w:r>
        <w:t>mentos e instrumentos internacionales; presentación de casos de violación de los d</w:t>
      </w:r>
      <w:r>
        <w:t>e</w:t>
      </w:r>
      <w:r>
        <w:t>rechos humanos de la mujer; y familiarización con el derecho a la indemnización;</w:t>
      </w:r>
    </w:p>
    <w:p w:rsidR="00000000" w:rsidRDefault="00000000">
      <w:pPr>
        <w:pStyle w:val="SingleTxt"/>
      </w:pPr>
      <w:r>
        <w:tab/>
        <w:t>3.</w:t>
      </w:r>
      <w:r>
        <w:tab/>
        <w:t>Reexamen y modificación de las normas y reglamentos a fin de resolver los problemas de discriminación;</w:t>
      </w:r>
    </w:p>
    <w:p w:rsidR="00000000" w:rsidRDefault="00000000">
      <w:pPr>
        <w:pStyle w:val="SingleTxt"/>
      </w:pPr>
      <w:r>
        <w:tab/>
        <w:t>4.</w:t>
      </w:r>
      <w:r>
        <w:tab/>
        <w:t>Adición a las normas penales, administrativas, laborales, familiares y s</w:t>
      </w:r>
      <w:r>
        <w:t>u</w:t>
      </w:r>
      <w:r>
        <w:t>ces</w:t>
      </w:r>
      <w:r>
        <w:t>o</w:t>
      </w:r>
      <w:r>
        <w:t>rias de disposiciones para impedir y castigar la discriminación;</w:t>
      </w:r>
    </w:p>
    <w:p w:rsidR="00000000" w:rsidRDefault="00000000">
      <w:pPr>
        <w:pStyle w:val="SingleTxt"/>
      </w:pPr>
      <w:r>
        <w:tab/>
        <w:t>5.</w:t>
      </w:r>
      <w:r>
        <w:tab/>
        <w:t>Protección eficaz y castigo en los casos de violación de los derechos de la mujer, con independencia de la condición de la persona que los haya infringido y su relación con la víctima;</w:t>
      </w:r>
    </w:p>
    <w:p w:rsidR="00000000" w:rsidRDefault="00000000">
      <w:pPr>
        <w:pStyle w:val="SingleTxt"/>
      </w:pPr>
      <w:r>
        <w:tab/>
        <w:t>6.</w:t>
      </w:r>
      <w:r>
        <w:tab/>
        <w:t>Simplificación de los procedimientos administrativos;</w:t>
      </w:r>
    </w:p>
    <w:p w:rsidR="00000000" w:rsidRDefault="00000000">
      <w:pPr>
        <w:pStyle w:val="SingleTxt"/>
        <w:suppressAutoHyphens/>
      </w:pPr>
      <w:r>
        <w:tab/>
        <w:t>7.</w:t>
      </w:r>
      <w:r>
        <w:tab/>
        <w:t>Establecimiento de asistencia letrada para la mujer que carezca de medios;</w:t>
      </w:r>
    </w:p>
    <w:p w:rsidR="00000000" w:rsidRDefault="00000000">
      <w:pPr>
        <w:pStyle w:val="SingleTxt"/>
      </w:pPr>
      <w:r>
        <w:tab/>
        <w:t>8.</w:t>
      </w:r>
      <w:r>
        <w:tab/>
        <w:t>Examen constante de la cuestión de los derechos humanos de la mujer; y</w:t>
      </w:r>
    </w:p>
    <w:p w:rsidR="00000000" w:rsidRDefault="00000000">
      <w:pPr>
        <w:pStyle w:val="SingleTxt"/>
      </w:pPr>
      <w:r>
        <w:tab/>
        <w:t>9.</w:t>
      </w:r>
      <w:r>
        <w:tab/>
        <w:t>Establecimiento de un órgano de supervisión interdepartamental que i</w:t>
      </w:r>
      <w:r>
        <w:t>n</w:t>
      </w:r>
      <w:r>
        <w:t>cluya a funcionarios públicos, representantes de organizaciones no gubernamentales sobre la mujer y expertos.</w:t>
      </w:r>
    </w:p>
    <w:p w:rsidR="00000000" w:rsidRDefault="00000000">
      <w:pPr>
        <w:pStyle w:val="SingleTxt"/>
      </w:pPr>
      <w:r>
        <w:tab/>
        <w:t>Además de la protección de los derechos humanos en el ordenamiento jurídico interno, la ratificación del Convenio Europeo sobre Derechos Humanos permite asimismo que los ciudadanos de la República de Macedonia pidan que se protejan sus derechos ante el Tribunal Europeo de Derechos Humanos, que constituye el m</w:t>
      </w:r>
      <w:r>
        <w:t>e</w:t>
      </w:r>
      <w:r>
        <w:t>canismo internacional más eficaz y complejo de protección de los derechos hum</w:t>
      </w:r>
      <w:r>
        <w:t>a</w:t>
      </w:r>
      <w:r>
        <w:t>nos. Se encuentra en proceso de ratificación el Protocolo 12 del Convenio, que ha sido firmado por la República de Macedonia.</w:t>
      </w:r>
    </w:p>
    <w:p w:rsidR="00000000" w:rsidRDefault="00000000">
      <w:pPr>
        <w:pStyle w:val="SingleTxt"/>
      </w:pPr>
      <w:r>
        <w:tab/>
        <w:t>A este respecto, y de conformidad con su determinación de respetar y prom</w:t>
      </w:r>
      <w:r>
        <w:t>o</w:t>
      </w:r>
      <w:r>
        <w:t xml:space="preserve">ver plenamente los derechos humanos, la República de Macedonia es parte, tal como se ha indicado </w:t>
      </w:r>
      <w:r>
        <w:rPr>
          <w:i/>
        </w:rPr>
        <w:t>supra</w:t>
      </w:r>
      <w:r>
        <w:t>, en todos los convenios fundamentales de las Naciones Unidas relacionados con la protección de los derechos humanos, incluida la Convención s</w:t>
      </w:r>
      <w:r>
        <w:t>o</w:t>
      </w:r>
      <w:r>
        <w:t>bre la eliminación de todas las formas de discriminación contra la mujer. Además, la República de Macedonia firmó el Protocolo Facultativo de esa Convención en junio 2000, y lo ratificó el 24 de junio 2003, tras de lo cual el Protocolo entró en vigor el 17 octubre de 2003. Por otra parte, la República de Macedonia ratificó el Protocolo facultativo del Pacto Internacional de Derechos Civiles y Políticos en 1971 (Gaceta Oficial de la República Federativa Socialista de Yugoslavia (Tratados internacion</w:t>
      </w:r>
      <w:r>
        <w:t>a</w:t>
      </w:r>
      <w:r>
        <w:t>les), No. 77/71)) y es parte en ese Tratado, en su calidad de sucesora de la República Federativa Socialista de Yugoslavia, desde el 17 de noviembre de 2001, razón por la que reconoce la competencia del Comité de Derechos Humanos de recibir y exam</w:t>
      </w:r>
      <w:r>
        <w:t>i</w:t>
      </w:r>
      <w:r>
        <w:t>nar peticiones individuales, incluidas las peticiones relacionadas con la discrimin</w:t>
      </w:r>
      <w:r>
        <w:t>a</w:t>
      </w:r>
      <w:r>
        <w:t>ción por razones de género. Como se ha indicado, por lo que respecta al plano r</w:t>
      </w:r>
      <w:r>
        <w:t>e</w:t>
      </w:r>
      <w:r>
        <w:t xml:space="preserve">gional la República de Macedonia es parte en el Convenio Europeo sobre Derechos Humanos del Consejo de Europa, lo cual es condición </w:t>
      </w:r>
      <w:r>
        <w:rPr>
          <w:i/>
        </w:rPr>
        <w:t>sine qua non</w:t>
      </w:r>
      <w:r>
        <w:t xml:space="preserve"> para ser un país democrático de Europa. La República de Macedonia desempeñó un papel activo en la redacción del 12º Protocolo del Convenio Europeo sobre Derechos Humanos, que amplía y define con precisión la disposición antidiscriminatoria del artículo 14 de dicho Convenio. Además, la República de Macedonia cumple con lo dispuesto en todos los instrumentos pertinentes de la Organización para la Cooperación y la S</w:t>
      </w:r>
      <w:r>
        <w:t>e</w:t>
      </w:r>
      <w:r>
        <w:t>guridad en Europa (OSCE) y basa su política en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y avance de la mujer</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un país democrático como la República de Macedonia, el disfrute de los d</w:t>
      </w:r>
      <w:r>
        <w:t>e</w:t>
      </w:r>
      <w:r>
        <w:t>rechos humanos y las libertades fundamentales se garantiza por igual a todos los ciudadanos, sin discriminación por razones de sexo, y es uno de los principios bás</w:t>
      </w:r>
      <w:r>
        <w:t>i</w:t>
      </w:r>
      <w:r>
        <w:t>cos de la Constitución macedonia.</w:t>
      </w:r>
    </w:p>
    <w:p w:rsidR="00000000" w:rsidRDefault="00000000">
      <w:pPr>
        <w:pStyle w:val="SingleTxt"/>
      </w:pPr>
      <w:r>
        <w:tab/>
        <w:t>En los últimos decenios se han delimitado nuevos ámbitos de los derechos humanos y las libertades fundamentales, especialmente por parte de los movimie</w:t>
      </w:r>
      <w:r>
        <w:t>n</w:t>
      </w:r>
      <w:r>
        <w:t>tos feministas y de resultas del alto grado de sensibilización que ha surgido sobre las cuestiones relacionadas con la mujer. Las cuestiones del control global de su vida y de su cuerpo, del derecho a no ser objeto de violencia y de la libertad de elección en todos los aspectos de su vida pública y privada son consideradas por algunas muj</w:t>
      </w:r>
      <w:r>
        <w:t>e</w:t>
      </w:r>
      <w:r>
        <w:t>res del país como partes integrantes de su libertad fundamental y del enfoque gen</w:t>
      </w:r>
      <w:r>
        <w:t>e</w:t>
      </w:r>
      <w:r>
        <w:t>ral re</w:t>
      </w:r>
      <w:r>
        <w:t>s</w:t>
      </w:r>
      <w:r>
        <w:t>pecto de los derechos humanos. Sin embargo, aún queda mucho por hacer.</w:t>
      </w:r>
    </w:p>
    <w:p w:rsidR="00000000" w:rsidRDefault="00000000">
      <w:pPr>
        <w:pStyle w:val="SingleTxt"/>
      </w:pPr>
      <w:r>
        <w:tab/>
        <w:t>Las autoridades están adoptando una serie de medidas para promover los der</w:t>
      </w:r>
      <w:r>
        <w:t>e</w:t>
      </w:r>
      <w:r>
        <w:t>chos de la mujer en el país.</w:t>
      </w:r>
    </w:p>
    <w:p w:rsidR="00000000" w:rsidRDefault="00000000">
      <w:pPr>
        <w:pStyle w:val="SingleTxt"/>
      </w:pPr>
      <w:r>
        <w:tab/>
        <w:t>De conformidad con la decisión del Gobierno de la República de Macedonia y la Declaración y la Plataforma de Acción de Beijing, en enero de 1997 se estableció la Dependencia de la igualdad entre los géneros en el Ministerio de Trabajo y Polít</w:t>
      </w:r>
      <w:r>
        <w:t>i</w:t>
      </w:r>
      <w:r>
        <w:t>ca Social. El Gobierno facilitó los locales necesarios para la Dependencia. No ob</w:t>
      </w:r>
      <w:r>
        <w:t>s</w:t>
      </w:r>
      <w:r>
        <w:t>tante, no se han asignado a tal efecto fondos especiales en el presupuesto del Estado, razón por la que la Dependencia sólo cuenta con un empleado en régimen de ded</w:t>
      </w:r>
      <w:r>
        <w:t>i</w:t>
      </w:r>
      <w:r>
        <w:t>cación exclusiva. La Dependencia se financia con los fondos asignados al Ministerio de Trabajo y Política Social.</w:t>
      </w:r>
    </w:p>
    <w:p w:rsidR="00000000" w:rsidRDefault="00000000">
      <w:pPr>
        <w:pStyle w:val="SingleTxt"/>
      </w:pPr>
      <w:r>
        <w:tab/>
        <w:t>La tarea principal de la Dependencia es influir positivamente en la promoción de la posición de la mujer, de conformidad con los convenios e instrumentos inte</w:t>
      </w:r>
      <w:r>
        <w:t>r</w:t>
      </w:r>
      <w:r>
        <w:t>nacionales ratificados por la República de Macedonia o a los que ésta se ha adherido y en consonancia con las actividades encaminadas a formular un concepto y una e</w:t>
      </w:r>
      <w:r>
        <w:t>s</w:t>
      </w:r>
      <w:r>
        <w:t>trat</w:t>
      </w:r>
      <w:r>
        <w:t>e</w:t>
      </w:r>
      <w:r>
        <w:t>gia claros para resolver los problemas que enfrentan las mujeres del país.</w:t>
      </w:r>
    </w:p>
    <w:p w:rsidR="00000000" w:rsidRDefault="00000000">
      <w:pPr>
        <w:pStyle w:val="SingleTxt"/>
      </w:pPr>
      <w:r>
        <w:tab/>
        <w:t>Las tareas de la Dependencia son las siguientes:</w:t>
      </w:r>
    </w:p>
    <w:p w:rsidR="00000000" w:rsidRDefault="00000000">
      <w:pPr>
        <w:pStyle w:val="SingleTxt"/>
        <w:tabs>
          <w:tab w:val="right" w:pos="1685"/>
        </w:tabs>
        <w:ind w:left="1742" w:hanging="475"/>
      </w:pPr>
      <w:r>
        <w:tab/>
        <w:t>–</w:t>
      </w:r>
      <w:r>
        <w:tab/>
        <w:t>Participación en la labor de los organismos especializados (comisiones y c</w:t>
      </w:r>
      <w:r>
        <w:t>o</w:t>
      </w:r>
      <w:r>
        <w:t>mités) encargados de los problemas relacionados con el género (principa</w:t>
      </w:r>
      <w:r>
        <w:t>l</w:t>
      </w:r>
      <w:r>
        <w:t>mente los del Consejo de Europa, las Naciones Unidas y la OSCE);</w:t>
      </w:r>
    </w:p>
    <w:p w:rsidR="00000000" w:rsidRDefault="00000000">
      <w:pPr>
        <w:pStyle w:val="SingleTxt"/>
        <w:tabs>
          <w:tab w:val="right" w:pos="1685"/>
        </w:tabs>
        <w:ind w:left="1742" w:hanging="475"/>
      </w:pPr>
      <w:r>
        <w:tab/>
        <w:t>–</w:t>
      </w:r>
      <w:r>
        <w:tab/>
        <w:t>Vigilancia de la evolución de las amenazas internacionales contra los derechos humanos y participación en la preparación de estudios comparativos de la compatibilidad de las normas internas con los instrumentos internacionales pertinentes sobre la igualdad entre los géneros a los que se ha adherido la R</w:t>
      </w:r>
      <w:r>
        <w:t>e</w:t>
      </w:r>
      <w:r>
        <w:t>pública de Macedonia. A este respecto, la Dependencia de igualdad entre los géneros inició trámites para m</w:t>
      </w:r>
      <w:r>
        <w:t>o</w:t>
      </w:r>
      <w:r>
        <w:t>dificar normas o aprobar otras nuevas, etc.;</w:t>
      </w:r>
    </w:p>
    <w:p w:rsidR="00000000" w:rsidRDefault="00000000">
      <w:pPr>
        <w:pStyle w:val="SingleTxt"/>
        <w:tabs>
          <w:tab w:val="right" w:pos="1685"/>
        </w:tabs>
        <w:ind w:left="1742" w:hanging="475"/>
      </w:pPr>
      <w:r>
        <w:tab/>
        <w:t>–</w:t>
      </w:r>
      <w:r>
        <w:tab/>
        <w:t>Coordinación de la ejecución de los proyectos en la esfera de la igualdad entre los géneros y preparación de informes en el marco de los convenios intern</w:t>
      </w:r>
      <w:r>
        <w:t>a</w:t>
      </w:r>
      <w:r>
        <w:t>cionales al respecto y de informes sobre la condición de la mujer en la Rep</w:t>
      </w:r>
      <w:r>
        <w:t>ú</w:t>
      </w:r>
      <w:r>
        <w:t>blica de Mac</w:t>
      </w:r>
      <w:r>
        <w:t>e</w:t>
      </w:r>
      <w:r>
        <w:t>donia;</w:t>
      </w:r>
    </w:p>
    <w:p w:rsidR="00000000" w:rsidRDefault="00000000">
      <w:pPr>
        <w:pStyle w:val="SingleTxt"/>
        <w:tabs>
          <w:tab w:val="right" w:pos="1685"/>
        </w:tabs>
        <w:ind w:left="1742" w:hanging="475"/>
      </w:pPr>
      <w:r>
        <w:tab/>
        <w:t>–</w:t>
      </w:r>
      <w:r>
        <w:tab/>
        <w:t>Organización de reuniones de trabajo con los ministerios y órganos admini</w:t>
      </w:r>
      <w:r>
        <w:t>s</w:t>
      </w:r>
      <w:r>
        <w:t>trativos competentes, así como con organizaciones no gubernamentales de c</w:t>
      </w:r>
      <w:r>
        <w:t>a</w:t>
      </w:r>
      <w:r>
        <w:t>rácter i</w:t>
      </w:r>
      <w:r>
        <w:t>n</w:t>
      </w:r>
      <w:r>
        <w:t>ternacional y nacional, y preparación de seminarios, etc.</w:t>
      </w:r>
    </w:p>
    <w:p w:rsidR="00000000" w:rsidRDefault="00000000">
      <w:pPr>
        <w:pStyle w:val="SingleTxt"/>
      </w:pPr>
      <w:r>
        <w:tab/>
        <w:t>A este respecto, cabe señalar que la Dependencia revitalizó el Comité Naci</w:t>
      </w:r>
      <w:r>
        <w:t>o</w:t>
      </w:r>
      <w:r>
        <w:t>nal, que había sido establecido para preparar el informe nacional sobre la particip</w:t>
      </w:r>
      <w:r>
        <w:t>a</w:t>
      </w:r>
      <w:r>
        <w:t>ción en la Quinta Conferencia Mundial sobre la Mujer, celebrada en Beijing en 1995.</w:t>
      </w:r>
    </w:p>
    <w:p w:rsidR="00000000" w:rsidRDefault="00000000">
      <w:pPr>
        <w:pStyle w:val="SingleTxt"/>
        <w:rPr>
          <w:spacing w:val="2"/>
          <w:w w:val="101"/>
        </w:rPr>
      </w:pPr>
      <w:r>
        <w:tab/>
        <w:t>El Comité Nacional está integrado por miembros de instituciones gubern</w:t>
      </w:r>
      <w:r>
        <w:t>a</w:t>
      </w:r>
      <w:r>
        <w:t xml:space="preserve">mentales y organizaciones no gubernamentales y, entre otras cuestiones, se ocupa de </w:t>
      </w:r>
      <w:r>
        <w:rPr>
          <w:spacing w:val="2"/>
          <w:w w:val="101"/>
        </w:rPr>
        <w:t>dar prioridad a las evaluaciones de los proyectos propuestos y verificar sus result</w:t>
      </w:r>
      <w:r>
        <w:rPr>
          <w:spacing w:val="2"/>
          <w:w w:val="101"/>
        </w:rPr>
        <w:t>a</w:t>
      </w:r>
      <w:r>
        <w:rPr>
          <w:spacing w:val="2"/>
          <w:w w:val="101"/>
        </w:rPr>
        <w:t>dos.</w:t>
      </w:r>
    </w:p>
    <w:p w:rsidR="00000000" w:rsidRDefault="00000000">
      <w:pPr>
        <w:pStyle w:val="SingleTxt"/>
      </w:pPr>
      <w:r>
        <w:tab/>
        <w:t>En 1998 la Dependencia respaldó la iniciativa de un grupo de diputados de la República de Macedonia, quienes presentaron la Declaración sobre la igualdad entre los géneros en el proceso de adopción de decisiones (Gaceta Oficial, No. 32/98).</w:t>
      </w:r>
    </w:p>
    <w:p w:rsidR="00000000" w:rsidRDefault="00000000">
      <w:pPr>
        <w:pStyle w:val="SingleTxt"/>
      </w:pPr>
      <w:r>
        <w:tab/>
        <w:t>Ese mismo año, y dentro del Programa de Consenso, la Dependencia preparó un estudio comparativo, desde la perspectiva del género, de la normativa en materia de protección social y seguridad social con objeto de ajustarse a las directrices de la Unión Europea. Esas actividades contaron con el apoyo de la Comisión Europea.</w:t>
      </w:r>
    </w:p>
    <w:p w:rsidR="00000000" w:rsidRDefault="00000000">
      <w:pPr>
        <w:pStyle w:val="SingleTxt"/>
      </w:pPr>
      <w:r>
        <w:tab/>
        <w:t>En 1999 la Dependencia y el Comité Nacional, en el marco del proyecto tit</w:t>
      </w:r>
      <w:r>
        <w:t>u</w:t>
      </w:r>
      <w:r>
        <w:t>lado “Fortalecimiento de los mecanismos nacionales para la protección de la mujer”, respaldado por la Oficina del Programa de las Naciones Unidas para el Desarrollo (PNUD) en Skopje, prepararon el Plan de Acción Nacional para la igualdad entre los géneros (PANIG). Ese Plan fue aprobado por el Gobierno en diciembre de 1999. En el Plan se definen las actividades y medidas necesarias para el logro de esos objet</w:t>
      </w:r>
      <w:r>
        <w:t>i</w:t>
      </w:r>
      <w:r>
        <w:t>vos, partiendo de la situación existente en la República de Macedonia en materia de igualdad entre los géneros. El Plan de Acción de Nacional es el instrumento con que cuenta el Gobierno para informar a los ciudadanos acerca de sus prioridades y act</w:t>
      </w:r>
      <w:r>
        <w:t>i</w:t>
      </w:r>
      <w:r>
        <w:t>vidades en relación con la igualdad entre los géneros.</w:t>
      </w:r>
    </w:p>
    <w:p w:rsidR="00000000" w:rsidRDefault="00000000">
      <w:pPr>
        <w:pStyle w:val="SingleTxt"/>
      </w:pPr>
      <w:r>
        <w:tab/>
        <w:t>La Dependencia participa plenamente en el proceso de potenciación del papel político de la mujer en el país, que es una de las prioridades del PANIG. Además, presta un firme apoyo a los proyectos de las organizaciones no gubernamentales r</w:t>
      </w:r>
      <w:r>
        <w:t>e</w:t>
      </w:r>
      <w:r>
        <w:t>lacionados con esta cuestión y participa en la labor del Grupo de Presión de Mujeres Mac</w:t>
      </w:r>
      <w:r>
        <w:t>e</w:t>
      </w:r>
      <w:r>
        <w:t>donias, que trabaja en pro del fortalecimiento del papel político de la mujer.</w:t>
      </w:r>
    </w:p>
    <w:p w:rsidR="00000000" w:rsidRDefault="00000000">
      <w:pPr>
        <w:pStyle w:val="SingleTxt"/>
      </w:pPr>
      <w:r>
        <w:tab/>
        <w:t>En el marco de las actividades que realiza el PANIG en pro de la potenciación del papel de la mujer en el Gobierno y en el proceso de adopción de decisiones, uno de los objetivos estratégicos es el establecimiento de un Comité para la igualdad entre los géneros en el Parlamento de la República de Macedonia. La tarea de ese Comité será supervisar las leyes que se propongan al Parlamento e intervenir deb</w:t>
      </w:r>
      <w:r>
        <w:t>i</w:t>
      </w:r>
      <w:r>
        <w:t>damente con el fin de mejorar tanto éstas como la condición jurídica y social de la mujer.</w:t>
      </w:r>
    </w:p>
    <w:p w:rsidR="00000000" w:rsidRDefault="00000000">
      <w:pPr>
        <w:pStyle w:val="SingleTxt"/>
      </w:pPr>
      <w:r>
        <w:tab/>
        <w:t>Con miras a la consecución de los objetivos estratégicos que entrañaba el est</w:t>
      </w:r>
      <w:r>
        <w:t>a</w:t>
      </w:r>
      <w:r>
        <w:t>blecimiento del Comité para la igualdad entre los géneros en el Parlamento, en en</w:t>
      </w:r>
      <w:r>
        <w:t>e</w:t>
      </w:r>
      <w:r>
        <w:t>ro de 2001 la Dependencia empezó a realizar actividades preparatorias de inform</w:t>
      </w:r>
      <w:r>
        <w:t>a</w:t>
      </w:r>
      <w:r>
        <w:t>ción y de movilización de los participantes pertinentes en el Gobierno de la Rep</w:t>
      </w:r>
      <w:r>
        <w:t>ú</w:t>
      </w:r>
      <w:r>
        <w:t>blica de Macedonia: el Primer Ministro, los diputados, diversos foros de mujeres de los partidos políticos, etc. Esas actividades contaban con el apoyo y la ayuda ec</w:t>
      </w:r>
      <w:r>
        <w:t>o</w:t>
      </w:r>
      <w:r>
        <w:t>nómica del Gobierno de Austria y se enmarcaban dentro de la labor que realizaba el Equipo de Tareas para la igualdad entre los géneros del Pacto de Estabilidad para Europa Sudoriental.</w:t>
      </w:r>
    </w:p>
    <w:p w:rsidR="00000000" w:rsidRDefault="00000000">
      <w:pPr>
        <w:pStyle w:val="SingleTxt"/>
      </w:pPr>
      <w:r>
        <w:tab/>
        <w:t>Dentro del proyecto titulado “Nueva Estrategia de igualdad entre los géneros en la República de Macedonia”, con el apoyo financiero del Gobierno de Austria y en cooperación con el Consejo de Europa, la Dependencia estableció un grupo de trabajo integrado por ocho miembros, quienes habían de preparar un proyecto de r</w:t>
      </w:r>
      <w:r>
        <w:t>e</w:t>
      </w:r>
      <w:r>
        <w:t>forma de la normativa electoral nacional y local con el fin de fomentar en la mayor medida posible la presencia de mujeres en las listas de candidatos a las elecciones que se celebrasen tanto a nivel nacional como local. El artículo 31 de la Ley elect</w:t>
      </w:r>
      <w:r>
        <w:t>o</w:t>
      </w:r>
      <w:r>
        <w:t>ral (aprobada en junio de 2002), relativo a la elección de los diputados al Parl</w:t>
      </w:r>
      <w:r>
        <w:t>a</w:t>
      </w:r>
      <w:r>
        <w:t>mento de la República de Macedonia, fue modificado mediante la inclusión de un párrafo 2 cuyo texto era el siguiente: “En la lista de candidatos basada en el princ</w:t>
      </w:r>
      <w:r>
        <w:t>i</w:t>
      </w:r>
      <w:r>
        <w:t>pio de la mayoría y la lista de candidatos basada en el principio de la proporcional</w:t>
      </w:r>
      <w:r>
        <w:t>i</w:t>
      </w:r>
      <w:r>
        <w:t>dad, por lo menos el 30% los candidatos serán mujeres y por lo menos otro 30% s</w:t>
      </w:r>
      <w:r>
        <w:t>e</w:t>
      </w:r>
      <w:r>
        <w:t>rán hombres” (dado que se consideró que el Tribunal Constitucional rechazaría el porcentaje indicado si sólo se refiriera a las mujeres). Está en marcha un proceso similar para incluir una cuota del 30% en la Ley de elecciones locales.</w:t>
      </w:r>
    </w:p>
    <w:p w:rsidR="00000000" w:rsidRDefault="00000000">
      <w:pPr>
        <w:pStyle w:val="SingleTxt"/>
      </w:pPr>
      <w:r>
        <w:tab/>
        <w:t>En lo concerniente a la enseñanza, la legislación vigente que regula el sector trata de igual modo a los estudiantes, sin hacer distinciones por razones de género.</w:t>
      </w:r>
    </w:p>
    <w:p w:rsidR="00000000" w:rsidRDefault="00000000">
      <w:pPr>
        <w:pStyle w:val="SingleTxt"/>
      </w:pPr>
      <w:r>
        <w:tab/>
        <w:t>En la legislación vigente sobre la enseñanza primaria, a saber, la Ley de ens</w:t>
      </w:r>
      <w:r>
        <w:t>e</w:t>
      </w:r>
      <w:r>
        <w:t>ñanza primaria, de 1995 (Gaceta Oficial, Nos. 44/95, 29/2002 y 52/2002), que se ajusta a la Constitución de la República de Macedonia, así como en los programas de reforma del sistema docente, se están haciendo evidentes esfuerzos para establ</w:t>
      </w:r>
      <w:r>
        <w:t>e</w:t>
      </w:r>
      <w:r>
        <w:t xml:space="preserve">cer un sistema de igualdad entre los alumnos y las alumnas, lo que resulta de capital importancia y es por sí mismo una condición </w:t>
      </w:r>
      <w:r>
        <w:rPr>
          <w:i/>
        </w:rPr>
        <w:t>sine qua non</w:t>
      </w:r>
      <w:r>
        <w:t xml:space="preserve"> para el avance de toda la sociedad. Ello entraña el establecimiento de condiciones iguales desde cualquier punto de vista y, a este respecto, un acceso equitativo a la educación y a otros tipos de formación en el sistema de enseñanza único. Por consiguiente, no existe discr</w:t>
      </w:r>
      <w:r>
        <w:t>i</w:t>
      </w:r>
      <w:r>
        <w:t>minación en el subsistema de enseñanza preescolar y primaria respecto de las alu</w:t>
      </w:r>
      <w:r>
        <w:t>m</w:t>
      </w:r>
      <w:r>
        <w:t>nas, lo que pone de manifiesto que no hay diferencias por razones de género en cuanto al disfrute de los derechos y libertades fundamentales en ese ámbito.</w:t>
      </w:r>
    </w:p>
    <w:p w:rsidR="00000000" w:rsidRDefault="00000000">
      <w:pPr>
        <w:pStyle w:val="SingleTxt"/>
      </w:pPr>
      <w:r>
        <w:tab/>
        <w:t>Además, el párrafo 2 del artículo 3 de la Ley de enseñanza secundaria, de 1995 (Gaceta Oficial, Nos. 44/95, 29/2002 y 52/2002) contiene una disposición en contra de la discriminación, a cuyo tenor: “No se permitirá ninguna discriminación por r</w:t>
      </w:r>
      <w:r>
        <w:t>a</w:t>
      </w:r>
      <w:r>
        <w:t>zón del género, la raza, el color de piel, el origen nacional o social, las convicciones políticas o religiosas, el patrimonio ni la situación social” y, sobre esa base, las m</w:t>
      </w:r>
      <w:r>
        <w:t>u</w:t>
      </w:r>
      <w:r>
        <w:t>jeres tienen garantizado un acceso equitativo a la enseñanza secundaria.</w:t>
      </w:r>
    </w:p>
    <w:p w:rsidR="00000000" w:rsidRDefault="00000000">
      <w:pPr>
        <w:pStyle w:val="SingleTxt"/>
      </w:pPr>
      <w:r>
        <w:tab/>
        <w:t>La Ley de enseñanza superior (Gaceta Oficial, No. 64/2000), mediante un art</w:t>
      </w:r>
      <w:r>
        <w:t>í</w:t>
      </w:r>
      <w:r>
        <w:t>culo separado (artículo 2), y la Ley de reforma de la Ley de enseñanza superior (G</w:t>
      </w:r>
      <w:r>
        <w:t>a</w:t>
      </w:r>
      <w:r>
        <w:t>ceta Oficial, No. 49/2003) regulan el derecho de los ciudadanos de la República de Macedonia a acceder a las instituciones de enseñanza superior en igualdad de cond</w:t>
      </w:r>
      <w:r>
        <w:t>i</w:t>
      </w:r>
      <w:r>
        <w:t>ciones, por lo que se presume que existe un acceso equitativo a la enseñanza sup</w:t>
      </w:r>
      <w:r>
        <w:t>e</w:t>
      </w:r>
      <w:r>
        <w:t>rior por parte de la población masculina y femenina.</w:t>
      </w:r>
    </w:p>
    <w:p w:rsidR="00000000" w:rsidRDefault="00000000">
      <w:pPr>
        <w:pStyle w:val="SingleTxt"/>
      </w:pPr>
      <w:r>
        <w:tab/>
        <w:t>Además, en el Capítulo II de esa Ley se regulan el contenido y la protección de la autonomía de todos los centros de enseñanza superior, al tiempo que su libe</w:t>
      </w:r>
      <w:r>
        <w:t>r</w:t>
      </w:r>
      <w:r>
        <w:t>tad intelectual y el carácter creativo del proceso de investigación y educación qu</w:t>
      </w:r>
      <w:r>
        <w:t>e</w:t>
      </w:r>
      <w:r>
        <w:t>dan garantizados como valores supremos (artículos 10 y 11 de la Ley de enseñanza superior), incluida la autonomía de gestión de esas instituciones como parte de su libertad académica general (artículo 12 de la Ley de enseñanza superior). En este caso, la inviolabilidad de la autonomía se refiere al desempeño de las actividades de enseñanza superior y de otra índole, lo que entraña la protección de los derechos de los miembros de la comunidad docente frente a la discriminación por razones de g</w:t>
      </w:r>
      <w:r>
        <w:t>é</w:t>
      </w:r>
      <w:r>
        <w:t>nero, raza, color de piel, origen nacional o étnico, origen social, convicciones polít</w:t>
      </w:r>
      <w:r>
        <w:t>i</w:t>
      </w:r>
      <w:r>
        <w:t>cas o religiosas, patrimonio y situación social (artículo 13). En este artículo se co</w:t>
      </w:r>
      <w:r>
        <w:t>n</w:t>
      </w:r>
      <w:r>
        <w:t>cede una prioridad expresa al derecho a la protección frente a la discriminación por razones de género en el marco de la ordenación jerárquica de los derechos de esos miembros, con lo que se hace hincapié en la importancia de la cuestión en el texto de la Ley y no se establece ninguna diferencia por razones de género.</w:t>
      </w:r>
    </w:p>
    <w:p w:rsidR="00000000" w:rsidRDefault="00000000">
      <w:pPr>
        <w:pStyle w:val="SingleTxt"/>
      </w:pPr>
      <w:r>
        <w:tab/>
        <w:t>Aunque no contiene disposiciones concretas relacionadas directamente con esa cuestión, la Ley de normalización de la enseñanza, de 1998, también singulariza ese derecho, sin establecer ninguna discriminación por razones de género.</w:t>
      </w:r>
    </w:p>
    <w:p w:rsidR="00000000" w:rsidRDefault="00000000">
      <w:pPr>
        <w:pStyle w:val="SingleTxt"/>
      </w:pPr>
      <w:r>
        <w:tab/>
        <w:t>En el informe se han utilizado datos estadísticos del Instituto Estatal de Est</w:t>
      </w:r>
      <w:r>
        <w:t>a</w:t>
      </w:r>
      <w:r>
        <w:t>dística de la República de Macedonia sobre la situación concreta de la enseñanza primaria, secundaria y superior y sobre el modelo de enseñanza para los estudiantes, datos que figuran en los cuadros de los anexos del informe.</w:t>
      </w:r>
    </w:p>
    <w:p w:rsidR="00000000" w:rsidRDefault="00000000">
      <w:pPr>
        <w:pStyle w:val="SingleTxt"/>
      </w:pPr>
      <w:r>
        <w:tab/>
        <w:t>Por otra parte, dentro de ese ámbito hay numerosas actividades realizadas por las organizaciones no gubernamentales. Pueden consultarse más detalles al respecto en la explicación del apartado c) del 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Fomento de la igualdad entre el hombre y la mujer</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p w:rsidR="00000000" w:rsidRDefault="00000000">
      <w:pPr>
        <w:pStyle w:val="SingleTxt"/>
        <w:rPr>
          <w:i/>
        </w:rPr>
      </w:pPr>
      <w:r>
        <w:rPr>
          <w:i/>
        </w:rPr>
        <w:tab/>
        <w:t>2.</w:t>
      </w:r>
      <w:r>
        <w:rPr>
          <w:i/>
        </w:rPr>
        <w:tab/>
        <w:t>La adopción por los Estados Partes de medidas especiales, incluso las contenidas en la presente Convención, encaminadas a proteger la maternidad no se consider</w:t>
      </w:r>
      <w:r>
        <w:rPr>
          <w:i/>
        </w:rPr>
        <w:t>a</w:t>
      </w:r>
      <w:r>
        <w:rPr>
          <w:i/>
        </w:rPr>
        <w:t>rá discriminatoria.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entre el hombre mujeres tiene rango constitucional en la Repúbl</w:t>
      </w:r>
      <w:r>
        <w:t>i</w:t>
      </w:r>
      <w:r>
        <w:t>ca de Macedonia.</w:t>
      </w:r>
    </w:p>
    <w:p w:rsidR="00000000" w:rsidRDefault="00000000">
      <w:pPr>
        <w:pStyle w:val="SingleTxt"/>
        <w:rPr>
          <w:spacing w:val="2"/>
          <w:w w:val="101"/>
        </w:rPr>
      </w:pPr>
      <w:r>
        <w:rPr>
          <w:spacing w:val="2"/>
          <w:w w:val="101"/>
        </w:rPr>
        <w:tab/>
        <w:t>En la actualidad, la República de Macedonia no cuenta con una política oficial de promoción de la igualdad de hecho ni de adopción de medidas especiales de carácter temporal (medidas positivas) en el plano nacional. Tampoco se han adoptado medidas de carácter temporal para proceder a la puesta en práctica de la igualdad real entre el hombre y la mujer, dado que ese derecho queda protegido en la Constit</w:t>
      </w:r>
      <w:r>
        <w:rPr>
          <w:spacing w:val="2"/>
          <w:w w:val="101"/>
        </w:rPr>
        <w:t>u</w:t>
      </w:r>
      <w:r>
        <w:rPr>
          <w:spacing w:val="2"/>
          <w:w w:val="101"/>
        </w:rPr>
        <w:t>ción.</w:t>
      </w:r>
    </w:p>
    <w:p w:rsidR="00000000" w:rsidRDefault="00000000">
      <w:pPr>
        <w:pStyle w:val="SingleTxt"/>
      </w:pPr>
      <w:r>
        <w:tab/>
        <w:t>1)</w:t>
      </w:r>
      <w:r>
        <w:tab/>
        <w:t>En apoyo de lo que antecede, el Gobierno la República de Macedonia aprobó en 1998 la Declaración sobre la igualdad entre los géneros en el proceso de ado</w:t>
      </w:r>
      <w:r>
        <w:t>p</w:t>
      </w:r>
      <w:r>
        <w:t>ción de decisiones.</w:t>
      </w:r>
    </w:p>
    <w:p w:rsidR="00000000" w:rsidRDefault="00000000">
      <w:pPr>
        <w:pStyle w:val="SingleTxt"/>
        <w:rPr>
          <w:spacing w:val="2"/>
          <w:w w:val="101"/>
        </w:rPr>
      </w:pPr>
      <w:r>
        <w:tab/>
        <w:t xml:space="preserve">No obstante, en la nueva Ley electoral (a la que ya se ha hecho referencia en el comentario sobre el artículo 3 </w:t>
      </w:r>
      <w:r>
        <w:rPr>
          <w:i/>
        </w:rPr>
        <w:t>supra</w:t>
      </w:r>
      <w:r>
        <w:t xml:space="preserve">) se establece una cuota del 30% como mínimo para cada género en la lista de los candidatos a las elecciones parlamentarias. Está </w:t>
      </w:r>
      <w:r>
        <w:rPr>
          <w:spacing w:val="2"/>
          <w:w w:val="101"/>
        </w:rPr>
        <w:t>previsto hacer lo propio en la nueva Ley de elecciones locales que se está prepara</w:t>
      </w:r>
      <w:r>
        <w:rPr>
          <w:spacing w:val="2"/>
          <w:w w:val="101"/>
        </w:rPr>
        <w:t>n</w:t>
      </w:r>
      <w:r>
        <w:rPr>
          <w:spacing w:val="2"/>
          <w:w w:val="101"/>
        </w:rPr>
        <w:t>do.</w:t>
      </w:r>
    </w:p>
    <w:p w:rsidR="00000000" w:rsidRDefault="00000000">
      <w:pPr>
        <w:pStyle w:val="SingleTxt"/>
      </w:pPr>
      <w:r>
        <w:tab/>
        <w:t>2)</w:t>
      </w:r>
      <w:r>
        <w:tab/>
        <w:t>El artículo 42 de la Constitución, relativo a los derechos fundamentales del hombre y del ciudadano, garantiza una protección especial de los menores y las madres en el trabajo, teniendo en cuenta su situación especial. La Ley del empleo se ajusta a las disposiciones de la Constitución y en sus artículos 58 a 68 establece una protección especial para la mujer.</w:t>
      </w:r>
    </w:p>
    <w:p w:rsidR="00000000" w:rsidRDefault="00000000">
      <w:pPr>
        <w:pStyle w:val="SingleTxt"/>
      </w:pPr>
      <w:r>
        <w:tab/>
        <w:t>Así pues, las trabajadoras de Macedonia disfrutan de todos los derechos a la protección en el trabajo durante el embarazo. No se les pueden encomendar labores que puedan tener efectos perjudiciales para su salud ni trabajos nocturnos. Esa pr</w:t>
      </w:r>
      <w:r>
        <w:t>o</w:t>
      </w:r>
      <w:r>
        <w:t>te</w:t>
      </w:r>
      <w:r>
        <w:t>c</w:t>
      </w:r>
      <w:r>
        <w:t>ción también se aplica a las trabajadoras con hijos menores de dos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y estereotipos relacionados con el género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w:t>
      </w:r>
      <w:r>
        <w:rPr>
          <w:i/>
        </w:rPr>
        <w:t>o</w:t>
      </w:r>
      <w:r>
        <w:rPr>
          <w:i/>
        </w:rPr>
        <w:t>dos los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La mujer cada vez desempeña más tareas en la sociedad, si bien siguen persistiendo ideas convencionales sobre ella. Esos estereotipos indican que las dif</w:t>
      </w:r>
      <w:r>
        <w:t>e</w:t>
      </w:r>
      <w:r>
        <w:t>rencias básicas entre los géneros se basan en su posición de inferioridad y desfav</w:t>
      </w:r>
      <w:r>
        <w:t>o</w:t>
      </w:r>
      <w:r>
        <w:t>rable y subrayan la antigua división de funciones entre el hombre y la mujer en la esfera de las relaciones familiares y en otros ámbitos.</w:t>
      </w:r>
    </w:p>
    <w:p w:rsidR="00000000" w:rsidRDefault="00000000">
      <w:pPr>
        <w:pStyle w:val="SingleTxt"/>
      </w:pPr>
      <w:r>
        <w:tab/>
        <w:t>Los conceptos sobre la mujer creados o trasmitidos por los medios de comun</w:t>
      </w:r>
      <w:r>
        <w:t>i</w:t>
      </w:r>
      <w:r>
        <w:t>cación tienen una importancia fundamental en la reafirmación de los estereotipos sobre la femineidad, pero también para luchar contra ellos. La influencia de los m</w:t>
      </w:r>
      <w:r>
        <w:t>e</w:t>
      </w:r>
      <w:r>
        <w:t>dios de comunicación, especialmente de la televisión, y los efectos que producen se ponen de manifiesto en diversas investigaciones científicas y, por ello, no parece necesario ahondar en este tema.</w:t>
      </w:r>
    </w:p>
    <w:p w:rsidR="00000000" w:rsidRDefault="00000000">
      <w:pPr>
        <w:pStyle w:val="SingleTxt"/>
      </w:pPr>
      <w:r>
        <w:tab/>
        <w:t>La cuestión de la presentación de la mujer en los medios audiovisuales de M</w:t>
      </w:r>
      <w:r>
        <w:t>a</w:t>
      </w:r>
      <w:r>
        <w:t>cedonia queda abarcada en parte por las disposiciones del artículo 35 de la Ley de radi</w:t>
      </w:r>
      <w:r>
        <w:t>o</w:t>
      </w:r>
      <w:r>
        <w:t>difusión y televisión (Gaceta Oficial, No. 20/97). Según ese artículo:</w:t>
      </w:r>
    </w:p>
    <w:p w:rsidR="00000000" w:rsidRDefault="00000000">
      <w:pPr>
        <w:pStyle w:val="SingleTxt"/>
        <w:ind w:left="1742"/>
      </w:pPr>
      <w:r>
        <w:tab/>
        <w:t>“Los programas no deben incluir contenidos inmorales, especialmente por lo que respecta a la pornografía y la violencia.</w:t>
      </w:r>
    </w:p>
    <w:p w:rsidR="00000000" w:rsidRDefault="00000000">
      <w:pPr>
        <w:pStyle w:val="SingleTxt"/>
        <w:ind w:left="1742"/>
      </w:pPr>
      <w:r>
        <w:tab/>
        <w:t>No podrá trasmitirse ningún programa que pueda influir negativamente en el des</w:t>
      </w:r>
      <w:r>
        <w:t>a</w:t>
      </w:r>
      <w:r>
        <w:t>rrollo físico, espiritual o moral de la infancia y la juventud.</w:t>
      </w:r>
    </w:p>
    <w:p w:rsidR="00000000" w:rsidRDefault="00000000">
      <w:pPr>
        <w:pStyle w:val="SingleTxt"/>
        <w:ind w:left="1742"/>
      </w:pPr>
      <w:r>
        <w:tab/>
        <w:t>Las películas u otros programas que puedan tener una influencia negativa en el desarrollo psicológico de la infancia y la juventud únicamente podrán trasm</w:t>
      </w:r>
      <w:r>
        <w:t>i</w:t>
      </w:r>
      <w:r>
        <w:t>tirse entre las 24.00 y las 6.00 horas.”</w:t>
      </w:r>
    </w:p>
    <w:p w:rsidR="00000000" w:rsidRDefault="00000000">
      <w:pPr>
        <w:pStyle w:val="SingleTxt"/>
      </w:pPr>
      <w:r>
        <w:tab/>
        <w:t>El Consejo de radiodifusión y televisión de la República de Macedonia, en su calidad de órgano normativo independiente, se ocupa permanentemente de la supe</w:t>
      </w:r>
      <w:r>
        <w:t>r</w:t>
      </w:r>
      <w:r>
        <w:t>visión de los medios audiovisuales (las emisoras de radio y las cadenas de telev</w:t>
      </w:r>
      <w:r>
        <w:t>i</w:t>
      </w:r>
      <w:r>
        <w:t>sión)</w:t>
      </w:r>
      <w:r>
        <w:rPr>
          <w:color w:val="FF0000"/>
          <w:vertAlign w:val="superscript"/>
        </w:rPr>
        <w:footnoteReference w:id="3"/>
      </w:r>
      <w:r>
        <w:t>. Teniendo en cuenta los datos obtenidos mediante esas actividades de superv</w:t>
      </w:r>
      <w:r>
        <w:t>i</w:t>
      </w:r>
      <w:r>
        <w:t>sión, el Consejo de radiodifusión y televisión adopta medidas contra las emisoras de radio y las cadenas de televisión que no observen la legislación</w:t>
      </w:r>
      <w:r>
        <w:rPr>
          <w:color w:val="FF0000"/>
          <w:vertAlign w:val="superscript"/>
        </w:rPr>
        <w:footnoteReference w:id="4"/>
      </w:r>
      <w:r>
        <w:t>. La inobservancia del artículo 35 ha sido frecuentemente la causa de la adopción de medidas, partic</w:t>
      </w:r>
      <w:r>
        <w:t>u</w:t>
      </w:r>
      <w:r>
        <w:t>larmente en relación con los anuncios de televisión de las denominadas “líneas c</w:t>
      </w:r>
      <w:r>
        <w:t>a</w:t>
      </w:r>
      <w:r>
        <w:t>lientes” y los programas de contenido pornográfico</w:t>
      </w:r>
      <w:r>
        <w:rPr>
          <w:color w:val="FF0000"/>
          <w:vertAlign w:val="superscript"/>
        </w:rPr>
        <w:footnoteReference w:id="5"/>
      </w:r>
      <w:r>
        <w:t>:</w:t>
      </w:r>
    </w:p>
    <w:p w:rsidR="00000000" w:rsidRDefault="00000000">
      <w:pPr>
        <w:pStyle w:val="SingleTxt"/>
        <w:tabs>
          <w:tab w:val="right" w:pos="1685"/>
        </w:tabs>
        <w:ind w:left="1742" w:hanging="475"/>
      </w:pPr>
      <w:r>
        <w:tab/>
        <w:t>1.</w:t>
      </w:r>
      <w:r>
        <w:tab/>
        <w:t>En 2002 se enviaron en ocho ocasiones primeras advertencias a otras tantas cadenas de televisión. A una de ellas se le envió una segunda advertencia. En octubre de 2002 el Consejo indicó públicamente los nombres de ocho cadenas de televisión que transmitían anuncios de “líneas calientes”, con escenas de pornografía, y les advirtió de que iban a entablarse actuaciones contra ellas por la com</w:t>
      </w:r>
      <w:r>
        <w:t>i</w:t>
      </w:r>
      <w:r>
        <w:t>sión de una falta;</w:t>
      </w:r>
    </w:p>
    <w:p w:rsidR="00000000" w:rsidRDefault="00000000">
      <w:pPr>
        <w:pStyle w:val="SingleTxt"/>
        <w:tabs>
          <w:tab w:val="right" w:pos="1685"/>
        </w:tabs>
        <w:ind w:left="1742" w:hanging="475"/>
      </w:pPr>
      <w:r>
        <w:tab/>
        <w:t>2.</w:t>
      </w:r>
      <w:r>
        <w:tab/>
        <w:t>En 2001 se enviaron dos primeras advertencias y cinco segundas advertencias y, en tres casos, el órgano competente de inspección pidió una investigación (en este caso, la Inspección Estatal del Mercado). Esas medidas afectaron a siete cadenas de tel</w:t>
      </w:r>
      <w:r>
        <w:t>e</w:t>
      </w:r>
      <w:r>
        <w:t>visión;</w:t>
      </w:r>
    </w:p>
    <w:p w:rsidR="00000000" w:rsidRDefault="00000000">
      <w:pPr>
        <w:pStyle w:val="SingleTxt"/>
        <w:keepNext/>
        <w:keepLines/>
        <w:tabs>
          <w:tab w:val="right" w:pos="1685"/>
        </w:tabs>
        <w:ind w:left="1742" w:hanging="475"/>
      </w:pPr>
      <w:r>
        <w:tab/>
        <w:t>3.</w:t>
      </w:r>
      <w:r>
        <w:tab/>
        <w:t>El número de medidas adoptadas fue el más elevado en 2000: 22 primeras a</w:t>
      </w:r>
      <w:r>
        <w:t>d</w:t>
      </w:r>
      <w:r>
        <w:t>vertencias y cinco segundas advertencias; además, se pidió una investigación en cuatro casos. Las medidas afectaron a 16 cadenas de televisión y a una em</w:t>
      </w:r>
      <w:r>
        <w:t>i</w:t>
      </w:r>
      <w:r>
        <w:t>sora de radio. En el caso de una cadena de televisión, la Inspección formuló una solicitud a los tribunales para que se iniciara un procedimiento de faltas. En el caso de otra cadena, se denegó a los inspectores el acceso a ella.</w:t>
      </w:r>
    </w:p>
    <w:p w:rsidR="00000000" w:rsidRDefault="00000000">
      <w:pPr>
        <w:pStyle w:val="SingleTxt"/>
      </w:pPr>
      <w:r>
        <w:tab/>
        <w:t>Las medidas adoptadas durante el trienio a fin de eliminar la pornografía en los programas de televisión contaron con el apoyo de organizaciones no gubern</w:t>
      </w:r>
      <w:r>
        <w:t>a</w:t>
      </w:r>
      <w:r>
        <w:t>mentales y religiosas, la Organización de protección de los consumidores y cierto número de espectadores, quienes llamaron a la línea telefónica abierta del Consejo. Ello dio lugar a un mejor cumplimiento de lo dispuesto en el artículo 35 de la Ley de radiodifusión y televisión por parte de las emisoras de radio y las cadenas de t</w:t>
      </w:r>
      <w:r>
        <w:t>e</w:t>
      </w:r>
      <w:r>
        <w:t>levisión.</w:t>
      </w:r>
    </w:p>
    <w:p w:rsidR="00000000" w:rsidRDefault="00000000">
      <w:pPr>
        <w:pStyle w:val="SingleTxt"/>
      </w:pPr>
      <w:r>
        <w:tab/>
        <w:t>El hecho de que el Consejo supervisara en todo momento las actividades de los medios de comunicación, es decir, el hecho de que los medios fueran conscientes de que sus programas eran objeto de análisis, contribuyó ciertamente a que se diera un comportamiento más profesional por parte de esos medios. No obstante, a fin de l</w:t>
      </w:r>
      <w:r>
        <w:t>o</w:t>
      </w:r>
      <w:r>
        <w:t>grar resultados más adecuados que durasen más que los alcanzados mediante las a</w:t>
      </w:r>
      <w:r>
        <w:t>c</w:t>
      </w:r>
      <w:r>
        <w:t>tividades de supervisión y de imposición de sanciones, el Consejo inició la tramit</w:t>
      </w:r>
      <w:r>
        <w:t>a</w:t>
      </w:r>
      <w:r>
        <w:t>ción de la aprobación de un Código de publicidad, que era una norma autorregulad</w:t>
      </w:r>
      <w:r>
        <w:t>o</w:t>
      </w:r>
      <w:r>
        <w:t>ra que adoptaría el sector de la publicidad de Macedonia. Cabe esperar que ese in</w:t>
      </w:r>
      <w:r>
        <w:t>s</w:t>
      </w:r>
      <w:r>
        <w:t>trumento, así como los debates generados durante el proceso de aprobación en gen</w:t>
      </w:r>
      <w:r>
        <w:t>e</w:t>
      </w:r>
      <w:r>
        <w:t>ral, darán lugar a que las entidades del sector de la publicidad adopten posiciones mucho más uniformes en lo tocante a importantes cuestiones de su esfera de actu</w:t>
      </w:r>
      <w:r>
        <w:t>a</w:t>
      </w:r>
      <w:r>
        <w:t>ción, entre las que cabe señalar el contenido de los anuncios que se refieren a la mujer.</w:t>
      </w:r>
    </w:p>
    <w:p w:rsidR="00000000" w:rsidRDefault="00000000">
      <w:pPr>
        <w:pStyle w:val="SingleTxt"/>
      </w:pPr>
      <w:r>
        <w:tab/>
        <w:t>El Consejo sugirió que el Código incluyera disposiciones contra la present</w:t>
      </w:r>
      <w:r>
        <w:t>a</w:t>
      </w:r>
      <w:r>
        <w:t>ción inadecuada de la mujer en los anuncios. En noviembre 2002 el Consejo de r</w:t>
      </w:r>
      <w:r>
        <w:t>a</w:t>
      </w:r>
      <w:r>
        <w:t>diodifusión y televisión organizó en Skopje un grupo de debate sobre el tema “C</w:t>
      </w:r>
      <w:r>
        <w:t>ó</w:t>
      </w:r>
      <w:r>
        <w:t>digo de publicidad para la autorregulación de la publicidad”. Los participantes r</w:t>
      </w:r>
      <w:r>
        <w:t>e</w:t>
      </w:r>
      <w:r>
        <w:t>presentaban a anunciantes, agencias de publicidad, medios de comunicación y org</w:t>
      </w:r>
      <w:r>
        <w:t>a</w:t>
      </w:r>
      <w:r>
        <w:t>nizaciones gubernamentales que protegían los derechos de los consumidores, así como organizaciones para la protección de los derechos de la mujer y expertos en publicidad. La documentación distribuida por el Consejo durante los debates del grupo incluía la Resolución sobre la discriminación de la mujer en la publicidad, aprobada por el Parlamento Europeo</w:t>
      </w:r>
      <w:r>
        <w:rPr>
          <w:color w:val="FF0000"/>
          <w:vertAlign w:val="superscript"/>
        </w:rPr>
        <w:footnoteReference w:id="6"/>
      </w:r>
      <w:r>
        <w:t>.</w:t>
      </w:r>
    </w:p>
    <w:p w:rsidR="00000000" w:rsidRDefault="00000000">
      <w:pPr>
        <w:pStyle w:val="SingleTxt"/>
      </w:pPr>
      <w:r>
        <w:tab/>
        <w:t>No obstante, la publicidad no es la única esfera en que deben hacerse esfuerzos para mejorar la presentación de la mujer. La Dependencia de documentación e i</w:t>
      </w:r>
      <w:r>
        <w:t>n</w:t>
      </w:r>
      <w:r>
        <w:t>formación del Centro de prensa electoral sobre la mujer realizó una investigación durante las elecciones parlamentarias de 2002, que arrojó resultados interesantes. Éstos, publicados en marzo de 2003 en el folleto titulado “Elecciones de 2002: ¿por qué solamente el 18,3 %?”, también incluían los resultados del análisis de la pr</w:t>
      </w:r>
      <w:r>
        <w:t>e</w:t>
      </w:r>
      <w:r>
        <w:t>sentación de candidatas a diputadas en los programas de televisión. La muestra de ambos períodos investigados se refería a los principales programas informativos de las tres cadenas nacionales de televisión: la Primera cadena de la televisión maced</w:t>
      </w:r>
      <w:r>
        <w:t>o</w:t>
      </w:r>
      <w:r>
        <w:t>nia, A1 y Sitel.</w:t>
      </w:r>
    </w:p>
    <w:p w:rsidR="00000000" w:rsidRDefault="00000000">
      <w:pPr>
        <w:pStyle w:val="SingleTxt"/>
      </w:pPr>
      <w:r>
        <w:tab/>
        <w:t>En el primer período, comprendido entre el 26 y el 30 de agosto, se analizaron los reportajes sobre las actividades electorales de las entidades políticas, la política interna, la cultura, la enseñanza y los asuntos sociales. Durante las diez horas de programación del período de la primera muestra, las mujeres fueron presentadas como protagonistas durante 34 minutos (el 5,7%), principalmente desempeñando papeles secundarios. De las 310 personas mencionadas en los programas informat</w:t>
      </w:r>
      <w:r>
        <w:t>i</w:t>
      </w:r>
      <w:r>
        <w:t>vos, únicamente 29 (el 9,3%) eran mujeres y sólo 12 (el 3,9%) de ellas fueron cit</w:t>
      </w:r>
      <w:r>
        <w:t>a</w:t>
      </w:r>
      <w:r>
        <w:t>das o presentadas. Por otra parte, en los reportajes sobre las elecciones únicamente se presentó a una candidata a diputada dirigiéndose a los electores, aunque en las listas de candidatos había 1.099 mujeres.</w:t>
      </w:r>
    </w:p>
    <w:p w:rsidR="00000000" w:rsidRDefault="00000000">
      <w:pPr>
        <w:pStyle w:val="SingleTxt"/>
      </w:pPr>
      <w:r>
        <w:tab/>
        <w:t>La muestra del segundo período investigado (6 a 9 de septiembre 2002) duraba dos horas y 12 minutos y el análisis se concentraba en los reportajes sobre las ele</w:t>
      </w:r>
      <w:r>
        <w:t>c</w:t>
      </w:r>
      <w:r>
        <w:t>ciones (mítines, conferencias de prensa y declaraciones de políticos). Las princip</w:t>
      </w:r>
      <w:r>
        <w:t>a</w:t>
      </w:r>
      <w:r>
        <w:t>les presentaciones incluían a 71 personas, entre las que únicamente había cuatro mujeres. En los reportajes se mencionaba a 119 personas, incluidas nueve mujeres solamente; además, sólo se presentó a una mujer mientras hablaba y se ofrecieron imágenes de otra.</w:t>
      </w:r>
    </w:p>
    <w:p w:rsidR="00000000" w:rsidRDefault="00000000">
      <w:pPr>
        <w:pStyle w:val="SingleTxt"/>
      </w:pPr>
      <w:r>
        <w:tab/>
        <w:t>En ambos períodos investigados, las mujeres fueron presentadas principa</w:t>
      </w:r>
      <w:r>
        <w:t>l</w:t>
      </w:r>
      <w:r>
        <w:t>mente entre el público o en el escenario, si bien lejos del micrófono que utilizaban algunos candidatos a diputados.</w:t>
      </w:r>
    </w:p>
    <w:p w:rsidR="00000000" w:rsidRDefault="00000000">
      <w:pPr>
        <w:pStyle w:val="SingleTxt"/>
      </w:pPr>
      <w:r>
        <w:tab/>
        <w:t xml:space="preserve">Los datos sobre el número de mujeres empleadas en las emisoras de radio y las cadenas de televisión son también interesantes. Los cuadros que figuran </w:t>
      </w:r>
      <w:r>
        <w:rPr>
          <w:i/>
        </w:rPr>
        <w:t>infra</w:t>
      </w:r>
      <w:r>
        <w:t xml:space="preserve"> co</w:t>
      </w:r>
      <w:r>
        <w:t>n</w:t>
      </w:r>
      <w:r>
        <w:t>tienen datos sobre los años 2000 y 2001 y ofrecen una visión general de la repr</w:t>
      </w:r>
      <w:r>
        <w:t>e</w:t>
      </w:r>
      <w:r>
        <w:t xml:space="preserve">sentación de la mujer en la radio y la televisión. No obstante, tal como muestra el cuatro 1, en la mayor parte de los casos los datos correspondientes a ambos años no se refieren al mismo número de medios de comunicación. Por ello, en el cuadro 2 sólo se toman los indicadores correspondientes al mismo número de medios de </w:t>
      </w:r>
      <w:r>
        <w:br/>
        <w:t>comunic</w:t>
      </w:r>
      <w:r>
        <w:t>a</w:t>
      </w:r>
      <w:r>
        <w:t>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Entidades comerciales de radiodifusión y televisión incluidas en las investigaciones realizadas en 2000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Empresas públicas de radiodifusión y televisión</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Empresas comerciales de radiodifusión y televisión</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 ámbito nacional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 ámbito local</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 ámbito nacional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 ámbito local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5"/>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i/>
                <w:sz w:val="17"/>
              </w:rPr>
            </w:pPr>
            <w:r>
              <w:rPr>
                <w:b/>
                <w:i/>
                <w:sz w:val="17"/>
              </w:rPr>
              <w:t>Radio</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5"/>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i/>
                <w:sz w:val="17"/>
              </w:rPr>
            </w:pPr>
            <w:r>
              <w:rPr>
                <w:b/>
                <w:i/>
                <w:sz w:val="17"/>
              </w:rPr>
              <w:t>Televisión</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Empleados de las empresas públicas y comerciales de radiodifusión y televisión (datos correspondientes al 31 de diciembre)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862"/>
        <w:gridCol w:w="863"/>
        <w:gridCol w:w="75"/>
        <w:gridCol w:w="787"/>
        <w:gridCol w:w="863"/>
      </w:tblGrid>
      <w:tr w:rsidR="00000000">
        <w:tblPrEx>
          <w:tblCellMar>
            <w:top w:w="0" w:type="dxa"/>
            <w:left w:w="0" w:type="dxa"/>
            <w:bottom w:w="0" w:type="dxa"/>
            <w:right w:w="0" w:type="dxa"/>
          </w:tblCellMar>
        </w:tblPrEx>
        <w:trPr>
          <w:cantSplit/>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38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Empleados de la sección de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 pública: MRTV</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nacional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Empresas públicas de radiodifusión y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Empresas privadas de radiodifusión y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nacional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Empleados de la sección de radio</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 pública: MRTV</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nacional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Empresas públicas de radiodifusión y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Empresas privadas de radiodifusión y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nacional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Empleados comunes</w:t>
            </w:r>
            <w:r>
              <w:rPr>
                <w:sz w:val="17"/>
              </w:rPr>
              <w:t>*</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 pública: MRTV</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nacional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Empresas públicas de radiodifusión y televisión</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Ámbito local</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6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Estatal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Empleados que trabajan tanto para las secciones de radio como de televisión de las empresas de radiodifusión y televisión.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empresa pública Radiotelevisión Macedonia, en la que en 2001 el núm</w:t>
      </w:r>
      <w:r>
        <w:t>e</w:t>
      </w:r>
      <w:r>
        <w:t>ro total de empleados se redujo en un 2,5% por comparación con las cifras de 2000, cabe observar una reducción excepcionalmente baja del número de empleados en la radio y la televisión.</w:t>
      </w:r>
    </w:p>
    <w:p w:rsidR="00000000" w:rsidRDefault="00000000">
      <w:pPr>
        <w:pStyle w:val="SingleTxt"/>
      </w:pPr>
      <w:r>
        <w:tab/>
        <w:t>En 2001 el porcentaje de mujeres empleadas en la televisión macedonia se c</w:t>
      </w:r>
      <w:r>
        <w:t>i</w:t>
      </w:r>
      <w:r>
        <w:t>fraba en el 37%, porcentaje prácticamente igual que el de 2000, año en el que se h</w:t>
      </w:r>
      <w:r>
        <w:t>a</w:t>
      </w:r>
      <w:r>
        <w:t>bía cifrado en el 36,6%. Se da una situación similar en la radio macedonia, en la que en 2001 las mujeres representaron el 47% de los empleados y el 48% en 2000. El porcentaje de mujeres empleadas en la radiotelevisión macedonia se ha mantenido sin cambios y se cifra en alrededor del 43%.</w:t>
      </w:r>
    </w:p>
    <w:p w:rsidR="00000000" w:rsidRDefault="00000000">
      <w:pPr>
        <w:pStyle w:val="SingleTxt"/>
      </w:pPr>
      <w:r>
        <w:tab/>
        <w:t>Es de destacar que una característica del sector público nacional es el hecho de que las mujeres constituyen menos de la mitad del número total de los empleados.</w:t>
      </w:r>
    </w:p>
    <w:p w:rsidR="00000000" w:rsidRDefault="00000000">
      <w:pPr>
        <w:pStyle w:val="SingleTxt"/>
      </w:pPr>
      <w:r>
        <w:tab/>
        <w:t>En las empresas comerciales de radiodifusión y televisión de ámbito nacional, se observa una importante reducción del número total de empleados, tanto hombres como mujeres. En los dos años investigados, las mujeres representaron alrededor del 30% de los empleados de las cadenas privadas nacionales de televisión.</w:t>
      </w:r>
    </w:p>
    <w:p w:rsidR="00000000" w:rsidRDefault="00000000">
      <w:pPr>
        <w:pStyle w:val="SingleTxt"/>
      </w:pPr>
      <w:r>
        <w:tab/>
        <w:t>Por otra parte, no se han realizado suficientes investigaciones sobre la prensa. Puede obtenerse alguna información sobre el trato que da la prensa a la mujer en el proyecto denominado Global Media Monitoring Project (GMMP 2000), que empezó a aplicarse en 70 países el 1º de febrero 2000. A continuación figuran los resultados de GMMP 2000.</w:t>
      </w:r>
    </w:p>
    <w:p w:rsidR="00000000" w:rsidRDefault="00000000">
      <w:pPr>
        <w:pStyle w:val="SingleTxt"/>
      </w:pPr>
      <w:r>
        <w:tab/>
        <w:t>La muestra de esta investigación en la República de Macedonia abarca un total de 48 artículos periodísticos en cinco diarios. Los artículos se referían a varios t</w:t>
      </w:r>
      <w:r>
        <w:t>e</w:t>
      </w:r>
      <w:r>
        <w:t>mas: 11 estaban dedicados a la política y el Gobierno y nueve a temas laborales. No obstante, la mayoría de los reportajes pertenecían a la categoría de “otros”. La di</w:t>
      </w:r>
      <w:r>
        <w:t>s</w:t>
      </w:r>
      <w:r>
        <w:t>trib</w:t>
      </w:r>
      <w:r>
        <w:t>u</w:t>
      </w:r>
      <w:r>
        <w:t>ción de artículos por categorías puede consultarse en el cuadro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Números de artículos periodísticos por temas (situación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570"/>
        <w:gridCol w:w="750"/>
      </w:tblGrid>
      <w:tr w:rsidR="00000000">
        <w:tblPrEx>
          <w:tblCellMar>
            <w:top w:w="0" w:type="dxa"/>
            <w:left w:w="0" w:type="dxa"/>
            <w:bottom w:w="0" w:type="dxa"/>
            <w:right w:w="0" w:type="dxa"/>
          </w:tblCellMar>
        </w:tblPrEx>
        <w:tc>
          <w:tcPr>
            <w:tcW w:w="6570" w:type="dxa"/>
            <w:tcBorders>
              <w:top w:val="single" w:sz="4" w:space="0" w:color="auto"/>
            </w:tcBorders>
            <w:vAlign w:val="bottom"/>
          </w:tcPr>
          <w:p w:rsidR="00000000" w:rsidRDefault="00000000">
            <w:pPr>
              <w:tabs>
                <w:tab w:val="left" w:pos="288"/>
                <w:tab w:val="left" w:pos="576"/>
                <w:tab w:val="left" w:leader="dot" w:pos="6520"/>
              </w:tabs>
              <w:spacing w:before="40" w:after="40" w:line="210" w:lineRule="exact"/>
              <w:ind w:right="40"/>
              <w:rPr>
                <w:spacing w:val="60"/>
                <w:sz w:val="17"/>
              </w:rPr>
            </w:pPr>
            <w:r>
              <w:rPr>
                <w:sz w:val="17"/>
              </w:rPr>
              <w:t>Arte y ocio</w:t>
            </w:r>
            <w:r>
              <w:rPr>
                <w:spacing w:val="60"/>
                <w:sz w:val="17"/>
              </w:rPr>
              <w:tab/>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Información sobre famosos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Delincuencia y legislación</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Desastres, accidentes y tragedias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Educación y protección de la infancia</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Economía y negocios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Protección del medio ambiente</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Salud, medicina e higiene</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Derechos humanos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Crisis internacionales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Temas laborales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Seguridad nacional</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Política y Gobierno</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Pobreza y falta de vivienda</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leader="dot" w:pos="6520"/>
              </w:tabs>
              <w:spacing w:before="40" w:after="40" w:line="210" w:lineRule="exact"/>
              <w:ind w:right="40"/>
              <w:rPr>
                <w:spacing w:val="60"/>
                <w:sz w:val="17"/>
              </w:rPr>
            </w:pPr>
            <w:r>
              <w:rPr>
                <w:sz w:val="17"/>
              </w:rPr>
              <w:t>Religión</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Disturbios y manifestaciones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leader="dot" w:pos="6520"/>
              </w:tabs>
              <w:spacing w:before="40" w:after="40" w:line="210" w:lineRule="exact"/>
              <w:ind w:right="40"/>
              <w:rPr>
                <w:spacing w:val="60"/>
                <w:sz w:val="17"/>
              </w:rPr>
            </w:pPr>
            <w:r>
              <w:rPr>
                <w:sz w:val="17"/>
              </w:rPr>
              <w:t>Ciencias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leader="dot" w:pos="6520"/>
              </w:tabs>
              <w:spacing w:before="40" w:after="40" w:line="210" w:lineRule="exact"/>
              <w:ind w:right="40"/>
              <w:rPr>
                <w:spacing w:val="60"/>
                <w:sz w:val="17"/>
              </w:rPr>
            </w:pPr>
            <w:r>
              <w:rPr>
                <w:sz w:val="17"/>
              </w:rPr>
              <w:t>Deporte</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Guerras, guerras civiles y terrorismo</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leader="dot" w:pos="6520"/>
              </w:tabs>
              <w:spacing w:before="40" w:after="81" w:line="210" w:lineRule="exact"/>
              <w:ind w:right="40"/>
              <w:rPr>
                <w:spacing w:val="60"/>
                <w:sz w:val="17"/>
              </w:rPr>
            </w:pPr>
            <w:r>
              <w:rPr>
                <w:sz w:val="17"/>
              </w:rPr>
              <w:t>Otros</w:t>
            </w:r>
            <w:r>
              <w:rPr>
                <w:spacing w:val="60"/>
                <w:sz w:val="17"/>
              </w:rPr>
              <w:tab/>
            </w:r>
          </w:p>
        </w:tc>
        <w:tc>
          <w:tcPr>
            <w:tcW w:w="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6570" w:type="dxa"/>
            <w:tcBorders>
              <w:top w:val="single" w:sz="4" w:space="0" w:color="auto"/>
              <w:bottom w:val="single" w:sz="12" w:space="0" w:color="auto"/>
            </w:tcBorders>
            <w:vAlign w:val="bottom"/>
          </w:tcPr>
          <w:p w:rsidR="00000000" w:rsidRDefault="00000000">
            <w:pPr>
              <w:tabs>
                <w:tab w:val="left" w:pos="288"/>
                <w:tab w:val="left" w:pos="576"/>
                <w:tab w:val="left" w:leader="dot" w:pos="6520"/>
              </w:tabs>
              <w:spacing w:before="81" w:after="81" w:line="210" w:lineRule="exact"/>
              <w:ind w:right="40"/>
              <w:rPr>
                <w:b/>
                <w:spacing w:val="60"/>
                <w:sz w:val="17"/>
              </w:rPr>
            </w:pPr>
            <w:r>
              <w:rPr>
                <w:b/>
                <w:sz w:val="17"/>
              </w:rPr>
              <w:tab/>
              <w:t>Total</w:t>
            </w:r>
            <w:r>
              <w:rPr>
                <w:b/>
                <w:spacing w:val="60"/>
                <w:sz w:val="17"/>
              </w:rPr>
              <w:tab/>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GMMP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Trece autores de artículos firmaron sus textos. Doce de ellos eran mujeres y uno era un hombre. Por otra parte, de los 111 temas tratados en los artículos, 12 se referían a la mujer (el 11%) y 99 al hombre (89%) (véase el cuadro 4). Los datos muestran que hay más mujeres que hombres autores de textos, aunque debe tenerse en cuenta que se carecen de datos sobre el sexo de los autores de los 35 textos re</w:t>
      </w:r>
      <w:r>
        <w:t>s</w:t>
      </w:r>
      <w:r>
        <w:t>tantes. Por el contrario, los hombres están ocho veces más representados que las mujeres como sujetos de los artículos.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género de los periodistas y sujeto de los artículos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13"/>
        <w:gridCol w:w="713"/>
        <w:gridCol w:w="104"/>
        <w:gridCol w:w="610"/>
        <w:gridCol w:w="713"/>
        <w:gridCol w:w="117"/>
        <w:gridCol w:w="596"/>
        <w:gridCol w:w="714"/>
        <w:gridCol w:w="130"/>
        <w:gridCol w:w="583"/>
        <w:gridCol w:w="713"/>
        <w:gridCol w:w="714"/>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853"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Autor del artículo</w:t>
            </w:r>
          </w:p>
        </w:tc>
        <w:tc>
          <w:tcPr>
            <w:tcW w:w="11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36"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Sujeto del artículo</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2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117"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714"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7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71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7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7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7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7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714"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Macedonia</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71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GMMP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siguiente (cuadro 5) contiene datos sobre la “visibilidad” de los s</w:t>
      </w:r>
      <w:r>
        <w:t>u</w:t>
      </w:r>
      <w:r>
        <w:t>jetos de los artículos. Los datos se refieren al número de personas citadas en los a</w:t>
      </w:r>
      <w:r>
        <w:t>r</w:t>
      </w:r>
      <w:r>
        <w:t>tículos: tres mujeres (el 25%) y 30 hombres (el 30%). En las fotografías que aco</w:t>
      </w:r>
      <w:r>
        <w:t>m</w:t>
      </w:r>
      <w:r>
        <w:t>pañaban a los artículos figuraban cinco mujeres (el 12%) y 16 hombres (el 16%). De ello se infiere que hay una mayor presencia de mujeres en las fotografías, si bien el número de las que aparecen como sujetos de los artículos es pequeño, lo que mue</w:t>
      </w:r>
      <w:r>
        <w:t>s</w:t>
      </w:r>
      <w:r>
        <w:t>tra que existe una proporción inversa.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género de las personas citadas y de las personas fotogr</w:t>
      </w:r>
      <w:r>
        <w:t>a</w:t>
      </w:r>
      <w:r>
        <w:t>fiadas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13"/>
        <w:gridCol w:w="713"/>
        <w:gridCol w:w="714"/>
        <w:gridCol w:w="713"/>
        <w:gridCol w:w="713"/>
        <w:gridCol w:w="714"/>
        <w:gridCol w:w="713"/>
        <w:gridCol w:w="713"/>
        <w:gridCol w:w="714"/>
      </w:tblGrid>
      <w:tr w:rsidR="00000000">
        <w:tblPrEx>
          <w:tblCellMar>
            <w:top w:w="0" w:type="dxa"/>
            <w:left w:w="0" w:type="dxa"/>
            <w:bottom w:w="0" w:type="dxa"/>
            <w:right w:w="0" w:type="dxa"/>
          </w:tblCellMar>
        </w:tblPrEx>
        <w:trPr>
          <w:cantSplit/>
        </w:trPr>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Hombres</w:t>
            </w:r>
          </w:p>
        </w:tc>
        <w:tc>
          <w:tcPr>
            <w:tcW w:w="714"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¿Se citó a la persona?</w:t>
            </w: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¿Se citó a la persona?</w:t>
            </w:r>
          </w:p>
        </w:tc>
        <w:tc>
          <w:tcPr>
            <w:tcW w:w="71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26"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w:t>
            </w:r>
          </w:p>
        </w:tc>
        <w:tc>
          <w:tcPr>
            <w:tcW w:w="142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Sí</w:t>
            </w:r>
          </w:p>
        </w:tc>
        <w:tc>
          <w:tcPr>
            <w:tcW w:w="142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w:t>
            </w:r>
          </w:p>
        </w:tc>
        <w:tc>
          <w:tcPr>
            <w:tcW w:w="1426"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Sí</w:t>
            </w:r>
          </w:p>
        </w:tc>
        <w:tc>
          <w:tcPr>
            <w:tcW w:w="71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Total</w:t>
            </w:r>
          </w:p>
        </w:tc>
      </w:tr>
      <w:tr w:rsidR="00000000">
        <w:tblPrEx>
          <w:tblCellMar>
            <w:top w:w="0" w:type="dxa"/>
            <w:left w:w="0" w:type="dxa"/>
            <w:bottom w:w="0" w:type="dxa"/>
            <w:right w:w="0" w:type="dxa"/>
          </w:tblCellMar>
        </w:tblPrEx>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Macedonia</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rPr>
          <w:cantSplit/>
        </w:trPr>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¿Hay una fotografía?</w:t>
            </w:r>
          </w:p>
        </w:tc>
        <w:tc>
          <w:tcPr>
            <w:tcW w:w="2853"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¿Hay una fotografía?</w:t>
            </w:r>
          </w:p>
        </w:tc>
        <w:tc>
          <w:tcPr>
            <w:tcW w:w="714"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26"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w:t>
            </w:r>
          </w:p>
        </w:tc>
        <w:tc>
          <w:tcPr>
            <w:tcW w:w="142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Sí</w:t>
            </w:r>
          </w:p>
        </w:tc>
        <w:tc>
          <w:tcPr>
            <w:tcW w:w="142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w:t>
            </w:r>
          </w:p>
        </w:tc>
        <w:tc>
          <w:tcPr>
            <w:tcW w:w="1426"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w:t>
            </w:r>
          </w:p>
        </w:tc>
        <w:tc>
          <w:tcPr>
            <w:tcW w:w="714"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4"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1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1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GMMP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Son también interesantes los datos sobre la distribución por género de los aut</w:t>
      </w:r>
      <w:r>
        <w:t>o</w:t>
      </w:r>
      <w:r>
        <w:t>res de los textos. Los reportajes de la categoría correspondiente a política y Gobie</w:t>
      </w:r>
      <w:r>
        <w:t>r</w:t>
      </w:r>
      <w:r>
        <w:t>no fueron escritos por un hombre y dos mujeres periodistas. El texto de una peri</w:t>
      </w:r>
      <w:r>
        <w:t>o</w:t>
      </w:r>
      <w:r>
        <w:t>dista pertenece a la categoría de salud y educación, en tanto que los artículos de las nueve restantes pertenecen a la categoría de “otros”. Es preciso señalar de nuevo que resulta difícil formular observaciones sobre esos datos, habida cuenta en part</w:t>
      </w:r>
      <w:r>
        <w:t>i</w:t>
      </w:r>
      <w:r>
        <w:t>cular de que figuran 48 reportajes, de los que solamente se conoce a 13 autores.</w:t>
      </w:r>
    </w:p>
    <w:p w:rsidR="00000000" w:rsidRDefault="00000000">
      <w:pPr>
        <w:pStyle w:val="SingleTxt"/>
      </w:pPr>
      <w:r>
        <w:tab/>
        <w:t>Los datos relativos a la distribución por personas a las que se refieren los r</w:t>
      </w:r>
      <w:r>
        <w:t>e</w:t>
      </w:r>
      <w:r>
        <w:t>portajes figuran en el cuadro 6. Hay 12 reportajes sobre mujeres pertenecientes a v</w:t>
      </w:r>
      <w:r>
        <w:t>a</w:t>
      </w:r>
      <w:r>
        <w:t>rias categorías, a saber, uno a arte, ocio y famosos; uno a política y Gobierno y diez a “otros”. La situación el caso del hombre es la siguiente: dos se refieren a deli</w:t>
      </w:r>
      <w:r>
        <w:t>n</w:t>
      </w:r>
      <w:r>
        <w:t>cuencia y legislación, dos a economía y negocios, diez a salud y educación, 23 a política y Gobierno y 62 a “otros”. Hay datos interesantes en la categoría de política y Gobierno, en la que la proporción de las mujeres respecto de los hombres es de 1 a 23. Asimismo ha de destacarse que no hay temas relativos a mujeres en las categ</w:t>
      </w:r>
      <w:r>
        <w:t>o</w:t>
      </w:r>
      <w:r>
        <w:t>rías de salud y educación, economía y negocios y delincuencia y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a la que se referían los artículos, por temas principales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5"/>
        <w:gridCol w:w="385"/>
        <w:gridCol w:w="385"/>
        <w:gridCol w:w="105"/>
        <w:gridCol w:w="280"/>
        <w:gridCol w:w="385"/>
        <w:gridCol w:w="55"/>
        <w:gridCol w:w="330"/>
        <w:gridCol w:w="385"/>
        <w:gridCol w:w="95"/>
        <w:gridCol w:w="290"/>
        <w:gridCol w:w="385"/>
        <w:gridCol w:w="45"/>
        <w:gridCol w:w="340"/>
        <w:gridCol w:w="385"/>
        <w:gridCol w:w="85"/>
        <w:gridCol w:w="300"/>
        <w:gridCol w:w="385"/>
        <w:gridCol w:w="125"/>
        <w:gridCol w:w="260"/>
        <w:gridCol w:w="385"/>
        <w:gridCol w:w="75"/>
        <w:gridCol w:w="310"/>
        <w:gridCol w:w="385"/>
        <w:gridCol w:w="115"/>
        <w:gridCol w:w="270"/>
        <w:gridCol w:w="385"/>
      </w:tblGrid>
      <w:tr w:rsidR="00000000">
        <w:tblPrEx>
          <w:tblCellMar>
            <w:top w:w="0" w:type="dxa"/>
            <w:left w:w="0" w:type="dxa"/>
            <w:bottom w:w="0" w:type="dxa"/>
            <w:right w:w="0" w:type="dxa"/>
          </w:tblCellMar>
        </w:tblPrEx>
        <w:trPr>
          <w:cantSplit/>
          <w:tblHeader/>
        </w:trPr>
        <w:tc>
          <w:tcPr>
            <w:tcW w:w="385" w:type="dxa"/>
            <w:vMerge w:val="restart"/>
            <w:tcBorders>
              <w:top w:val="single" w:sz="4" w:space="0" w:color="auto"/>
            </w:tcBorders>
            <w:textDirection w:val="btLr"/>
            <w:vAlign w:val="center"/>
          </w:tcPr>
          <w:p w:rsidR="00000000" w:rsidRDefault="00000000">
            <w:pPr>
              <w:tabs>
                <w:tab w:val="left" w:pos="288"/>
                <w:tab w:val="left" w:pos="576"/>
                <w:tab w:val="left" w:pos="864"/>
                <w:tab w:val="left" w:pos="1152"/>
              </w:tabs>
              <w:spacing w:before="80" w:after="80" w:line="160" w:lineRule="exact"/>
              <w:ind w:left="113" w:right="40"/>
              <w:jc w:val="center"/>
              <w:rPr>
                <w:i/>
                <w:sz w:val="14"/>
              </w:rPr>
            </w:pPr>
            <w:r>
              <w:rPr>
                <w:i/>
                <w:sz w:val="14"/>
              </w:rPr>
              <w:t>Macedonia</w:t>
            </w:r>
          </w:p>
        </w:tc>
        <w:tc>
          <w:tcPr>
            <w:tcW w:w="7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Arte, ocio y famosos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Delin-cuencia y legisla-ción</w:t>
            </w:r>
          </w:p>
        </w:tc>
        <w:tc>
          <w:tcPr>
            <w:tcW w:w="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Desastres y accidentes</w:t>
            </w:r>
          </w:p>
        </w:tc>
        <w:tc>
          <w:tcPr>
            <w:tcW w:w="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Economía y negocios</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Salud y educación</w:t>
            </w:r>
          </w:p>
        </w:tc>
        <w:tc>
          <w:tcPr>
            <w:tcW w:w="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Política y Gobierno</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Deporte</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Otros</w:t>
            </w:r>
          </w:p>
        </w:tc>
        <w:tc>
          <w:tcPr>
            <w:tcW w:w="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385"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r>
      <w:tr w:rsidR="00000000">
        <w:tblPrEx>
          <w:tblCellMar>
            <w:top w:w="0" w:type="dxa"/>
            <w:left w:w="0" w:type="dxa"/>
            <w:bottom w:w="0" w:type="dxa"/>
            <w:right w:w="0" w:type="dxa"/>
          </w:tblCellMar>
        </w:tblPrEx>
        <w:trPr>
          <w:cantSplit/>
          <w:tblHeader/>
        </w:trPr>
        <w:tc>
          <w:tcPr>
            <w:tcW w:w="385"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r>
      <w:tr w:rsidR="00000000">
        <w:tblPrEx>
          <w:tblCellMar>
            <w:top w:w="0" w:type="dxa"/>
            <w:left w:w="0" w:type="dxa"/>
            <w:bottom w:w="0" w:type="dxa"/>
            <w:right w:w="0" w:type="dxa"/>
          </w:tblCellMar>
        </w:tblPrEx>
        <w:trPr>
          <w:cantSplit/>
          <w:trHeight w:hRule="exact" w:val="115"/>
          <w:tblHeader/>
        </w:trPr>
        <w:tc>
          <w:tcPr>
            <w:tcW w:w="385" w:type="dxa"/>
            <w:vMerge/>
            <w:tcBorders>
              <w:top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85"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GMMP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 tocante a la ocupación o profesión de las personas a que se refieren los artículos, los datos sobre las mujeres muestran que se carece de esa información en el caso de dos de ellas, tres eran políticas, cuatro eran portavoces del Gobierno, una era un personaje famoso y dos de ellas estaban dentro de la categoría de “otros”. En lo concerniente a los hombres, 49 eran políticos, 12 eran portavoces del Gobierno, uno tenía una ocupación en la esfera de la salud y la educación, tres pertenecían al ámbito de los negocios y el derecho y 34 pertenecían a la categoría de “otros”. Es interesante destacar que, en el caso de los políticos, la proporción entre las mujeres y los hombres era de 3 a 49 (cuadro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Ocupación o profesión de las personas a las que se referían los artículos (distribución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5"/>
        <w:gridCol w:w="385"/>
        <w:gridCol w:w="385"/>
        <w:gridCol w:w="105"/>
        <w:gridCol w:w="280"/>
        <w:gridCol w:w="385"/>
        <w:gridCol w:w="55"/>
        <w:gridCol w:w="330"/>
        <w:gridCol w:w="385"/>
        <w:gridCol w:w="20"/>
        <w:gridCol w:w="365"/>
        <w:gridCol w:w="385"/>
        <w:gridCol w:w="45"/>
        <w:gridCol w:w="340"/>
        <w:gridCol w:w="385"/>
        <w:gridCol w:w="85"/>
        <w:gridCol w:w="300"/>
        <w:gridCol w:w="385"/>
        <w:gridCol w:w="125"/>
        <w:gridCol w:w="260"/>
        <w:gridCol w:w="385"/>
        <w:gridCol w:w="75"/>
        <w:gridCol w:w="310"/>
        <w:gridCol w:w="385"/>
        <w:gridCol w:w="115"/>
        <w:gridCol w:w="270"/>
        <w:gridCol w:w="385"/>
      </w:tblGrid>
      <w:tr w:rsidR="00000000">
        <w:tblPrEx>
          <w:tblCellMar>
            <w:top w:w="0" w:type="dxa"/>
            <w:left w:w="0" w:type="dxa"/>
            <w:bottom w:w="0" w:type="dxa"/>
            <w:right w:w="0" w:type="dxa"/>
          </w:tblCellMar>
        </w:tblPrEx>
        <w:trPr>
          <w:cantSplit/>
          <w:tblHeader/>
        </w:trPr>
        <w:tc>
          <w:tcPr>
            <w:tcW w:w="385" w:type="dxa"/>
            <w:vMerge w:val="restart"/>
            <w:tcBorders>
              <w:top w:val="single" w:sz="4" w:space="0" w:color="auto"/>
            </w:tcBorders>
            <w:textDirection w:val="btLr"/>
            <w:vAlign w:val="center"/>
          </w:tcPr>
          <w:p w:rsidR="00000000" w:rsidRDefault="00000000">
            <w:pPr>
              <w:tabs>
                <w:tab w:val="left" w:pos="288"/>
                <w:tab w:val="left" w:pos="576"/>
                <w:tab w:val="left" w:pos="864"/>
                <w:tab w:val="left" w:pos="1152"/>
              </w:tabs>
              <w:spacing w:before="80" w:after="80" w:line="160" w:lineRule="exact"/>
              <w:ind w:left="113" w:right="40"/>
              <w:jc w:val="center"/>
              <w:rPr>
                <w:i/>
                <w:sz w:val="14"/>
              </w:rPr>
            </w:pPr>
            <w:r>
              <w:rPr>
                <w:i/>
                <w:sz w:val="14"/>
              </w:rPr>
              <w:t>Macedonia</w:t>
            </w:r>
          </w:p>
        </w:tc>
        <w:tc>
          <w:tcPr>
            <w:tcW w:w="7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Sin datos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Político</w:t>
            </w:r>
          </w:p>
        </w:tc>
        <w:tc>
          <w:tcPr>
            <w:tcW w:w="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Portavoz del Gobierno</w:t>
            </w: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Salud y educación</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Negocios y derecho</w:t>
            </w:r>
          </w:p>
        </w:tc>
        <w:tc>
          <w:tcPr>
            <w:tcW w:w="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Famoso</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Atleta</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Otros</w:t>
            </w:r>
          </w:p>
        </w:tc>
        <w:tc>
          <w:tcPr>
            <w:tcW w:w="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385"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3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r>
      <w:tr w:rsidR="00000000">
        <w:tblPrEx>
          <w:tblCellMar>
            <w:top w:w="0" w:type="dxa"/>
            <w:left w:w="0" w:type="dxa"/>
            <w:bottom w:w="0" w:type="dxa"/>
            <w:right w:w="0" w:type="dxa"/>
          </w:tblCellMar>
        </w:tblPrEx>
        <w:trPr>
          <w:cantSplit/>
          <w:tblHeader/>
        </w:trPr>
        <w:tc>
          <w:tcPr>
            <w:tcW w:w="385"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3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r>
      <w:tr w:rsidR="00000000">
        <w:tblPrEx>
          <w:tblCellMar>
            <w:top w:w="0" w:type="dxa"/>
            <w:left w:w="0" w:type="dxa"/>
            <w:bottom w:w="0" w:type="dxa"/>
            <w:right w:w="0" w:type="dxa"/>
          </w:tblCellMar>
        </w:tblPrEx>
        <w:trPr>
          <w:cantSplit/>
          <w:trHeight w:hRule="exact" w:val="115"/>
          <w:tblHeader/>
        </w:trPr>
        <w:tc>
          <w:tcPr>
            <w:tcW w:w="385" w:type="dxa"/>
            <w:vMerge/>
            <w:tcBorders>
              <w:top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85"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GMMP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En tres de los artículos la mujer ocupaba un papel central, aunque se descon</w:t>
      </w:r>
      <w:r>
        <w:t>o</w:t>
      </w:r>
      <w:r>
        <w:t>ce el nombre de los autores. No obstante, resulta llamativo que ninguno de los 13 autores cuyo sexo se sabía hiciese a la mujer protagonista de sus reportajes.</w:t>
      </w:r>
    </w:p>
    <w:p w:rsidR="00000000" w:rsidRDefault="00000000">
      <w:pPr>
        <w:pStyle w:val="SingleTxt"/>
      </w:pPr>
      <w:r>
        <w:tab/>
        <w:t>Todos los datos muestran que, aunque las mujeres estén más representadas como autoras de artículos, su presencia es secundaria en los reportajes sobre pers</w:t>
      </w:r>
      <w:r>
        <w:t>o</w:t>
      </w:r>
      <w:r>
        <w:t>nas, e</w:t>
      </w:r>
      <w:r>
        <w:t>s</w:t>
      </w:r>
      <w:r>
        <w:t>pecialmente como protagonistas.</w:t>
      </w:r>
    </w:p>
    <w:p w:rsidR="00000000" w:rsidRDefault="00000000">
      <w:pPr>
        <w:pStyle w:val="SingleTxt"/>
      </w:pPr>
      <w:r>
        <w:tab/>
        <w:t>b)</w:t>
      </w:r>
      <w:r>
        <w:tab/>
        <w:t>Con objeto de modificar las tradiciones sociales y culturales en lo co</w:t>
      </w:r>
      <w:r>
        <w:t>n</w:t>
      </w:r>
      <w:r>
        <w:t>cerniente al comportamiento del hombre y la mujer y eliminar los estereotipos, el Gobierno de la República de Macedonia realiza permanentemente actividades co</w:t>
      </w:r>
      <w:r>
        <w:t>n</w:t>
      </w:r>
      <w:r>
        <w:t>cretas en cumplimiento del Plan de Acción Nacional para la promoción de la igua</w:t>
      </w:r>
      <w:r>
        <w:t>l</w:t>
      </w:r>
      <w:r>
        <w:t>dad entre los g</w:t>
      </w:r>
      <w:r>
        <w:t>é</w:t>
      </w:r>
      <w:r>
        <w:t>neros, aprobado por el Gobierno en diciembre de 1999.</w:t>
      </w:r>
    </w:p>
    <w:p w:rsidR="00000000" w:rsidRDefault="00000000">
      <w:pPr>
        <w:pStyle w:val="SingleTxt"/>
      </w:pPr>
      <w:r>
        <w:tab/>
        <w:t>Las actividades que realiza para lograr el objetivo indicado abarcan la organ</w:t>
      </w:r>
      <w:r>
        <w:t>i</w:t>
      </w:r>
      <w:r>
        <w:t>zación de seminarios educativos en colaboración con organizaciones no gubern</w:t>
      </w:r>
      <w:r>
        <w:t>a</w:t>
      </w:r>
      <w:r>
        <w:t>mentales y con expertos nacionales y extranjeros, que incluyen la difusión de pri</w:t>
      </w:r>
      <w:r>
        <w:t>n</w:t>
      </w:r>
      <w:r>
        <w:t>cipios en favor de la igualdad entre el hombre y la mujer en la familia y en la soci</w:t>
      </w:r>
      <w:r>
        <w:t>e</w:t>
      </w:r>
      <w:r>
        <w:t>dad en general. Esos seminarios se han celebrado en varias localidades y han part</w:t>
      </w:r>
      <w:r>
        <w:t>i</w:t>
      </w:r>
      <w:r>
        <w:t>cipado en ellos grupos especialmente escogidos de diversas estructuras: partidos políticos, representantes de gobiernos locales, organizaciones no gubernamentales, sindicatos y medios de comunicación.</w:t>
      </w:r>
    </w:p>
    <w:p w:rsidR="00000000" w:rsidRDefault="00000000">
      <w:pPr>
        <w:pStyle w:val="SingleTxt"/>
      </w:pPr>
      <w:r>
        <w:tab/>
        <w:t>En el Plan de Acción Nacional se prevén diversas actividades, especialmente en relación con la mujer y la educación, y se destaca que la educación es un derecho humano de la mujer y un importante instrumento para alcanzar la igualdad. Se de</w:t>
      </w:r>
      <w:r>
        <w:t>s</w:t>
      </w:r>
      <w:r>
        <w:t>tacan los siguientes objetivos prioritarios que hay que alcanzar en lo sucesivo: el</w:t>
      </w:r>
      <w:r>
        <w:t>i</w:t>
      </w:r>
      <w:r>
        <w:t>minar el analfabetismo de la mujer, adoptar medidas para que los programas de ed</w:t>
      </w:r>
      <w:r>
        <w:t>u</w:t>
      </w:r>
      <w:r>
        <w:t>cación preescolar lleguen al mayor número posible de niños, evitar que las niñas abandonen la escuela al concluir la educación primaria, aumentar en la mayor med</w:t>
      </w:r>
      <w:r>
        <w:t>i</w:t>
      </w:r>
      <w:r>
        <w:t>da posible el número de niñas de las zonas rurales que se matriculan en la educación secundaria, especialmente de las poblaciones albanesa y romaní, y eliminar de los programas de estudio, libros de texto y otros materiales los prejuicios basados en el género y el sexismo.</w:t>
      </w:r>
    </w:p>
    <w:p w:rsidR="00000000" w:rsidRDefault="00000000">
      <w:pPr>
        <w:pStyle w:val="SingleTxt"/>
      </w:pPr>
      <w:r>
        <w:tab/>
        <w:t>En el artículo 2 de la Ley de la familia se define a ésta como la comunidad i</w:t>
      </w:r>
      <w:r>
        <w:t>n</w:t>
      </w:r>
      <w:r>
        <w:t>tegrada por los padres y los hijos y otros parientes que viven en un hogar común. En la República de Macedonia se brinda una protección especial a la familia, las m</w:t>
      </w:r>
      <w:r>
        <w:t>a</w:t>
      </w:r>
      <w:r>
        <w:t>dres, los hijos, los menores, los hijos sin progenitores conocidos y los hijos privados de la atención paterna o materna.</w:t>
      </w:r>
    </w:p>
    <w:p w:rsidR="00000000" w:rsidRDefault="00000000">
      <w:pPr>
        <w:pStyle w:val="SingleTxt"/>
      </w:pPr>
      <w:r>
        <w:tab/>
        <w:t>En el ejercicio del derecho a la paternidad libre y responsable, los padres y madres están obligados a establecer condiciones óptimas para el crecimiento y el desarrollo saludables de sus hijos en la familia y en la sociedad.</w:t>
      </w:r>
    </w:p>
    <w:p w:rsidR="00000000" w:rsidRDefault="00000000">
      <w:pPr>
        <w:pStyle w:val="SingleTxt"/>
      </w:pPr>
      <w:r>
        <w:tab/>
        <w:t>Las relaciones entre los esposos se basan en la decisión libremente adoptada por el hombre y la mujer de contraer matrimonio en un marco de igualdad y respeto y ay</w:t>
      </w:r>
      <w:r>
        <w:t>u</w:t>
      </w:r>
      <w:r>
        <w:t>da recíprocos.</w:t>
      </w:r>
    </w:p>
    <w:p w:rsidR="00000000" w:rsidRDefault="00000000">
      <w:pPr>
        <w:pStyle w:val="SingleTxt"/>
      </w:pPr>
      <w:r>
        <w:tab/>
        <w:t>Tanto el padre como la madre tienen los mismos derechos y obligaciones re</w:t>
      </w:r>
      <w:r>
        <w:t>s</w:t>
      </w:r>
      <w:r>
        <w:t>pecto de los hijos (patria potestad). De conformidad con el artículo 8 de la Ley de la familia, las relaciones entre los padres y los hijos se basan en los derechos y oblig</w:t>
      </w:r>
      <w:r>
        <w:t>a</w:t>
      </w:r>
      <w:r>
        <w:t>ciones de los padres de atender a la crianza, la protección y la educación de sus h</w:t>
      </w:r>
      <w:r>
        <w:t>i</w:t>
      </w:r>
      <w:r>
        <w:t xml:space="preserve">jos </w:t>
      </w:r>
      <w:r>
        <w:br/>
      </w:r>
      <w:r>
        <w:br/>
        <w:t>y al desarrollo de sus capacidades y hábitos de trabajo. La patria potestad es ejerc</w:t>
      </w:r>
      <w:r>
        <w:t>i</w:t>
      </w:r>
      <w:r>
        <w:t>tada por los padres en función de las necesidades y los intereses de los hijos, así como de los intereses de la sociedad.</w:t>
      </w:r>
    </w:p>
    <w:p w:rsidR="00000000" w:rsidRDefault="00000000">
      <w:pPr>
        <w:pStyle w:val="SingleTxt"/>
      </w:pPr>
      <w:r>
        <w:tab/>
        <w:t>Teniendo en cuenta que la maternidad es una función social y que la respons</w:t>
      </w:r>
      <w:r>
        <w:t>a</w:t>
      </w:r>
      <w:r>
        <w:t>bilidad conjunta de la madre y del padre en la crianza y el desarrollo de los hijos constituye la base para promover los principios de la igualdad entre el hombre y la mujer, la Dependencia de igualdad entre los géneros del Ministerio de Trabajo y Política Social interviene en las reformas de protección social que se están realiza</w:t>
      </w:r>
      <w:r>
        <w:t>n</w:t>
      </w:r>
      <w:r>
        <w:t>do con objeto de contribuir a revisar e incorporar el concepto de la igualdad entre los géneros en las soluciones jurídicas que en lo sucesivo habrá que poner en práct</w:t>
      </w:r>
      <w:r>
        <w:t>i</w:t>
      </w:r>
      <w:r>
        <w:t>ca recurriendo a un mayor grado de educación o de información al respecto. Esto guarda relación concretamente con la familia, cuyo sistema de valores se observa que se está quebrando, como pone de manifiesto la actitud inadecuada de los hijos respecto de sus padres y viceversa, sobre todo en el caso de las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Prevención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incluso de cará</w:t>
      </w:r>
      <w:r>
        <w:rPr>
          <w:i/>
        </w:rPr>
        <w:t>c</w:t>
      </w:r>
      <w:r>
        <w:rPr>
          <w:i/>
        </w:rPr>
        <w:t>ter legislativo, para suprimir todas las formas de trata de mujeres y explotación de la prost</w:t>
      </w:r>
      <w:r>
        <w:rPr>
          <w:i/>
        </w:rPr>
        <w:t>i</w:t>
      </w:r>
      <w:r>
        <w:rPr>
          <w:i/>
        </w:rPr>
        <w:t>tución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Trata de seres humanos</w:t>
      </w:r>
    </w:p>
    <w:p w:rsidR="00000000" w:rsidRDefault="00000000">
      <w:pPr>
        <w:pStyle w:val="SingleTxt"/>
        <w:spacing w:after="0" w:line="120" w:lineRule="exact"/>
        <w:rPr>
          <w:sz w:val="10"/>
        </w:rPr>
      </w:pPr>
    </w:p>
    <w:p w:rsidR="00000000" w:rsidRDefault="00000000">
      <w:pPr>
        <w:pStyle w:val="SingleTxt"/>
        <w:rPr>
          <w:spacing w:val="2"/>
          <w:w w:val="101"/>
        </w:rPr>
      </w:pPr>
      <w:r>
        <w:tab/>
        <w:t>Los problemas causados por la migración ilegal y la trata de seres humanos en la República de Macedonia se intensificaron a mediados del decenio de 1990 con la iniciación de los procesos políticos y económicos de los nuevos Estados creados en el bloque oriental. La mayoría de la población tuvo que hacer frente a la modific</w:t>
      </w:r>
      <w:r>
        <w:t>a</w:t>
      </w:r>
      <w:r>
        <w:t>ción de los derechos de propiedad, a la disminución del nivel de vida y al dese</w:t>
      </w:r>
      <w:r>
        <w:t>m</w:t>
      </w:r>
      <w:r>
        <w:t>pleo, lo que dio lugar a que parte de los ciudadanos intentaran asegurarse su exi</w:t>
      </w:r>
      <w:r>
        <w:t>s</w:t>
      </w:r>
      <w:r>
        <w:t>tencia emigrando a Europa occidental y otros países para obtener un mejor nivel de ingresos. A este respecto, surgieron las condiciones propicias para que ciertos gr</w:t>
      </w:r>
      <w:r>
        <w:t>u</w:t>
      </w:r>
      <w:r>
        <w:t>pos de delincuentes organizados recurriesen a diversos medios para trasladar il</w:t>
      </w:r>
      <w:r>
        <w:t>e</w:t>
      </w:r>
      <w:r>
        <w:t xml:space="preserve">galmente </w:t>
      </w:r>
      <w:r>
        <w:rPr>
          <w:spacing w:val="2"/>
          <w:w w:val="101"/>
        </w:rPr>
        <w:t>a personas a los lugares de destino deseados, lo que resultaba un negocio muy rent</w:t>
      </w:r>
      <w:r>
        <w:rPr>
          <w:spacing w:val="2"/>
          <w:w w:val="101"/>
        </w:rPr>
        <w:t>a</w:t>
      </w:r>
      <w:r>
        <w:rPr>
          <w:spacing w:val="2"/>
          <w:w w:val="101"/>
        </w:rPr>
        <w:t>ble.</w:t>
      </w:r>
    </w:p>
    <w:p w:rsidR="00000000" w:rsidRDefault="00000000">
      <w:pPr>
        <w:pStyle w:val="SingleTxt"/>
      </w:pPr>
      <w:r>
        <w:tab/>
        <w:t>Este fenómeno, aunque en proporción mucho menor, también existía en la época anterior, pero entonces la República de Macedonia solía ser un territorio de tránsito hacia los países de Europa occidental. Sin embargo, el endurecimiento de la política respecto de la entrada de ciudadanos de países de Europa oriental en los Estados miembros de la Unión Europea y la presencia de cierto número de militares extranjeros integrados en misiones tales como la Fuerza de Despliegue Preventivo de las Naciones Unidas (UNPREDEP), la Fuerza de Protección de las Naciones Unidas (UNPROFOR), la Fuerza Internacional de Seguridad en Kosovo (KFOR) y otras misiones dieron lugar a que la República de Macedonia se convirtiera tanto en un territorio de paso ilegal como en un territorio de destino definitivo para ciertos grupos de inmigrantes y de personas víctimas de la trata de seres humanos.</w:t>
      </w:r>
    </w:p>
    <w:p w:rsidR="00000000" w:rsidRDefault="00000000">
      <w:pPr>
        <w:pStyle w:val="SingleTxt"/>
      </w:pPr>
      <w:r>
        <w:tab/>
        <w:t>La migración ilegal y la trata de seres humanos están relacionadas entre sí, principalmente debido a que las personas que organizan los traslados ilegales ta</w:t>
      </w:r>
      <w:r>
        <w:t>m</w:t>
      </w:r>
      <w:r>
        <w:t>bién participan en la trata de “blancas”.</w:t>
      </w:r>
    </w:p>
    <w:p w:rsidR="00000000" w:rsidRDefault="00000000">
      <w:pPr>
        <w:pStyle w:val="SingleTxt"/>
      </w:pPr>
      <w:r>
        <w:tab/>
        <w:t>Las víctimas de la trata de seres humanos en la República de Macedonia son principalmente muchachas y mujeres procedentes de los países pertenecientes al a</w:t>
      </w:r>
      <w:r>
        <w:t>n</w:t>
      </w:r>
      <w:r>
        <w:t>tiguo bloque soviético de países de Europa sudoriental (República de Moldova, Ucrania, Bulgaria, etc.), en los que se realiza el “reclutamiento” inicial y la sele</w:t>
      </w:r>
      <w:r>
        <w:t>c</w:t>
      </w:r>
      <w:r>
        <w:t>ción de esas personas, posteriormente “contratadas” en la hostelería en la República de Maced</w:t>
      </w:r>
      <w:r>
        <w:t>o</w:t>
      </w:r>
      <w:r>
        <w:t>nia.</w:t>
      </w:r>
    </w:p>
    <w:p w:rsidR="00000000" w:rsidRDefault="00000000">
      <w:pPr>
        <w:pStyle w:val="SingleTxt"/>
        <w:rPr>
          <w:spacing w:val="2"/>
          <w:w w:val="101"/>
        </w:rPr>
      </w:pPr>
      <w:r>
        <w:tab/>
        <w:t>La trata de seres humanos en la República de Macedonia tiene como único objetivo contratar a muchachas en diversas instalaciones de hostelería (bares no</w:t>
      </w:r>
      <w:r>
        <w:t>c</w:t>
      </w:r>
      <w:r>
        <w:t xml:space="preserve">turnos, clubes, cafés y establecimientos similares), en los que trabajan de camareras y </w:t>
      </w:r>
      <w:r>
        <w:rPr>
          <w:spacing w:val="2"/>
          <w:w w:val="101"/>
        </w:rPr>
        <w:t>acompañantes, con la finalidad de abusar de ellas para que practiquen la prostit</w:t>
      </w:r>
      <w:r>
        <w:rPr>
          <w:spacing w:val="2"/>
          <w:w w:val="101"/>
        </w:rPr>
        <w:t>u</w:t>
      </w:r>
      <w:r>
        <w:rPr>
          <w:spacing w:val="2"/>
          <w:w w:val="101"/>
        </w:rPr>
        <w:t>ción.</w:t>
      </w:r>
    </w:p>
    <w:p w:rsidR="00000000" w:rsidRDefault="00000000">
      <w:pPr>
        <w:pStyle w:val="SingleTxt"/>
      </w:pPr>
      <w:r>
        <w:tab/>
        <w:t>Ese plan está muy elaborado por los propietarios de esos clubes, que se con</w:t>
      </w:r>
      <w:r>
        <w:t>o</w:t>
      </w:r>
      <w:r>
        <w:t>cen y se comunican entre sí independientemente del lugar en que trabajen. Además, esos propietarios, habida cuenta del gran número de muchachas, frecuentemente las alojan en habitaciones que no reúnen las mínimas condiciones de vida ni el mínimo grado de higiene.</w:t>
      </w:r>
    </w:p>
    <w:p w:rsidR="00000000" w:rsidRDefault="00000000">
      <w:pPr>
        <w:pStyle w:val="SingleTxt"/>
      </w:pPr>
      <w:r>
        <w:tab/>
        <w:t>El 12 de diciembre de 2000, la República de Macedonia afirmó la Convención de las Naciones Unidas contra la Delincuencia Organizada Trasnacional (la Conve</w:t>
      </w:r>
      <w:r>
        <w:t>n</w:t>
      </w:r>
      <w:r>
        <w:t>ción de Palermo) y el Protocolo para prevenir, reprimir y sancionar la trata de pe</w:t>
      </w:r>
      <w:r>
        <w:t>r</w:t>
      </w:r>
      <w:r>
        <w:t>sonas, especialmente mujeres y niños, así como el Protocolo para la prevención del tráfico ilegal de migrantes por aire y por mar, lo que confirma la determinación y la resolución del Gobierno de impedir y eliminar las crecientes formas de delincuencia organizada Trasnacional mediante el fortalecimiento de la cooperación internacional y el imperio del derecho.</w:t>
      </w:r>
    </w:p>
    <w:p w:rsidR="00000000" w:rsidRDefault="00000000">
      <w:pPr>
        <w:pStyle w:val="SingleTxt"/>
        <w:rPr>
          <w:spacing w:val="2"/>
          <w:w w:val="101"/>
        </w:rPr>
      </w:pPr>
      <w:r>
        <w:tab/>
      </w:r>
      <w:r>
        <w:rPr>
          <w:spacing w:val="2"/>
          <w:w w:val="101"/>
        </w:rPr>
        <w:t>Después de firmar la Convención y los Protocolos y con objeto de intensificar el proceso de ratificación, se ha llevado a cabo un análisis general de la compatibilidad de las disposiciones de la Convención y la legislación de la República de Maced</w:t>
      </w:r>
      <w:r>
        <w:rPr>
          <w:spacing w:val="2"/>
          <w:w w:val="101"/>
        </w:rPr>
        <w:t>o</w:t>
      </w:r>
      <w:r>
        <w:rPr>
          <w:spacing w:val="2"/>
          <w:w w:val="101"/>
        </w:rPr>
        <w:t>nia.</w:t>
      </w:r>
    </w:p>
    <w:p w:rsidR="00000000" w:rsidRDefault="00000000">
      <w:pPr>
        <w:pStyle w:val="SingleTxt"/>
      </w:pPr>
      <w:r>
        <w:tab/>
        <w:t>En colaboración con el Centro de las Naciones Unidas de Prevención Intern</w:t>
      </w:r>
      <w:r>
        <w:t>a</w:t>
      </w:r>
      <w:r>
        <w:t>cional del Delito, ubicado en Viena, en junio de 2003 se celebró una reunión de tr</w:t>
      </w:r>
      <w:r>
        <w:t>a</w:t>
      </w:r>
      <w:r>
        <w:t>bajo en Skopje con el título “Análisis del proceso previo a la ratificación de la Co</w:t>
      </w:r>
      <w:r>
        <w:t>n</w:t>
      </w:r>
      <w:r>
        <w:t>vención de las Naciones Unidas contra la Delincuencia Organizada Trasnacional y los Prot</w:t>
      </w:r>
      <w:r>
        <w:t>o</w:t>
      </w:r>
      <w:r>
        <w:t>colos”.</w:t>
      </w:r>
    </w:p>
    <w:p w:rsidR="00000000" w:rsidRDefault="00000000">
      <w:pPr>
        <w:pStyle w:val="SingleTxt"/>
        <w:rPr>
          <w:spacing w:val="2"/>
          <w:w w:val="101"/>
        </w:rPr>
      </w:pPr>
      <w:r>
        <w:rPr>
          <w:spacing w:val="2"/>
          <w:w w:val="101"/>
        </w:rPr>
        <w:tab/>
        <w:t>Los representantes de los ministerios pertinentes, los magistrados, los fiscales y los expertos internacionales trabajaron sobre las disposiciones de la Convención, señ</w:t>
      </w:r>
      <w:r>
        <w:rPr>
          <w:spacing w:val="2"/>
          <w:w w:val="101"/>
        </w:rPr>
        <w:t>a</w:t>
      </w:r>
      <w:r>
        <w:rPr>
          <w:spacing w:val="2"/>
          <w:w w:val="101"/>
        </w:rPr>
        <w:t>lando las esferas de la legislación nacional que habían de ponerse en consonancia con la Convención y los Protocolos. El resultado inmediato de la reunión celebrada fue la p</w:t>
      </w:r>
      <w:r>
        <w:rPr>
          <w:spacing w:val="2"/>
          <w:w w:val="101"/>
        </w:rPr>
        <w:t>u</w:t>
      </w:r>
      <w:r>
        <w:rPr>
          <w:spacing w:val="2"/>
          <w:w w:val="101"/>
        </w:rPr>
        <w:t>blicación titulada “La Convención de las Naciones Unidas contra la Delincuencia Org</w:t>
      </w:r>
      <w:r>
        <w:rPr>
          <w:spacing w:val="2"/>
          <w:w w:val="101"/>
        </w:rPr>
        <w:t>a</w:t>
      </w:r>
      <w:r>
        <w:rPr>
          <w:spacing w:val="2"/>
          <w:w w:val="101"/>
        </w:rPr>
        <w:t>nizada Trasnacional y los Protocolos”; las conclusiones y recomendaciones de esa p</w:t>
      </w:r>
      <w:r>
        <w:rPr>
          <w:spacing w:val="2"/>
          <w:w w:val="101"/>
        </w:rPr>
        <w:t>u</w:t>
      </w:r>
      <w:r>
        <w:rPr>
          <w:spacing w:val="2"/>
          <w:w w:val="101"/>
        </w:rPr>
        <w:t>blicación constituirán una contribución directa a la configuración definitiva de la legi</w:t>
      </w:r>
      <w:r>
        <w:rPr>
          <w:spacing w:val="2"/>
          <w:w w:val="101"/>
        </w:rPr>
        <w:t>s</w:t>
      </w:r>
      <w:r>
        <w:rPr>
          <w:spacing w:val="2"/>
          <w:w w:val="101"/>
        </w:rPr>
        <w:t>lación penal encaminada a la creación y puesta en práctica de una estructura instituci</w:t>
      </w:r>
      <w:r>
        <w:rPr>
          <w:spacing w:val="2"/>
          <w:w w:val="101"/>
        </w:rPr>
        <w:t>o</w:t>
      </w:r>
      <w:r>
        <w:rPr>
          <w:spacing w:val="2"/>
          <w:w w:val="101"/>
        </w:rPr>
        <w:t>nal apropiada con miras a la aplicación directa de la Co</w:t>
      </w:r>
      <w:r>
        <w:rPr>
          <w:spacing w:val="2"/>
          <w:w w:val="101"/>
        </w:rPr>
        <w:t>n</w:t>
      </w:r>
      <w:r>
        <w:rPr>
          <w:spacing w:val="2"/>
          <w:w w:val="101"/>
        </w:rPr>
        <w:t>vención.</w:t>
      </w:r>
    </w:p>
    <w:p w:rsidR="00000000" w:rsidRDefault="00000000">
      <w:pPr>
        <w:pStyle w:val="SingleTxt"/>
        <w:rPr>
          <w:spacing w:val="2"/>
          <w:w w:val="101"/>
        </w:rPr>
      </w:pPr>
      <w:r>
        <w:rPr>
          <w:spacing w:val="2"/>
          <w:w w:val="101"/>
        </w:rPr>
        <w:tab/>
        <w:t>Habida cuenta de que en la Convención de Palermo se destaca la necesidad de establecer un marco mutuo, coherente y eficaz como condición previa para aplicar los instrumentos previstos, se está llevando a cabo una reforma de la legislación penal de la República de Macedonia dentro de la transformación general de su ordenamiento juríd</w:t>
      </w:r>
      <w:r>
        <w:rPr>
          <w:spacing w:val="2"/>
          <w:w w:val="101"/>
        </w:rPr>
        <w:t>i</w:t>
      </w:r>
      <w:r>
        <w:rPr>
          <w:spacing w:val="2"/>
          <w:w w:val="101"/>
        </w:rPr>
        <w:t>co. Así pues, en febrero 2002, en el marco de la reforma y de conformidad con las di</w:t>
      </w:r>
      <w:r>
        <w:rPr>
          <w:spacing w:val="2"/>
          <w:w w:val="101"/>
        </w:rPr>
        <w:t>s</w:t>
      </w:r>
      <w:r>
        <w:rPr>
          <w:spacing w:val="2"/>
          <w:w w:val="101"/>
        </w:rPr>
        <w:t>posiciones de la Convención de Palermo, se incluyó el artículo 418 a) en el Código P</w:t>
      </w:r>
      <w:r>
        <w:rPr>
          <w:spacing w:val="2"/>
          <w:w w:val="101"/>
        </w:rPr>
        <w:t>e</w:t>
      </w:r>
      <w:r>
        <w:rPr>
          <w:spacing w:val="2"/>
          <w:w w:val="101"/>
        </w:rPr>
        <w:t>nal, relativo al delito de “trata de seres humanos”, cuyo texto es el siguiente:</w:t>
      </w:r>
    </w:p>
    <w:p w:rsidR="00000000" w:rsidRDefault="00000000">
      <w:pPr>
        <w:pStyle w:val="SingleTxt"/>
        <w:ind w:left="1742"/>
      </w:pPr>
      <w:r>
        <w:tab/>
        <w:t>“1)</w:t>
      </w:r>
      <w:r>
        <w:tab/>
        <w:t>La persona que, mediante graves amenazas o la utilización de la fuerza u otro medio de fuerza, el secuestro, el engaño, la seducción, el abuso de la posición de superioridad propia o de la vulnerabilidad de otra persona o mediante la entrega o aceptación de dinero o de beneficios para lograr que dé su consentimiento una persona de la que dependa otra, reclute, transporte, compre, venda, oculte o acepte a otras personas o trafique con ellas con objeto de usarlas para la prostitución o para otras formas de abuso sexual, trabajo o servicio forzado, esclavitud, actividades similares a la esclavitud o a la extra</w:t>
      </w:r>
      <w:r>
        <w:t>c</w:t>
      </w:r>
      <w:r>
        <w:t>ción de órganos será castigada con una pena de privación de libertad de cuatro años c</w:t>
      </w:r>
      <w:r>
        <w:t>o</w:t>
      </w:r>
      <w:r>
        <w:t>mo mínimo.</w:t>
      </w:r>
    </w:p>
    <w:p w:rsidR="00000000" w:rsidRDefault="00000000">
      <w:pPr>
        <w:pStyle w:val="SingleTxt"/>
        <w:ind w:left="1742"/>
      </w:pPr>
      <w:r>
        <w:tab/>
        <w:t>2)</w:t>
      </w:r>
      <w:r>
        <w:tab/>
        <w:t>La persona que contrate, transporte, compre, venda, oculte o acepte a menores o trafique con ellos con fines de explotación, según lo dispuesto en el párrafo 1, será castigada con una pena de privación de libertad de cinco años c</w:t>
      </w:r>
      <w:r>
        <w:t>o</w:t>
      </w:r>
      <w:r>
        <w:t>mo mínimo.</w:t>
      </w:r>
    </w:p>
    <w:p w:rsidR="00000000" w:rsidRDefault="00000000">
      <w:pPr>
        <w:pStyle w:val="SingleTxt"/>
        <w:ind w:left="1742"/>
      </w:pPr>
      <w:r>
        <w:tab/>
        <w:t>3)</w:t>
      </w:r>
      <w:r>
        <w:tab/>
        <w:t>La persona que organice los actos delictivos indicados en los párr</w:t>
      </w:r>
      <w:r>
        <w:t>a</w:t>
      </w:r>
      <w:r>
        <w:t>fos 1 y 2 será castigada con una pena de privación de libertad de cinco años como m</w:t>
      </w:r>
      <w:r>
        <w:t>í</w:t>
      </w:r>
      <w:r>
        <w:t>nimo.</w:t>
      </w:r>
    </w:p>
    <w:p w:rsidR="00000000" w:rsidRDefault="00000000">
      <w:pPr>
        <w:pStyle w:val="SingleTxt"/>
        <w:ind w:left="1742"/>
      </w:pPr>
      <w:r>
        <w:tab/>
        <w:t>4)</w:t>
      </w:r>
      <w:r>
        <w:tab/>
        <w:t>La persona que sustraiga o destruya el documento de identidad de otra, su pasaporte u otra documentación identificativa con objeto de realizar los actos indicados en los párrafos 1 y 2 será castigada con una pena de priv</w:t>
      </w:r>
      <w:r>
        <w:t>a</w:t>
      </w:r>
      <w:r>
        <w:t>ción de l</w:t>
      </w:r>
      <w:r>
        <w:t>i</w:t>
      </w:r>
      <w:r>
        <w:t>bertad de seis meses a cinco años.</w:t>
      </w:r>
    </w:p>
    <w:p w:rsidR="00000000" w:rsidRDefault="00000000">
      <w:pPr>
        <w:pStyle w:val="SingleTxt"/>
        <w:ind w:left="1742"/>
        <w:rPr>
          <w:spacing w:val="2"/>
          <w:w w:val="101"/>
        </w:rPr>
      </w:pPr>
      <w:r>
        <w:rPr>
          <w:spacing w:val="2"/>
          <w:w w:val="101"/>
        </w:rPr>
        <w:tab/>
        <w:t>5)</w:t>
      </w:r>
      <w:r>
        <w:rPr>
          <w:spacing w:val="2"/>
          <w:w w:val="101"/>
        </w:rPr>
        <w:tab/>
        <w:t>La persona que utilice los servicios sexuales de otra persona o los pr</w:t>
      </w:r>
      <w:r>
        <w:rPr>
          <w:spacing w:val="2"/>
          <w:w w:val="101"/>
        </w:rPr>
        <w:t>o</w:t>
      </w:r>
      <w:r>
        <w:rPr>
          <w:spacing w:val="2"/>
          <w:w w:val="101"/>
        </w:rPr>
        <w:t>porcione a otras, sabiendo que esa persona es víctima de la trata de seres hum</w:t>
      </w:r>
      <w:r>
        <w:rPr>
          <w:spacing w:val="2"/>
          <w:w w:val="101"/>
        </w:rPr>
        <w:t>a</w:t>
      </w:r>
      <w:r>
        <w:rPr>
          <w:spacing w:val="2"/>
          <w:w w:val="101"/>
        </w:rPr>
        <w:t>nos, será castigada con una pena de privación de libertad de seis meses a cinco años.</w:t>
      </w:r>
    </w:p>
    <w:p w:rsidR="00000000" w:rsidRDefault="00000000">
      <w:pPr>
        <w:pStyle w:val="SingleTxt"/>
        <w:ind w:left="1742"/>
      </w:pPr>
      <w:r>
        <w:tab/>
        <w:t>6)</w:t>
      </w:r>
      <w:r>
        <w:tab/>
        <w:t>Si el delito que se indica en el párrafo 5 se comete contra un menor, el autor será castigado con una pena de privación de libertad de cuatro años como m</w:t>
      </w:r>
      <w:r>
        <w:t>í</w:t>
      </w:r>
      <w:r>
        <w:t>nimo.”</w:t>
      </w:r>
    </w:p>
    <w:p w:rsidR="00000000" w:rsidRDefault="00000000">
      <w:pPr>
        <w:pStyle w:val="SingleTxt"/>
        <w:rPr>
          <w:spacing w:val="2"/>
          <w:w w:val="101"/>
        </w:rPr>
      </w:pPr>
      <w:r>
        <w:tab/>
        <w:t>Además, en el marco de las intensas actividades que llevan a cabo los grupos de trabajo de expertos con el fin de reformar y complementar el Código Penal y el Código de Procedimiento Penal y establecer un marco jurídico para impedir y elim</w:t>
      </w:r>
      <w:r>
        <w:t>i</w:t>
      </w:r>
      <w:r>
        <w:t>nar de manera más efectiva los actos relacionados con la delincuencia organizada, las disposiciones de la Convención y Protocolos de Palermo se han incorporado a las siguientes esferas: responsabilidad penal de las personas jurídicas; confiscación de bienes y cooperación internacional para proceder a dicha confiscación; tipific</w:t>
      </w:r>
      <w:r>
        <w:t>a</w:t>
      </w:r>
      <w:r>
        <w:t>ción del tráfico ilícito de migrantes; y modificación del artículo 17 de la Constit</w:t>
      </w:r>
      <w:r>
        <w:t>u</w:t>
      </w:r>
      <w:r>
        <w:t>ción de la República de Macedonia, lo que permitirá la utilización de técnicas esp</w:t>
      </w:r>
      <w:r>
        <w:t>e</w:t>
      </w:r>
      <w:r>
        <w:t xml:space="preserve">ciales de </w:t>
      </w:r>
      <w:r>
        <w:rPr>
          <w:spacing w:val="2"/>
          <w:w w:val="101"/>
        </w:rPr>
        <w:t>investigación a tenor de lo dispuesto en el artículo 18 de la Convención de Palermo, titulado “Protección de los testigos y fomento de la cooperación jurídica inte</w:t>
      </w:r>
      <w:r>
        <w:rPr>
          <w:spacing w:val="2"/>
          <w:w w:val="101"/>
        </w:rPr>
        <w:t>r</w:t>
      </w:r>
      <w:r>
        <w:rPr>
          <w:spacing w:val="2"/>
          <w:w w:val="101"/>
        </w:rPr>
        <w:t>naci</w:t>
      </w:r>
      <w:r>
        <w:rPr>
          <w:spacing w:val="2"/>
          <w:w w:val="101"/>
        </w:rPr>
        <w:t>o</w:t>
      </w:r>
      <w:r>
        <w:rPr>
          <w:spacing w:val="2"/>
          <w:w w:val="101"/>
        </w:rPr>
        <w:t>nal”.</w:t>
      </w:r>
    </w:p>
    <w:p w:rsidR="00000000" w:rsidRDefault="00000000">
      <w:pPr>
        <w:pStyle w:val="SingleTxt"/>
      </w:pPr>
      <w:r>
        <w:tab/>
        <w:t>Al mismo tiempo, además de la realización de esas actividades legislativas, han concluido todos los procedimientos de ratificación de la Convención y los Pr</w:t>
      </w:r>
      <w:r>
        <w:t>o</w:t>
      </w:r>
      <w:r>
        <w:t>tocolos. Así pues, ese instrumento jurídicamente vinculante de las Naciones Unidas, de conformidad con la Constitución de la República de Macedonia, formará parte integrante del ordenamiento jurídico y constituirá una importante aportación a las act</w:t>
      </w:r>
      <w:r>
        <w:t>i</w:t>
      </w:r>
      <w:r>
        <w:t>vidades de prevención y eliminación de ese tipo de actividad delictiva.</w:t>
      </w:r>
    </w:p>
    <w:p w:rsidR="00000000" w:rsidRDefault="00000000">
      <w:pPr>
        <w:pStyle w:val="SingleTxt"/>
        <w:keepNext/>
        <w:keepLines/>
      </w:pPr>
      <w:r>
        <w:tab/>
        <w:t>La aprobación de la legislación propuesta contribuirá a dar cumplimiento a las obligaciones del Acuerdo de estabilización y asociación que la República de Mac</w:t>
      </w:r>
      <w:r>
        <w:t>e</w:t>
      </w:r>
      <w:r>
        <w:t>donia ha concertado con la Unión Europea y con sus Estados miembros, Acuerdo que se refiere a la esfera de la justicia y los asuntos internos.</w:t>
      </w:r>
    </w:p>
    <w:p w:rsidR="00000000" w:rsidRDefault="00000000">
      <w:pPr>
        <w:pStyle w:val="SingleTxt"/>
      </w:pPr>
      <w:r>
        <w:tab/>
        <w:t>Simultáneamente a esas actividades, el Gobierno de la República de Maced</w:t>
      </w:r>
      <w:r>
        <w:t>o</w:t>
      </w:r>
      <w:r>
        <w:t>nia aprobó en 2001 una Decisión para el establecimiento de una Comisión Nacional de lucha contra la trata de seres humanos y la migración ilegal en la República de Macedonia, encargada principalmente de coordinar las actividades de las instituci</w:t>
      </w:r>
      <w:r>
        <w:t>o</w:t>
      </w:r>
      <w:r>
        <w:t>nes autorizadas para impedir la trata de seres humanos y luchar contra ella, así de real</w:t>
      </w:r>
      <w:r>
        <w:t>i</w:t>
      </w:r>
      <w:r>
        <w:t>zar un seguimiento y análisis de la situación en esa esfera.</w:t>
      </w:r>
    </w:p>
    <w:p w:rsidR="00000000" w:rsidRDefault="00000000">
      <w:pPr>
        <w:pStyle w:val="SingleTxt"/>
      </w:pPr>
      <w:r>
        <w:tab/>
        <w:t>La Comisión aprobó el Programa de Trabajo Nacional, que contenía medidas legislativas y preventivas, de ayuda y apoyo al regreso y la reintegración de las ví</w:t>
      </w:r>
      <w:r>
        <w:t>c</w:t>
      </w:r>
      <w:r>
        <w:t>timas de la trata de seres humanos y medidas de cooperación y coordinación inte</w:t>
      </w:r>
      <w:r>
        <w:t>r</w:t>
      </w:r>
      <w:r>
        <w:t>naci</w:t>
      </w:r>
      <w:r>
        <w:t>o</w:t>
      </w:r>
      <w:r>
        <w:t>nales, así como relacionadas con la educación y formación de los funcionarios.</w:t>
      </w:r>
    </w:p>
    <w:p w:rsidR="00000000" w:rsidRDefault="00000000">
      <w:pPr>
        <w:pStyle w:val="SingleTxt"/>
        <w:rPr>
          <w:spacing w:val="2"/>
          <w:w w:val="101"/>
        </w:rPr>
      </w:pPr>
      <w:r>
        <w:rPr>
          <w:spacing w:val="2"/>
          <w:w w:val="101"/>
        </w:rPr>
        <w:tab/>
        <w:t>Además, es de destacar que la disposición del Código Penal sobre el establec</w:t>
      </w:r>
      <w:r>
        <w:rPr>
          <w:spacing w:val="2"/>
          <w:w w:val="101"/>
        </w:rPr>
        <w:t>i</w:t>
      </w:r>
      <w:r>
        <w:rPr>
          <w:spacing w:val="2"/>
          <w:w w:val="101"/>
        </w:rPr>
        <w:t>miento de una relación de esclavitud y el transporte de personas en relación de esclav</w:t>
      </w:r>
      <w:r>
        <w:rPr>
          <w:spacing w:val="2"/>
          <w:w w:val="101"/>
        </w:rPr>
        <w:t>i</w:t>
      </w:r>
      <w:r>
        <w:rPr>
          <w:spacing w:val="2"/>
          <w:w w:val="101"/>
        </w:rPr>
        <w:t>tud (artículo 418) sanciona las actividades delictivas consistentes en el mantenimiento de personas en una situación de esclavitud u otra situación similar, en cuyo caso se pr</w:t>
      </w:r>
      <w:r>
        <w:rPr>
          <w:spacing w:val="2"/>
          <w:w w:val="101"/>
        </w:rPr>
        <w:t>e</w:t>
      </w:r>
      <w:r>
        <w:rPr>
          <w:spacing w:val="2"/>
          <w:w w:val="101"/>
        </w:rPr>
        <w:t>vé la imposición de una pena de privación de libertad de uno a diez años. También está penado el transporte de personas en relación de esclavitud de un país a otro.</w:t>
      </w:r>
    </w:p>
    <w:p w:rsidR="00000000" w:rsidRDefault="00000000">
      <w:pPr>
        <w:pStyle w:val="SingleTxt"/>
        <w:rPr>
          <w:spacing w:val="2"/>
          <w:w w:val="101"/>
        </w:rPr>
      </w:pPr>
      <w:r>
        <w:rPr>
          <w:spacing w:val="2"/>
          <w:w w:val="101"/>
        </w:rPr>
        <w:tab/>
        <w:t>Además, los actos penales de cruce ilícito de fronteras (párrafo 2 del artículo 402), mediación en la prostitución (artículo 191) y coacción para realizar actividades sexuales (artículo 192), junto con su tipificación y sus agravantes en los casos en que estén i</w:t>
      </w:r>
      <w:r>
        <w:rPr>
          <w:spacing w:val="2"/>
          <w:w w:val="101"/>
        </w:rPr>
        <w:t>n</w:t>
      </w:r>
      <w:r>
        <w:rPr>
          <w:spacing w:val="2"/>
          <w:w w:val="101"/>
        </w:rPr>
        <w:t>volucrados menores, son también delitos que se tienen muy en cuenta por parte del M</w:t>
      </w:r>
      <w:r>
        <w:rPr>
          <w:spacing w:val="2"/>
          <w:w w:val="101"/>
        </w:rPr>
        <w:t>i</w:t>
      </w:r>
      <w:r>
        <w:rPr>
          <w:spacing w:val="2"/>
          <w:w w:val="101"/>
        </w:rPr>
        <w:t>nisterio del Interior al conceder autorizaciones. El Ministerio realiza intensas activid</w:t>
      </w:r>
      <w:r>
        <w:rPr>
          <w:spacing w:val="2"/>
          <w:w w:val="101"/>
        </w:rPr>
        <w:t>a</w:t>
      </w:r>
      <w:r>
        <w:rPr>
          <w:spacing w:val="2"/>
          <w:w w:val="101"/>
        </w:rPr>
        <w:t>des organizadas y coordinadas para identificar a las personas que han cometido ese tipo de actos ilícitos (grupos o redes de delincuentes, estructuras internas, conexiones inte</w:t>
      </w:r>
      <w:r>
        <w:rPr>
          <w:spacing w:val="2"/>
          <w:w w:val="101"/>
        </w:rPr>
        <w:t>r</w:t>
      </w:r>
      <w:r>
        <w:rPr>
          <w:spacing w:val="2"/>
          <w:w w:val="101"/>
        </w:rPr>
        <w:t>nacionales, cauces para el paso ilegal de las fronteras, o</w:t>
      </w:r>
      <w:r>
        <w:rPr>
          <w:spacing w:val="2"/>
          <w:w w:val="101"/>
        </w:rPr>
        <w:t>b</w:t>
      </w:r>
      <w:r>
        <w:rPr>
          <w:spacing w:val="2"/>
          <w:w w:val="101"/>
        </w:rPr>
        <w:t>jetos, etc.).</w:t>
      </w:r>
    </w:p>
    <w:p w:rsidR="00000000" w:rsidRDefault="00000000">
      <w:pPr>
        <w:pStyle w:val="SingleTxt"/>
      </w:pPr>
      <w:r>
        <w:tab/>
        <w:t>En septiembre de 2002, el Ministerio del Interior, en coordinación con el Ce</w:t>
      </w:r>
      <w:r>
        <w:t>n</w:t>
      </w:r>
      <w:r>
        <w:t>tro regional de Europa sudoriental para prevenir la delincuencia fronteriza (SECI), participó en la acción operativa regional “MIRAZ” para impedir la migración ilegal y la trata de seres humanos, acción en la que participaron diez Estados miembros del SECI y dos países en calidad de supervisores. Teniendo en cuenta la información obtenida de esta acción operativa, se detectó que había muchas extranjeras víctimas de la trata de seres humanos. Partiendo de esos esfuerzos y prioridades para luchar contra la delincuencia organizada, la corrupción, la trata de seres humanos y la prostitución forzada, el Ministerio del Interior intensificó particularmente sus act</w:t>
      </w:r>
      <w:r>
        <w:t>i</w:t>
      </w:r>
      <w:r>
        <w:t>vidades a finales de 2002 y comienzos de 2003.</w:t>
      </w:r>
    </w:p>
    <w:p w:rsidR="00000000" w:rsidRDefault="00000000">
      <w:pPr>
        <w:pStyle w:val="SingleTxt"/>
      </w:pPr>
      <w:r>
        <w:tab/>
        <w:t>En relación con esas cuestiones, el Ministerio coopera con las instituciones j</w:t>
      </w:r>
      <w:r>
        <w:t>u</w:t>
      </w:r>
      <w:r>
        <w:t>diciales y estatales pertinentes y con otras instituciones en los planos nacional e i</w:t>
      </w:r>
      <w:r>
        <w:t>n</w:t>
      </w:r>
      <w:r>
        <w:t>ternacional. Así, se llevaron a cabo numerosas actividades y se estableció una rel</w:t>
      </w:r>
      <w:r>
        <w:t>a</w:t>
      </w:r>
      <w:r>
        <w:t>ción de cooperación con la Organización Internacional para las Migraciones (OIM), que participa directamente en el proceso de regreso de las víctimas de la trata de s</w:t>
      </w:r>
      <w:r>
        <w:t>e</w:t>
      </w:r>
      <w:r>
        <w:t>res humanos, y posteriormente con la misión de la OSCE en Skopje y con organiz</w:t>
      </w:r>
      <w:r>
        <w:t>a</w:t>
      </w:r>
      <w:r>
        <w:t>ciones no gubernamentales en el marco de la Asociación de Mujeres de Macedonia, así como con otras organizaciones e iniciativas con fines de identificación, prest</w:t>
      </w:r>
      <w:r>
        <w:t>a</w:t>
      </w:r>
      <w:r>
        <w:t>ción de la debida atención y ayuda al regreso y a la reintegración de las víctimas de la trata de seres humanos, especialmente de los grupos de riesgo (vulnerables), c</w:t>
      </w:r>
      <w:r>
        <w:t>o</w:t>
      </w:r>
      <w:r>
        <w:t>mo las mujeres y los niños. La cooperación con la OIM, que es sumamente estrecha, se materializa principalmente en la prestación de asistencia para expulsar a los e</w:t>
      </w:r>
      <w:r>
        <w:t>x</w:t>
      </w:r>
      <w:r>
        <w:t>tranjeros que entran o residen ilegalmente en la República de Macedonia o salen ilegalmente del país, así como en la apertura por el Ministerio del Centro de tránsito para extranjeros, que comenzó a funcionar en marzo de 2001.</w:t>
      </w:r>
    </w:p>
    <w:p w:rsidR="00000000" w:rsidRDefault="00000000">
      <w:pPr>
        <w:pStyle w:val="SingleTxt"/>
      </w:pPr>
      <w:r>
        <w:tab/>
        <w:t>La cooperación entre el Gobierno de la República de Macedonia y la OIM se lleva a cabo sobre la base de un Memorando de Entendimiento (Gaceta Oficial, No. 55, 20 de julio de 2001), en cuyo marco se detallan los objetivos de la aplicación del Memorando, las prerrogativas e inmunidades de la OIM y otras cuestiones relaci</w:t>
      </w:r>
      <w:r>
        <w:t>o</w:t>
      </w:r>
      <w:r>
        <w:t>nadas con la cooperación mutua. Es muy estrecha la cooperación para la realización de actividades conjuntas con el SECI, la Unión Europea, las Naciones Unidas y los departamentos de policía de Bulgaria, la República de Moldova, Ucrania y Serbia y Montenegro.</w:t>
      </w:r>
    </w:p>
    <w:p w:rsidR="00000000" w:rsidRDefault="00000000">
      <w:pPr>
        <w:pStyle w:val="SingleTxt"/>
      </w:pPr>
      <w:r>
        <w:tab/>
        <w:t>El Programa Nacional de la República de Macedonia de lucha contra la trata de seres humanos y la migración ilegal abarca actividades encaminadas a la ado</w:t>
      </w:r>
      <w:r>
        <w:t>p</w:t>
      </w:r>
      <w:r>
        <w:t>ción de medidas separadas y coordinadas por parte de todos las entidades autoriz</w:t>
      </w:r>
      <w:r>
        <w:t>a</w:t>
      </w:r>
      <w:r>
        <w:t>das a proceder a la eliminación de la trata de seres humanos en el plano nacional, así como al establecimiento de las condiciones necesarias de cooperación y coordin</w:t>
      </w:r>
      <w:r>
        <w:t>a</w:t>
      </w:r>
      <w:r>
        <w:t>ción internacionales con miras al procesamiento de los autores de delitos en esa e</w:t>
      </w:r>
      <w:r>
        <w:t>s</w:t>
      </w:r>
      <w:r>
        <w:t>fera. El Programa comprende las siguientes actividades concretas en materia de c</w:t>
      </w:r>
      <w:r>
        <w:t>o</w:t>
      </w:r>
      <w:r>
        <w:t>operación internacional: la concertación de acuerdos de extradición (bilaterales y multilaterales) con los países en los que tiene lugar la trata de seres humanos; la mejora de la cooperación y la comunicación entre los ministerios públicos, los d</w:t>
      </w:r>
      <w:r>
        <w:t>e</w:t>
      </w:r>
      <w:r>
        <w:t>partamentos de policía y otros servicios pertinentes; y el intercambio de información y de datos sobre los grupos de delincuentes y los delincuentes individuales a los efectos de llevar debidamente a cabo su procesamiento. A tal efecto, el Ministerio del Interior y el Ministerio de Hacienda y Administración de Aduanas firmaron un Memorando de Entendimiento en julio de 2000, en el que se preveía la cooperación entre esos órganos del Estado a fin de proceder a la eliminación de la trata de seres humanos. En lo sucesivo, también se intensificarán, complementarán y ampliarán las medidas y actividades de identificación de los autores y los medios y cauces a través de los que se lleva a cabo la delincuencia organizada, especialmente en col</w:t>
      </w:r>
      <w:r>
        <w:t>a</w:t>
      </w:r>
      <w:r>
        <w:t>boración con el SECI, la OIM y las Naciones Unidas, así como con las organizaci</w:t>
      </w:r>
      <w:r>
        <w:t>o</w:t>
      </w:r>
      <w:r>
        <w:t>nes no gubernamentales que se ocupan de esta esfera. Las actividades estarán enc</w:t>
      </w:r>
      <w:r>
        <w:t>a</w:t>
      </w:r>
      <w:r>
        <w:t>minadas a establecer un régimen más estricto de sanciones por el cruce ilegal de fronteras, promover la cooperación entre los departamentos de policía y los minist</w:t>
      </w:r>
      <w:r>
        <w:t>e</w:t>
      </w:r>
      <w:r>
        <w:t>rios públicos de todos los países de Europa sudoriental, poner en marcha una ca</w:t>
      </w:r>
      <w:r>
        <w:t>m</w:t>
      </w:r>
      <w:r>
        <w:t>paña más intensa en los medios de comunicación por parte de las organizaciones no gubernamentales, delimitar las condiciones en que podrán funcionar los clubes y b</w:t>
      </w:r>
      <w:r>
        <w:t>a</w:t>
      </w:r>
      <w:r>
        <w:t>res nocturnos, intensificar el control de esos clubes y bares y reformar la legislación vigente a fin de que puedan aplicarse técnicas operativas y ciertos métodos de i</w:t>
      </w:r>
      <w:r>
        <w:t>n</w:t>
      </w:r>
      <w:r>
        <w:t>vestigación, así c</w:t>
      </w:r>
      <w:r>
        <w:t>o</w:t>
      </w:r>
      <w:r>
        <w:t>mo reunirse y presentarse pruebas en actuaciones judiciales.</w:t>
      </w:r>
    </w:p>
    <w:p w:rsidR="00000000" w:rsidRDefault="00000000">
      <w:pPr>
        <w:pStyle w:val="SingleTxt"/>
      </w:pPr>
      <w:r>
        <w:tab/>
        <w:t>En el cuadro siguiente, figuran datos sobre los delitos relacionados con la prostitución y la trata de seres humanos durante el período comprendido entre 1991 y 2002:</w:t>
      </w:r>
    </w:p>
    <w:p w:rsidR="00000000" w:rsidRDefault="00000000">
      <w:pPr>
        <w:pStyle w:val="SingleTxt"/>
        <w:spacing w:after="0" w:line="120" w:lineRule="exact"/>
        <w:rPr>
          <w:sz w:val="10"/>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710"/>
        <w:gridCol w:w="678"/>
        <w:gridCol w:w="679"/>
        <w:gridCol w:w="83"/>
        <w:gridCol w:w="596"/>
        <w:gridCol w:w="678"/>
        <w:gridCol w:w="76"/>
        <w:gridCol w:w="603"/>
        <w:gridCol w:w="679"/>
        <w:gridCol w:w="68"/>
        <w:gridCol w:w="610"/>
        <w:gridCol w:w="679"/>
        <w:gridCol w:w="61"/>
        <w:gridCol w:w="618"/>
        <w:gridCol w:w="678"/>
        <w:gridCol w:w="54"/>
        <w:gridCol w:w="625"/>
        <w:gridCol w:w="679"/>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80" w:after="80" w:line="160" w:lineRule="exact"/>
              <w:ind w:right="40"/>
              <w:rPr>
                <w:i/>
                <w:sz w:val="14"/>
              </w:rPr>
            </w:pPr>
          </w:p>
        </w:tc>
        <w:tc>
          <w:tcPr>
            <w:tcW w:w="8144"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after="80" w:line="160" w:lineRule="exact"/>
              <w:ind w:right="40"/>
              <w:rPr>
                <w:i/>
                <w:sz w:val="14"/>
              </w:rPr>
            </w:pPr>
          </w:p>
        </w:tc>
        <w:tc>
          <w:tcPr>
            <w:tcW w:w="135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1991</w:t>
            </w:r>
          </w:p>
        </w:tc>
        <w:tc>
          <w:tcPr>
            <w:tcW w:w="83" w:type="dxa"/>
            <w:tcBorders>
              <w:top w:val="single" w:sz="4" w:space="0" w:color="auto"/>
            </w:tcBorders>
            <w:vAlign w:val="bottom"/>
          </w:tcPr>
          <w:p w:rsidR="00000000" w:rsidRDefault="00000000">
            <w:pPr>
              <w:spacing w:after="80" w:line="160" w:lineRule="exact"/>
              <w:ind w:right="40"/>
              <w:jc w:val="right"/>
              <w:rPr>
                <w:i/>
                <w:sz w:val="14"/>
              </w:rPr>
            </w:pPr>
          </w:p>
        </w:tc>
        <w:tc>
          <w:tcPr>
            <w:tcW w:w="127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1992</w:t>
            </w:r>
          </w:p>
        </w:tc>
        <w:tc>
          <w:tcPr>
            <w:tcW w:w="76" w:type="dxa"/>
            <w:tcBorders>
              <w:top w:val="single" w:sz="4" w:space="0" w:color="auto"/>
            </w:tcBorders>
            <w:vAlign w:val="bottom"/>
          </w:tcPr>
          <w:p w:rsidR="00000000" w:rsidRDefault="00000000">
            <w:pPr>
              <w:spacing w:after="80" w:line="160" w:lineRule="exact"/>
              <w:ind w:right="40"/>
              <w:jc w:val="right"/>
              <w:rPr>
                <w:i/>
                <w:sz w:val="14"/>
              </w:rPr>
            </w:pPr>
          </w:p>
        </w:tc>
        <w:tc>
          <w:tcPr>
            <w:tcW w:w="128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1993</w:t>
            </w:r>
          </w:p>
        </w:tc>
        <w:tc>
          <w:tcPr>
            <w:tcW w:w="68" w:type="dxa"/>
            <w:tcBorders>
              <w:top w:val="single" w:sz="4" w:space="0" w:color="auto"/>
            </w:tcBorders>
            <w:vAlign w:val="bottom"/>
          </w:tcPr>
          <w:p w:rsidR="00000000" w:rsidRDefault="00000000">
            <w:pPr>
              <w:spacing w:after="80" w:line="160" w:lineRule="exact"/>
              <w:ind w:right="40"/>
              <w:jc w:val="right"/>
              <w:rPr>
                <w:i/>
                <w:sz w:val="14"/>
              </w:rPr>
            </w:pPr>
          </w:p>
        </w:tc>
        <w:tc>
          <w:tcPr>
            <w:tcW w:w="1289"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1994</w:t>
            </w:r>
          </w:p>
        </w:tc>
        <w:tc>
          <w:tcPr>
            <w:tcW w:w="61" w:type="dxa"/>
            <w:tcBorders>
              <w:top w:val="single" w:sz="4" w:space="0" w:color="auto"/>
            </w:tcBorders>
            <w:vAlign w:val="bottom"/>
          </w:tcPr>
          <w:p w:rsidR="00000000" w:rsidRDefault="00000000">
            <w:pPr>
              <w:spacing w:after="8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1995</w:t>
            </w:r>
          </w:p>
        </w:tc>
        <w:tc>
          <w:tcPr>
            <w:tcW w:w="54" w:type="dxa"/>
            <w:tcBorders>
              <w:top w:val="single" w:sz="4" w:space="0" w:color="auto"/>
            </w:tcBorders>
            <w:vAlign w:val="bottom"/>
          </w:tcPr>
          <w:p w:rsidR="00000000" w:rsidRDefault="00000000">
            <w:pPr>
              <w:spacing w:after="80" w:line="160" w:lineRule="exact"/>
              <w:ind w:right="40"/>
              <w:jc w:val="right"/>
              <w:rPr>
                <w:i/>
                <w:sz w:val="14"/>
              </w:rPr>
            </w:pPr>
          </w:p>
        </w:tc>
        <w:tc>
          <w:tcPr>
            <w:tcW w:w="130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1996</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spacing w:after="80" w:line="160" w:lineRule="exact"/>
              <w:ind w:right="40"/>
              <w:rPr>
                <w:i/>
                <w:sz w:val="14"/>
              </w:rPr>
            </w:pPr>
            <w:r>
              <w:rPr>
                <w:i/>
                <w:sz w:val="14"/>
              </w:rPr>
              <w:t>Calificación jurídica</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8"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Mediación en la prostitución (art. 191)</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Ofrecimiento y realización de actividades sexuales (art. 192)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Cruce ilegal de fronteras (art. 402, párr. 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Establecimiento de una relación de esclavitud (art. 418)</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Trata de seres humanos (art. 418 a))</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Prostitución y mediación en la prostitución (art. 27)</w:t>
            </w:r>
          </w:p>
        </w:tc>
        <w:tc>
          <w:tcPr>
            <w:tcW w:w="67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67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67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7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7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67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67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67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7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67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67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67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de actos delictivos y autores</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678"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de delitos y autores</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67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del Interior–Departamento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678"/>
        <w:gridCol w:w="679"/>
        <w:gridCol w:w="83"/>
        <w:gridCol w:w="596"/>
        <w:gridCol w:w="678"/>
        <w:gridCol w:w="76"/>
        <w:gridCol w:w="603"/>
        <w:gridCol w:w="679"/>
        <w:gridCol w:w="68"/>
        <w:gridCol w:w="610"/>
        <w:gridCol w:w="679"/>
        <w:gridCol w:w="61"/>
        <w:gridCol w:w="618"/>
        <w:gridCol w:w="678"/>
        <w:gridCol w:w="54"/>
        <w:gridCol w:w="625"/>
        <w:gridCol w:w="679"/>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80" w:after="80" w:line="160" w:lineRule="exact"/>
              <w:ind w:right="40"/>
              <w:rPr>
                <w:i/>
                <w:sz w:val="14"/>
              </w:rPr>
            </w:pPr>
          </w:p>
        </w:tc>
        <w:tc>
          <w:tcPr>
            <w:tcW w:w="8144"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Año</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after="80" w:line="160" w:lineRule="exact"/>
              <w:ind w:right="40"/>
              <w:rPr>
                <w:i/>
                <w:sz w:val="14"/>
              </w:rPr>
            </w:pPr>
          </w:p>
        </w:tc>
        <w:tc>
          <w:tcPr>
            <w:tcW w:w="135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1997</w:t>
            </w:r>
          </w:p>
        </w:tc>
        <w:tc>
          <w:tcPr>
            <w:tcW w:w="83" w:type="dxa"/>
            <w:tcBorders>
              <w:top w:val="single" w:sz="4" w:space="0" w:color="auto"/>
            </w:tcBorders>
            <w:vAlign w:val="bottom"/>
          </w:tcPr>
          <w:p w:rsidR="00000000" w:rsidRDefault="00000000">
            <w:pPr>
              <w:spacing w:after="80" w:line="160" w:lineRule="exact"/>
              <w:ind w:right="40"/>
              <w:jc w:val="right"/>
              <w:rPr>
                <w:i/>
                <w:sz w:val="14"/>
              </w:rPr>
            </w:pPr>
          </w:p>
        </w:tc>
        <w:tc>
          <w:tcPr>
            <w:tcW w:w="127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1998</w:t>
            </w:r>
          </w:p>
        </w:tc>
        <w:tc>
          <w:tcPr>
            <w:tcW w:w="76" w:type="dxa"/>
            <w:tcBorders>
              <w:top w:val="single" w:sz="4" w:space="0" w:color="auto"/>
            </w:tcBorders>
            <w:vAlign w:val="bottom"/>
          </w:tcPr>
          <w:p w:rsidR="00000000" w:rsidRDefault="00000000">
            <w:pPr>
              <w:spacing w:after="80" w:line="160" w:lineRule="exact"/>
              <w:ind w:right="40"/>
              <w:jc w:val="right"/>
              <w:rPr>
                <w:i/>
                <w:sz w:val="14"/>
              </w:rPr>
            </w:pPr>
          </w:p>
        </w:tc>
        <w:tc>
          <w:tcPr>
            <w:tcW w:w="128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1999</w:t>
            </w:r>
          </w:p>
        </w:tc>
        <w:tc>
          <w:tcPr>
            <w:tcW w:w="68" w:type="dxa"/>
            <w:tcBorders>
              <w:top w:val="single" w:sz="4" w:space="0" w:color="auto"/>
            </w:tcBorders>
            <w:vAlign w:val="bottom"/>
          </w:tcPr>
          <w:p w:rsidR="00000000" w:rsidRDefault="00000000">
            <w:pPr>
              <w:spacing w:after="80" w:line="160" w:lineRule="exact"/>
              <w:ind w:right="40"/>
              <w:jc w:val="right"/>
              <w:rPr>
                <w:i/>
                <w:sz w:val="14"/>
              </w:rPr>
            </w:pPr>
          </w:p>
        </w:tc>
        <w:tc>
          <w:tcPr>
            <w:tcW w:w="1289"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w:t>
            </w:r>
          </w:p>
        </w:tc>
        <w:tc>
          <w:tcPr>
            <w:tcW w:w="61" w:type="dxa"/>
            <w:tcBorders>
              <w:top w:val="single" w:sz="4" w:space="0" w:color="auto"/>
            </w:tcBorders>
            <w:vAlign w:val="bottom"/>
          </w:tcPr>
          <w:p w:rsidR="00000000" w:rsidRDefault="00000000">
            <w:pPr>
              <w:spacing w:after="8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2001</w:t>
            </w:r>
          </w:p>
        </w:tc>
        <w:tc>
          <w:tcPr>
            <w:tcW w:w="54" w:type="dxa"/>
            <w:tcBorders>
              <w:top w:val="single" w:sz="4" w:space="0" w:color="auto"/>
            </w:tcBorders>
            <w:vAlign w:val="bottom"/>
          </w:tcPr>
          <w:p w:rsidR="00000000" w:rsidRDefault="00000000">
            <w:pPr>
              <w:spacing w:after="80" w:line="160" w:lineRule="exact"/>
              <w:ind w:right="40"/>
              <w:jc w:val="right"/>
              <w:rPr>
                <w:i/>
                <w:sz w:val="14"/>
              </w:rPr>
            </w:pPr>
          </w:p>
        </w:tc>
        <w:tc>
          <w:tcPr>
            <w:tcW w:w="130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spacing w:after="80" w:line="160" w:lineRule="exact"/>
              <w:ind w:right="40"/>
              <w:rPr>
                <w:i/>
                <w:sz w:val="14"/>
              </w:rPr>
            </w:pPr>
            <w:r>
              <w:rPr>
                <w:i/>
                <w:sz w:val="14"/>
              </w:rPr>
              <w:t>Calificación jurídica</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8"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8"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c>
          <w:tcPr>
            <w:tcW w:w="679" w:type="dxa"/>
            <w:gridSpan w:val="2"/>
            <w:vAlign w:val="bottom"/>
          </w:tcPr>
          <w:p w:rsidR="00000000" w:rsidRDefault="00000000">
            <w:pPr>
              <w:framePr w:hSpace="141" w:wrap="around" w:vAnchor="page" w:hAnchor="margin" w:y="905"/>
              <w:spacing w:after="80" w:line="160" w:lineRule="exact"/>
              <w:ind w:right="40"/>
              <w:jc w:val="right"/>
              <w:rPr>
                <w:i/>
                <w:sz w:val="14"/>
              </w:rPr>
            </w:pPr>
            <w:r>
              <w:rPr>
                <w:i/>
                <w:sz w:val="14"/>
              </w:rPr>
              <w:t>Actos delictivos y delitos</w:t>
            </w:r>
          </w:p>
        </w:tc>
        <w:tc>
          <w:tcPr>
            <w:tcW w:w="679" w:type="dxa"/>
            <w:tcBorders>
              <w:top w:val="single" w:sz="4" w:space="0" w:color="auto"/>
            </w:tcBorders>
            <w:vAlign w:val="bottom"/>
          </w:tcPr>
          <w:p w:rsidR="00000000" w:rsidRDefault="00000000">
            <w:pPr>
              <w:framePr w:hSpace="141" w:wrap="around" w:vAnchor="page" w:hAnchor="margin" w:y="905"/>
              <w:spacing w:after="80" w:line="160" w:lineRule="exact"/>
              <w:ind w:right="40"/>
              <w:jc w:val="right"/>
              <w:rPr>
                <w:i/>
                <w:sz w:val="14"/>
              </w:rPr>
            </w:pPr>
            <w:r>
              <w:rPr>
                <w:i/>
                <w:sz w:val="14"/>
              </w:rPr>
              <w:t>Autores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Mediación en la prostitución (art. 191)</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Ofrecimiento y realización de actividades sexuales (art. 192)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Cruce ilegal de fronteras (art. 402, párr. 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Establecimiento de una relación de esclavitud (art. 418)</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Trata de seres humanos (art. 418 a))</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710"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Prostitución y mediación en la prostitución (art. 27)</w:t>
            </w:r>
          </w:p>
        </w:tc>
        <w:tc>
          <w:tcPr>
            <w:tcW w:w="678"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15</w:t>
            </w:r>
          </w:p>
        </w:tc>
        <w:tc>
          <w:tcPr>
            <w:tcW w:w="679"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19</w:t>
            </w:r>
          </w:p>
        </w:tc>
        <w:tc>
          <w:tcPr>
            <w:tcW w:w="679"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20</w:t>
            </w:r>
          </w:p>
        </w:tc>
        <w:tc>
          <w:tcPr>
            <w:tcW w:w="678"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25</w:t>
            </w:r>
          </w:p>
        </w:tc>
        <w:tc>
          <w:tcPr>
            <w:tcW w:w="679"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8</w:t>
            </w:r>
          </w:p>
        </w:tc>
        <w:tc>
          <w:tcPr>
            <w:tcW w:w="679"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20</w:t>
            </w:r>
          </w:p>
        </w:tc>
        <w:tc>
          <w:tcPr>
            <w:tcW w:w="678"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16</w:t>
            </w:r>
          </w:p>
        </w:tc>
        <w:tc>
          <w:tcPr>
            <w:tcW w:w="679"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16</w:t>
            </w:r>
          </w:p>
        </w:tc>
        <w:tc>
          <w:tcPr>
            <w:tcW w:w="679"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20</w:t>
            </w:r>
          </w:p>
        </w:tc>
        <w:tc>
          <w:tcPr>
            <w:tcW w:w="678"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20</w:t>
            </w:r>
          </w:p>
        </w:tc>
        <w:tc>
          <w:tcPr>
            <w:tcW w:w="679"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36</w:t>
            </w:r>
          </w:p>
        </w:tc>
        <w:tc>
          <w:tcPr>
            <w:tcW w:w="679"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40</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de actos delictivos y autores</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139</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w:t>
            </w:r>
          </w:p>
        </w:tc>
        <w:tc>
          <w:tcPr>
            <w:tcW w:w="678"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de delitos y autores</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67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del Interior–Departamento de Análisis e Investigaciones.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Prostitución</w:t>
      </w:r>
    </w:p>
    <w:p w:rsidR="00000000" w:rsidRDefault="00000000">
      <w:pPr>
        <w:pStyle w:val="SingleTxt"/>
        <w:spacing w:after="0" w:line="120" w:lineRule="exact"/>
        <w:rPr>
          <w:sz w:val="10"/>
        </w:rPr>
      </w:pPr>
    </w:p>
    <w:p w:rsidR="00000000" w:rsidRDefault="00000000">
      <w:pPr>
        <w:pStyle w:val="SingleTxt"/>
      </w:pPr>
      <w:r>
        <w:tab/>
        <w:t>La prostitución, como operación de venta del cuerpo una mujer para cometer abusos sexuales u otras actividades sexuales, no está tipificado como actividad il</w:t>
      </w:r>
      <w:r>
        <w:t>í</w:t>
      </w:r>
      <w:r>
        <w:t>cita en el Código Penal de la República de Macedonia. La esfera penal se refiere a las actividades de mediación o, en términos generales, a la prestación de servicios de prostitución o a la inducción a la prostitución. Así, en el artículo 191 del Código P</w:t>
      </w:r>
      <w:r>
        <w:t>e</w:t>
      </w:r>
      <w:r>
        <w:t>nal se tipifica de la manera siguiente la mediación en la prostitución:</w:t>
      </w:r>
    </w:p>
    <w:p w:rsidR="00000000" w:rsidRDefault="00000000">
      <w:pPr>
        <w:pStyle w:val="SingleTxt"/>
        <w:ind w:left="1742"/>
      </w:pPr>
      <w:r>
        <w:tab/>
        <w:t>“1)</w:t>
      </w:r>
      <w:r>
        <w:tab/>
        <w:t>La persona que contrate, induzca, obligue o instigue a otra a pro</w:t>
      </w:r>
      <w:r>
        <w:t>s</w:t>
      </w:r>
      <w:r>
        <w:t>tituirse o que participe de alguna manera en la entrega de una persona a otra con fines de prostitución será castigada con una pena de privación de libertad de seis meses a cinco años.</w:t>
      </w:r>
    </w:p>
    <w:p w:rsidR="00000000" w:rsidRDefault="00000000">
      <w:pPr>
        <w:pStyle w:val="SingleTxt"/>
        <w:ind w:left="1742"/>
      </w:pPr>
      <w:r>
        <w:tab/>
        <w:t>2)</w:t>
      </w:r>
      <w:r>
        <w:tab/>
        <w:t>La persona que, a cambio de una cantidad de dinero, proporcione servicios sexuales a otra será castigada con una multa o una pena de privación de libertad de un año como máximo.</w:t>
      </w:r>
    </w:p>
    <w:p w:rsidR="00000000" w:rsidRDefault="00000000">
      <w:pPr>
        <w:pStyle w:val="SingleTxt"/>
        <w:ind w:left="1742"/>
      </w:pPr>
      <w:r>
        <w:tab/>
        <w:t>3)</w:t>
      </w:r>
      <w:r>
        <w:tab/>
        <w:t>La persona que, a cambio una cantidad de dinero, mediante coa</w:t>
      </w:r>
      <w:r>
        <w:t>c</w:t>
      </w:r>
      <w:r>
        <w:t>ción o mediante una amenaza grave de utilización de la fuerza, obligue a otra o la induzca con engaños a prestar servicios sexuales será castigada con una p</w:t>
      </w:r>
      <w:r>
        <w:t>e</w:t>
      </w:r>
      <w:r>
        <w:t>na de pr</w:t>
      </w:r>
      <w:r>
        <w:t>i</w:t>
      </w:r>
      <w:r>
        <w:t>vación de libertad de seis meses a cinco años.</w:t>
      </w:r>
    </w:p>
    <w:p w:rsidR="00000000" w:rsidRDefault="00000000">
      <w:pPr>
        <w:pStyle w:val="SingleTxt"/>
        <w:ind w:left="1742"/>
      </w:pPr>
      <w:r>
        <w:tab/>
        <w:t>4)</w:t>
      </w:r>
      <w:r>
        <w:tab/>
        <w:t>Si los actos indicados en los párrafos 1, 2 y 3 son cometidos con un menor, el autor será castigado con una pena de privación de libertad de seis meses a ci</w:t>
      </w:r>
      <w:r>
        <w:t>n</w:t>
      </w:r>
      <w:r>
        <w:t>co años.</w:t>
      </w:r>
    </w:p>
    <w:p w:rsidR="00000000" w:rsidRDefault="00000000">
      <w:pPr>
        <w:pStyle w:val="SingleTxt"/>
        <w:ind w:left="1742"/>
      </w:pPr>
      <w:r>
        <w:tab/>
        <w:t>5)</w:t>
      </w:r>
      <w:r>
        <w:tab/>
        <w:t>Si los actos indicados en los párrafos 1, 2 y 3 son cometidos con un niño, el autor será castigado con una pena de privación de libertad de uno a cinco años.</w:t>
      </w:r>
    </w:p>
    <w:p w:rsidR="00000000" w:rsidRDefault="00000000">
      <w:pPr>
        <w:pStyle w:val="SingleTxt"/>
        <w:ind w:left="1742"/>
      </w:pPr>
      <w:r>
        <w:tab/>
        <w:t>6)</w:t>
      </w:r>
      <w:r>
        <w:tab/>
        <w:t>La persona que organice la realización de los actos indicados en los párrafos 1 a 5 será castigada con una pena de privación de libertad de uno a 10 años.”</w:t>
      </w:r>
    </w:p>
    <w:p w:rsidR="00000000" w:rsidRDefault="00000000">
      <w:pPr>
        <w:pStyle w:val="SingleTxt"/>
      </w:pPr>
      <w:r>
        <w:tab/>
        <w:t>Los actos ilícitos consistentes en contratar, inducir, obligar o seducir a pers</w:t>
      </w:r>
      <w:r>
        <w:t>o</w:t>
      </w:r>
      <w:r>
        <w:t>nas para que se prostituyan se enmarcan dentro de las actividades delictivas de pa</w:t>
      </w:r>
      <w:r>
        <w:t>r</w:t>
      </w:r>
      <w:r>
        <w:t>ticipación en la entrega de una persona a otra con fines de prostitución. Además de la forma básica del párrafo 1, en los párrafos siguientes del Código Penal se gradúan de mayor a menor los actos de conformidad con el tipo de mediación en la prostit</w:t>
      </w:r>
      <w:r>
        <w:t>u</w:t>
      </w:r>
      <w:r>
        <w:t>ción y su contribución a ella, los motivos y las disposiciones en el caso de que i</w:t>
      </w:r>
      <w:r>
        <w:t>n</w:t>
      </w:r>
      <w:r>
        <w:t>tervenga un menor o un niño. El acto delictivo organizado se castiga con penas s</w:t>
      </w:r>
      <w:r>
        <w:t>u</w:t>
      </w:r>
      <w:r>
        <w:t>mamente graves. Con arreglo a los datos del Instituto Estatal de Estadística de la República de Macedonia, durante el período comprendido entre 1998 y 2002 fueron castigadas por violación de las disposiciones del Código Penal relativas a la libertad sexual y la moral las personas siguientes: en 1998, una mujer y 47 hombres; en 1999, 51 hombres y ninguna mujer; en 2000, dos mujeres y 52 hombres; y en 2001, dos mujeres y 50 hombres. (En el apéndice relativo a la administración de justicia del anexo de los datos recibidos del Instituto Estatal de Estadística figuran más d</w:t>
      </w:r>
      <w:r>
        <w:t>e</w:t>
      </w:r>
      <w:r>
        <w:t>talles al respecto).</w:t>
      </w:r>
    </w:p>
    <w:p w:rsidR="00000000" w:rsidRDefault="00000000">
      <w:pPr>
        <w:pStyle w:val="SingleTxt"/>
        <w:rPr>
          <w:spacing w:val="2"/>
          <w:w w:val="101"/>
        </w:rPr>
      </w:pPr>
      <w:r>
        <w:tab/>
        <w:t>En este Capítulo del Código Penal, entre otras cosas, se sanciona la present</w:t>
      </w:r>
      <w:r>
        <w:t>a</w:t>
      </w:r>
      <w:r>
        <w:t>ción de material pornográfico con niños (artículo 193) con el objetivo de poner fin a esa práctica. La presentación de material pornográfico, según esa disposición, es objeto de sanción cuando el material se vende, se presenta o se facilita de algún m</w:t>
      </w:r>
      <w:r>
        <w:t>o</w:t>
      </w:r>
      <w:r>
        <w:t xml:space="preserve">do a un menor. Con arreglo a la misma disposición, se consideran material </w:t>
      </w:r>
      <w:r>
        <w:rPr>
          <w:spacing w:val="2"/>
          <w:w w:val="101"/>
        </w:rPr>
        <w:t>pornogr</w:t>
      </w:r>
      <w:r>
        <w:rPr>
          <w:spacing w:val="2"/>
          <w:w w:val="101"/>
        </w:rPr>
        <w:t>á</w:t>
      </w:r>
      <w:r>
        <w:rPr>
          <w:spacing w:val="2"/>
          <w:w w:val="101"/>
        </w:rPr>
        <w:t>fico las fotografías, el material audiovisual y el material de otra índole con contenido pornográfico. También se penaliza la utilización de menores con fines de porn</w:t>
      </w:r>
      <w:r>
        <w:rPr>
          <w:spacing w:val="2"/>
          <w:w w:val="101"/>
        </w:rPr>
        <w:t>o</w:t>
      </w:r>
      <w:r>
        <w:rPr>
          <w:spacing w:val="2"/>
          <w:w w:val="101"/>
        </w:rPr>
        <w:t>grafía.</w:t>
      </w:r>
    </w:p>
    <w:p w:rsidR="00000000" w:rsidRDefault="00000000">
      <w:pPr>
        <w:pStyle w:val="SingleTxt"/>
        <w:rPr>
          <w:spacing w:val="2"/>
          <w:w w:val="101"/>
        </w:rPr>
      </w:pPr>
      <w:r>
        <w:tab/>
        <w:t>En el Capítulo 19 del Código Penal de la República de Macedonia se sanci</w:t>
      </w:r>
      <w:r>
        <w:t>o</w:t>
      </w:r>
      <w:r>
        <w:t>nan los siguientes delitos: la violación (artículo 186), el coito con una persona que no pueda defenderse (artículo 187), la comisión de abusos deshonestos contra men</w:t>
      </w:r>
      <w:r>
        <w:t>o</w:t>
      </w:r>
      <w:r>
        <w:t xml:space="preserve">res (artículo 189), la realización del coito abusando de una situación de superioridad </w:t>
      </w:r>
      <w:r>
        <w:rPr>
          <w:spacing w:val="2"/>
          <w:w w:val="101"/>
        </w:rPr>
        <w:t>(artículo 190), la masturbación en presencia de otra persona (artículo 190), el ofrec</w:t>
      </w:r>
      <w:r>
        <w:rPr>
          <w:spacing w:val="2"/>
          <w:w w:val="101"/>
        </w:rPr>
        <w:t>i</w:t>
      </w:r>
      <w:r>
        <w:rPr>
          <w:spacing w:val="2"/>
          <w:w w:val="101"/>
        </w:rPr>
        <w:t>miento y la realización de actividades sexuales (artículo 192) y el incesto (artículo 194).</w:t>
      </w:r>
    </w:p>
    <w:p w:rsidR="00000000" w:rsidRDefault="00000000">
      <w:pPr>
        <w:pStyle w:val="SingleTxt"/>
      </w:pPr>
      <w:r>
        <w:tab/>
        <w:t>En el artículo 189 del Código Penal se tipifica la realización del coito abusa</w:t>
      </w:r>
      <w:r>
        <w:t>n</w:t>
      </w:r>
      <w:r>
        <w:t>do de una situación de superioridad:</w:t>
      </w:r>
    </w:p>
    <w:p w:rsidR="00000000" w:rsidRDefault="00000000">
      <w:pPr>
        <w:pStyle w:val="SingleTxt"/>
        <w:ind w:left="1742"/>
      </w:pPr>
      <w:r>
        <w:tab/>
        <w:t>“1)</w:t>
      </w:r>
      <w:r>
        <w:tab/>
        <w:t>La persona de que, abusando de su situación de superioridad, fuerce a realizar el coito u otro acto sexual a otra persona que se encuentre en una relación de dependencia será castigada con una pena de privación de libertad de tres meses a tres años.</w:t>
      </w:r>
    </w:p>
    <w:p w:rsidR="00000000" w:rsidRDefault="00000000">
      <w:pPr>
        <w:pStyle w:val="SingleTxt"/>
        <w:ind w:left="1742"/>
      </w:pPr>
      <w:r>
        <w:tab/>
        <w:t>2)</w:t>
      </w:r>
      <w:r>
        <w:tab/>
        <w:t>El maestro, tutor, padre adoptivo, padrastro, madrastra, doctor o persona que, abusando de su situación de superioridad, obligue a realizar el coito u otro acto sexual a un menor de más de 14 años que se le haya enc</w:t>
      </w:r>
      <w:r>
        <w:t>o</w:t>
      </w:r>
      <w:r>
        <w:t>mendado con fines de estudio, enseñanza, tutela o prestación de asistencia será castigado con una p</w:t>
      </w:r>
      <w:r>
        <w:t>e</w:t>
      </w:r>
      <w:r>
        <w:t>na de privación de libertad de uno a cinco años.”</w:t>
      </w:r>
    </w:p>
    <w:p w:rsidR="00000000" w:rsidRDefault="00000000">
      <w:pPr>
        <w:pStyle w:val="SingleTxt"/>
      </w:pPr>
      <w:r>
        <w:tab/>
        <w:t>Ese delito constituye la base jurídica de la protección frente a una persona que, abusando de su situación de superioridad, obliga a otra, que se encuentra en una s</w:t>
      </w:r>
      <w:r>
        <w:t>i</w:t>
      </w:r>
      <w:r>
        <w:t>tu</w:t>
      </w:r>
      <w:r>
        <w:t>a</w:t>
      </w:r>
      <w:r>
        <w:t>ción de dependencia, a realizar el coito u otro acto sexual.</w:t>
      </w:r>
    </w:p>
    <w:p w:rsidR="00000000" w:rsidRDefault="00000000">
      <w:pPr>
        <w:pStyle w:val="SingleTxt"/>
      </w:pPr>
      <w:r>
        <w:tab/>
        <w:t>En relación con la prostitución, también está extendida la prostitución heter</w:t>
      </w:r>
      <w:r>
        <w:t>o</w:t>
      </w:r>
      <w:r>
        <w:t>sexual de la mujer como prostitución callejera pública e individual. Ese tipo de prostitución constituye un nivel de prostitución bajo, que existe principalmente en las grandes ciudades y tiene las características de prostitución urbana. Las mujeres practican por lo general la prostitución de manera individual, si bien casi todas ellas tienen proxenetas que, disfrazados de amantes o protectores, actúan sin piedad y se quedan con la mayor parte de las ganancias.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Tráfico ilícito y uso indebido de drogas</w:t>
      </w:r>
    </w:p>
    <w:p w:rsidR="00000000" w:rsidRDefault="00000000">
      <w:pPr>
        <w:pStyle w:val="SingleTxt"/>
        <w:spacing w:after="0" w:line="120" w:lineRule="exact"/>
        <w:rPr>
          <w:sz w:val="10"/>
        </w:rPr>
      </w:pPr>
    </w:p>
    <w:p w:rsidR="00000000" w:rsidRDefault="00000000">
      <w:pPr>
        <w:pStyle w:val="SingleTxt"/>
      </w:pPr>
      <w:r>
        <w:tab/>
        <w:t>El aumento constante de la producción y el comercio ilícitos de drogas y de su uso indebido entraña peligros que socavan gradualmente la economía y las bases de la sociedad, al tiempo que representa una amenaza para la estabilidad política y la soberanía del Estado, ya que pone gravemente en peligro la salud de los ciudadanos, especialmente de la juventud.</w:t>
      </w:r>
    </w:p>
    <w:p w:rsidR="00000000" w:rsidRDefault="00000000">
      <w:pPr>
        <w:pStyle w:val="SingleTxt"/>
      </w:pPr>
      <w:r>
        <w:tab/>
        <w:t>Habida cuenta del creciente aumento del comercio ilícito y el uso indebido drogas en los últimos años, la República de Macedonia está haciendo esfuerzos para eliminar ese fenómeno social de manera organizada, poniendo en práctica diversas med</w:t>
      </w:r>
      <w:r>
        <w:t>i</w:t>
      </w:r>
      <w:r>
        <w:t>das y actividades.</w:t>
      </w:r>
    </w:p>
    <w:p w:rsidR="00000000" w:rsidRDefault="00000000">
      <w:pPr>
        <w:pStyle w:val="SingleTxt"/>
      </w:pPr>
      <w:r>
        <w:tab/>
        <w:t>De resultas de las medidas y actividades emprendidas, durante el período co</w:t>
      </w:r>
      <w:r>
        <w:t>m</w:t>
      </w:r>
      <w:r>
        <w:t>prendido entre 1999 y 2002 se detectó la comisión de 1.078 delitos de producción y tráfico ilícitos de estupefacientes, sustancias psicotrópicas y precursores, de co</w:t>
      </w:r>
      <w:r>
        <w:t>n</w:t>
      </w:r>
      <w:r>
        <w:t>formidad con lo dispuesto en el artículo 215 del Código Penal, y se procedió a fichar a 1.576 autores de esos delitos. Además, de conformidad con el artículo 216 del C</w:t>
      </w:r>
      <w:r>
        <w:t>ó</w:t>
      </w:r>
      <w:r>
        <w:t>digo Penal, se detectó la comisión de 277 delitos de suministro y uso indebido de drogas y sustancias psicotrópicas y se procedió a fichar a 304 autores de esos del</w:t>
      </w:r>
      <w:r>
        <w:t>i</w:t>
      </w:r>
      <w:r>
        <w:t>tos. Del total de autores fichados, 125 eran menores. La mayor parte de las personas f</w:t>
      </w:r>
      <w:r>
        <w:t>i</w:t>
      </w:r>
      <w:r>
        <w:t>chadas eran hombres y únicamente se fichó a 58 mujeres, que representaban el 3%.</w:t>
      </w:r>
    </w:p>
    <w:p w:rsidR="00000000" w:rsidRDefault="00000000">
      <w:pPr>
        <w:pStyle w:val="SingleTxt"/>
      </w:pPr>
      <w:r>
        <w:tab/>
        <w:t>La presencia de drogas en la República de Macedonia influye también en el aumento del consumo, razón por la que el Ministerio del Interior procedió a fichar 5.222 consumidores de drogas. Del total de fichados, 4.489 eran hombres y 733 mujeres, es decir, el 16,4%. De las consumidoras de drogas, 457 fueron fichadas en Skopje, 76 en Kumanovo, 37 en Bitola y 31 en Prilep.</w:t>
      </w:r>
    </w:p>
    <w:p w:rsidR="00000000" w:rsidRDefault="00000000">
      <w:pPr>
        <w:pStyle w:val="SingleTxt"/>
      </w:pPr>
      <w:r>
        <w:tab/>
        <w:t>En 2002 se presentaron 522 solicitudes para incoar actuaciones contra 564 drogadictos, de los que únicamente 36 eran mujeres, de conformidad con el artículo 23 de la Ley de faltas, que se refiere a la utilización de estupefacientes. En 1999, de un total de 722 drogadictos, 54 eran mujeres; en 2000, de un total de 742, 46 eran m</w:t>
      </w:r>
      <w:r>
        <w:t>u</w:t>
      </w:r>
      <w:r>
        <w:t>jeres y, en 2001, de un total de 498 drogadictos, 34 eran mujeres.</w:t>
      </w:r>
    </w:p>
    <w:p w:rsidR="00000000" w:rsidRDefault="00000000">
      <w:pPr>
        <w:pStyle w:val="SingleTxt"/>
      </w:pPr>
      <w:r>
        <w:tab/>
        <w:t>Las mujeres comienzan a consumir drogas por varias razones, principalmente a causa de la ruptura de relaciones amorosas, problemas de comunicación con una p</w:t>
      </w:r>
      <w:r>
        <w:t>a</w:t>
      </w:r>
      <w:r>
        <w:t>reja drogadicta, problemas familiares, problemas escolares o deseo de autoafirm</w:t>
      </w:r>
      <w:r>
        <w:t>a</w:t>
      </w:r>
      <w:r>
        <w:t>ción. Las mujeres obtienen las drogas de los hombres, dado que los traficantes co</w:t>
      </w:r>
      <w:r>
        <w:t>n</w:t>
      </w:r>
      <w:r>
        <w:t>sideran que las mujeres no pueden guardar ese asunto en secreto. Las drogadictas afirman que les resulta muy fácil dejar de consumir drogas.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t>Artículo 7</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spacing w:val="2"/>
          <w:w w:val="101"/>
        </w:rPr>
      </w:pPr>
      <w:r>
        <w:rPr>
          <w:i/>
        </w:rPr>
        <w:tab/>
        <w:t xml:space="preserve">Los Estados Partes tomarán todas las medidas apropiadas para eliminar la discriminación contra la mujer en la vida política y pública del país y, en particular, </w:t>
      </w:r>
      <w:r>
        <w:rPr>
          <w:i/>
          <w:spacing w:val="2"/>
          <w:w w:val="101"/>
        </w:rPr>
        <w:t>garantizarán a las mujeres, en igualdad de condiciones con los hombres, el derecho a:</w:t>
      </w:r>
    </w:p>
    <w:p w:rsidR="00000000" w:rsidRDefault="00000000">
      <w:pPr>
        <w:pStyle w:val="SingleTxt"/>
        <w:rPr>
          <w:i/>
        </w:rPr>
      </w:pPr>
      <w:r>
        <w:rPr>
          <w:i/>
        </w:rPr>
        <w:tab/>
        <w:t>a)</w:t>
      </w:r>
      <w:r>
        <w:rPr>
          <w:i/>
        </w:rPr>
        <w:tab/>
        <w:t>Votar en todas las elecciones y referéndums públicos y ser elegibles para todos los organismos cuyos miembros sean objeto de elecciones públicas;</w:t>
      </w: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rPr>
          <w:i/>
        </w:rPr>
      </w:pPr>
      <w:r>
        <w:rPr>
          <w:i/>
        </w:rPr>
        <w:tab/>
        <w:t>c)</w:t>
      </w:r>
      <w:r>
        <w:rPr>
          <w:i/>
        </w:rPr>
        <w:tab/>
        <w:t>Participar en organizaciones y en asociaciones no gubernamentales que se oc</w:t>
      </w:r>
      <w:r>
        <w:rPr>
          <w:i/>
        </w:rPr>
        <w:t>u</w:t>
      </w:r>
      <w:r>
        <w:rPr>
          <w:i/>
        </w:rPr>
        <w:t>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participación de la mujer en los procesos de adopción de decisiones y en la vida pública de la República de Macedonia es escasa, característica esta que no es muy diferente de la que se da en los demás países de la región. Por otra parte, la n</w:t>
      </w:r>
      <w:r>
        <w:t>e</w:t>
      </w:r>
      <w:r>
        <w:t>cesidad de que la mujer participe más en los procesos políticos y la tendencia a pa</w:t>
      </w:r>
      <w:r>
        <w:t>r</w:t>
      </w:r>
      <w:r>
        <w:t>ticipar son similares a las necesidades y tendencias al respecto de todos los países en transición de Europa central y oriental y están influidas por los mismos factores. En este sentido, las transformaciones del sistema político y socioeconómico imponían la necesidad de mejorar la condición jurídica y social de la mujer en el marco de las nuevas tendencias sociales, principalmente fomentando su participación en los pr</w:t>
      </w:r>
      <w:r>
        <w:t>o</w:t>
      </w:r>
      <w:r>
        <w:t>cesos de adopción de decisiones. No cabe duda de que esa situación insatisfactoria dio lugar a que la comunidad internacional, dentro del marco del Pacto de Estabil</w:t>
      </w:r>
      <w:r>
        <w:t>i</w:t>
      </w:r>
      <w:r>
        <w:t>dad para Europa Sudoriental, se comprometiera a fomentar la participación de la mujer en el proceso de adopción de decisiones.</w:t>
      </w:r>
    </w:p>
    <w:p w:rsidR="00000000" w:rsidRDefault="00000000">
      <w:pPr>
        <w:pStyle w:val="SingleTxt"/>
      </w:pPr>
      <w:r>
        <w:tab/>
        <w:t>Habida cuenta de lo que antecede y del hecho de que la igualdad jurídica entre los géneros es un logro que se alcanza después de varios decenios y un principio constitucional, se hace especial hincapié en el fomento de la igualdad real entre los géneros dentro de la sociedad. A este respecto, la participación en los procesos de ado</w:t>
      </w:r>
      <w:r>
        <w:t>p</w:t>
      </w:r>
      <w:r>
        <w:t>ción de decisiones es esencial para lograr la igualdad entre los géneros.</w:t>
      </w:r>
    </w:p>
    <w:p w:rsidR="00000000" w:rsidRDefault="00000000">
      <w:pPr>
        <w:pStyle w:val="SingleTxt"/>
      </w:pPr>
      <w:r>
        <w:tab/>
        <w:t>La experiencia adquirida hasta el momento en el marco de la democracia pa</w:t>
      </w:r>
      <w:r>
        <w:t>r</w:t>
      </w:r>
      <w:r>
        <w:t>lamentaria ha puesto de manifiesto que el pluralismo político no puede por sí mismo incrementar la participación de la mujer en la política ni, por consiguiente, en los órganos superiores de adopción de decisiones. En este contexto, debe tenerse sie</w:t>
      </w:r>
      <w:r>
        <w:t>m</w:t>
      </w:r>
      <w:r>
        <w:t>pre presente que la insuficiente participación de la mujer en la política es un co</w:t>
      </w:r>
      <w:r>
        <w:t>m</w:t>
      </w:r>
      <w:r>
        <w:t>plejo fenómeno social. Esa participación viene determinada tanto por los parámetros socioeconómicos de la sociedad como por los valores y funciones sociales tradici</w:t>
      </w:r>
      <w:r>
        <w:t>o</w:t>
      </w:r>
      <w:r>
        <w:t>nalmente atribuidos a cada sexo. Cuando los parámetros socioeconómicos muestran una tendencia negativa, predomina la sociedad tradicional y, por ende, el papel tr</w:t>
      </w:r>
      <w:r>
        <w:t>a</w:t>
      </w:r>
      <w:r>
        <w:t>dicional de la mujer. La República de Macedonia constituye un ejemplo de lo que antecede. La democracia no puede modificar instantáneamente la posición de la mujer en la sociedad, pero ciertamente da lugar a una situación única de equilibrio, que sirve para promover realmente los derechos de la mujer al respecto.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poder judicial del Estado</w:t>
      </w:r>
    </w:p>
    <w:p w:rsidR="00000000" w:rsidRDefault="00000000">
      <w:pPr>
        <w:pStyle w:val="SingleTxt"/>
        <w:spacing w:after="0" w:line="120" w:lineRule="exact"/>
        <w:rPr>
          <w:sz w:val="10"/>
        </w:rPr>
      </w:pPr>
    </w:p>
    <w:p w:rsidR="00000000" w:rsidRDefault="00000000">
      <w:pPr>
        <w:pStyle w:val="SingleTxt"/>
      </w:pPr>
      <w:r>
        <w:tab/>
        <w:t>La base normativa que determina los derechos políticos de los ciudadanos de la República de Macedonia es el artículo 2 de la Constitución, según el cual “La s</w:t>
      </w:r>
      <w:r>
        <w:t>o</w:t>
      </w:r>
      <w:r>
        <w:t>beranía de la República de Macedonia dimana de sus ciudadanos y pertenece a ellos; éstos la ejercitan por conducto de sus representantes democráticamente elegidos, de referéndums o de otras formas de expresión directa de su voluntad libre”. Además, entre los valores fundamentales del ordenamiento constitucional de la República de Macedonia figuran el pluralismo político y la celebración de elecciones libres, d</w:t>
      </w:r>
      <w:r>
        <w:t>i</w:t>
      </w:r>
      <w:r>
        <w:t>rectas y democráticas (renglón 5 del párrafo 2 del artículo 8 de la Constitución).</w:t>
      </w:r>
    </w:p>
    <w:p w:rsidR="00000000" w:rsidRDefault="00000000">
      <w:pPr>
        <w:pStyle w:val="SingleTxt"/>
      </w:pPr>
      <w:r>
        <w:tab/>
        <w:t>Los ciudadanos de la República de Macedonia participan indirectamente en las actividades públicas mediante la elección de los diputados del Parlamento, de los a</w:t>
      </w:r>
      <w:r>
        <w:t>l</w:t>
      </w:r>
      <w:r>
        <w:t>ca</w:t>
      </w:r>
      <w:r>
        <w:t>l</w:t>
      </w:r>
      <w:r>
        <w:t>des y de los concejales.</w:t>
      </w:r>
    </w:p>
    <w:p w:rsidR="00000000" w:rsidRDefault="00000000">
      <w:pPr>
        <w:pStyle w:val="SingleTxt"/>
      </w:pPr>
      <w:r>
        <w:tab/>
        <w:t>El derecho de voto de los ciudadanos queda garantizado en el artículo 22 de la Constitución, según el cual “Todos los ciudadanos de más de 18 años de edad tienen los mismos derechos de voto directo, que se lleva a cabo mediante elecciones libres y votación secreta”. La única restricción a la adquisición y el ejercicio de ese der</w:t>
      </w:r>
      <w:r>
        <w:t>e</w:t>
      </w:r>
      <w:r>
        <w:t>cho se refiere a las personas que se ven privadas de capacidad jurídica, lo cual les impide manifestar libremente su voluntad.</w:t>
      </w:r>
    </w:p>
    <w:p w:rsidR="00000000" w:rsidRDefault="00000000">
      <w:pPr>
        <w:pStyle w:val="SingleTxt"/>
      </w:pPr>
      <w:r>
        <w:tab/>
        <w:t>En el artículo 23 de la Constitución se dispone que todo ciudadano puede d</w:t>
      </w:r>
      <w:r>
        <w:t>e</w:t>
      </w:r>
      <w:r>
        <w:t>sempeñar funciones públicas. Esas funciones se refieren a las que realizan los pod</w:t>
      </w:r>
      <w:r>
        <w:t>e</w:t>
      </w:r>
      <w:r>
        <w:t>res legislativo, ejecutivo y judicial del Estado. Los ciudadanos pueden ejercitar ese derecho sin restricciones y en el marco de cualquier función pública, lo que signif</w:t>
      </w:r>
      <w:r>
        <w:t>i</w:t>
      </w:r>
      <w:r>
        <w:t>ca que dichas actividades pueden ser realizadas por todos los ciudadanos sin ningún t</w:t>
      </w:r>
      <w:r>
        <w:t>i</w:t>
      </w:r>
      <w:r>
        <w:t>po de discriminación.</w:t>
      </w:r>
    </w:p>
    <w:p w:rsidR="00000000" w:rsidRDefault="00000000">
      <w:pPr>
        <w:pStyle w:val="SingleTxt"/>
      </w:pPr>
      <w:r>
        <w:tab/>
        <w:t>Teniendo en cuenta las disposiciones indicadas y el principio fundamental de la no discriminación, no cabe duda de que la mujer de la República de Macedonia tiene los mismos derechos que el hombre en cuanto a participación en la vida polít</w:t>
      </w:r>
      <w:r>
        <w:t>i</w:t>
      </w:r>
      <w:r>
        <w:t>ca sin ningún tipo discriminación. No obstante, la igualdad ante la ley no es suf</w:t>
      </w:r>
      <w:r>
        <w:t>i</w:t>
      </w:r>
      <w:r>
        <w:t>ciente para asegurar una participación política significativa de la mujer. Los datos que figuran a continuación confirman este aserto.</w:t>
      </w:r>
    </w:p>
    <w:p w:rsidR="00000000" w:rsidRDefault="00000000">
      <w:pPr>
        <w:pStyle w:val="SingleTxt"/>
      </w:pPr>
      <w:r>
        <w:tab/>
        <w:t>Después de las elecciones parlamentarias de 1990, el número de diputadas era simbólico (cinco), por comparación con el número total de diputados (120) del Pa</w:t>
      </w:r>
      <w:r>
        <w:t>r</w:t>
      </w:r>
      <w:r>
        <w:t>lamento unicameral de la República de Macedonia. El número de mujeres elegidas diputadas en las elecciones de 1994 fue de cuatro, número que aumentó a nueve en 1998 (el número total de diputados seguía siendo 120). En las últimas elecciones, celebradas en 2002, de un total de 120 diputados, 21 eran mujeres. Ese número dista mucho de representar un nivel satisfactorio. Por consiguiente, aún no cabe esperar que la mujer desempeñe un papel decisivo en el proceso de adopción de decisiones a nivel parlamentario.</w:t>
      </w:r>
    </w:p>
    <w:p w:rsidR="00000000" w:rsidRDefault="00000000">
      <w:pPr>
        <w:pStyle w:val="SingleTxt"/>
        <w:rPr>
          <w:spacing w:val="2"/>
          <w:w w:val="101"/>
        </w:rPr>
      </w:pPr>
      <w:r>
        <w:rPr>
          <w:spacing w:val="2"/>
          <w:w w:val="101"/>
        </w:rPr>
        <w:tab/>
        <w:t>Los datos muestran que la razón fundamental de que el número de diputadas sea tan pequeño obedece a que apenas están representadas en las listas de candid</w:t>
      </w:r>
      <w:r>
        <w:rPr>
          <w:spacing w:val="2"/>
          <w:w w:val="101"/>
        </w:rPr>
        <w:t>a</w:t>
      </w:r>
      <w:r>
        <w:rPr>
          <w:spacing w:val="2"/>
          <w:w w:val="101"/>
        </w:rPr>
        <w:t>tos.</w:t>
      </w:r>
    </w:p>
    <w:p w:rsidR="00000000" w:rsidRDefault="00000000">
      <w:pPr>
        <w:pStyle w:val="SingleTxt"/>
      </w:pPr>
      <w:r>
        <w:tab/>
        <w:t>Así, en las elecciones parlamentarias de 1990, celebradas con arreglo al sist</w:t>
      </w:r>
      <w:r>
        <w:t>e</w:t>
      </w:r>
      <w:r>
        <w:t>ma de mayoría, se eligió a 120 diputados, de los que cinco eran mujeres, y en las elecciones de 1994, también celebradas con arreglo al sistema de mayoría, result</w:t>
      </w:r>
      <w:r>
        <w:t>a</w:t>
      </w:r>
      <w:r>
        <w:t xml:space="preserve">ron elegidas cuatro diputadas de un total de 120 diputados. Las elecciones de 1998 se celebraron con arreglo al sistema mixto, es decir, se siguieron el sistema de </w:t>
      </w:r>
      <w:r>
        <w:br/>
        <w:t>mayoría y el sistema proporcional. Los datos indican que, en las elecciones celebr</w:t>
      </w:r>
      <w:r>
        <w:t>a</w:t>
      </w:r>
      <w:r>
        <w:t>das con arreglo al sistema de mayoría, sólo había 53 mujeres entre los 614 candid</w:t>
      </w:r>
      <w:r>
        <w:t>a</w:t>
      </w:r>
      <w:r>
        <w:t>tos, en tanto que la situación resultó algo mejor en las listas proporcionales de los partidos polít</w:t>
      </w:r>
      <w:r>
        <w:t>i</w:t>
      </w:r>
      <w:r>
        <w:t>cos, ya que había 99 mujeres entre los 595 candidatos.</w:t>
      </w:r>
    </w:p>
    <w:p w:rsidR="00000000" w:rsidRDefault="00000000">
      <w:pPr>
        <w:pStyle w:val="SingleTxt"/>
      </w:pPr>
      <w:r>
        <w:tab/>
        <w:t>La información indicada lleva a la conclusión de que el número de candidatas es mayor en las listas proporcionales de los partidos. Según la teoría y la experie</w:t>
      </w:r>
      <w:r>
        <w:t>n</w:t>
      </w:r>
      <w:r>
        <w:t>cia de las demás democracias parlamentarias, una de las condiciones previas para el aumento del número de mujeres en el Parlamento es la reforma de la legislación electoral en favor del sistema proporcional. El sistema de mayoría no resulta eficaz en cuanto a la representación de la mujer en el poder legislativo no sólo en Maced</w:t>
      </w:r>
      <w:r>
        <w:t>o</w:t>
      </w:r>
      <w:r>
        <w:t>nia, sino también en otros países. Comparativamente, el sistema electoral propo</w:t>
      </w:r>
      <w:r>
        <w:t>r</w:t>
      </w:r>
      <w:r>
        <w:t>cional es más eficaz para confeccionar listas proporcionales de los partidos políticos desde la perspectiva de la igualdad entre los géneros. Sin embargo, la elección del sistema electoral viene determinada por varios factores que no cabe soslayar, entre los que figura la igualdad de representación entre los géneros.</w:t>
      </w:r>
    </w:p>
    <w:p w:rsidR="00000000" w:rsidRDefault="00000000">
      <w:pPr>
        <w:pStyle w:val="SingleTxt"/>
      </w:pPr>
      <w:r>
        <w:tab/>
        <w:t>En este sentido, los datos indican que el número de candidatas en las listas confeccionadas con arreglo al sistema de mayoría es más reducido, sobre todo po</w:t>
      </w:r>
      <w:r>
        <w:t>r</w:t>
      </w:r>
      <w:r>
        <w:t>que tradicionalmente se considera que un hombre tiene más posibilidades de ser elegido. Por otra parte, se da el fenómeno de la inclusión de un número mayor de candidatas en las listas proporcionales, si bien únicamente un pequeño número de ellas ocupa los primeros lugares de las listas de los partidos. Por consiguiente, no cabe duda de que el modelo electoral mixto, que combina el sistema de mayoría y el proporcional a los efectos de la elección de los diputados, y sobre todo el modelo exclusivamente proporcional, contribuyen a incrementar la inclusión de mujeres en las listas electorales de los partidos (principalmente en las proporcionales). No ob</w:t>
      </w:r>
      <w:r>
        <w:t>s</w:t>
      </w:r>
      <w:r>
        <w:t>tante, como ya se ha indicado, el sistema no resulta por sí mismo eficaz si no media una activa política de los partidos en pro de la igualdad entre los géneros.</w:t>
      </w:r>
    </w:p>
    <w:p w:rsidR="00000000" w:rsidRDefault="00000000">
      <w:pPr>
        <w:pStyle w:val="SingleTxt"/>
      </w:pPr>
      <w:r>
        <w:tab/>
        <w:t>A este respecto, se han realizado reformas de las leyes electorales en 2002 para conseguir una mejora de la posición de la mujer. Además del establecimiento del sistema electoral proporcional puro, según el cual los candidatos han de ser elegidos de una lista que haya servido para celebrar las últimas elecciones parlamentarias de ese mismo año, en el artículo 37 de la Ley de elección de los diputados de la Rep</w:t>
      </w:r>
      <w:r>
        <w:t>ú</w:t>
      </w:r>
      <w:r>
        <w:t>blica de Macedonia se establece la obligación de que haya por lo menos un 30% de repr</w:t>
      </w:r>
      <w:r>
        <w:t>e</w:t>
      </w:r>
      <w:r>
        <w:t>sentantes de cada uno de los géneros en las listas de candidatos.</w:t>
      </w:r>
    </w:p>
    <w:p w:rsidR="00000000" w:rsidRDefault="00000000">
      <w:pPr>
        <w:pStyle w:val="SingleTxt"/>
      </w:pPr>
      <w:r>
        <w:tab/>
        <w:t>Con miras a fomentar la igualdad entre los géneros en este ámbito, cabe señ</w:t>
      </w:r>
      <w:r>
        <w:t>a</w:t>
      </w:r>
      <w:r>
        <w:t>lar la necesidad de que se establezca un comité especial parlamentario en pro de la igualdad entre los géneros, que estaría integrado por diputados y expertos. Así pues, la cuestión de la igualdad entre los géneros se institucionalizaría a nivel parlament</w:t>
      </w:r>
      <w:r>
        <w:t>a</w:t>
      </w:r>
      <w:r>
        <w:t>rio. Ese comité tendría la función de analizar los proyectos de ley desde la perspe</w:t>
      </w:r>
      <w:r>
        <w:t>c</w:t>
      </w:r>
      <w:r>
        <w:t>tiva de la igualdad entre los géneros y, de esa manera, influiría en su contenido. Esa pr</w:t>
      </w:r>
      <w:r>
        <w:t>o</w:t>
      </w:r>
      <w:r>
        <w:t>puesta figura en el Plan de Acción Nacional.</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poder ejecutivo y en la administración pública</w:t>
      </w:r>
    </w:p>
    <w:p w:rsidR="00000000" w:rsidRDefault="00000000">
      <w:pPr>
        <w:pStyle w:val="SingleTxt"/>
        <w:spacing w:after="0" w:line="120" w:lineRule="exact"/>
        <w:rPr>
          <w:sz w:val="10"/>
        </w:rPr>
      </w:pPr>
    </w:p>
    <w:p w:rsidR="00000000" w:rsidRDefault="00000000">
      <w:pPr>
        <w:pStyle w:val="SingleTxt"/>
      </w:pPr>
      <w:r>
        <w:tab/>
        <w:t>La situación en el caso del poder ejecutivo también es negativa. El número de mujeres en todos los Gobiernos constituidos hasta el momento nunca ha rebasado el de tres, dentro de un Gobierno integrado por entre 20 y 27 miembros. En el actual Gobierno de coalición hay 18 ministros, de los que únicamente dos son mujeres (una es Viceprimera Ministra).</w:t>
      </w:r>
    </w:p>
    <w:p w:rsidR="00000000" w:rsidRDefault="00000000">
      <w:pPr>
        <w:pStyle w:val="SingleTxt"/>
      </w:pPr>
      <w:r>
        <w:tab/>
        <w:t>Comparativamente las mujeres de la República de Macedonia tienen un nivel de instrucción bastante elevado, razón por la que constituyen una mayoría entre los empleados de la administración pública.</w:t>
      </w:r>
    </w:p>
    <w:p w:rsidR="00000000" w:rsidRDefault="00000000">
      <w:pPr>
        <w:pStyle w:val="SingleTxt"/>
      </w:pPr>
      <w:r>
        <w:tab/>
        <w:t>Según los datos del Organismo de funcionarios públicos (Registro Central), que aún se están ordenando, hay 3.834 funcionarias públicas de un total de 7.500 funcionarios (quedan excluidos los empleados del Parlamento, el Ministerio del I</w:t>
      </w:r>
      <w:r>
        <w:t>n</w:t>
      </w:r>
      <w:r>
        <w:t>terior, el Ministerio de Economía y algunos tribunales de primera instancia). Hay 447 mujeres que ocupan cargos superiores en la administración pública, lo que r</w:t>
      </w:r>
      <w:r>
        <w:t>e</w:t>
      </w:r>
      <w:r>
        <w:t>presenta el 44% de un total de 1.014 funcionarios públicos que ocupan cargos de la misma categoría.</w:t>
      </w:r>
    </w:p>
    <w:p w:rsidR="00000000" w:rsidRDefault="00000000">
      <w:pPr>
        <w:pStyle w:val="SingleTxt"/>
      </w:pPr>
      <w:r>
        <w:tab/>
        <w:t>Los datos del Organismo de funcionarios públicos de la República de Maced</w:t>
      </w:r>
      <w:r>
        <w:t>o</w:t>
      </w:r>
      <w:r>
        <w:t>nia recogidos hasta la fecha ponen de manifiesto que el número de mujeres que oc</w:t>
      </w:r>
      <w:r>
        <w:t>u</w:t>
      </w:r>
      <w:r>
        <w:t>pan cargos superiores es igual al de hombres. No obstante, los datos no muestran la proporción entre los hombres y las mujeres que desempeñan esos cargos en cada una de las instituciones de la administración pública ni cómo se sitúa la mujer en los cargos superiores que entrañan (o no entrañan) facultades decisorias. Ello es una clara muestra de que, aunque las mujeres ocupan más del 50% de los cargos con p</w:t>
      </w:r>
      <w:r>
        <w:t>o</w:t>
      </w:r>
      <w:r>
        <w:t>der en la sociedad, esos cargos son de categoría inferior y sus titulares tienen la condición de funcionarias ordinarias, al tiempo que el número de mujeres que d</w:t>
      </w:r>
      <w:r>
        <w:t>e</w:t>
      </w:r>
      <w:r>
        <w:t>semp</w:t>
      </w:r>
      <w:r>
        <w:t>e</w:t>
      </w:r>
      <w:r>
        <w:t>ñen cargos decisorios es muy pequeño.</w:t>
      </w:r>
    </w:p>
    <w:p w:rsidR="00000000" w:rsidRDefault="00000000">
      <w:pPr>
        <w:pStyle w:val="SingleTxt"/>
      </w:pPr>
      <w:r>
        <w:tab/>
        <w:t>Según los datos del Gobierno de la República de Macedonia, en la Secretaría General, que es un servicio técnico del Gobierno, trabaja un total de 107 funcion</w:t>
      </w:r>
      <w:r>
        <w:t>a</w:t>
      </w:r>
      <w:r>
        <w:t>rios públicos, de los que 70 son mujeres. De esas 70 mujeres, hay 32 que ocupan cargos superiores. Además, en los órganos de la administración pública (ministerios, órganos independientes de la administración pública y órganos administrativos pr</w:t>
      </w:r>
      <w:r>
        <w:t>o</w:t>
      </w:r>
      <w:r>
        <w:t>pi</w:t>
      </w:r>
      <w:r>
        <w:t>a</w:t>
      </w:r>
      <w:r>
        <w:t>mente dichos) hay ocho funcionarias nombradas por el Gobierno.</w:t>
      </w:r>
    </w:p>
    <w:p w:rsidR="00000000" w:rsidRDefault="00000000">
      <w:pPr>
        <w:pStyle w:val="SingleTxt"/>
      </w:pPr>
      <w:r>
        <w:tab/>
        <w:t>Según los datos del Parlamento, éste cuenta con 113 funcionarias, de las que 32 ocupan cargos superiores.</w:t>
      </w:r>
    </w:p>
    <w:p w:rsidR="00000000" w:rsidRDefault="00000000">
      <w:pPr>
        <w:pStyle w:val="SingleTxt"/>
      </w:pPr>
      <w:r>
        <w:tab/>
        <w:t>A continuación figuran los datos obtenidos tras el análisis que se ha realizado de la estructura de los empleados del Ministerio del Interior:</w:t>
      </w:r>
    </w:p>
    <w:p w:rsidR="00000000" w:rsidRDefault="00000000">
      <w:pPr>
        <w:pStyle w:val="SingleTxt"/>
        <w:tabs>
          <w:tab w:val="right" w:pos="1685"/>
        </w:tabs>
        <w:ind w:left="1742" w:hanging="475"/>
      </w:pPr>
      <w:r>
        <w:tab/>
        <w:t>–</w:t>
      </w:r>
      <w:r>
        <w:tab/>
        <w:t>En 1998 las mujeres representaban el 15,06% del número total de empleados del Ministerio.</w:t>
      </w:r>
    </w:p>
    <w:p w:rsidR="00000000" w:rsidRDefault="00000000">
      <w:pPr>
        <w:pStyle w:val="SingleTxt"/>
      </w:pPr>
      <w:r>
        <w:tab/>
        <w:t>La representación de las mujeres era inferior en la policía, es decir, en el sector uniformado del Ministerio; así pues, representaban el 2,6% de los empleados y el 17,2% de las empleadas del Ministerio.</w:t>
      </w:r>
    </w:p>
    <w:p w:rsidR="00000000" w:rsidRDefault="00000000">
      <w:pPr>
        <w:pStyle w:val="SingleTxt"/>
      </w:pPr>
      <w:r>
        <w:tab/>
        <w:t>Contrariamente a lo que ocurría en el caso de la policía, las mujeres estaban mejor representadas en las demás dependencias orgánicas del Ministerio; así, repr</w:t>
      </w:r>
      <w:r>
        <w:t>e</w:t>
      </w:r>
      <w:r>
        <w:t>sent</w:t>
      </w:r>
      <w:r>
        <w:t>a</w:t>
      </w:r>
      <w:r>
        <w:t>ban el 12,47% de los empleados y el 82,8% de las empleadas del Ministerio.</w:t>
      </w:r>
    </w:p>
    <w:p w:rsidR="00000000" w:rsidRDefault="00000000">
      <w:pPr>
        <w:pStyle w:val="SingleTxt"/>
        <w:tabs>
          <w:tab w:val="right" w:pos="1685"/>
        </w:tabs>
        <w:ind w:left="1742" w:hanging="475"/>
      </w:pPr>
      <w:r>
        <w:tab/>
        <w:t>–</w:t>
      </w:r>
      <w:r>
        <w:tab/>
        <w:t>En 1999 se registró un ligero aumento del número de empleadas del Ministerio del Interior, ya que pasaron a representar el 16,32%. Las mujeres que ocup</w:t>
      </w:r>
      <w:r>
        <w:t>a</w:t>
      </w:r>
      <w:r>
        <w:t>ban puestos de trabajo en la policía representaban el 2,62% de los empleados y el 16,04% de las empleadas del Ministerio.</w:t>
      </w:r>
    </w:p>
    <w:p w:rsidR="00000000" w:rsidRDefault="00000000">
      <w:pPr>
        <w:pStyle w:val="SingleTxt"/>
      </w:pPr>
      <w:r>
        <w:tab/>
        <w:t>En 1999 las mujeres también estuvieron mejor representadas en los puestos de trabajo de las demás dependencias orgánicas del Ministerio, ya que constituyeron el 13,7% de los empleados y el 83,95% de las empleadas del Ministerio.</w:t>
      </w:r>
    </w:p>
    <w:p w:rsidR="00000000" w:rsidRDefault="00000000">
      <w:pPr>
        <w:pStyle w:val="SingleTxt"/>
        <w:tabs>
          <w:tab w:val="right" w:pos="1685"/>
        </w:tabs>
        <w:ind w:left="1742" w:hanging="475"/>
      </w:pPr>
      <w:r>
        <w:tab/>
        <w:t>–</w:t>
      </w:r>
      <w:r>
        <w:tab/>
        <w:t>En 2000 las mujeres representaban el 16,61% del total de empleados del M</w:t>
      </w:r>
      <w:r>
        <w:t>i</w:t>
      </w:r>
      <w:r>
        <w:t>nisterio. Las mujeres representaban el 3,2% del total de empleados de la pol</w:t>
      </w:r>
      <w:r>
        <w:t>i</w:t>
      </w:r>
      <w:r>
        <w:t>cía, lo que con</w:t>
      </w:r>
      <w:r>
        <w:t>s</w:t>
      </w:r>
      <w:r>
        <w:t>tituían el 19,31% de empleadas del Ministerio.</w:t>
      </w:r>
    </w:p>
    <w:p w:rsidR="00000000" w:rsidRDefault="00000000">
      <w:pPr>
        <w:pStyle w:val="SingleTxt"/>
      </w:pPr>
      <w:r>
        <w:tab/>
        <w:t>Era mucho mayor el número de empleadas en cargos que no eran de la policía y su número en 2000 representó el 13,4% del total de empleados del Ministerio y el 80,68% de las empleadas.</w:t>
      </w:r>
    </w:p>
    <w:p w:rsidR="00000000" w:rsidRDefault="00000000">
      <w:pPr>
        <w:pStyle w:val="SingleTxt"/>
        <w:tabs>
          <w:tab w:val="right" w:pos="1685"/>
        </w:tabs>
        <w:ind w:left="1742" w:hanging="475"/>
      </w:pPr>
      <w:r>
        <w:tab/>
        <w:t>–</w:t>
      </w:r>
      <w:r>
        <w:tab/>
        <w:t>Por comparación con los años anteriores, en 2001 disminuyó el número de empleadas del Ministerio del Interior, ya que pasó a representar el 15,76% del número total de los empleados.</w:t>
      </w:r>
    </w:p>
    <w:p w:rsidR="00000000" w:rsidRDefault="00000000">
      <w:pPr>
        <w:pStyle w:val="SingleTxt"/>
      </w:pPr>
      <w:r>
        <w:tab/>
        <w:t>En 2001 las mujeres que trabajaban en la policía representaron el 3,54% de los empleados y el 22,46% de las empleadas del Ministerio, en tanto que en las demás dependencias orgánicas las mujeres representaron el 12,22% de los empleados y el 77, 53% de las empleadas del Ministerio.</w:t>
      </w:r>
    </w:p>
    <w:p w:rsidR="00000000" w:rsidRDefault="00000000">
      <w:pPr>
        <w:pStyle w:val="SingleTxt"/>
        <w:tabs>
          <w:tab w:val="right" w:pos="1685"/>
        </w:tabs>
        <w:ind w:left="1742" w:hanging="475"/>
      </w:pPr>
      <w:r>
        <w:tab/>
        <w:t>–</w:t>
      </w:r>
      <w:r>
        <w:tab/>
        <w:t>En 2002 las mujeres representaron el 15,91% del número total de empleados del Ministerio del Interior. El 4,1% del total de empleados y el 25,7% de e</w:t>
      </w:r>
      <w:r>
        <w:t>m</w:t>
      </w:r>
      <w:r>
        <w:t>pleadas del Ministerio trabajaban en la policía. Sin incluir la policía, las muj</w:t>
      </w:r>
      <w:r>
        <w:t>e</w:t>
      </w:r>
      <w:r>
        <w:t>res representaban el 11,81% de los empleados y el 74,27% de las empleadas del Ministerio.</w:t>
      </w:r>
    </w:p>
    <w:p w:rsidR="00000000" w:rsidRDefault="00000000">
      <w:pPr>
        <w:pStyle w:val="SingleTxt"/>
      </w:pPr>
      <w:r>
        <w:tab/>
        <w:t>En la actualidad sólo hay 40 mujeres que ocupan cargos superiores en los d</w:t>
      </w:r>
      <w:r>
        <w:t>e</w:t>
      </w:r>
      <w:r>
        <w:t>partamentos civiles y de seguridad del Ministerio del Interior y contribuyen en gran medida a la reforma de la policía, al tiempo que participan activamente en la a</w:t>
      </w:r>
      <w:r>
        <w:t>m</w:t>
      </w:r>
      <w:r>
        <w:t>pliación de facultades del Ministerio.</w:t>
      </w:r>
    </w:p>
    <w:p w:rsidR="00000000" w:rsidRDefault="00000000">
      <w:pPr>
        <w:pStyle w:val="SingleTxt"/>
      </w:pPr>
      <w:r>
        <w:tab/>
        <w:t>Con objeto de mejorar esa situación, el Gobierno ha previsto la realización de las s</w:t>
      </w:r>
      <w:r>
        <w:t>i</w:t>
      </w:r>
      <w:r>
        <w:t>guientes actividades prioritarias en el marco del Plan de Acción Nacional:</w:t>
      </w:r>
    </w:p>
    <w:p w:rsidR="00000000" w:rsidRDefault="00000000">
      <w:pPr>
        <w:pStyle w:val="SingleTxt"/>
        <w:tabs>
          <w:tab w:val="right" w:pos="1685"/>
        </w:tabs>
        <w:ind w:left="1742" w:hanging="475"/>
      </w:pPr>
      <w:r>
        <w:tab/>
        <w:t>–</w:t>
      </w:r>
      <w:r>
        <w:tab/>
        <w:t>Considerar la igualdad entre los géneros con carácter prioritario en el progr</w:t>
      </w:r>
      <w:r>
        <w:t>a</w:t>
      </w:r>
      <w:r>
        <w:t>ma del Gobierno;</w:t>
      </w:r>
    </w:p>
    <w:p w:rsidR="00000000" w:rsidRDefault="00000000">
      <w:pPr>
        <w:pStyle w:val="SingleTxt"/>
        <w:tabs>
          <w:tab w:val="right" w:pos="1685"/>
        </w:tabs>
        <w:ind w:left="1742" w:hanging="475"/>
      </w:pPr>
      <w:r>
        <w:tab/>
        <w:t>–</w:t>
      </w:r>
      <w:r>
        <w:tab/>
        <w:t>Determinar en su totalidad la situación estadística desde la perspectiva de la repr</w:t>
      </w:r>
      <w:r>
        <w:t>e</w:t>
      </w:r>
      <w:r>
        <w:t>sentación de los géneros;</w:t>
      </w:r>
    </w:p>
    <w:p w:rsidR="00000000" w:rsidRDefault="00000000">
      <w:pPr>
        <w:pStyle w:val="SingleTxt"/>
        <w:tabs>
          <w:tab w:val="right" w:pos="1685"/>
        </w:tabs>
        <w:ind w:left="1742" w:hanging="475"/>
      </w:pPr>
      <w:r>
        <w:tab/>
        <w:t>–</w:t>
      </w:r>
      <w:r>
        <w:tab/>
        <w:t>Informar periódicamente acerca de la mejora o el empeoramiento del equil</w:t>
      </w:r>
      <w:r>
        <w:t>i</w:t>
      </w:r>
      <w:r>
        <w:t>brio e</w:t>
      </w:r>
      <w:r>
        <w:t>n</w:t>
      </w:r>
      <w:r>
        <w:t>tre los géneros en la política;</w:t>
      </w:r>
    </w:p>
    <w:p w:rsidR="00000000" w:rsidRDefault="00000000">
      <w:pPr>
        <w:pStyle w:val="SingleTxt"/>
        <w:tabs>
          <w:tab w:val="right" w:pos="1685"/>
        </w:tabs>
        <w:ind w:left="1742" w:hanging="475"/>
      </w:pPr>
      <w:r>
        <w:tab/>
        <w:t>–</w:t>
      </w:r>
      <w:r>
        <w:tab/>
        <w:t>Formar al personal de la administración para que aplique una política de igua</w:t>
      </w:r>
      <w:r>
        <w:t>l</w:t>
      </w:r>
      <w:r>
        <w:t>dad entre los géneros;</w:t>
      </w:r>
    </w:p>
    <w:p w:rsidR="00000000" w:rsidRDefault="00000000">
      <w:pPr>
        <w:pStyle w:val="SingleTxt"/>
        <w:tabs>
          <w:tab w:val="right" w:pos="1685"/>
        </w:tabs>
        <w:ind w:left="1742" w:hanging="475"/>
      </w:pPr>
      <w:r>
        <w:tab/>
        <w:t>–</w:t>
      </w:r>
      <w:r>
        <w:tab/>
        <w:t>Adoptar medidas a nivel nacional e internacional en apoyo de los proyectos encaminados al fortalecimiento institucional de los mecanismos nacionales en pro de la igualdad entre los géneros;</w:t>
      </w:r>
    </w:p>
    <w:p w:rsidR="00000000" w:rsidRDefault="00000000">
      <w:pPr>
        <w:pStyle w:val="SingleTxt"/>
        <w:tabs>
          <w:tab w:val="right" w:pos="1685"/>
        </w:tabs>
        <w:ind w:left="1742" w:hanging="475"/>
      </w:pPr>
      <w:r>
        <w:tab/>
        <w:t>–</w:t>
      </w:r>
      <w:r>
        <w:tab/>
        <w:t>Establecer la práctica de supervisar a las instituciones del Gobierno;</w:t>
      </w:r>
    </w:p>
    <w:p w:rsidR="00000000" w:rsidRDefault="00000000">
      <w:pPr>
        <w:pStyle w:val="SingleTxt"/>
        <w:tabs>
          <w:tab w:val="right" w:pos="1685"/>
        </w:tabs>
        <w:ind w:left="1742" w:hanging="475"/>
      </w:pPr>
      <w:r>
        <w:tab/>
        <w:t>–</w:t>
      </w:r>
      <w:r>
        <w:tab/>
        <w:t>Aplicación de una política en pro del equilibrio entre los géneros al proponer candidatos para desempeñar cargos en los órganos de las Naciones Unidas, el Co</w:t>
      </w:r>
      <w:r>
        <w:t>n</w:t>
      </w:r>
      <w:r>
        <w:t>sejo de Europa y la DMO;</w:t>
      </w:r>
    </w:p>
    <w:p w:rsidR="00000000" w:rsidRDefault="00000000">
      <w:pPr>
        <w:pStyle w:val="SingleTxt"/>
        <w:tabs>
          <w:tab w:val="right" w:pos="1685"/>
        </w:tabs>
        <w:ind w:left="1742" w:hanging="475"/>
      </w:pPr>
      <w:r>
        <w:tab/>
        <w:t>–</w:t>
      </w:r>
      <w:r>
        <w:tab/>
        <w:t>Proceder con arreglo al principio de la igualdad entre los géneros al nombrar a e</w:t>
      </w:r>
      <w:r>
        <w:t>m</w:t>
      </w:r>
      <w:r>
        <w:t>bajadores y a otros funcionarios que presten servicios en el extranjero.</w:t>
      </w:r>
    </w:p>
    <w:p w:rsidR="00000000" w:rsidRDefault="00000000">
      <w:pPr>
        <w:pStyle w:val="SingleTxt"/>
      </w:pPr>
      <w:r>
        <w:tab/>
        <w:t>Además, se ha previsto la realización de las actividades siguientes cuyo objet</w:t>
      </w:r>
      <w:r>
        <w:t>i</w:t>
      </w:r>
      <w:r>
        <w:t>vo, entre otros, es mejorar la condición jurídica y social de la mujer en esta esfera:</w:t>
      </w:r>
    </w:p>
    <w:p w:rsidR="00000000" w:rsidRDefault="00000000">
      <w:pPr>
        <w:pStyle w:val="SingleTxt"/>
        <w:tabs>
          <w:tab w:val="right" w:pos="1685"/>
        </w:tabs>
        <w:ind w:left="1742" w:hanging="475"/>
      </w:pPr>
      <w:r>
        <w:tab/>
        <w:t>–</w:t>
      </w:r>
      <w:r>
        <w:tab/>
        <w:t>Nombrar a una ministra sin cartera para que se ocupe de esas cuestiones;</w:t>
      </w:r>
    </w:p>
    <w:p w:rsidR="00000000" w:rsidRDefault="00000000">
      <w:pPr>
        <w:pStyle w:val="SingleTxt"/>
        <w:tabs>
          <w:tab w:val="right" w:pos="1685"/>
        </w:tabs>
        <w:ind w:left="1742" w:hanging="475"/>
      </w:pPr>
      <w:r>
        <w:tab/>
        <w:t>–</w:t>
      </w:r>
      <w:r>
        <w:tab/>
        <w:t>Establecer normas y determinar concretamente la condición, las funciones, la estructura y las relaciones con el sector gubernamental y no gubernamental del Comité Nacional para la igualdad entre los géneros en su calidad de órgano permanente;</w:t>
      </w:r>
    </w:p>
    <w:p w:rsidR="00000000" w:rsidRDefault="00000000">
      <w:pPr>
        <w:pStyle w:val="SingleTxt"/>
        <w:tabs>
          <w:tab w:val="right" w:pos="1685"/>
        </w:tabs>
        <w:ind w:left="1742" w:hanging="475"/>
      </w:pPr>
      <w:r>
        <w:tab/>
        <w:t>–</w:t>
      </w:r>
      <w:r>
        <w:tab/>
        <w:t>Establecer un equilibrio entre los géneros en lo concerniente a las funciones minist</w:t>
      </w:r>
      <w:r>
        <w:t>e</w:t>
      </w:r>
      <w:r>
        <w:t>riales y a los funcionarios nombrados por el Gobierno;</w:t>
      </w:r>
    </w:p>
    <w:p w:rsidR="00000000" w:rsidRDefault="00000000">
      <w:pPr>
        <w:pStyle w:val="SingleTxt"/>
        <w:tabs>
          <w:tab w:val="right" w:pos="1685"/>
        </w:tabs>
        <w:ind w:left="1742" w:hanging="475"/>
      </w:pPr>
      <w:r>
        <w:tab/>
        <w:t>–</w:t>
      </w:r>
      <w:r>
        <w:tab/>
        <w:t>Fomentar el establecimiento de un sistema de contratación de funcionarios p</w:t>
      </w:r>
      <w:r>
        <w:t>ú</w:t>
      </w:r>
      <w:r>
        <w:t>blicos en función de sus conocimientos teóricos y prácticos y sus capacidades;</w:t>
      </w:r>
    </w:p>
    <w:p w:rsidR="00000000" w:rsidRDefault="00000000">
      <w:pPr>
        <w:pStyle w:val="SingleTxt"/>
        <w:tabs>
          <w:tab w:val="right" w:pos="1685"/>
        </w:tabs>
        <w:ind w:left="1742" w:hanging="475"/>
      </w:pPr>
      <w:r>
        <w:tab/>
        <w:t>–</w:t>
      </w:r>
      <w:r>
        <w:tab/>
        <w:t>Realizar una investigación acerca de los efectos de la desigualdad entre los g</w:t>
      </w:r>
      <w:r>
        <w:t>é</w:t>
      </w:r>
      <w:r>
        <w:t>neros en el marco del proceso de adopción de decisiones políticas.</w:t>
      </w:r>
    </w:p>
    <w:p w:rsidR="00000000" w:rsidRDefault="00000000">
      <w:pPr>
        <w:pStyle w:val="SingleTxt"/>
      </w:pPr>
      <w:r>
        <w:tab/>
        <w:t>En el anexo del presente informe figuran los datos estadísticos concretos de las ele</w:t>
      </w:r>
      <w:r>
        <w:t>c</w:t>
      </w:r>
      <w:r>
        <w:t>ciones parlamentarias de 2002.</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autogobierno local</w:t>
      </w:r>
    </w:p>
    <w:p w:rsidR="00000000" w:rsidRDefault="00000000">
      <w:pPr>
        <w:pStyle w:val="SingleTxt"/>
        <w:spacing w:after="0" w:line="120" w:lineRule="exact"/>
        <w:rPr>
          <w:sz w:val="10"/>
        </w:rPr>
      </w:pPr>
    </w:p>
    <w:p w:rsidR="00000000" w:rsidRDefault="00000000">
      <w:pPr>
        <w:pStyle w:val="SingleTxt"/>
      </w:pPr>
      <w:r>
        <w:tab/>
        <w:t>Frecuentemente se manifiesta la opinión de que el autogobierno local es el n</w:t>
      </w:r>
      <w:r>
        <w:t>i</w:t>
      </w:r>
      <w:r>
        <w:t>vel primario y verdadero de gobierno, ya que posibilita la participación de la mujer en el proceso de adopción de decisiones. Las experiencias de cierto número de pa</w:t>
      </w:r>
      <w:r>
        <w:t>í</w:t>
      </w:r>
      <w:r>
        <w:t>ses de Europa oriental ponen de manifiesto que hay destacadas políticas que inici</w:t>
      </w:r>
      <w:r>
        <w:t>a</w:t>
      </w:r>
      <w:r>
        <w:t>ron su carrera y se integraron en las estructuras de poder precisamente en el ámbito de la política local. No cabe duda de que, habida cuenta de la necesidad de lograr un equilibrio entre las funciones sociobiológicas de la mujer y su participación en la política, resulta más aceptable para las mujeres entrar a formar parte del gobierno local. Las razones fundamentales estriban en la cercanía de su lugar de residencia, su mayor presencia en el hogar y el mayor número de oportunidades para participar con éxito en el gobierno local, dado que conocen mejor las cuestiones que interesan en ese ámbito. No obstante, la política de los partidos en lo concerniente a la co</w:t>
      </w:r>
      <w:r>
        <w:t>n</w:t>
      </w:r>
      <w:r>
        <w:t>fección de listas de candidatos sigue siendo el factor decisivo de los procesos ele</w:t>
      </w:r>
      <w:r>
        <w:t>c</w:t>
      </w:r>
      <w:r>
        <w:t>torales. Por desgracia, en la República de Macedonia esa política, incluso a nivel l</w:t>
      </w:r>
      <w:r>
        <w:t>o</w:t>
      </w:r>
      <w:r>
        <w:t>cal, sigue estando claramente determinada por actitudes tradicionales en relación con las funciones del hombre y la mujer.</w:t>
      </w:r>
    </w:p>
    <w:p w:rsidR="00000000" w:rsidRDefault="00000000">
      <w:pPr>
        <w:pStyle w:val="SingleTxt"/>
      </w:pPr>
      <w:r>
        <w:tab/>
        <w:t>A este respecto, es importante destacar que en las elecciones locales celebradas en 2000 había que votar a partidos y no a candidatos, razón por la que se consideró que la votación tendría repercusiones positivas en cuanto al aumento del número de mujeres incluidas en las listas de los partidos. Además, se esperaba que las mujeres figurasen en los primeros puestos de las listas. A tal efecto, la Unión de Organiz</w:t>
      </w:r>
      <w:r>
        <w:t>a</w:t>
      </w:r>
      <w:r>
        <w:t>ciones de Mujeres de Macedonia organizó una campaña durante las elecciones con el lema de “el 51%”, si bien lamentablemente la campaña estuvo en gran medida supeditada a la posición de los diferentes partidos. Constituyó otra prueba de que las mujeres debían ocupar puestos destacados en sus respectivos partidos políticos para poder acceder a posiciones superiores en los órganos de adopción de decisiones p</w:t>
      </w:r>
      <w:r>
        <w:t>o</w:t>
      </w:r>
      <w:r>
        <w:t>líticas del país.</w:t>
      </w:r>
    </w:p>
    <w:p w:rsidR="00000000" w:rsidRDefault="00000000">
      <w:pPr>
        <w:pStyle w:val="SingleTxt"/>
      </w:pPr>
      <w:r>
        <w:tab/>
        <w:t>Con arreglo a la organización territorial existente, hay 123 municipios en M</w:t>
      </w:r>
      <w:r>
        <w:t>a</w:t>
      </w:r>
      <w:r>
        <w:t>cedonia, lo que contrasta con los 34 que había hasta 1995. Sin embargo, ese a</w:t>
      </w:r>
      <w:r>
        <w:t>u</w:t>
      </w:r>
      <w:r>
        <w:t>mento del número de municipios no dio lugar a ningún cambio por lo que respecta al sexo de los alcaldes de los nuevos municipios. Así, después de la celebración de las segundas elecciones locales, en 1996, no hubo ninguna mujer que fuera elegida alcaldesa. Además, es de destacar que el número de concejalas es considerablemente inferior al de concejales. Por ello, después de la celebración de las primeras elecci</w:t>
      </w:r>
      <w:r>
        <w:t>o</w:t>
      </w:r>
      <w:r>
        <w:t>nes locales, en 1990, únicamente eran mujeres cuatro de los 70 concejales del ayuntamiento de Skopje, al tiempo que, de los 1.510 concejales elegidos en todos los ayuntamientos, únicamente 74 eran mujeres. En las siguientes elecciones loc</w:t>
      </w:r>
      <w:r>
        <w:t>a</w:t>
      </w:r>
      <w:r>
        <w:t>les, celebradas en 1996, no fue elegida alcaldesa ninguna mujer, al tiempo que, del total de 1.884 concejales elegidos, únicamente 105 eran mujeres. En las últimas elecciones locales, celebradas en 2000, se eligió a 123 alcaldes, de los que tres eran muj</w:t>
      </w:r>
      <w:r>
        <w:t>e</w:t>
      </w:r>
      <w:r>
        <w:t>res, al tiempo que, de 1.906 concejales elegidos, 161 eran mujeres.</w:t>
      </w:r>
    </w:p>
    <w:p w:rsidR="00000000" w:rsidRDefault="00000000">
      <w:pPr>
        <w:pStyle w:val="SingleTxt"/>
        <w:rPr>
          <w:spacing w:val="2"/>
          <w:w w:val="101"/>
        </w:rPr>
      </w:pPr>
      <w:r>
        <w:rPr>
          <w:spacing w:val="2"/>
          <w:w w:val="101"/>
        </w:rPr>
        <w:tab/>
        <w:t>El aumento del número de mujeres en las listas de los partidos es de suma impo</w:t>
      </w:r>
      <w:r>
        <w:rPr>
          <w:spacing w:val="2"/>
          <w:w w:val="101"/>
        </w:rPr>
        <w:t>r</w:t>
      </w:r>
      <w:r>
        <w:rPr>
          <w:spacing w:val="2"/>
          <w:w w:val="101"/>
        </w:rPr>
        <w:t>tancia tanto en las elecciones generales como locales y, cuando se enmarca dentro del sistema proporcional, las mujeres deberían ocupar los primeros puestos de las listas.</w:t>
      </w:r>
    </w:p>
    <w:p w:rsidR="00000000" w:rsidRDefault="00000000">
      <w:pPr>
        <w:pStyle w:val="SingleTxt"/>
      </w:pPr>
      <w:r>
        <w:tab/>
        <w:t>A tal efecto, con motivo de la celebración de las terceras elecciones locales, en 2000, la Dependencia de igualdad entre los géneros del Ministerio de Trabajo y P</w:t>
      </w:r>
      <w:r>
        <w:t>o</w:t>
      </w:r>
      <w:r>
        <w:t>lítica Social, las organizaciones de mujeres y los foros de mujeres de los partidos políticos realizaron diversas actividades para que aumentara el número de mujeres en los puestos decisorios a nivel local. De resultas de la iniciativa presentada por el Equipo de Tareas para la igualdad entre los géneros en el marco del Pacto de Est</w:t>
      </w:r>
      <w:r>
        <w:t>a</w:t>
      </w:r>
      <w:r>
        <w:t>bilidad, y de conformidad con el lema del Equipo de Tareas, se constituyó el Grupo de Presión de Mujeres de la República de Macedonia, que era un amplio foro de mujeres encargado de ejecutar un proyecto encaminado a promover la mejora de su posición, especialmente haciendo presión en los partidos políticos para que pusieran plenamente en práctica la política de igualdad entre los géneros al confeccionar las listas de candidatos a las elecciones locales. Al mismo tiempo, se realizaron otras actividades para modificar los puntos de vista tradicionales en cuanto a las funci</w:t>
      </w:r>
      <w:r>
        <w:t>o</w:t>
      </w:r>
      <w:r>
        <w:t>nes del hombre y de la mujer y se emprendieron iniciativas de reforma de las leyes que obstaculizaban el aumento de la participación de la mujer en la política.</w:t>
      </w:r>
    </w:p>
    <w:p w:rsidR="00000000" w:rsidRDefault="00000000">
      <w:pPr>
        <w:pStyle w:val="SingleTxt"/>
      </w:pPr>
      <w:r>
        <w:tab/>
        <w:t>Los datos estadísticos concretos sobre las elecciones locales de 2000 figuran en el anexo del presente informe.</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partidos políticos y la igualdad entre los géneros</w:t>
      </w:r>
    </w:p>
    <w:p w:rsidR="00000000" w:rsidRDefault="00000000">
      <w:pPr>
        <w:pStyle w:val="SingleTxt"/>
        <w:spacing w:after="0" w:line="120" w:lineRule="exact"/>
        <w:rPr>
          <w:sz w:val="10"/>
        </w:rPr>
      </w:pPr>
    </w:p>
    <w:p w:rsidR="00000000" w:rsidRDefault="00000000">
      <w:pPr>
        <w:pStyle w:val="SingleTxt"/>
      </w:pPr>
      <w:r>
        <w:tab/>
        <w:t>El principio de la no discriminación que figura en la Constitución se recoge plenamente en los programas y plataformas electorales de todos los partidos polít</w:t>
      </w:r>
      <w:r>
        <w:t>i</w:t>
      </w:r>
      <w:r>
        <w:t>cos de Macedonia. Sin embargo, no cabe duda de que la igualdad entre los géneros no figura entre las principales prioridades de los partidos políticos. Aunque en sus programas políticos propugnan la mejora de la condición jurídica y social de la m</w:t>
      </w:r>
      <w:r>
        <w:t>u</w:t>
      </w:r>
      <w:r>
        <w:t>jer en el marco de la sociedad, esa formulación es únicamente declarativa, habida cuenta de los hechos señalados en relación con las elecciones generales y locales. Es obvio que, sin una mayor participación de la mujer en el proceso de adopción de d</w:t>
      </w:r>
      <w:r>
        <w:t>e</w:t>
      </w:r>
      <w:r>
        <w:t>cisiones, resultará imposible que mejore su situación social. A este respecto, los partidos políticos deben asumir un papel fundamental de fomento de la participación de la mujer en la política.</w:t>
      </w:r>
    </w:p>
    <w:p w:rsidR="00000000" w:rsidRDefault="00000000">
      <w:pPr>
        <w:pStyle w:val="SingleTxt"/>
        <w:rPr>
          <w:spacing w:val="2"/>
          <w:w w:val="101"/>
        </w:rPr>
      </w:pPr>
      <w:r>
        <w:rPr>
          <w:spacing w:val="2"/>
          <w:w w:val="101"/>
        </w:rPr>
        <w:tab/>
        <w:t>La inclusión de más mujeres en las listas de candidatos depende en gran medida de la posición de las mujeres en los órganos de los partidos políticos, cuyo número es aún reducido. Lamentablemente los partidos políticos de Macedonia no adoptan med</w:t>
      </w:r>
      <w:r>
        <w:rPr>
          <w:spacing w:val="2"/>
          <w:w w:val="101"/>
        </w:rPr>
        <w:t>i</w:t>
      </w:r>
      <w:r>
        <w:rPr>
          <w:spacing w:val="2"/>
          <w:w w:val="101"/>
        </w:rPr>
        <w:t>das de acción positiva en lo tocante a las candidatas y aún no están dispuestos a aceptar cuotas para que aumente el número de mujeres en sus órganos d</w:t>
      </w:r>
      <w:r>
        <w:rPr>
          <w:spacing w:val="2"/>
          <w:w w:val="101"/>
        </w:rPr>
        <w:t>e</w:t>
      </w:r>
      <w:r>
        <w:rPr>
          <w:spacing w:val="2"/>
          <w:w w:val="101"/>
        </w:rPr>
        <w:t>cisorios.</w:t>
      </w:r>
    </w:p>
    <w:p w:rsidR="00000000" w:rsidRDefault="00000000">
      <w:pPr>
        <w:pStyle w:val="SingleTxt"/>
      </w:pPr>
      <w:r>
        <w:tab/>
        <w:t>En los últimos años se han organizado foros de mujeres en el marco de los partidos políticos. Ello pone de manifiesto la tendencia de las mujeres afiliadas a los partidos a articular sus demandas e intereses. No obstante, esos foros no desemp</w:t>
      </w:r>
      <w:r>
        <w:t>e</w:t>
      </w:r>
      <w:r>
        <w:t>ñan un papel clave en el proceso de adopción de decisiones sobre la igualdad entre los géneros. No cabe duda de que, sin una actitud activa de los partidos políticos a los efectos de fomentar la igualdad entre los géneros como uno de los principios democráticos fundamentales, dicha igualdad seguirá siendo únicamente un tema de los programas y plataformas electorales. La política activa manifestada por los ó</w:t>
      </w:r>
      <w:r>
        <w:t>r</w:t>
      </w:r>
      <w:r>
        <w:t>ganos de los partidos políticos y la organización adecuada de actividades por parte de las mujeres afiliadas a esos partidos contribuirán a que aumente el número de mujeres en los procesos de adopción de decisiones, lo que, a su vez, generará las cond</w:t>
      </w:r>
      <w:r>
        <w:t>i</w:t>
      </w:r>
      <w:r>
        <w:t>ciones necesarias para que mejore la situación de la mujer en la sociedad.</w:t>
      </w:r>
    </w:p>
    <w:p w:rsidR="00000000" w:rsidRDefault="00000000">
      <w:pPr>
        <w:pStyle w:val="SingleTxt"/>
      </w:pPr>
      <w:r>
        <w:tab/>
        <w:t>En el Plan de Acción Nacional figuran los objetivos siguientes de los partidos políticos para mejorar la posición de la mujer en las estructuras encargadas de la adopción de decisiones, objetivos estos de los que sólo se ha cumplido uno:</w:t>
      </w:r>
    </w:p>
    <w:p w:rsidR="00000000" w:rsidRDefault="00000000">
      <w:pPr>
        <w:pStyle w:val="SingleTxt"/>
        <w:tabs>
          <w:tab w:val="right" w:pos="1685"/>
        </w:tabs>
        <w:ind w:left="1742" w:hanging="475"/>
      </w:pPr>
      <w:r>
        <w:tab/>
        <w:t>–</w:t>
      </w:r>
      <w:r>
        <w:tab/>
        <w:t>Considerar la igualdad entre los géneros como objetivo prioritario;</w:t>
      </w:r>
    </w:p>
    <w:p w:rsidR="00000000" w:rsidRDefault="00000000">
      <w:pPr>
        <w:pStyle w:val="SingleTxt"/>
        <w:tabs>
          <w:tab w:val="right" w:pos="1685"/>
        </w:tabs>
        <w:ind w:left="1742" w:hanging="475"/>
      </w:pPr>
      <w:r>
        <w:tab/>
        <w:t>–</w:t>
      </w:r>
      <w:r>
        <w:tab/>
        <w:t>Lograr que participe un mayor número de mujeres en los órganos superiores de los respectivos partidos;</w:t>
      </w:r>
    </w:p>
    <w:p w:rsidR="00000000" w:rsidRDefault="00000000">
      <w:pPr>
        <w:pStyle w:val="SingleTxt"/>
        <w:tabs>
          <w:tab w:val="right" w:pos="1685"/>
        </w:tabs>
        <w:ind w:left="1742" w:hanging="475"/>
      </w:pPr>
      <w:r>
        <w:tab/>
        <w:t>–</w:t>
      </w:r>
      <w:r>
        <w:tab/>
        <w:t>Establecer un proceso democrático de inclusión en las listas de candidatos en el que sea fundamental la afiliación, en lugar de un modelo monopolizado por la d</w:t>
      </w:r>
      <w:r>
        <w:t>i</w:t>
      </w:r>
      <w:r>
        <w:t>rección del partido, que resulta lento y engorroso;</w:t>
      </w:r>
    </w:p>
    <w:p w:rsidR="00000000" w:rsidRDefault="00000000">
      <w:pPr>
        <w:pStyle w:val="SingleTxt"/>
        <w:tabs>
          <w:tab w:val="right" w:pos="1685"/>
        </w:tabs>
        <w:ind w:left="1742" w:hanging="475"/>
      </w:pPr>
      <w:r>
        <w:tab/>
        <w:t>–</w:t>
      </w:r>
      <w:r>
        <w:tab/>
        <w:t>Establecer cuotas (objetivo logrado);</w:t>
      </w:r>
    </w:p>
    <w:p w:rsidR="00000000" w:rsidRDefault="00000000">
      <w:pPr>
        <w:pStyle w:val="SingleTxt"/>
        <w:tabs>
          <w:tab w:val="right" w:pos="1685"/>
        </w:tabs>
        <w:ind w:left="1742" w:hanging="475"/>
      </w:pPr>
      <w:r>
        <w:tab/>
        <w:t>–</w:t>
      </w:r>
      <w:r>
        <w:tab/>
        <w:t>Modificar las convenciones de los partidos para que sean electorales en lugar de c</w:t>
      </w:r>
      <w:r>
        <w:t>e</w:t>
      </w:r>
      <w:r>
        <w:t>remoniales;</w:t>
      </w:r>
    </w:p>
    <w:p w:rsidR="00000000" w:rsidRDefault="00000000">
      <w:pPr>
        <w:pStyle w:val="SingleTxt"/>
        <w:tabs>
          <w:tab w:val="right" w:pos="1685"/>
        </w:tabs>
        <w:ind w:left="1742" w:hanging="475"/>
      </w:pPr>
      <w:r>
        <w:tab/>
        <w:t>–</w:t>
      </w:r>
      <w:r>
        <w:tab/>
        <w:t>Incluir a más mujeres en las listas de candidatos a las elecciones generales dentro de los primeros puestos de las listas;</w:t>
      </w:r>
    </w:p>
    <w:p w:rsidR="00000000" w:rsidRDefault="00000000">
      <w:pPr>
        <w:pStyle w:val="SingleTxt"/>
        <w:tabs>
          <w:tab w:val="right" w:pos="1685"/>
        </w:tabs>
        <w:ind w:left="1742" w:hanging="475"/>
      </w:pPr>
      <w:r>
        <w:tab/>
        <w:t>–</w:t>
      </w:r>
      <w:r>
        <w:tab/>
        <w:t>Animar y apoyar a las mujeres dirigentes.</w:t>
      </w:r>
    </w:p>
    <w:p w:rsidR="00000000" w:rsidRDefault="00000000">
      <w:pPr>
        <w:pStyle w:val="SingleTxt"/>
      </w:pPr>
      <w:r>
        <w:tab/>
        <w:t>A continuación figuran datos relativos a las organizaciones de mujeres de los partidos políticos, procedentes de la información facilitada por los propios partidos y por el proyecto nacional titulado “Las mujeres pueden lograrlo, II”, que se realizó en 2001-2002:</w:t>
      </w:r>
    </w:p>
    <w:p w:rsidR="00000000" w:rsidRDefault="00000000">
      <w:pPr>
        <w:pStyle w:val="SingleTxt"/>
        <w:tabs>
          <w:tab w:val="right" w:pos="1685"/>
        </w:tabs>
        <w:ind w:left="1742" w:hanging="475"/>
      </w:pPr>
      <w:r>
        <w:tab/>
        <w:t>1.</w:t>
      </w:r>
      <w:r>
        <w:tab/>
        <w:t>Partido Socialista de la República de Macedonia (PSM):</w:t>
      </w:r>
    </w:p>
    <w:p w:rsidR="00000000" w:rsidRDefault="00000000">
      <w:pPr>
        <w:pStyle w:val="SingleTxt"/>
      </w:pPr>
      <w:r>
        <w:tab/>
        <w:t>El 30% de los afiliados al Partido son mujeres y existe también un club de mujeres como forma de organización a nivel nacional y en las principales organiz</w:t>
      </w:r>
      <w:r>
        <w:t>a</w:t>
      </w:r>
      <w:r>
        <w:t>ciones municipales del Partido;</w:t>
      </w:r>
    </w:p>
    <w:p w:rsidR="00000000" w:rsidRDefault="00000000">
      <w:pPr>
        <w:pStyle w:val="SingleTxt"/>
        <w:tabs>
          <w:tab w:val="right" w:pos="1685"/>
        </w:tabs>
        <w:ind w:left="1742" w:hanging="475"/>
      </w:pPr>
      <w:r>
        <w:tab/>
        <w:t>2.</w:t>
      </w:r>
      <w:r>
        <w:tab/>
        <w:t>Partido Liberal (PL):</w:t>
      </w:r>
    </w:p>
    <w:p w:rsidR="00000000" w:rsidRDefault="00000000">
      <w:pPr>
        <w:pStyle w:val="SingleTxt"/>
      </w:pPr>
      <w:r>
        <w:tab/>
        <w:t>El 46,2% de los afiliados son mujeres y existe también una organización de mujeres a nivel nacional y local (LIPAZ) con una red especial de organización y su propio marco jurídico;</w:t>
      </w:r>
    </w:p>
    <w:p w:rsidR="00000000" w:rsidRDefault="00000000">
      <w:pPr>
        <w:pStyle w:val="SingleTxt"/>
        <w:tabs>
          <w:tab w:val="right" w:pos="1685"/>
        </w:tabs>
        <w:ind w:left="1742" w:hanging="475"/>
      </w:pPr>
      <w:r>
        <w:tab/>
        <w:t>3.</w:t>
      </w:r>
      <w:r>
        <w:tab/>
        <w:t>Partido para la Prosperidad Democrática (PPD):</w:t>
      </w:r>
    </w:p>
    <w:p w:rsidR="00000000" w:rsidRDefault="00000000">
      <w:pPr>
        <w:pStyle w:val="SingleTxt"/>
      </w:pPr>
      <w:r>
        <w:tab/>
        <w:t>No hay estadísticas en materia de género, aunque hay órganos de mujeres en dos organizaciones municipales del Partido;</w:t>
      </w:r>
    </w:p>
    <w:p w:rsidR="00000000" w:rsidRDefault="00000000">
      <w:pPr>
        <w:pStyle w:val="SingleTxt"/>
        <w:tabs>
          <w:tab w:val="right" w:pos="1685"/>
        </w:tabs>
        <w:ind w:left="1742" w:hanging="475"/>
      </w:pPr>
      <w:r>
        <w:tab/>
        <w:t>4.</w:t>
      </w:r>
      <w:r>
        <w:tab/>
        <w:t>VMRO-DPMNE:</w:t>
      </w:r>
    </w:p>
    <w:p w:rsidR="00000000" w:rsidRDefault="00000000">
      <w:pPr>
        <w:pStyle w:val="SingleTxt"/>
      </w:pPr>
      <w:r>
        <w:tab/>
        <w:t>No ha facilitado datos relativos al número ni a la forma en que está organizada la participación de la mujer en el Partido;</w:t>
      </w:r>
    </w:p>
    <w:p w:rsidR="00000000" w:rsidRDefault="00000000">
      <w:pPr>
        <w:pStyle w:val="SingleTxt"/>
        <w:tabs>
          <w:tab w:val="right" w:pos="1685"/>
        </w:tabs>
        <w:ind w:left="1742" w:hanging="475"/>
      </w:pPr>
      <w:r>
        <w:tab/>
        <w:t>5.</w:t>
      </w:r>
      <w:r>
        <w:tab/>
        <w:t>VMRO Makedonska:</w:t>
      </w:r>
    </w:p>
    <w:p w:rsidR="00000000" w:rsidRDefault="00000000">
      <w:pPr>
        <w:pStyle w:val="SingleTxt"/>
      </w:pPr>
      <w:r>
        <w:tab/>
        <w:t>El 53,3% de los afiliados son mujeres y existe también una organización de mujeres, denominada grupo de mujeres;</w:t>
      </w:r>
    </w:p>
    <w:p w:rsidR="00000000" w:rsidRDefault="00000000">
      <w:pPr>
        <w:pStyle w:val="SingleTxt"/>
        <w:tabs>
          <w:tab w:val="right" w:pos="1685"/>
        </w:tabs>
        <w:ind w:left="1742" w:hanging="475"/>
      </w:pPr>
      <w:r>
        <w:tab/>
        <w:t>6.</w:t>
      </w:r>
      <w:r>
        <w:tab/>
        <w:t>Partido Liberal-Democrático (PLD):</w:t>
      </w:r>
    </w:p>
    <w:p w:rsidR="00000000" w:rsidRDefault="00000000">
      <w:pPr>
        <w:pStyle w:val="SingleTxt"/>
      </w:pPr>
      <w:r>
        <w:tab/>
        <w:t>El 34,5% de los afiliados son mujeres y existe también un foro de mujeres del Partido;</w:t>
      </w:r>
    </w:p>
    <w:p w:rsidR="00000000" w:rsidRDefault="00000000">
      <w:pPr>
        <w:pStyle w:val="SingleTxt"/>
        <w:tabs>
          <w:tab w:val="right" w:pos="1685"/>
        </w:tabs>
        <w:ind w:left="1742" w:hanging="475"/>
      </w:pPr>
      <w:r>
        <w:tab/>
        <w:t>7.</w:t>
      </w:r>
      <w:r>
        <w:tab/>
        <w:t>Partido Democrático de los Albaneses (PDA):</w:t>
      </w:r>
    </w:p>
    <w:p w:rsidR="00000000" w:rsidRDefault="00000000">
      <w:pPr>
        <w:pStyle w:val="SingleTxt"/>
      </w:pPr>
      <w:r>
        <w:tab/>
        <w:t>No hay estadísticas relativas a los géneros, aunque el Partido cuenta con una organización de mujeres en el plano local;</w:t>
      </w:r>
    </w:p>
    <w:p w:rsidR="00000000" w:rsidRDefault="00000000">
      <w:pPr>
        <w:pStyle w:val="SingleTxt"/>
        <w:tabs>
          <w:tab w:val="right" w:pos="1685"/>
        </w:tabs>
        <w:ind w:left="1742" w:hanging="475"/>
      </w:pPr>
      <w:r>
        <w:tab/>
        <w:t>8.</w:t>
      </w:r>
      <w:r>
        <w:tab/>
        <w:t>Alianza Democrática de los Albaneses de Macedonia (ADAM):</w:t>
      </w:r>
    </w:p>
    <w:p w:rsidR="00000000" w:rsidRDefault="00000000">
      <w:pPr>
        <w:pStyle w:val="SingleTxt"/>
      </w:pPr>
      <w:r>
        <w:tab/>
        <w:t>El 20% de los afiliados son mujeres y existe también un foro de mujeres;</w:t>
      </w:r>
    </w:p>
    <w:p w:rsidR="00000000" w:rsidRDefault="00000000">
      <w:pPr>
        <w:pStyle w:val="SingleTxt"/>
        <w:tabs>
          <w:tab w:val="right" w:pos="1685"/>
        </w:tabs>
        <w:ind w:left="1742" w:hanging="475"/>
      </w:pPr>
      <w:r>
        <w:tab/>
        <w:t>9.</w:t>
      </w:r>
      <w:r>
        <w:tab/>
        <w:t>Unión Social Democrática de Macedonia (USDM):</w:t>
      </w:r>
    </w:p>
    <w:p w:rsidR="00000000" w:rsidRDefault="00000000">
      <w:pPr>
        <w:pStyle w:val="SingleTxt"/>
      </w:pPr>
      <w:r>
        <w:tab/>
        <w:t>El 38% de los afiliados son mujeres y hay también clubes de mujeres;</w:t>
      </w:r>
    </w:p>
    <w:p w:rsidR="00000000" w:rsidRDefault="00000000">
      <w:pPr>
        <w:pStyle w:val="SingleTxt"/>
        <w:tabs>
          <w:tab w:val="right" w:pos="1685"/>
        </w:tabs>
        <w:ind w:left="1742" w:hanging="475"/>
      </w:pPr>
      <w:r>
        <w:tab/>
        <w:t>10.</w:t>
      </w:r>
      <w:r>
        <w:tab/>
        <w:t>Partido Unido de los Romaníes de Macedonia (PURM):</w:t>
      </w:r>
    </w:p>
    <w:p w:rsidR="00000000" w:rsidRDefault="00000000">
      <w:pPr>
        <w:pStyle w:val="SingleTxt"/>
      </w:pPr>
      <w:r>
        <w:tab/>
        <w:t>El Partido cuenta con un 15% de mujeres en sus órganos ejecutivos.</w:t>
      </w:r>
    </w:p>
    <w:p w:rsidR="00000000" w:rsidRDefault="00000000">
      <w:pPr>
        <w:pStyle w:val="SingleTxt"/>
      </w:pPr>
      <w:r>
        <w:tab/>
        <w:t>Además, a continuación figuran datos sobre los diputados elegidos en las ele</w:t>
      </w:r>
      <w:r>
        <w:t>c</w:t>
      </w:r>
      <w:r>
        <w:t>ciones parlamentarias de 1990, 1994, 1998 y 2002 con el fin de destacar los progr</w:t>
      </w:r>
      <w:r>
        <w:t>e</w:t>
      </w:r>
      <w:r>
        <w:t>sos realizados entre 1990 y 2002 en relación con la organización, la participación y los grupos de presión de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357"/>
        <w:gridCol w:w="1358"/>
        <w:gridCol w:w="1357"/>
        <w:gridCol w:w="1358"/>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3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Elecciones parlamentarias</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5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135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Diputadas elegidas</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(4,2%)</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(17,5%)</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Diputados elegidos</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(95,8%)</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(96,7%)</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(92,5%)</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(82,5%)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de la República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elecciones parlamentarias de 2002, de los 120 diputados elegidos 21 eran mujeres, de las que 16 pertenecían a la Coalición pro Macedonia, cuatro a VMRO-DPMNE y una a la Unión Democrática pro Integración (primera mujer a</w:t>
      </w:r>
      <w:r>
        <w:t>l</w:t>
      </w:r>
      <w:r>
        <w:t>banesa el</w:t>
      </w:r>
      <w:r>
        <w:t>e</w:t>
      </w:r>
      <w:r>
        <w:t>gida diputada).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poder judicial y los servicios públicos conexos</w:t>
      </w:r>
    </w:p>
    <w:p w:rsidR="00000000" w:rsidRDefault="00000000">
      <w:pPr>
        <w:pStyle w:val="SingleTxt"/>
        <w:keepNext/>
        <w:keepLines/>
        <w:spacing w:after="0" w:line="120" w:lineRule="exact"/>
        <w:rPr>
          <w:sz w:val="10"/>
        </w:rPr>
      </w:pPr>
    </w:p>
    <w:p w:rsidR="00000000" w:rsidRDefault="00000000">
      <w:pPr>
        <w:pStyle w:val="SingleTxt"/>
        <w:keepNext/>
        <w:keepLines/>
      </w:pPr>
      <w:r>
        <w:tab/>
        <w:t>El poder judicial se caracteriza por el escaso número de mujeres que forman parte de los tribunales de instancia superior, en tanto que los de instancia inferior tienen prácticamente el mismo número de hombres y mujeres.</w:t>
      </w:r>
    </w:p>
    <w:p w:rsidR="00000000" w:rsidRDefault="00000000">
      <w:pPr>
        <w:pStyle w:val="SingleTxt"/>
      </w:pPr>
      <w:r>
        <w:tab/>
        <w:t>Hay tres tribunales de apelación en la República de Macedonia: una mujer d</w:t>
      </w:r>
      <w:r>
        <w:t>e</w:t>
      </w:r>
      <w:r>
        <w:t>semp</w:t>
      </w:r>
      <w:r>
        <w:t>e</w:t>
      </w:r>
      <w:r>
        <w:t>ña la Presidencia en el de Skopje.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Magistrados de los tribunales de la República de Macedonia, desglosados por gén</w:t>
      </w:r>
      <w:r>
        <w:t>e</w:t>
      </w:r>
      <w:r>
        <w:t>ro-2001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1320"/>
        <w:gridCol w:w="132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Tribunales</w:t>
            </w:r>
          </w:p>
        </w:tc>
        <w:tc>
          <w:tcPr>
            <w:tcW w:w="1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total de magistrados</w:t>
            </w:r>
          </w:p>
        </w:tc>
        <w:tc>
          <w:tcPr>
            <w:tcW w:w="1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Magistradas</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Supremo de la República de Macedonia</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de apelación (3)</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inferiores (27)</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magistrados elegidos entre 1996 y 2001, desglosados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miembros de jurados entre 1996 y 2001, desglosados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Fiscales de la Oficina del Fiscal General de la República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065"/>
        <w:gridCol w:w="1065"/>
        <w:gridCol w:w="120"/>
        <w:gridCol w:w="945"/>
        <w:gridCol w:w="1065"/>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Oficina del Fiscal General</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Fiscales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Fiscales adjuntos</w:t>
            </w:r>
          </w:p>
        </w:tc>
        <w:tc>
          <w:tcPr>
            <w:tcW w:w="106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Fiscales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Fiscales adjuntas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de la República de Macedonia</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superiores (un total de 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básicos (27)</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06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Fiscal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Fiscales elegidos entre 1999 y 2003, desglosados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Fiscal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Fiscales adjuntos elegidos entre 1999 y 2003, desglosados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Fiscal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Son interesantes los datos relacionados con la profesión de abogado. La mayor parte de los auxiliares de los abogados son mujeres, en tanto que el número de ab</w:t>
      </w:r>
      <w:r>
        <w:t>o</w:t>
      </w:r>
      <w:r>
        <w:t>gadas es bastante reducido.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Abogados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Auxiliares de abogados</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1 116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1 250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1 238</w:t>
            </w:r>
          </w:p>
        </w:tc>
        <w:tc>
          <w:tcPr>
            <w:tcW w:w="12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163</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385</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Fiscal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Existe una tendencia positiva por lo que atañe a la representación de la mujer en la profesión de notario, en la que hay 68 mujeres entre los 123 notarios existe</w:t>
      </w:r>
      <w:r>
        <w:rPr>
          <w:spacing w:val="2"/>
          <w:w w:val="101"/>
        </w:rPr>
        <w:t>n</w:t>
      </w:r>
      <w:r>
        <w:rPr>
          <w:spacing w:val="2"/>
          <w:w w:val="101"/>
        </w:rPr>
        <w:t>tes.</w:t>
      </w:r>
    </w:p>
    <w:p w:rsidR="00000000" w:rsidRDefault="00000000">
      <w:pPr>
        <w:pStyle w:val="SingleTxt"/>
      </w:pPr>
      <w:r>
        <w:tab/>
        <w:t>La situación en el Tribunal Constitucional sigue la misma tendencia que en las instancias superiores del sistema judicial. En el período comprendido entre 1994 y 2003 solamente había una mujer entre los nueve magistrados del Tribunal Constit</w:t>
      </w:r>
      <w:r>
        <w:t>u</w:t>
      </w:r>
      <w:r>
        <w:t>cional. En las últimas elecciones a magistrados del Tribunal Constitucional (mayo de 2003) sólo se habían llenado siete de los nueve cargos de magistrado en el m</w:t>
      </w:r>
      <w:r>
        <w:t>o</w:t>
      </w:r>
      <w:r>
        <w:t>mento la redacción de este informe, dos de los cuales correspondían a mujeres. Esa situación es diferente en el servicio técnico del Tribunal Constitucional, entre cuyos ocho consejeros de Estado hay seis mujeres.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w:t>
      </w:r>
    </w:p>
    <w:p w:rsidR="00000000" w:rsidRDefault="00000000">
      <w:pPr>
        <w:pStyle w:val="SingleTxt"/>
        <w:spacing w:after="0" w:line="120" w:lineRule="exact"/>
        <w:rPr>
          <w:sz w:val="10"/>
        </w:rPr>
      </w:pPr>
    </w:p>
    <w:p w:rsidR="00000000" w:rsidRDefault="00000000">
      <w:pPr>
        <w:pStyle w:val="SingleTxt"/>
        <w:rPr>
          <w:spacing w:val="2"/>
          <w:w w:val="101"/>
        </w:rPr>
      </w:pPr>
      <w:r>
        <w:tab/>
        <w:t>La libertad de asociación queda garantizada en el artículo 20 de la Constit</w:t>
      </w:r>
      <w:r>
        <w:t>u</w:t>
      </w:r>
      <w:r>
        <w:t>ción de la República de Macedonia, en el que se dispone lo siguiente: “Se garantiza a los ciudadanos el derecho de asociación con el fin de realizar y proteger sus der</w:t>
      </w:r>
      <w:r>
        <w:t>e</w:t>
      </w:r>
      <w:r>
        <w:t>chos políticos, económicos, sociales, culturales, de creencias y de otra índole. Los ciudadanos pueden establecer libremente asociaciones y partidos políticos, afiliarse a esas asociaciones y darse de baja en ellas. Los programas y el funcionamiento de las asociaciones y los partidos políticos no pueden tener por objeto quebrantar vi</w:t>
      </w:r>
      <w:r>
        <w:t>o</w:t>
      </w:r>
      <w:r>
        <w:t>lentamente el sistema constitucional de la República ni alentar o exhortar a la su</w:t>
      </w:r>
      <w:r>
        <w:t>b</w:t>
      </w:r>
      <w:r>
        <w:t>versión militar o fomentar el odio o la intolerancia nacional, racial o religiosa. Qu</w:t>
      </w:r>
      <w:r>
        <w:t>e</w:t>
      </w:r>
      <w:r>
        <w:t xml:space="preserve">dan prohibidas las asociaciones militares o paramilitares de personas que no formen </w:t>
      </w:r>
      <w:r>
        <w:rPr>
          <w:spacing w:val="2"/>
          <w:w w:val="101"/>
        </w:rPr>
        <w:t>parte de las fuerzas armadas de la República de Macedonia”. La libertad de asociación se desarrolla en la Ley de asociaciones de ciudadanos y de fundaciones, de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Unión de Organizaciones de Mujeres de la República de Macedonia</w:t>
      </w:r>
    </w:p>
    <w:p w:rsidR="00000000" w:rsidRDefault="00000000">
      <w:pPr>
        <w:pStyle w:val="SingleTxt"/>
        <w:spacing w:after="0" w:line="120" w:lineRule="exact"/>
        <w:rPr>
          <w:sz w:val="10"/>
        </w:rPr>
      </w:pPr>
    </w:p>
    <w:p w:rsidR="00000000" w:rsidRDefault="00000000">
      <w:pPr>
        <w:pStyle w:val="SingleTxt"/>
      </w:pPr>
      <w:r>
        <w:tab/>
        <w:t>La Unión de Organizaciones de Mujeres de la República de Macedonia (UOMRM), que es una asociación no gubernamental, no partidista y sin fines de l</w:t>
      </w:r>
      <w:r>
        <w:t>u</w:t>
      </w:r>
      <w:r>
        <w:t>cro, fue creada en Probistip, en octubre de 1994. Las fundadoras fueron 13 organ</w:t>
      </w:r>
      <w:r>
        <w:t>i</w:t>
      </w:r>
      <w:r>
        <w:t>zaciones locales independientes de mujeres. En un principio abarcaba solamente a un pequeño número de organizaciones locales fundadoras (13), pero en la actualidad la UOMRM cuenta una red de 64 organizaciones autónomas.</w:t>
      </w:r>
    </w:p>
    <w:p w:rsidR="00000000" w:rsidRDefault="00000000">
      <w:pPr>
        <w:pStyle w:val="SingleTxt"/>
      </w:pPr>
      <w:r>
        <w:tab/>
        <w:t>La UOMRM es una red multiétnica de mujeres, integrada por 64 organizaci</w:t>
      </w:r>
      <w:r>
        <w:t>o</w:t>
      </w:r>
      <w:r>
        <w:t>nes independientes y autónomas de la República de Macedonia. La diversidad de su composición permite el intercambio de diferentes experiencias y la atención a di</w:t>
      </w:r>
      <w:r>
        <w:t>s</w:t>
      </w:r>
      <w:r>
        <w:t>tintas necesidades. Cada organización de mujeres se establece de conformidad con las necesidades de los respectivos grupos a los que va dirigida. En un principio se establecieron organizaciones integradas por mujeres de las zonas rurales, profesoras universitarias, mujeres ex combatientes, empresarias y muchachas y mujeres adultas del Centro de Mujeres y Estudios sobre la Mujer. Posteriormente todas esas iniciat</w:t>
      </w:r>
      <w:r>
        <w:t>i</w:t>
      </w:r>
      <w:r>
        <w:t>vas plasmaron en la constitución de organizaciones autónomas de mujeres con nec</w:t>
      </w:r>
      <w:r>
        <w:t>e</w:t>
      </w:r>
      <w:r>
        <w:t>sid</w:t>
      </w:r>
      <w:r>
        <w:t>a</w:t>
      </w:r>
      <w:r>
        <w:t>des y objetivos concretos.</w:t>
      </w:r>
    </w:p>
    <w:p w:rsidR="00000000" w:rsidRDefault="00000000">
      <w:pPr>
        <w:pStyle w:val="SingleTxt"/>
      </w:pPr>
      <w:r>
        <w:tab/>
        <w:t>La UOMRM constituye un mecanismo de unión de las organizaciones de m</w:t>
      </w:r>
      <w:r>
        <w:t>u</w:t>
      </w:r>
      <w:r>
        <w:t>jeres con los mismos objetivos e ideales. Su finalidad es lograr la igualdad entre los géneros, garantizar los derechos humanos y eliminar la discriminación de la mujer en la sociedad y la familia.</w:t>
      </w:r>
    </w:p>
    <w:p w:rsidR="00000000" w:rsidRDefault="00000000">
      <w:pPr>
        <w:pStyle w:val="SingleTxt"/>
      </w:pPr>
      <w:r>
        <w:tab/>
        <w:t>La misión de la UOMRM incluye prestar apoyo a las mujeres a título indiv</w:t>
      </w:r>
      <w:r>
        <w:t>i</w:t>
      </w:r>
      <w:r>
        <w:t>dual y a las organizaciones locales de mujeres; impulsar la participación de la mujer en la vida pública y en la formulación de proyectos; establecer nuevas relaciones sociales y llevar a cabo actividades de cooperación y de apoyo recíproco; proteger y promover los derechos de la mujer, luchar contra la violencia, los malos tratos y el tráfico de mujeres en pro de la igualdad de oportunidades y de la participación de la mujer en todas las esferas de la sociedad; fomentar la tolerancia, el diálogo, la pr</w:t>
      </w:r>
      <w:r>
        <w:t>o</w:t>
      </w:r>
      <w:r>
        <w:t>moción y la protección de la paz en la región; incrementar la participación de la mujer en el Gobierno y en los órganos de adopción de decisiones; mejorar la situ</w:t>
      </w:r>
      <w:r>
        <w:t>a</w:t>
      </w:r>
      <w:r>
        <w:t>ción socioeconómica de la mujer; y fomentar la realización de actividades empres</w:t>
      </w:r>
      <w:r>
        <w:t>a</w:t>
      </w:r>
      <w:r>
        <w:t>riales por parte de la mujer.</w:t>
      </w:r>
    </w:p>
    <w:p w:rsidR="00000000" w:rsidRDefault="00000000">
      <w:pPr>
        <w:pStyle w:val="SingleTxt"/>
      </w:pPr>
      <w:r>
        <w:tab/>
        <w:t>Para la realización de sus actividades, la UOMRM cuenta con siete centros r</w:t>
      </w:r>
      <w:r>
        <w:t>e</w:t>
      </w:r>
      <w:r>
        <w:t>gionales independientes, cuatro sectores temáticos y una oficina ejecutiva, la cual presta servicios y suministra información a los centros locales y regionales. La m</w:t>
      </w:r>
      <w:r>
        <w:t>a</w:t>
      </w:r>
      <w:r>
        <w:t>yor parte de sus funciones las desarrolla en los planos nacional y regional.</w:t>
      </w:r>
    </w:p>
    <w:p w:rsidR="00000000" w:rsidRDefault="00000000">
      <w:pPr>
        <w:pStyle w:val="SingleTxt"/>
      </w:pPr>
      <w:r>
        <w:tab/>
        <w:t>Pese a las diferentes estructuras de organización, las regiones y los miembros regionales cooperan entre sí y coordinan sus actividades. Frecuentemente se cel</w:t>
      </w:r>
      <w:r>
        <w:t>e</w:t>
      </w:r>
      <w:r>
        <w:t>bran reuniones oficiosas para exponer necesidades y problemas y fortalecer las c</w:t>
      </w:r>
      <w:r>
        <w:t>a</w:t>
      </w:r>
      <w:r>
        <w:t>pacidades de las organizaciones más pequeñas.</w:t>
      </w:r>
    </w:p>
    <w:p w:rsidR="00000000" w:rsidRDefault="00000000">
      <w:pPr>
        <w:pStyle w:val="SingleTxt"/>
      </w:pPr>
      <w:r>
        <w:tab/>
        <w:t>La recuperación de la confianza fue una de las principales tareas de la UOMRM en el último período, a la que se suman las actividades relacionadas con uno de los acontecimientos políticos fundamentales de septiembre 2002, a saber, las elecciones parlamentarias. Los miembros de la UOMRM desempeñaron un activo papel prestando ayuda para garantizar que las elecciones se celebraran de manera pacífica y democrática. Realizaron numerosas actividades en las principales ciud</w:t>
      </w:r>
      <w:r>
        <w:t>a</w:t>
      </w:r>
      <w:r>
        <w:t>des y los pequeños asentamientos con el fin de motivar y estimular a los votantes, especialmente a las mujeres, a fin de que participaran en las elecciones; les inform</w:t>
      </w:r>
      <w:r>
        <w:t>a</w:t>
      </w:r>
      <w:r>
        <w:t>ron acerca de sus derechos como electores; y, por último, realizaron actividades de observación de las elecciones con objeto de garantizar que fuesen imparciales. Además, el objetivo de esa observación era examinar la participación de la mujer en el proceso electoral.</w:t>
      </w:r>
    </w:p>
    <w:p w:rsidR="00000000" w:rsidRDefault="00000000">
      <w:pPr>
        <w:pStyle w:val="SingleTxt"/>
        <w:rPr>
          <w:spacing w:val="2"/>
          <w:w w:val="101"/>
        </w:rPr>
      </w:pPr>
      <w:r>
        <w:tab/>
        <w:t>Los resultados de la labor de los voluntarios se ponen de manifiesto en todas las esferas. En Macedonia, el movimiento de mujeres está muy difundido y acept</w:t>
      </w:r>
      <w:r>
        <w:t>a</w:t>
      </w:r>
      <w:r>
        <w:t>do, ha pasado a tener bastante influencia y se encuentra en una situación de igua</w:t>
      </w:r>
      <w:r>
        <w:t>l</w:t>
      </w:r>
      <w:r>
        <w:t>dad, por lo que respecta a su autoridad, reconocimiento y respeto, con las organiz</w:t>
      </w:r>
      <w:r>
        <w:t>a</w:t>
      </w:r>
      <w:r>
        <w:t xml:space="preserve">ciones nacionales de carácter público y con las organizaciones internacionales. El </w:t>
      </w:r>
      <w:r>
        <w:rPr>
          <w:spacing w:val="2"/>
          <w:w w:val="101"/>
        </w:rPr>
        <w:t>mérito recae en numerosas mujeres macedonias, albanesas, serbias, turcas, romaníes, valacas y rusas de diferentes edades, posiciones sociales, religiones e ideas p</w:t>
      </w:r>
      <w:r>
        <w:rPr>
          <w:spacing w:val="2"/>
          <w:w w:val="101"/>
        </w:rPr>
        <w:t>o</w:t>
      </w:r>
      <w:r>
        <w:rPr>
          <w:spacing w:val="2"/>
          <w:w w:val="101"/>
        </w:rPr>
        <w:t>líticas.</w:t>
      </w:r>
    </w:p>
    <w:p w:rsidR="00000000" w:rsidRDefault="00000000">
      <w:pPr>
        <w:pStyle w:val="SingleTxt"/>
      </w:pPr>
      <w:r>
        <w:tab/>
        <w:t>Con objeto de lograr un mayor éxito mediante la labor que realizan, se han e</w:t>
      </w:r>
      <w:r>
        <w:t>s</w:t>
      </w:r>
      <w:r>
        <w:t>tablecido órganos de coordinación de carácter regional. La eficacia de la red de o</w:t>
      </w:r>
      <w:r>
        <w:t>r</w:t>
      </w:r>
      <w:r>
        <w:t>ganizaciones que constituyen la UOMRM es proporcional al grado de independencia de cada una de ellas. Por consiguiente, se respeta esa independencia. Además, todas gozan cada vez más de independencia, lo que constituye uno de los principales fa</w:t>
      </w:r>
      <w:r>
        <w:t>c</w:t>
      </w:r>
      <w:r>
        <w:t>tores para mantener la estructura y cooperación de la red con otras redes.</w:t>
      </w:r>
    </w:p>
    <w:p w:rsidR="00000000" w:rsidRDefault="00000000">
      <w:pPr>
        <w:pStyle w:val="SingleTxt"/>
      </w:pPr>
      <w:r>
        <w:tab/>
        <w:t>En el anexo que figura al final del informe se consignan las principales activ</w:t>
      </w:r>
      <w:r>
        <w:t>i</w:t>
      </w:r>
      <w:r>
        <w:t>dades de la UOMRM.</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Asociación de Organizaciones de Mujeres de Macedonia</w:t>
      </w:r>
    </w:p>
    <w:p w:rsidR="00000000" w:rsidRDefault="00000000">
      <w:pPr>
        <w:pStyle w:val="SingleTxt"/>
        <w:spacing w:after="0" w:line="120" w:lineRule="exact"/>
        <w:rPr>
          <w:sz w:val="10"/>
        </w:rPr>
      </w:pPr>
    </w:p>
    <w:p w:rsidR="00000000" w:rsidRDefault="00000000">
      <w:pPr>
        <w:pStyle w:val="SingleTxt"/>
      </w:pPr>
      <w:r>
        <w:tab/>
        <w:t>La Asociación de Organizaciones de Mujeres de Macedonia (AOMM) es la primera organización no gubernamental, no partidista y sin fines de lucro que tiene la condición de asociación de ciudadanos de la República de Macedonia. Se const</w:t>
      </w:r>
      <w:r>
        <w:t>i</w:t>
      </w:r>
      <w:r>
        <w:t>tuyó en 1990, al iniciarse el proceso de pluralismo político, democracia y constru</w:t>
      </w:r>
      <w:r>
        <w:t>c</w:t>
      </w:r>
      <w:r>
        <w:t>ción de una sociedad civil en la independiente República de Macedonia. Su meta fundamental es organizar a las mujeres del país para lograr su absoluta igualdad en todas las esferas de la vida social, con independencia de su origen nacional o étnico y de su situación socioeconómica. Mediante una decisión de sus fundadoras, que f</w:t>
      </w:r>
      <w:r>
        <w:t>i</w:t>
      </w:r>
      <w:r>
        <w:t>gura en su Estatuto, la Asociación se considera sucesora legítima de la única organ</w:t>
      </w:r>
      <w:r>
        <w:t>i</w:t>
      </w:r>
      <w:r>
        <w:t>zación de mujeres de Macedonia que tuvo una larga trayectoria en el período ant</w:t>
      </w:r>
      <w:r>
        <w:t>e</w:t>
      </w:r>
      <w:r>
        <w:t>rior, y cuyo comienzo fue el Frente Antifascista de Mujeres, establecido en 1944 como org</w:t>
      </w:r>
      <w:r>
        <w:t>a</w:t>
      </w:r>
      <w:r>
        <w:t>nización de mujeres progresistas y de promoción de la paz..</w:t>
      </w:r>
    </w:p>
    <w:p w:rsidR="00000000" w:rsidRDefault="00000000">
      <w:pPr>
        <w:pStyle w:val="SingleTxt"/>
      </w:pPr>
      <w:r>
        <w:tab/>
        <w:t>La AOMM inició la preparación de una nueva Ley de asociaciones y fund</w:t>
      </w:r>
      <w:r>
        <w:t>a</w:t>
      </w:r>
      <w:r>
        <w:t>ciones de ciudadanos de conformidad con los reglamentos sobre asociaciones no l</w:t>
      </w:r>
      <w:r>
        <w:t>u</w:t>
      </w:r>
      <w:r>
        <w:t>crativas de ciudadanos de los Estados Unidos y Europa occidental y, en cooperación con el Centro Macedonio para la Cooperación Internacional, expertos nacionales y extranjeros y el Ministerio de Justicia, contribuyó a la promulgación de la Ley. La Asociación se constituyó de conformidad con esa Ley. La AOMM actúa como as</w:t>
      </w:r>
      <w:r>
        <w:t>o</w:t>
      </w:r>
      <w:r>
        <w:t>ciación de mujeres integrada por hombres y mujeres que se afilian a ella a título i</w:t>
      </w:r>
      <w:r>
        <w:t>n</w:t>
      </w:r>
      <w:r>
        <w:t>dividual y como red nacional de 65 organizaciones municipales y de otra índole de mujeres que se ocupan de cuestiones de su interés. Por uno y otro concepto, la AOMM cuenta con 65.000 afiliados.</w:t>
      </w:r>
    </w:p>
    <w:p w:rsidR="00000000" w:rsidRDefault="00000000">
      <w:pPr>
        <w:pStyle w:val="SingleTxt"/>
      </w:pPr>
      <w:r>
        <w:tab/>
        <w:t xml:space="preserve">Su sede se encuentra en la calle Vasil Gjorgov no. 39, edificio 7, en Skopje. La AOMM está gestionada por su Asamblea, que es su órgano supremo, en tanto que </w:t>
      </w:r>
      <w:r>
        <w:rPr>
          <w:spacing w:val="2"/>
          <w:w w:val="101"/>
        </w:rPr>
        <w:t xml:space="preserve">las funciones ejecutiva y operacional están desempeñadas por la Presidencia, integrada </w:t>
      </w:r>
      <w:r>
        <w:t>por 19 miembros de la Asociación, más un representante de cada una de las organ</w:t>
      </w:r>
      <w:r>
        <w:t>i</w:t>
      </w:r>
      <w:r>
        <w:t>zaciones locales. La Presidenta de la Asociación es Mirjana Dimovska, directora de programas en la televisión macedonia y Bachiller en Derecho. La Vicepresidenta es Milka Takeva Grigorievic, analista política jubilada y decana del movimiento de mujeres de Macedonia. Hay equipos de trabajo especiales encargados de examinar cuestiones y proyectos concretos relacionados con cuestiones legislativas y juríd</w:t>
      </w:r>
      <w:r>
        <w:t>i</w:t>
      </w:r>
      <w:r>
        <w:t>cas; asuntos sanitarios y sociales; la educación y la crianza; el fortalecimiento del papel económico de la mujer; la infancia y la juventud; la cooperación internacional; y el desarrollo de la AOMM.</w:t>
      </w:r>
    </w:p>
    <w:p w:rsidR="00000000" w:rsidRDefault="00000000">
      <w:pPr>
        <w:pStyle w:val="SingleTxt"/>
      </w:pPr>
      <w:r>
        <w:tab/>
        <w:t>Las actividades de la AOMM no están financiadas por donantes permanentes; sus recursos se generan mediante el trabajo que realiza en los proyectos que cuentan con el apoyo de donantes nacionales y extranjeros. En los últimos años, el apoyo presupuestario fue ocasional y simbólico. La AOMM basa su labor en el trabajo de los voluntarios, las necesidades reales de la mujer en la República de Macedonia, la opción de Europa y los valores supremos de carácter civil de la sociedad occidental. Las representantes de la Asociación han participado en conferencias internacionales y regionales sobre la cuestión de la mujer y han asistido seminarios fuera de Mac</w:t>
      </w:r>
      <w:r>
        <w:t>e</w:t>
      </w:r>
      <w:r>
        <w:t>donia siempre que lo han permitido sus medios económicos. La AOMM lleva a cabo sus actividades en el marco de seminarios, mesas redondas, cursos prácticos, ca</w:t>
      </w:r>
      <w:r>
        <w:t>m</w:t>
      </w:r>
      <w:r>
        <w:t>pañas y grupos de presión; además, edita sus propias publicaciones. Así, en los ú</w:t>
      </w:r>
      <w:r>
        <w:t>l</w:t>
      </w:r>
      <w:r>
        <w:t>timos cinco o seis años ha publicado libros sobre los siguientes temas: la situación de la mujer dentro de las corrientes sociales contemporáneas; la mujer y la política; debate sobre la tolerancia; el diálogo interétnico desde la perspectiva de la mujer; el derecho de familia (publicado conjuntamente con el Foro de Mujeres de la Repúbl</w:t>
      </w:r>
      <w:r>
        <w:t>i</w:t>
      </w:r>
      <w:r>
        <w:t>ca de Albania en los idiomas macedonio y albanés); y la necesidad de poner fin a la trata de mujeres (en imprenta). En 2002 la AOMM comenzó a publicar su boletín mensual titulado “El Informante”, en el que figuran textos de mujeres miembros de todas las organizaciones que forman parte de la Asociación.</w:t>
      </w:r>
    </w:p>
    <w:p w:rsidR="00000000" w:rsidRDefault="00000000">
      <w:pPr>
        <w:pStyle w:val="SingleTxt"/>
        <w:suppressAutoHyphens/>
      </w:pPr>
      <w:r>
        <w:tab/>
        <w:t>Las principales actividades de la AOMM figuran en el anexo del presente informe.</w:t>
      </w:r>
    </w:p>
    <w:p w:rsidR="00000000" w:rsidRDefault="00000000">
      <w:pPr>
        <w:pStyle w:val="SingleTxt"/>
      </w:pPr>
      <w:r>
        <w:tab/>
        <w:t>3.</w:t>
      </w:r>
      <w:r>
        <w:tab/>
        <w:t>El sector de las organizaciones no gubernamentales de mujeres de la R</w:t>
      </w:r>
      <w:r>
        <w:t>e</w:t>
      </w:r>
      <w:r>
        <w:t>pública de Macedonia también está estructurado en función de las diferentes etnias. Las organizaciones de mujeres, establecidas sobre bases étnicas, cooperan estr</w:t>
      </w:r>
      <w:r>
        <w:t>e</w:t>
      </w:r>
      <w:r>
        <w:t>chamente entre sí, sobre todo en relación con la organización de seminarios y cursos de formación.</w:t>
      </w:r>
    </w:p>
    <w:p w:rsidR="00000000" w:rsidRDefault="00000000">
      <w:pPr>
        <w:pStyle w:val="SingleTxt"/>
      </w:pPr>
      <w:r>
        <w:tab/>
        <w:t>La Alianza de Mujeres Albanesas de Macedonia cuenta con 11 delegaciones en varias ciudades del país. Su objetivo principal es lograr la emancipación de las m</w:t>
      </w:r>
      <w:r>
        <w:t>u</w:t>
      </w:r>
      <w:r>
        <w:t>jeres albanesas mediante una campaña encaminada a lograr la inclusión de las muj</w:t>
      </w:r>
      <w:r>
        <w:t>e</w:t>
      </w:r>
      <w:r>
        <w:t>res en el sistema educativo y a impartir capacitación a las mujeres del medio rural en mat</w:t>
      </w:r>
      <w:r>
        <w:t>e</w:t>
      </w:r>
      <w:r>
        <w:t>ria de salud.</w:t>
      </w:r>
    </w:p>
    <w:p w:rsidR="00000000" w:rsidRDefault="00000000">
      <w:pPr>
        <w:pStyle w:val="SingleTxt"/>
      </w:pPr>
      <w:r>
        <w:tab/>
        <w:t>También realizan actividades en la República de Macedonia las organizaciones de mujeres romaníes, entre las que destacan la Organización Romaní de Mujeres de la República de Macedonia, la Asociación Esma y la Organización Daya, en Kum</w:t>
      </w:r>
      <w:r>
        <w:t>a</w:t>
      </w:r>
      <w:r>
        <w:t>novo; además, hay organizaciones de mujeres de otras comunidades, a saber, la Asociación de Mujeres Valacas, la Asociación de Mujeres Serbias de la República de Macedonia y la Sociedad de Amistad de Mujeres Turcas de Macedonia.</w:t>
      </w:r>
    </w:p>
    <w:p w:rsidR="00000000" w:rsidRDefault="00000000">
      <w:pPr>
        <w:pStyle w:val="SingleTxt"/>
      </w:pPr>
      <w:r>
        <w:tab/>
        <w:t>También hay organizaciones de mujeres que se ocupan de proyectos de inve</w:t>
      </w:r>
      <w:r>
        <w:t>s</w:t>
      </w:r>
      <w:r>
        <w:t>tigación relacionados con problemas importantes en materia de igualdad entre los géneros, a saber, la Asociación Humanitaria para la Emancipación, la Solidaridad y la Igualdad de la Mujer (HA-ESE) y la Acción Urbana y de Medios de Comunic</w:t>
      </w:r>
      <w:r>
        <w:t>a</w:t>
      </w:r>
      <w:r>
        <w:t>ción de Macedonia (UMAM). La primera de ellas se ocupa de realizar actividades e investigaciones sobre el marco jurídico que regula la situación de la mujer, la di</w:t>
      </w:r>
      <w:r>
        <w:t>s</w:t>
      </w:r>
      <w:r>
        <w:t>criminación de la mujer en el empleo, proyectos sanitarios y la violencia contra la mujer; por su parte, la UMAM realiza investigaciones sobre la presencia de la mujer en los medios de comunicación y la vida pública.</w:t>
      </w:r>
    </w:p>
    <w:p w:rsidR="00000000" w:rsidRDefault="00000000">
      <w:pPr>
        <w:pStyle w:val="SingleTxt"/>
      </w:pPr>
      <w:r>
        <w:tab/>
        <w:t>También cabe destacar un proyecto interesante, en cuyo marco realizan activ</w:t>
      </w:r>
      <w:r>
        <w:t>i</w:t>
      </w:r>
      <w:r>
        <w:t>dades mujeres voluntarias, a saber, el proyecto telefónico SOS para las mujeres ví</w:t>
      </w:r>
      <w:r>
        <w:t>c</w:t>
      </w:r>
      <w:r>
        <w:t>timas de la violencia y la discriminación.</w:t>
      </w:r>
    </w:p>
    <w:p w:rsidR="00000000" w:rsidRDefault="00000000">
      <w:pPr>
        <w:pStyle w:val="SingleTxt"/>
      </w:pPr>
      <w:r>
        <w:tab/>
        <w:t>4.</w:t>
      </w:r>
      <w:r>
        <w:tab/>
        <w:t>Asimismo cabe destacar el activo papel que desempeña la Asociación Macedonia de Mujeres Policías, establecida en febrero de 2002 de conformidad con la Ley de asociaciones y fundaciones de ciudadanos (Gaceta Oficial, no. 31, de 2 de julio de 1998), que es una organización ciudadana independiente, no gubernamental y no partidista. Sus miembros comparten intereses sociales, económicos, científicos, pr</w:t>
      </w:r>
      <w:r>
        <w:t>o</w:t>
      </w:r>
      <w:r>
        <w:t>fesionales, técnicos, educativos, humanitarios y culturales.</w:t>
      </w:r>
    </w:p>
    <w:p w:rsidR="00000000" w:rsidRDefault="00000000">
      <w:pPr>
        <w:pStyle w:val="SingleTxt"/>
      </w:pPr>
      <w:r>
        <w:tab/>
        <w:t>La Asociación Macedonia de Mujeres Policías está integrada por afiliadas y afiliados que trabajan en el Ministerio del Interior desde hace largo tiempo llevando a c</w:t>
      </w:r>
      <w:r>
        <w:t>a</w:t>
      </w:r>
      <w:r>
        <w:t>bo cometidos especiales.</w:t>
      </w:r>
    </w:p>
    <w:p w:rsidR="00000000" w:rsidRDefault="00000000">
      <w:pPr>
        <w:pStyle w:val="SingleTxt"/>
      </w:pPr>
      <w:r>
        <w:tab/>
        <w:t>Los objetivos de la Asociación son desarrollar y promover los derechos de la mujer en el Ministerio del Interior, mejorar y realzar la condición de la mujer dentro de la estructura profesional del Ministerio, participar en el desempeño de activid</w:t>
      </w:r>
      <w:r>
        <w:t>a</w:t>
      </w:r>
      <w:r>
        <w:t>des profesionales, impartir capacitación a las mujeres del Ministerio y preparar y coordinar proyectos relacionados con la lucha contra los malos tratos psíquicos y f</w:t>
      </w:r>
      <w:r>
        <w:t>í</w:t>
      </w:r>
      <w:r>
        <w:t>sicos de la mujer (violencia en el hogar), las agresiones sexuales contra las mujeres y los niños, la drogadicción, la prostitución, la trata de mujeres y niños y diversos tipos de delincuencia organizada, así como proyectos relativos a otras actividades del Ministerio, prestando asistencia profesional a los órganos, organismos y organ</w:t>
      </w:r>
      <w:r>
        <w:t>i</w:t>
      </w:r>
      <w:r>
        <w:t>zaciones no gubernamentales estatales cuyas actividades son similares a las del M</w:t>
      </w:r>
      <w:r>
        <w:t>i</w:t>
      </w:r>
      <w:r>
        <w:t>nisterio del Interior; la Asociación también tiene como objetivos participar en pr</w:t>
      </w:r>
      <w:r>
        <w:t>o</w:t>
      </w:r>
      <w:r>
        <w:t>yectos de organizaciones no gubernamentales que se ocupan de los derechos de la mujer, incorporar la Asociación a la Red Europea de Mujeres Policías y a la Asoci</w:t>
      </w:r>
      <w:r>
        <w:t>a</w:t>
      </w:r>
      <w:r>
        <w:t>ción Internacional de Mujeres Policías y cumplir otros cometidos que contribuyan a hacer realidad las aspiraciones sociales, económicas y humanitarias de la mujer.</w:t>
      </w:r>
    </w:p>
    <w:p w:rsidR="00000000" w:rsidRDefault="00000000">
      <w:pPr>
        <w:pStyle w:val="SingleTxt"/>
      </w:pPr>
      <w:r>
        <w:tab/>
        <w:t>Para conseguir los objetivos para los que fue constituida la Asociación, sus miembros comenzaron a preparar proyectos, de los cuales han concluido los relaci</w:t>
      </w:r>
      <w:r>
        <w:t>o</w:t>
      </w:r>
      <w:r>
        <w:t>nados con lo siguiente: formación con miras al desarrollo institucional y al fortal</w:t>
      </w:r>
      <w:r>
        <w:t>e</w:t>
      </w:r>
      <w:r>
        <w:t>cimiento orgánico de la administración de la Asociación; establecimiento de un equipo técnico en informática e impresión; y los problemas de los niños de la calle. Se está preparando proyecto sobre la igualdad entre los géneros y la representación de la mujer en las estructuras profesionales del Ministerio.</w:t>
      </w:r>
    </w:p>
    <w:p w:rsidR="00000000" w:rsidRDefault="00000000">
      <w:pPr>
        <w:pStyle w:val="SingleTxt"/>
      </w:pPr>
      <w:r>
        <w:tab/>
        <w:t>5.</w:t>
      </w:r>
      <w:r>
        <w:tab/>
        <w:t xml:space="preserve">En el contexto de lo que antecede, es necesario destacar especialmente la iniciativa del Equipo de Tareas para la igualdad entre los géneros, que se puso en marcha durante la Primera Conferencia sobre el Pacto de Estabilidad para Europa </w:t>
      </w:r>
      <w:r>
        <w:rPr>
          <w:spacing w:val="2"/>
          <w:w w:val="101"/>
        </w:rPr>
        <w:t xml:space="preserve">Sudoriental, celebrada en Sarajevo, en 1999, que influyó positivamente en la aplicación </w:t>
      </w:r>
      <w:r>
        <w:t>de las prioridades del Plan de Acción Nacional para la igualdad entre los géneros, sobre todo en lo concerniente a las prioridades del Plan Nacional y Estrategia para la mujer en la administración del Estado y la adopción de decisiones. La iniciativa del Equipo de Tareas para la igualdad entre los géneros tuvo grandes repercusiones en la República de Macedonia: se estableció el Grupo de Presión de Mujeres Mac</w:t>
      </w:r>
      <w:r>
        <w:t>e</w:t>
      </w:r>
      <w:r>
        <w:t>donias (GPMM), que es una coalición de mujeres pertenecientes a diversas instit</w:t>
      </w:r>
      <w:r>
        <w:t>u</w:t>
      </w:r>
      <w:r>
        <w:t>ciones: el Gobierno, el Parlamento, los gobiernos autónomos locales, las organiz</w:t>
      </w:r>
      <w:r>
        <w:t>a</w:t>
      </w:r>
      <w:r>
        <w:t>ciones no gubernamentales, los partidos políticos, los medios de comunicación y los grupos de mujeres expertas en diversos ámbitos; además, se constituyó una Oficina del GPMM en calidad de organización no gubernamental nacional. Las mujeres de diversos estratos sociales e ideologías (nacionales, regionales y políticos), accedi</w:t>
      </w:r>
      <w:r>
        <w:t>e</w:t>
      </w:r>
      <w:r>
        <w:t>ron a trabajar en pro de la causa la mujer.</w:t>
      </w:r>
    </w:p>
    <w:p w:rsidR="00000000" w:rsidRDefault="00000000">
      <w:pPr>
        <w:pStyle w:val="SingleTxt"/>
      </w:pPr>
      <w:r>
        <w:tab/>
        <w:t>El GPMM fue establecido el 1º de marzo 2000 con una estructura abierta, cuyo órgano de coordinación es un Equipo de Tareas. El Grupo persigue influir en las instituciones, la opinión pública y los medios de comunicación con dos objetivos principales: 1) conseguir que haya un mayor grado de representación de la mujer en la política y la vida pública, especialmente en los procesos decisorios y normativos; y 2) mejorar la legislación y su aplicación en beneficio de los derechos de la mujer.</w:t>
      </w:r>
    </w:p>
    <w:p w:rsidR="00000000" w:rsidRDefault="00000000">
      <w:pPr>
        <w:pStyle w:val="SingleTxt"/>
      </w:pPr>
      <w:r>
        <w:tab/>
        <w:t>A continuación se resumen los resultados obtenidos por el GPMM al cabo de dos años de su establecimiento, durante los que la Directora del Departamento de igualdad entre los géneros del Ministerio de Trabajo y Política Social fue designada coordinadora en la República de Macedonia por el Equipo de Tareas para la igua</w:t>
      </w:r>
      <w:r>
        <w:t>l</w:t>
      </w:r>
      <w:r>
        <w:t>dad entre los géneros del Pacto de Estabilidad para Europa Sudoriental, junto a otras tres mujeres: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Aumento del número de mujeres en los gobiernos locales</w:t>
      </w:r>
    </w:p>
    <w:p w:rsidR="00000000" w:rsidRDefault="00000000">
      <w:pPr>
        <w:pStyle w:val="SingleTxt"/>
        <w:spacing w:after="0" w:line="120" w:lineRule="exact"/>
        <w:rPr>
          <w:sz w:val="10"/>
        </w:rPr>
      </w:pPr>
    </w:p>
    <w:p w:rsidR="00000000" w:rsidRDefault="00000000">
      <w:pPr>
        <w:pStyle w:val="SingleTxt"/>
      </w:pPr>
      <w:r>
        <w:tab/>
        <w:t>El número de mujeres elegidas concejalas es de 161 (el 8,5%), lo que repr</w:t>
      </w:r>
      <w:r>
        <w:t>e</w:t>
      </w:r>
      <w:r>
        <w:t>senta un aumento del 50% por comparación con la cifra anterior de 105 mujeres (el 5,5%). Se eligió alcaldesas a tres mujeres, lo que contrasta con la situación anterior, en la que no había ninguna mujer que desempeñara ese cargo.</w:t>
      </w:r>
    </w:p>
    <w:p w:rsidR="00000000" w:rsidRDefault="00000000">
      <w:pPr>
        <w:pStyle w:val="SingleTxt"/>
      </w:pPr>
      <w:r>
        <w:tab/>
        <w:t>Una mujer es la alcaldesa de un distrito de Skopje, y hay otras dos que son a</w:t>
      </w:r>
      <w:r>
        <w:t>l</w:t>
      </w:r>
      <w:r>
        <w:t>caldesas de poblaciones rurales. Hay dos mujeres alcaldesas de nacionalidad mac</w:t>
      </w:r>
      <w:r>
        <w:t>e</w:t>
      </w:r>
      <w:r>
        <w:t>donia (pertenecientes a los partidos de la oposición) y una de ellas es albanesa (pe</w:t>
      </w:r>
      <w:r>
        <w:t>r</w:t>
      </w:r>
      <w:r>
        <w:t>ten</w:t>
      </w:r>
      <w:r>
        <w:t>e</w:t>
      </w:r>
      <w:r>
        <w:t>ciente a un partido en el poder).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Aumento de la concienciación de la mujer respecto de su participación política y pública</w:t>
      </w:r>
    </w:p>
    <w:p w:rsidR="00000000" w:rsidRDefault="00000000">
      <w:pPr>
        <w:pStyle w:val="SingleTxt"/>
        <w:spacing w:after="0" w:line="120" w:lineRule="exact"/>
        <w:rPr>
          <w:sz w:val="10"/>
        </w:rPr>
      </w:pPr>
    </w:p>
    <w:p w:rsidR="00000000" w:rsidRDefault="00000000">
      <w:pPr>
        <w:pStyle w:val="SingleTxt"/>
      </w:pPr>
      <w:r>
        <w:tab/>
        <w:t>Durante la realización de las actividades previas a las elecciones por parte del GPMM o sus miembros (organizaciones no gubernamentales o partidos políticos), aumentó el número de mujeres interesadas en afiliarse a algunos partidos políticos, en ser candidatas o en apoyar candidaturas de mujeres.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Mayor sensibilización de las electoras de las zonas rurales acerca de sus derechos de voto</w:t>
      </w:r>
    </w:p>
    <w:p w:rsidR="00000000" w:rsidRDefault="00000000">
      <w:pPr>
        <w:pStyle w:val="SingleTxt"/>
        <w:spacing w:after="0" w:line="120" w:lineRule="exact"/>
        <w:rPr>
          <w:sz w:val="10"/>
        </w:rPr>
      </w:pPr>
    </w:p>
    <w:p w:rsidR="00000000" w:rsidRDefault="00000000">
      <w:pPr>
        <w:pStyle w:val="SingleTxt"/>
      </w:pPr>
      <w:r>
        <w:tab/>
        <w:t>En algunas zonas rurales se organizaron por vez primera cursos prácticos sobre derechos electorales. Ello constituyó un incentivo para que algunas de esas mujeres votaran por vez primera a las candidaturas que habían elegido libremente.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Superación de la división entre los partidos y las etnias merced a la labor realizada en pro de los derechos de la mujer</w:t>
      </w:r>
    </w:p>
    <w:p w:rsidR="00000000" w:rsidRDefault="00000000">
      <w:pPr>
        <w:pStyle w:val="SingleTxt"/>
        <w:spacing w:after="0" w:line="120" w:lineRule="exact"/>
        <w:rPr>
          <w:sz w:val="10"/>
        </w:rPr>
      </w:pPr>
    </w:p>
    <w:p w:rsidR="00000000" w:rsidRDefault="00000000">
      <w:pPr>
        <w:pStyle w:val="SingleTxt"/>
      </w:pPr>
      <w:r>
        <w:tab/>
        <w:t>Las mujeres de diferentes grupos étnicos, religiosos y políticos se unieron en pro de la causa de la mujer. Fue la primera actividad de cooperación realizada por parte de mujeres pertenecientes a diferentes partidos políticos.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Aumento de la sensibilización de la opinión pública acerca de la necesidad de lograr la igualdad de oportunidades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 reacción de la opinión pública fue mucho más favorable de lo esperado, lo que entrañó un aumento manifiesto del interés por parte de los medios de comunic</w:t>
      </w:r>
      <w:r>
        <w:rPr>
          <w:spacing w:val="2"/>
          <w:w w:val="101"/>
        </w:rPr>
        <w:t>a</w:t>
      </w:r>
      <w:r>
        <w:rPr>
          <w:spacing w:val="2"/>
          <w:w w:val="101"/>
        </w:rPr>
        <w:t>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Mayor sensibilización de los partidos políticos acerca de la necesidad de respetar la opinión de la mujer</w:t>
      </w:r>
    </w:p>
    <w:p w:rsidR="00000000" w:rsidRDefault="00000000">
      <w:pPr>
        <w:pStyle w:val="SingleTxt"/>
        <w:spacing w:after="0" w:line="120" w:lineRule="exact"/>
        <w:rPr>
          <w:sz w:val="10"/>
        </w:rPr>
      </w:pPr>
    </w:p>
    <w:p w:rsidR="00000000" w:rsidRDefault="00000000">
      <w:pPr>
        <w:pStyle w:val="SingleTxt"/>
      </w:pPr>
      <w:r>
        <w:tab/>
        <w:t>Los partidos políticos acordaron firmar una declaración en apoyo de las d</w:t>
      </w:r>
      <w:r>
        <w:t>e</w:t>
      </w:r>
      <w:r>
        <w:t>mandas del GPMM. Aunque sólo apoyaron ciertas demandas, todas esas actividades realzaron las funciones de las agrupaciones de mujeres de los partidos. Es de dest</w:t>
      </w:r>
      <w:r>
        <w:t>a</w:t>
      </w:r>
      <w:r>
        <w:t>car que, después del establecimiento del GPMM, los partidos políticos que carecían de agr</w:t>
      </w:r>
      <w:r>
        <w:t>u</w:t>
      </w:r>
      <w:r>
        <w:t>paciones de mujeres procedieron a crearlas.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Fortalecimiento de los mecanismos en pro de la igualdad entre los géneros en el país</w:t>
      </w:r>
    </w:p>
    <w:p w:rsidR="00000000" w:rsidRDefault="00000000">
      <w:pPr>
        <w:pStyle w:val="SingleTxt"/>
        <w:spacing w:after="0" w:line="120" w:lineRule="exact"/>
        <w:rPr>
          <w:sz w:val="10"/>
        </w:rPr>
      </w:pPr>
    </w:p>
    <w:p w:rsidR="00000000" w:rsidRDefault="00000000">
      <w:pPr>
        <w:pStyle w:val="SingleTxt"/>
      </w:pPr>
      <w:r>
        <w:tab/>
        <w:t>Ha mejorado la situación del Departamento de igualdad entre los géneros del Ministerio de Trabajo y Política Social, lo que ha entrañado contratar a otra persona con carácter temporal, con la posibilidad de que el número de funcionarios del d</w:t>
      </w:r>
      <w:r>
        <w:t>e</w:t>
      </w:r>
      <w:r>
        <w:t>partamento aumente en el futuro. Es de destacar que el Ministerio de Trabajo y P</w:t>
      </w:r>
      <w:r>
        <w:t>o</w:t>
      </w:r>
      <w:r>
        <w:t>lítica Social ha anunciado que es posible que se reforme la Ley electoral desde la perspectiva de género.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Establecimiento de agrupaciones de mujeres en los dos principales sindicatos</w:t>
      </w:r>
    </w:p>
    <w:p w:rsidR="00000000" w:rsidRDefault="00000000">
      <w:pPr>
        <w:pStyle w:val="SingleTxt"/>
        <w:spacing w:after="0" w:line="120" w:lineRule="exact"/>
        <w:rPr>
          <w:sz w:val="10"/>
        </w:rPr>
      </w:pPr>
    </w:p>
    <w:p w:rsidR="00000000" w:rsidRDefault="00000000">
      <w:pPr>
        <w:pStyle w:val="SingleTxt"/>
      </w:pPr>
      <w:r>
        <w:tab/>
        <w:t>Dichas agrupaciones se constituyeron después de las elecciones locales de 2001. (Este logro, aunque no es fruto directo de las actividades del GPMM, estuvo muy i</w:t>
      </w:r>
      <w:r>
        <w:t>n</w:t>
      </w:r>
      <w:r>
        <w:t>fluido por éste último).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Preparación de estadísticas sobre el género por parte del Instituto de Estadíst</w:t>
      </w:r>
      <w:r>
        <w:t>i</w:t>
      </w:r>
      <w:r>
        <w:t>ca</w:t>
      </w:r>
    </w:p>
    <w:p w:rsidR="00000000" w:rsidRDefault="00000000">
      <w:pPr>
        <w:pStyle w:val="SingleTxt"/>
        <w:spacing w:after="0" w:line="120" w:lineRule="exact"/>
        <w:rPr>
          <w:sz w:val="10"/>
        </w:rPr>
      </w:pPr>
    </w:p>
    <w:p w:rsidR="00000000" w:rsidRDefault="00000000">
      <w:pPr>
        <w:pStyle w:val="SingleTxt"/>
      </w:pPr>
      <w:r>
        <w:tab/>
        <w:t>Por vez primera un órgano oficial del Estado publicó un folleto con datos de</w:t>
      </w:r>
      <w:r>
        <w:t>s</w:t>
      </w:r>
      <w:r>
        <w:t>glosados por género. (Este logro, aunque no es fruto directo de las actividades del GPMM, estuvo muy influido por éste último). En el anexo del presente informe f</w:t>
      </w:r>
      <w:r>
        <w:t>i</w:t>
      </w:r>
      <w:r>
        <w:t>gura información detallada sobre las actividades del Grupo de Presión.</w:t>
      </w:r>
    </w:p>
    <w:p w:rsidR="00000000" w:rsidRDefault="00000000">
      <w:pPr>
        <w:pStyle w:val="SingleTxt"/>
      </w:pPr>
      <w:r>
        <w:tab/>
        <w:t>Teniendo en cuenta lo que se ha indicado acerca de las organizaciones no g</w:t>
      </w:r>
      <w:r>
        <w:t>u</w:t>
      </w:r>
      <w:r>
        <w:t>bernamentales de mujeres, cabe señalar que las mujeres de la República de Maced</w:t>
      </w:r>
      <w:r>
        <w:t>o</w:t>
      </w:r>
      <w:r>
        <w:t>nia están enmarcadas dentro de diversas organizaciones no gubernamentales en fu</w:t>
      </w:r>
      <w:r>
        <w:t>n</w:t>
      </w:r>
      <w:r>
        <w:t>ción de sus intereses y actividades. Es importante contribuir al fortalecimiento de este sector estableciendo instrucciones y directrices sobre el modo en que esas org</w:t>
      </w:r>
      <w:r>
        <w:t>a</w:t>
      </w:r>
      <w:r>
        <w:t>nizaciones pueden recaudar fondos, sobre el modo de preparar proyectos de pr</w:t>
      </w:r>
      <w:r>
        <w:t>o</w:t>
      </w:r>
      <w:r>
        <w:t>puestas, sobre los trámites administrativos conexos y sobre la preparación de info</w:t>
      </w:r>
      <w:r>
        <w:t>r</w:t>
      </w:r>
      <w:r>
        <w:t>mes. Es importante que se invierta en este sector para que mejore el funcionamiento de la sociedad civil en general, en la que han de garantizarse los valores y derechos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Artículo 8</w:t>
      </w:r>
    </w:p>
    <w:p w:rsidR="00000000" w:rsidRDefault="00000000">
      <w:pPr>
        <w:pStyle w:val="SingleTxt"/>
        <w:keepNext/>
        <w:keepLines/>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y participación internacionales</w:t>
      </w:r>
    </w:p>
    <w:p w:rsidR="00000000" w:rsidRDefault="00000000">
      <w:pPr>
        <w:pStyle w:val="SingleTxt"/>
        <w:keepNext/>
        <w:keepLines/>
        <w:spacing w:after="0" w:line="120" w:lineRule="exact"/>
        <w:rPr>
          <w:b/>
          <w:i/>
          <w:sz w:val="10"/>
        </w:rPr>
      </w:pPr>
    </w:p>
    <w:p w:rsidR="00000000" w:rsidRDefault="00000000">
      <w:pPr>
        <w:pStyle w:val="SingleTxt"/>
        <w:keepNext/>
        <w:keepLines/>
        <w:spacing w:after="0" w:line="120" w:lineRule="exact"/>
        <w:rPr>
          <w:b/>
          <w:i/>
          <w:sz w:val="10"/>
        </w:rPr>
      </w:pPr>
    </w:p>
    <w:p w:rsidR="00000000" w:rsidRDefault="00000000">
      <w:pPr>
        <w:pStyle w:val="SingleTxt"/>
        <w:keepNext/>
        <w:keepLines/>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tenor de lo dispuesto en el artículo 32 de la Constitución de la República de Macedonia, toda persona tiene derecho a trabajar, a elegir libremente un empleo, a ser protegida en el trabajo y a ser ayudada materialmente mientras está tempora</w:t>
      </w:r>
      <w:r>
        <w:t>l</w:t>
      </w:r>
      <w:r>
        <w:t>mente desempleada. Todo puesto de trabajo puede ser ocupado por cualquier pers</w:t>
      </w:r>
      <w:r>
        <w:t>o</w:t>
      </w:r>
      <w:r>
        <w:t>na en las mismas condiciones. Así pues, las mujeres tienen iguales derechos que los hombres a representar al Gobierno de la República de Macedonia en el plano inte</w:t>
      </w:r>
      <w:r>
        <w:t>r</w:t>
      </w:r>
      <w:r>
        <w:t>nacional y a participar en la labor de las organizaciones internacionales.</w:t>
      </w:r>
    </w:p>
    <w:p w:rsidR="00000000" w:rsidRDefault="00000000">
      <w:pPr>
        <w:pStyle w:val="SingleTxt"/>
      </w:pPr>
      <w:r>
        <w:tab/>
        <w:t>No obstante, la participación de la mujer de la República de Macedonia en la esfera internacional sigue siendo realmente escasa. Además, la práctica del traslado, que aún está insuficientemente desarrollada, es incluso más escasa por lo que re</w:t>
      </w:r>
      <w:r>
        <w:t>s</w:t>
      </w:r>
      <w:r>
        <w:t>pecta a la participación de la mujer en las organizaciones internacionales.</w:t>
      </w:r>
    </w:p>
    <w:p w:rsidR="00000000" w:rsidRDefault="00000000">
      <w:pPr>
        <w:pStyle w:val="SingleTxt"/>
      </w:pPr>
      <w:r>
        <w:tab/>
        <w:t>La situación en el Ministerio de Relaciones Exteriores de la República de M</w:t>
      </w:r>
      <w:r>
        <w:t>a</w:t>
      </w:r>
      <w:r>
        <w:t>ced</w:t>
      </w:r>
      <w:r>
        <w:t>o</w:t>
      </w:r>
      <w:r>
        <w:t>nia es la siguiente.</w:t>
      </w:r>
    </w:p>
    <w:p w:rsidR="00000000" w:rsidRDefault="00000000">
      <w:pPr>
        <w:pStyle w:val="SingleTxt"/>
      </w:pPr>
      <w:r>
        <w:tab/>
        <w:t>En julio de 2003 el Ministerio contaba con 201 empleados (incluidos los e</w:t>
      </w:r>
      <w:r>
        <w:t>m</w:t>
      </w:r>
      <w:r>
        <w:t>pleados técnicos), de los que 101 eran mujeres. De los 26 asesores del Ministerio de Relaciones Exteriores, cuatro eran mujeres. Desde el acceso a la independencia, en 1991, hasta la fecha, ninguna mujer ha sido nombrada Viceministra de Relaciones Exteriores. Sin embargo, por vez primera desde la independencia una mujer fue nombrada Ministra de Relaciones Exteriores durante el Gobierno de coalición con</w:t>
      </w:r>
      <w:r>
        <w:t>s</w:t>
      </w:r>
      <w:r>
        <w:t>tituido en 2001, lo que volvió a ocurrir cuando, después de la celebración de las elecciones parlamentarias de septiembre 2002, se constituyó un nuevo Gobierno de coalición en noviembre 2002.</w:t>
      </w:r>
    </w:p>
    <w:p w:rsidR="00000000" w:rsidRDefault="00000000">
      <w:pPr>
        <w:pStyle w:val="SingleTxt"/>
      </w:pPr>
      <w:r>
        <w:tab/>
        <w:t>En el momento de la preparación del presente informe (julio de 2003), había 137 empleados en las 41 misiones diplomáticas y consulares de la República de M</w:t>
      </w:r>
      <w:r>
        <w:t>a</w:t>
      </w:r>
      <w:r>
        <w:t>cedonia en el extranjero, de los que 32 eran mujeres. Del total de empleados de las misiones diplomáticas y consulares, 110 eran diplomáticos y entre ellos únicamente había 25 mujeres. Así, hasta julio de 2003 siete mujeres habían sido nombradas m</w:t>
      </w:r>
      <w:r>
        <w:t>i</w:t>
      </w:r>
      <w:r>
        <w:t>nistras-consejeras; diez consejeras; cuatro primeras secretarias; y una segunda s</w:t>
      </w:r>
      <w:r>
        <w:t>e</w:t>
      </w:r>
      <w:r>
        <w:t>cretaria, una tercera secretaria y una agregada. En la actualidad, de un total de 26 embajadores hay únicamente tres embajadoras (no pertenecientes a la carrera dipl</w:t>
      </w:r>
      <w:r>
        <w:t>o</w:t>
      </w:r>
      <w:r>
        <w:t>mática). Desde la independencia en 1991, ninguna mujer perteneciente a la carrera diplomática ha sido nombrada embajadora.</w:t>
      </w:r>
    </w:p>
    <w:p w:rsidR="00000000" w:rsidRDefault="00000000">
      <w:pPr>
        <w:pStyle w:val="SingleTxt"/>
      </w:pPr>
      <w:r>
        <w:tab/>
        <w:t>Mientras están destinadas en el extranjero, las diplomáticas no tienen regul</w:t>
      </w:r>
      <w:r>
        <w:t>a</w:t>
      </w:r>
      <w:r>
        <w:t>dos sus derechos en relación con el embarazo, el parto y la licencia de maternidad. Desde el acceso a la independencia de la República de Macedonia, no habido ning</w:t>
      </w:r>
      <w:r>
        <w:t>u</w:t>
      </w:r>
      <w:r>
        <w:t>na diplomática que diera a luz ni que utilizara la licencia de maternidad mientras estaba de</w:t>
      </w:r>
      <w:r>
        <w:t>s</w:t>
      </w:r>
      <w:r>
        <w:t>tinada en el extranjero.</w:t>
      </w:r>
    </w:p>
    <w:p w:rsidR="00000000" w:rsidRDefault="00000000">
      <w:pPr>
        <w:pStyle w:val="SingleTxt"/>
      </w:pPr>
      <w:r>
        <w:tab/>
        <w:t>En términos generales, durante el período comprendido entre 1994 y 2003, 60 mujeres desempeñaron puestos de trabajo de distintos niveles en las misiones d</w:t>
      </w:r>
      <w:r>
        <w:t>i</w:t>
      </w:r>
      <w:r>
        <w:t>plomáticas y consulares de la República de Macedonia en extranjero. En total, había 14 empleadas consulares de carácter técnico; una agregada; una cónsul; una tercera secretaria; una segunda secretaria; cuatro primeras secretarias; 18 consejeras; 16 mini</w:t>
      </w:r>
      <w:r>
        <w:t>s</w:t>
      </w:r>
      <w:r>
        <w:t>tras-consejeras; y cuatro embajadoras.</w:t>
      </w:r>
    </w:p>
    <w:p w:rsidR="00000000" w:rsidRDefault="00000000">
      <w:pPr>
        <w:pStyle w:val="SingleTxt"/>
      </w:pPr>
      <w:r>
        <w:tab/>
        <w:t>Una mujer de la República de Macedonia fue elegida magistrada (para un s</w:t>
      </w:r>
      <w:r>
        <w:t>e</w:t>
      </w:r>
      <w:r>
        <w:t>gundo mandato) del Tribunal Europeo de Derechos Humanos de Estrasburgo. Ad</w:t>
      </w:r>
      <w:r>
        <w:t>e</w:t>
      </w:r>
      <w:r>
        <w:t>más hay mujeres que son miembros de comités de expertos y otros órganos de las organiz</w:t>
      </w:r>
      <w:r>
        <w:t>a</w:t>
      </w:r>
      <w:r>
        <w:t>ciones internacionales.</w:t>
      </w:r>
    </w:p>
    <w:p w:rsidR="00000000" w:rsidRDefault="00000000">
      <w:pPr>
        <w:pStyle w:val="SingleTxt"/>
      </w:pPr>
      <w:r>
        <w:tab/>
        <w:t xml:space="preserve">En el comentario del artículo 7 </w:t>
      </w:r>
      <w:r>
        <w:rPr>
          <w:i/>
        </w:rPr>
        <w:t>supra</w:t>
      </w:r>
      <w:r>
        <w:t xml:space="preserve"> se explican otras formas de participación de las mujeres en la vida política y pública de la República de Macedonia desde el punto de vista internacional.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Artículo 9</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1.</w:t>
      </w:r>
      <w:r>
        <w:rPr>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rPr>
        <w:t>posa, la conviertan en apátrida o la obliguen a adoptar la nacionalidad del có</w:t>
      </w:r>
      <w:r>
        <w:rPr>
          <w:i/>
        </w:rPr>
        <w:t>n</w:t>
      </w:r>
      <w:r>
        <w:rPr>
          <w:i/>
        </w:rPr>
        <w:t>yuge</w:t>
      </w:r>
    </w:p>
    <w:p w:rsidR="00000000" w:rsidRDefault="00000000">
      <w:pPr>
        <w:pStyle w:val="SingleTxt"/>
        <w:rPr>
          <w:i/>
        </w:rPr>
      </w:pPr>
      <w:r>
        <w:rPr>
          <w:i/>
        </w:rPr>
        <w:tab/>
        <w:t>2.</w:t>
      </w:r>
      <w:r>
        <w:rPr>
          <w:i/>
        </w:rP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La igualdad de todos los ciudadanos por lo que respecta a la adquisición, el cambio o la conservación de la nacionalidad macedonia está garantizada en la Constitución. Así, de conformidad con el artículo 4 de la Constitución, “Los ciud</w:t>
      </w:r>
      <w:r>
        <w:t>a</w:t>
      </w:r>
      <w:r>
        <w:t>danos de la República de Macedonia tienen la nacionalidad de la República de M</w:t>
      </w:r>
      <w:r>
        <w:t>a</w:t>
      </w:r>
      <w:r>
        <w:t>cedonia. Un ciudadano de la República de Macedonia no puede ser privado de su nacionalidad, expatriado o exiliado a otro país. La nacionalidad de la República de Macedonia se regula por la ley”.</w:t>
      </w:r>
    </w:p>
    <w:p w:rsidR="00000000" w:rsidRDefault="00000000">
      <w:pPr>
        <w:pStyle w:val="SingleTxt"/>
      </w:pPr>
      <w:r>
        <w:tab/>
        <w:t>En la Constitución de la República de Macedonia no se hace ninguna difere</w:t>
      </w:r>
      <w:r>
        <w:t>n</w:t>
      </w:r>
      <w:r>
        <w:t>cia entre el hombre y la mujer, sino que se habla de los ciudadanos de la República de Macedonia, lo que permite llegar a la conclusión de que la mujer tiene los mi</w:t>
      </w:r>
      <w:r>
        <w:t>s</w:t>
      </w:r>
      <w:r>
        <w:t>mos derechos y obligaciones que el hombre en materia de nacionalidad.</w:t>
      </w:r>
    </w:p>
    <w:p w:rsidR="00000000" w:rsidRDefault="00000000">
      <w:pPr>
        <w:pStyle w:val="SingleTxt"/>
      </w:pPr>
      <w:r>
        <w:tab/>
        <w:t>Además, a tenor de lo dispuesto en el artículo 29 de la Constitución:</w:t>
      </w:r>
    </w:p>
    <w:p w:rsidR="00000000" w:rsidRDefault="00000000">
      <w:pPr>
        <w:pStyle w:val="SingleTxt"/>
        <w:ind w:left="1742"/>
      </w:pPr>
      <w:r>
        <w:tab/>
        <w:t>“Los extranjeros disfrutarán de los derechos y libertades garantizados por la Constitución de la República de Macedonia en los mismos términos y co</w:t>
      </w:r>
      <w:r>
        <w:t>n</w:t>
      </w:r>
      <w:r>
        <w:t>diciones que se establecen en la ley y en los tratados internacionales. La Rep</w:t>
      </w:r>
      <w:r>
        <w:t>ú</w:t>
      </w:r>
      <w:r>
        <w:t>blica garantiza el derecho de asilo de los extranjeros y expatriados por ideas y actividades políticas. La extradición de extranjeros únicamente puede realiza</w:t>
      </w:r>
      <w:r>
        <w:t>r</w:t>
      </w:r>
      <w:r>
        <w:t>se sobre la base de un acuerdo internacional ratificado y el principio de la r</w:t>
      </w:r>
      <w:r>
        <w:t>e</w:t>
      </w:r>
      <w:r>
        <w:t>ciprocidad. Un extranjero no puede ser extraditado por delitos políticos. Los actos terroristas no son considerados delitos políticos.”</w:t>
      </w:r>
    </w:p>
    <w:p w:rsidR="00000000" w:rsidRDefault="00000000">
      <w:pPr>
        <w:pStyle w:val="SingleTxt"/>
      </w:pPr>
      <w:r>
        <w:tab/>
        <w:t>En concreto, la nacionalidad de la República de Macedonia está regulada por la Ley de la nacionalidad de la República de Macedonia (Gaceta Oficial, no. 67/92). En esa Ley se aplican sistemáticamente los principios de la igualdad y la equidad entre los ciudadanos, tal como se dispone en la Constitución. En este sentido, la Ley de la nacionalidad de la República de Macedonia no contiene ninguna disposición discriminatoria respecto del hombre y la mujer, sino que utiliza los términos de e</w:t>
      </w:r>
      <w:r>
        <w:t>x</w:t>
      </w:r>
      <w:r>
        <w:t>tranjero, emigrante, etc.</w:t>
      </w:r>
    </w:p>
    <w:p w:rsidR="00000000" w:rsidRDefault="00000000">
      <w:pPr>
        <w:pStyle w:val="SingleTxt"/>
      </w:pPr>
      <w:r>
        <w:tab/>
        <w:t>En artículo 7 de esa Ley se establece el procedimiento ordinario para adquirir la nacionalidad de la República de Macedonia por naturalización y en ninguna de las ocho condiciones establecidas se hacen diferencias entre el hombre y la mujer. Con arreglo al artículo 7, “Un extranjero puede adquirir al nacionalidad de la República de Macedonia si así lo solicita y reúne las condiciones siguientes: ser mayor de 18 años de edad, haber residido legalmente en el territorio de la República de Maced</w:t>
      </w:r>
      <w:r>
        <w:t>o</w:t>
      </w:r>
      <w:r>
        <w:t>nia por lo menos los 15 años anteriores a la presentación de la solicitud de adquis</w:t>
      </w:r>
      <w:r>
        <w:t>i</w:t>
      </w:r>
      <w:r>
        <w:t>ción de la nacionalidad, no padecer ninguna enfermedad psicofísica, tener un lugar de residencia y una fuente permanente de fondos, no tener abierto ningún proceso penal en el país del que sea nacional ni en la República de Macedonia, dominar el idioma macedonio, no poner en peligro la seguridad ni la defensa de la República de Macedonia como consecuencia de la adquisición de la nacionalidad y haber renu</w:t>
      </w:r>
      <w:r>
        <w:t>n</w:t>
      </w:r>
      <w:r>
        <w:t>ciado a la nacionalidad extranjera, es decir, presentar pruebas de que perderá la otra nacionalidad en caso de adquirir la nacionalidad de la República de Macedonia”.</w:t>
      </w:r>
    </w:p>
    <w:p w:rsidR="00000000" w:rsidRDefault="00000000">
      <w:pPr>
        <w:pStyle w:val="SingleTxt"/>
      </w:pPr>
      <w:r>
        <w:tab/>
        <w:t>Uno de los casos especiales de adquisición de la nacionalidad de la República de Macedonia es el que se prevé en el artículo 9 de la Ley de la nacionalidad de la República de Macedonia, según el cual “la persona extranjera que permanece casada con un nacional de la República de Macedonia durante tres años por como mínimo y, hasta que presenta su solicitud de adquisición de la nacionalidad, reside perm</w:t>
      </w:r>
      <w:r>
        <w:t>a</w:t>
      </w:r>
      <w:r>
        <w:t xml:space="preserve">nentemente por lo menos un año en el territorio de la República de Macedonia, pese </w:t>
      </w:r>
      <w:r>
        <w:rPr>
          <w:spacing w:val="2"/>
          <w:w w:val="101"/>
        </w:rPr>
        <w:t xml:space="preserve">a no reunir los requisitos establecidos en los apartados 2, 6 y 8 del párrafo 1 del artículo 7, </w:t>
      </w:r>
      <w:r>
        <w:t>podrá adquirir la nacionalidad de la República de Macedonia”.</w:t>
      </w:r>
    </w:p>
    <w:p w:rsidR="00000000" w:rsidRDefault="00000000">
      <w:pPr>
        <w:pStyle w:val="SingleTxt"/>
      </w:pPr>
      <w:r>
        <w:tab/>
        <w:t>En la Ley no se establece ninguna discriminación ni distinción por lo que re</w:t>
      </w:r>
      <w:r>
        <w:t>s</w:t>
      </w:r>
      <w:r>
        <w:t>pecta a la persona extranjera que se casa con una persona nacional de la República de Macedonia a los efectos de la posibilidad de obtener la nacionalidad ni tampoco se establecen distinciones en cuanto a los requisitos que hay que reunir de confo</w:t>
      </w:r>
      <w:r>
        <w:t>r</w:t>
      </w:r>
      <w:r>
        <w:t>midad con la Ley de la nacionalidad.</w:t>
      </w:r>
    </w:p>
    <w:p w:rsidR="00000000" w:rsidRDefault="00000000">
      <w:pPr>
        <w:pStyle w:val="SingleTxt"/>
      </w:pPr>
      <w:r>
        <w:tab/>
        <w:t>Es también muy importante señalar que el matrimonio entre una extranjera y un nacional de la República de Macedonia o entre una nacional de la República de Macedonia y un extranjero, así como el cambio de nacionalidad del marido durante el matrimonio, no modifica la nacionalidad de la mujer. El legislador ha dado una importancia fundamental al principio de la libre voluntad de los solicitantes.</w:t>
      </w:r>
    </w:p>
    <w:p w:rsidR="00000000" w:rsidRDefault="00000000">
      <w:pPr>
        <w:pStyle w:val="SingleTxt"/>
      </w:pPr>
      <w:r>
        <w:tab/>
        <w:t>No se establece ninguna discriminación entre el hombre y la mujer que solic</w:t>
      </w:r>
      <w:r>
        <w:t>i</w:t>
      </w:r>
      <w:r>
        <w:t>tan la adquisición de la nacionalidad de la República de Macedonia, ni siquiera en el marco del procedimiento excepcional de adquisición de la nacionalidad establecido en el artículo 11 de la Ley de la nacionalidad, a cuyo tenor “no obstante lo dispuesto en el artículo 7, el extranjero de más de 18 años de edad podrá adquirir la nacional</w:t>
      </w:r>
      <w:r>
        <w:t>i</w:t>
      </w:r>
      <w:r>
        <w:t>dad de la República de Macedonia por naturalización en caso de que ello tenga un especial interés científico, económico, cultural y nacional, disposición ésta que se aplica especialmente a todos los macedonios de origen que vivan fuera de las front</w:t>
      </w:r>
      <w:r>
        <w:t>e</w:t>
      </w:r>
      <w:r>
        <w:t>ras de la República de Macedonia. El Gobierno de la República de Macedonia emite previamente una opinión acerca de la existencia de un interés especial en relación con el párrafo 1 del presente artículo”. Además del extranjero, su cónyuge puede obtener la nacionalidad de la República de Macedonia por naturalización en los té</w:t>
      </w:r>
      <w:r>
        <w:t>r</w:t>
      </w:r>
      <w:r>
        <w:t>minos est</w:t>
      </w:r>
      <w:r>
        <w:t>a</w:t>
      </w:r>
      <w:r>
        <w:t>blecidos en el artículo 9 de la Ley.</w:t>
      </w:r>
    </w:p>
    <w:p w:rsidR="00000000" w:rsidRDefault="00000000">
      <w:pPr>
        <w:pStyle w:val="SingleTxt"/>
      </w:pPr>
      <w:r>
        <w:tab/>
        <w:t>Sobre la base de la Constitución y la Ley de la nacionalidad de la República de Macedonia, las mujeres tienen garantizados los mismos derechos que el hombre en r</w:t>
      </w:r>
      <w:r>
        <w:t>e</w:t>
      </w:r>
      <w:r>
        <w:t>lación con la nacionalidad de los hijos.</w:t>
      </w:r>
    </w:p>
    <w:p w:rsidR="00000000" w:rsidRDefault="00000000">
      <w:pPr>
        <w:pStyle w:val="SingleTxt"/>
      </w:pPr>
      <w:r>
        <w:tab/>
        <w:t>En los artículos 4 y 5 de la Ley de la nacionalidad de la República de Maced</w:t>
      </w:r>
      <w:r>
        <w:t>o</w:t>
      </w:r>
      <w:r>
        <w:t>nia, que regula el modo de adquirir la nacionalidad macedonia por origen, no se e</w:t>
      </w:r>
      <w:r>
        <w:t>s</w:t>
      </w:r>
      <w:r>
        <w:t>tablece ninguna distinción por razón del género y, en concreto, la mujer de la Rep</w:t>
      </w:r>
      <w:r>
        <w:t>ú</w:t>
      </w:r>
      <w:r>
        <w:t>blica de Macedonia o la extranjera cuyo esposo es ciudadano de la República de Macedonia puede decidir equitativamente y dar su consentimiento para que sus hijos men</w:t>
      </w:r>
      <w:r>
        <w:t>o</w:t>
      </w:r>
      <w:r>
        <w:t>res de edad obtengan la nacionalidad macedonia, al igual que el padre.</w:t>
      </w:r>
    </w:p>
    <w:p w:rsidR="00000000" w:rsidRDefault="00000000">
      <w:pPr>
        <w:pStyle w:val="SingleTxt"/>
      </w:pPr>
      <w:r>
        <w:tab/>
        <w:t>2)</w:t>
      </w:r>
      <w:r>
        <w:tab/>
        <w:t>De conformidad con el artículo 4, “sobre la base del origen, un hijo pu</w:t>
      </w:r>
      <w:r>
        <w:t>e</w:t>
      </w:r>
      <w:r>
        <w:t>de obtener la nacionalidad de la República de Macedonia siempre que uno de sus padres, en el momento del nacimiento del hijo, hubiera sido ciudadano de la Rep</w:t>
      </w:r>
      <w:r>
        <w:t>ú</w:t>
      </w:r>
      <w:r>
        <w:t>blica de Macedonia y el hijo hubiese nacido en ella, a menos que los padres decidan por mutuo acuerdo que el hijo adquiera la nacionalidad del otro progenitor, así como si, en el momento del nacimiento del hijo, uno de los progenitores es ciudadano de la República de Macedonia y el otro progenitor es desconocido, se desconoce su n</w:t>
      </w:r>
      <w:r>
        <w:t>a</w:t>
      </w:r>
      <w:r>
        <w:t>cionalidad o es apátrida y el hijo ha nacido en el extranjero. La nacionalidad de la República de Macedonia también se confiere a los hijos adoptados en caso de ado</w:t>
      </w:r>
      <w:r>
        <w:t>p</w:t>
      </w:r>
      <w:r>
        <w:t>ción plena, cuando ambos padres adoptivos o uno de ellos sean ciudadanos de la República de Macedonia”.</w:t>
      </w:r>
    </w:p>
    <w:p w:rsidR="00000000" w:rsidRDefault="00000000">
      <w:pPr>
        <w:pStyle w:val="SingleTxt"/>
      </w:pPr>
      <w:r>
        <w:tab/>
        <w:t>Según lo indicado, la Ley se refiere a uno de los progenitores y no a la madre o al padre, lo que significa que ambos tienen los mismos derechos por lo que respecta a la posibilidad de que se otorgue la nacionalidad a los hijos.</w:t>
      </w:r>
    </w:p>
    <w:p w:rsidR="00000000" w:rsidRDefault="00000000">
      <w:pPr>
        <w:pStyle w:val="SingleTxt"/>
        <w:rPr>
          <w:spacing w:val="2"/>
          <w:w w:val="101"/>
        </w:rPr>
      </w:pPr>
      <w:r>
        <w:tab/>
        <w:t>A la vista de lo que antecede, queda claro que las disposiciones constitucion</w:t>
      </w:r>
      <w:r>
        <w:t>a</w:t>
      </w:r>
      <w:r>
        <w:t>les en favor de la igualdad entre los ciudadanos en materia de nacionalidad están i</w:t>
      </w:r>
      <w:r>
        <w:t>n</w:t>
      </w:r>
      <w:r>
        <w:t xml:space="preserve">corporadas y </w:t>
      </w:r>
      <w:r>
        <w:rPr>
          <w:spacing w:val="2"/>
          <w:w w:val="101"/>
        </w:rPr>
        <w:t>concretadas en la Ley de la nacionalidad de la República de Maced</w:t>
      </w:r>
      <w:r>
        <w:rPr>
          <w:spacing w:val="2"/>
          <w:w w:val="101"/>
        </w:rPr>
        <w:t>o</w:t>
      </w:r>
      <w:r>
        <w:rPr>
          <w:spacing w:val="2"/>
          <w:w w:val="101"/>
        </w:rPr>
        <w:t>nia.</w:t>
      </w:r>
    </w:p>
    <w:p w:rsidR="00000000" w:rsidRDefault="00000000">
      <w:pPr>
        <w:pStyle w:val="SingleTxt"/>
      </w:pPr>
      <w:r>
        <w:tab/>
        <w:t>En aplicación de esa Ley, el principio de la igualdad entre los géneros también se pone de manifiesto en los registros, en los que no se establece ninguna diferencia por razón de género, ya que sólo se menciona en ellos el número total de personas que piden la nacionalidad, el número de personas cuyas solicitudes han prosperado o han sido desestimadas, las correspondientes razones procesales, etc.</w:t>
      </w:r>
    </w:p>
    <w:p w:rsidR="00000000" w:rsidRDefault="00000000">
      <w:pPr>
        <w:pStyle w:val="SingleTxt"/>
      </w:pPr>
      <w:r>
        <w:tab/>
        <w:t>En la República de Macedonia se reconoce que la mujer tiene los mismos d</w:t>
      </w:r>
      <w:r>
        <w:t>e</w:t>
      </w:r>
      <w:r>
        <w:t>rechos que el hombre en relación con la adquisición, el cambio o la conservación de la nacionalidad, lo que está en consonancia no sólo con la Convención sobre la el</w:t>
      </w:r>
      <w:r>
        <w:t>i</w:t>
      </w:r>
      <w:r>
        <w:t>minación de todas las formas de discriminación contra la mujer, sino también con los tratados e instrumentos internacionales firmados o notificados por la República de Macedonia.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r>
      <w:r>
        <w:t>Artículo 10</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i/>
        </w:rPr>
      </w:pPr>
      <w:r>
        <w:rPr>
          <w:i/>
        </w:rPr>
        <w:tab/>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w:t>
      </w:r>
      <w:r>
        <w:rPr>
          <w:i/>
        </w:rPr>
        <w:t>o</w:t>
      </w:r>
      <w:r>
        <w:rPr>
          <w:i/>
        </w:rPr>
        <w:t>fesional y técnica superior, así como en todos los tipos de capacitación profesional;</w:t>
      </w: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000000" w:rsidRDefault="00000000">
      <w:pPr>
        <w:pStyle w:val="SingleTxt"/>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w:t>
      </w:r>
      <w:r>
        <w:rPr>
          <w:i/>
        </w:rPr>
        <w:t>a</w:t>
      </w:r>
      <w:r>
        <w:rPr>
          <w:i/>
        </w:rPr>
        <w:t>res y la adaptación de los métodos de enseñanza;</w:t>
      </w:r>
    </w:p>
    <w:p w:rsidR="00000000" w:rsidRDefault="00000000">
      <w:pPr>
        <w:pStyle w:val="SingleTxt"/>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mujeres;</w:t>
      </w: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w:t>
      </w:r>
      <w:r>
        <w:rPr>
          <w:i/>
        </w:rPr>
        <w:t>e</w:t>
      </w:r>
      <w:r>
        <w:rPr>
          <w:i/>
        </w:rPr>
        <w:t>maturamente;</w:t>
      </w:r>
    </w:p>
    <w:p w:rsidR="00000000" w:rsidRDefault="00000000">
      <w:pPr>
        <w:pStyle w:val="SingleTxt"/>
        <w:rPr>
          <w:i/>
        </w:rPr>
      </w:pPr>
      <w:r>
        <w:rPr>
          <w:i/>
        </w:rPr>
        <w:tab/>
        <w:t>g)</w:t>
      </w:r>
      <w:r>
        <w:rPr>
          <w:i/>
        </w:rPr>
        <w:tab/>
        <w:t>Las mismas oportunidades para participar activamente en el deporte y la educ</w:t>
      </w:r>
      <w:r>
        <w:rPr>
          <w:i/>
        </w:rPr>
        <w:t>a</w:t>
      </w:r>
      <w:r>
        <w:rPr>
          <w:i/>
        </w:rPr>
        <w:t>ción física;</w:t>
      </w:r>
    </w:p>
    <w:p w:rsidR="00000000" w:rsidRDefault="00000000">
      <w:pPr>
        <w:pStyle w:val="SingleTxt"/>
        <w:rPr>
          <w:i/>
        </w:rPr>
      </w:pPr>
      <w:r>
        <w:rPr>
          <w:i/>
        </w:rPr>
        <w:tab/>
        <w:t>h)</w:t>
      </w:r>
      <w:r>
        <w:rPr>
          <w:i/>
        </w:rPr>
        <w:tab/>
        <w:t>Acceso al material informativo específico que contribuya a asegurar la salud y el bienestar de la familia, incluida la información y el asesoramiento sobre planific</w:t>
      </w:r>
      <w:r>
        <w:rPr>
          <w:i/>
        </w:rPr>
        <w:t>a</w:t>
      </w:r>
      <w:r>
        <w:rPr>
          <w:i/>
        </w:rPr>
        <w:t>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De conformidad con la Constitución (artículo 44), todo ciudadano tiene derecho a la educación. Todos los ciudadanos tienen acceso a la enseñanza en igua</w:t>
      </w:r>
      <w:r>
        <w:t>l</w:t>
      </w:r>
      <w:r>
        <w:t>dad de condiciones y la enseñanza primaria es obligatoria y gratuita.</w:t>
      </w:r>
    </w:p>
    <w:p w:rsidR="00000000" w:rsidRDefault="00000000">
      <w:pPr>
        <w:pStyle w:val="SingleTxt"/>
      </w:pPr>
      <w:r>
        <w:tab/>
        <w:t>Con arreglo a la legislación vigente que regula las actividades docentes, los est</w:t>
      </w:r>
      <w:r>
        <w:t>u</w:t>
      </w:r>
      <w:r>
        <w:t>diantes reciben el mismo trato con independencia de su sexo.</w:t>
      </w:r>
    </w:p>
    <w:p w:rsidR="00000000" w:rsidRDefault="00000000">
      <w:pPr>
        <w:pStyle w:val="SingleTxt"/>
      </w:pPr>
      <w:r>
        <w:tab/>
        <w:t>En la legislación que regula la enseñanza primaria y, en concreto, en la Ley de enseñanza primaria, de 1995, que se ajusta a la Constitución de la República de M</w:t>
      </w:r>
      <w:r>
        <w:t>a</w:t>
      </w:r>
      <w:r>
        <w:t xml:space="preserve">cedonia, así como en los programas de reforma del sistema educativo, se insiste en que ha de velarse por la igualdad entre los alumnos y las alumnas. Ello tiene una </w:t>
      </w:r>
      <w:r>
        <w:rPr>
          <w:spacing w:val="2"/>
          <w:w w:val="101"/>
        </w:rPr>
        <w:t>importancia fundamental y es una condición previa para que progrese todo el sistema</w:t>
      </w:r>
      <w:r>
        <w:t xml:space="preserve"> social. Entraña establecer una igualdad de oportunidades en todos los sentidos y, por ende, de acceso a la enseñanza y otros tipos de formación en el sistema docente ún</w:t>
      </w:r>
      <w:r>
        <w:t>i</w:t>
      </w:r>
      <w:r>
        <w:t>co. En consecuencia, no hay ningún tipo de discriminación contra las alumnas en el subsistema de enseñanza preescolar y primaria, lo que pone de manifiesto que no existe ninguna diferenciación por razones de género a los efectos del ejercicio de los derechos y libertades básicos por parte de las alumnas que cursan esa enseñanza.</w:t>
      </w:r>
    </w:p>
    <w:p w:rsidR="00000000" w:rsidRDefault="00000000">
      <w:pPr>
        <w:pStyle w:val="SingleTxt"/>
      </w:pPr>
      <w:r>
        <w:tab/>
        <w:t>Además, en el párrafo 2 del artículo 3 de la Ley de enseñanza secundaria, de 1995, se dispone lo siguiente: “No se permitirá la discriminación por razones de g</w:t>
      </w:r>
      <w:r>
        <w:t>é</w:t>
      </w:r>
      <w:r>
        <w:t>nero, raza, color de piel, origen nacional o social, convicciones políticas o religi</w:t>
      </w:r>
      <w:r>
        <w:t>o</w:t>
      </w:r>
      <w:r>
        <w:t>sas, patrimonio o posición social”, lo que garantiza la igualdad de derechos de la mujer a los efectos de acceder a la enseñanza secundaria.</w:t>
      </w:r>
    </w:p>
    <w:p w:rsidR="00000000" w:rsidRDefault="00000000">
      <w:pPr>
        <w:pStyle w:val="SingleTxt"/>
      </w:pPr>
      <w:r>
        <w:tab/>
        <w:t>La Ley de enseñanza superior, de 2000, regula en un artículo independiente (artículo 2) el derecho a la enseñanza superior de los ciudadanos de la República de Macedonia en las mismas condiciones, lo que significa que se establece una igua</w:t>
      </w:r>
      <w:r>
        <w:t>l</w:t>
      </w:r>
      <w:r>
        <w:t>dad de a</w:t>
      </w:r>
      <w:r>
        <w:t>c</w:t>
      </w:r>
      <w:r>
        <w:t>ceso a esa enseñanza por parte de los hombres y mujeres.</w:t>
      </w:r>
    </w:p>
    <w:p w:rsidR="00000000" w:rsidRDefault="00000000">
      <w:pPr>
        <w:pStyle w:val="SingleTxt"/>
        <w:rPr>
          <w:spacing w:val="2"/>
          <w:w w:val="101"/>
        </w:rPr>
      </w:pPr>
      <w:r>
        <w:tab/>
        <w:t>Además, en el Capítulo 2 de esa Ley se protege la libertad de cátedra de todo el profesorado de la enseñanza superior, de manera que se garantiza su libertad i</w:t>
      </w:r>
      <w:r>
        <w:t>n</w:t>
      </w:r>
      <w:r>
        <w:t>telectual y el carácter creativo del proceso de investigación y de enseñanza, por ser valores supremos (artículos 10 y 11), lo que incluye la autonomía para dirigir los centros de enseñanza superior como segmento de la libertad académica general de las instituciones de enseñanza superior (artículo 12). Además, la inviolabilidad de la autonomía se refiere a la realización de actividades de enseñanza superior y de otra índole que protejan el derecho del profesorado a la no discriminación en función del género, la raza, el color de piel, la nacionalidad o el origen étnico, el origen social, las convicciones políticas o religiosas, el patrimonio o la posición social (artículo 13). Entre todos los derechos del profesorado, ese artículo establece una prioridad precisamente respecto del derecho a la protección frente a la discriminación por r</w:t>
      </w:r>
      <w:r>
        <w:t>a</w:t>
      </w:r>
      <w:r>
        <w:t xml:space="preserve">zones de género, con lo que hace hincapié en la importancia de esta cuestión en el </w:t>
      </w:r>
      <w:r>
        <w:rPr>
          <w:spacing w:val="2"/>
          <w:w w:val="101"/>
        </w:rPr>
        <w:t>contexto de la Ley y en ella no se establece ninguna distinción en función del gén</w:t>
      </w:r>
      <w:r>
        <w:rPr>
          <w:spacing w:val="2"/>
          <w:w w:val="101"/>
        </w:rPr>
        <w:t>e</w:t>
      </w:r>
      <w:r>
        <w:rPr>
          <w:spacing w:val="2"/>
          <w:w w:val="101"/>
        </w:rPr>
        <w:t>ro.</w:t>
      </w:r>
    </w:p>
    <w:p w:rsidR="00000000" w:rsidRDefault="00000000">
      <w:pPr>
        <w:pStyle w:val="SingleTxt"/>
      </w:pPr>
      <w:r>
        <w:tab/>
        <w:t>Además, en la Ley de normalización de la enseñanza, de 1998, aunque no fig</w:t>
      </w:r>
      <w:r>
        <w:t>u</w:t>
      </w:r>
      <w:r>
        <w:t>ran disposiciones concretas relacionadas directamente con esta cuestión, se aborda el tema con igual importancia respecto de los estudiantes, sin establecer distinciones entre los sexos.</w:t>
      </w:r>
    </w:p>
    <w:p w:rsidR="00000000" w:rsidRDefault="00000000">
      <w:pPr>
        <w:pStyle w:val="SingleTxt"/>
      </w:pPr>
      <w:r>
        <w:tab/>
        <w:t>En los comentarios sobre los distintos párrafos del artículo 10 de la Conve</w:t>
      </w:r>
      <w:r>
        <w:t>n</w:t>
      </w:r>
      <w:r>
        <w:t>ción sobre la eliminación de todas las formas de discriminación contra la mujer f</w:t>
      </w:r>
      <w:r>
        <w:t>i</w:t>
      </w:r>
      <w:r>
        <w:t>guran datos estadísticos pertinentes sobre la situación en los diferentes segmentos docentes; los correspondientes a la enseñanza primaria, secundaria y superior y a los resultados obtenidos por los estudiantes durante cada período proceden del Instituto Estatal de Estadística de la República de Macedonia.</w:t>
      </w:r>
    </w:p>
    <w:p w:rsidR="00000000" w:rsidRDefault="00000000">
      <w:pPr>
        <w:pStyle w:val="SingleTxt"/>
      </w:pPr>
      <w:r>
        <w:tab/>
        <w:t>1.</w:t>
      </w:r>
      <w:r>
        <w:tab/>
        <w:t>La enseñanza preescolar es impartida a los denominados grupos “de n</w:t>
      </w:r>
      <w:r>
        <w:t>i</w:t>
      </w:r>
      <w:r>
        <w:t>ños y niñas mayores” por las organizaciones encargadas del cuidado y la educación de los niños en edad preescolar, las cuales dependen del Ministerio de Trabajo y Política Social, y a los denominados grupos “preescolares” de las escuelas primarias ordinarias, dependientes del Ministerio de Educación y Ciencia. Ambos tipos de instituciones se encargan de la atención y la enseñanza de los niños con arreglo a programas de estudios comunes; por lo demás, las características del profesorado vienen determin</w:t>
      </w:r>
      <w:r>
        <w:t>a</w:t>
      </w:r>
      <w:r>
        <w:t>das en función de las mismas normas y principios.</w:t>
      </w:r>
    </w:p>
    <w:p w:rsidR="00000000" w:rsidRDefault="00000000">
      <w:pPr>
        <w:pStyle w:val="SingleTxt"/>
      </w:pPr>
      <w:r>
        <w:tab/>
        <w:t>Los alumnos de enseñanza primaria asisten a escuelas primarias ordinarias, que son instituciones públicas y cuyo establecimiento o disolución corresponde al Gobierno de la República de Macedonia, en cooperación con los gobiernos locales.</w:t>
      </w:r>
    </w:p>
    <w:p w:rsidR="00000000" w:rsidRDefault="00000000">
      <w:pPr>
        <w:pStyle w:val="SingleTxt"/>
      </w:pPr>
      <w:r>
        <w:tab/>
        <w:t>En el caso de ciertas categorías de estudiantes, la enseñanza primaria se i</w:t>
      </w:r>
      <w:r>
        <w:t>m</w:t>
      </w:r>
      <w:r>
        <w:t>parte en instituciones de salud y centros correccionales o penitenciarios, en tanto que los niños con necesidades especiales de resultas de deficiencias físicas o me</w:t>
      </w:r>
      <w:r>
        <w:t>n</w:t>
      </w:r>
      <w:r>
        <w:t>tales en su desarrollo acuden a escuelas primarias especiales o reciben formación en clases especialmente establecidas para ellos en función de su grado de deficiencia. Es de destacar que el Ministerio de Educación y Ciencia, en cooperación con la Of</w:t>
      </w:r>
      <w:r>
        <w:t>i</w:t>
      </w:r>
      <w:r>
        <w:t>cina para el desarrollo de la educación, está intentando incluir a esos alumnos en las cl</w:t>
      </w:r>
      <w:r>
        <w:t>a</w:t>
      </w:r>
      <w:r>
        <w:t>ses ordinarias de las escuelas primarias.</w:t>
      </w:r>
    </w:p>
    <w:p w:rsidR="00000000" w:rsidRDefault="00000000">
      <w:pPr>
        <w:pStyle w:val="SingleTxt"/>
      </w:pPr>
      <w:r>
        <w:tab/>
        <w:t>Por lo que respecta a los estudiantes de entre 15 y 17 años de edad (ésta última es la edad límite para cursar enseñanza primaria), se organizan clases especiales de enseñanza primaria en las escuelas o en ciertas instituciones especiales a fin de que puedan concluir sus estudios en ese nivel de enseñanza. Además, hay escuelas pr</w:t>
      </w:r>
      <w:r>
        <w:t>i</w:t>
      </w:r>
      <w:r>
        <w:t>marias de arte en las que se imparten cursos elementales de música y ballet, organ</w:t>
      </w:r>
      <w:r>
        <w:t>i</w:t>
      </w:r>
      <w:r>
        <w:t>zados como complemento docente para los alumnos interesados.</w:t>
      </w:r>
    </w:p>
    <w:p w:rsidR="00000000" w:rsidRDefault="00000000">
      <w:pPr>
        <w:pStyle w:val="SingleTxt"/>
      </w:pPr>
      <w:r>
        <w:tab/>
        <w:t>En las zonas rurales y montañosas, si hay un número suficiente de alumnos se imparte educación en las escuelas regionales, que constituyen una amplia red de centros ubicados en todo el territorio, próximos a los lugares de residencia de los alumnos. Ello contribuye a que disminuya el porcentaje de analfabetos que viven en zonas alejadas. Además, se proporcionan medios de transporte y alojamiento en i</w:t>
      </w:r>
      <w:r>
        <w:t>n</w:t>
      </w:r>
      <w:r>
        <w:t>ternados y familias, para lo cual se cuenta con el apoyo del ministerio pertinente; esos servicios son gratuitos para los estudiantes con necesidades especiales.</w:t>
      </w:r>
    </w:p>
    <w:p w:rsidR="00000000" w:rsidRDefault="00000000">
      <w:pPr>
        <w:pStyle w:val="SingleTxt"/>
      </w:pPr>
      <w:r>
        <w:tab/>
        <w:t>Todas las clases cuentan con alumnos de uno y otro sexo, a los que se aplican sin distinción todas las disposiciones en materia de enseñanza primaria. En el cu</w:t>
      </w:r>
      <w:r>
        <w:t>a</w:t>
      </w:r>
      <w:r>
        <w:t>dro que figura a continuación se exponen datos tanto sobre el número total de alu</w:t>
      </w:r>
      <w:r>
        <w:t>m</w:t>
      </w:r>
      <w:r>
        <w:t>nos matriculados en las escuelas primarias ordinarias durante el período sobre el que se informa como sobre el correspondiente porcentaje de alumnas: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302"/>
        <w:gridCol w:w="1302"/>
        <w:gridCol w:w="1302"/>
        <w:gridCol w:w="1302"/>
        <w:gridCol w:w="1302"/>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Número de referencia</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 académico*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escuelas primarias ordinarias</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total</w:t>
            </w:r>
            <w:r>
              <w:rPr>
                <w:i/>
                <w:sz w:val="14"/>
              </w:rPr>
              <w:br/>
              <w:t xml:space="preserve"> de alumnos</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total</w:t>
            </w:r>
            <w:r>
              <w:rPr>
                <w:i/>
                <w:sz w:val="14"/>
              </w:rPr>
              <w:br/>
              <w:t xml:space="preserve"> de alumnas</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alumnas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259 515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125 310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1996/1997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258 587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124 817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1997/1998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256 275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123 629</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1998/1999</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255 150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123 068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1999/2000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252 212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121 768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2000/2001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246 490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119 273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2001/2002</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242 707</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117 676</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Situación al finalizar el año académico.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Teniendo en cuenta los datos expuestos, cabe señalar que existe una situación de igualdad entre los estudiantes de uno y otro sexo por lo que respecta a la política de matriculación, el proceso docente y la correspondiente titulación. Las diferencias mínimas que se observan en los porcentajes de uno y otro sexo obedecen a la tasa natural de nacimientos de las generaciones de estudiantes y a su distribución por género.</w:t>
      </w:r>
    </w:p>
    <w:p w:rsidR="00000000" w:rsidRDefault="00000000">
      <w:pPr>
        <w:pStyle w:val="SingleTxt"/>
      </w:pPr>
      <w:r>
        <w:tab/>
        <w:t>Por lo que respecta a la formación profesional, la educación permanente se imparte desde edad temprana y, merced a la aplicación de un criterio y un método de trabajo únicos a ambos géneros, así como a las reuniones que se celebran periód</w:t>
      </w:r>
      <w:r>
        <w:t>i</w:t>
      </w:r>
      <w:r>
        <w:t>camente con los padres para eliminar los prejuicios, especialmente entre ciertos e</w:t>
      </w:r>
      <w:r>
        <w:t>s</w:t>
      </w:r>
      <w:r>
        <w:t>tratos étnicos de religión musulmana, se logran importantes cambios del comport</w:t>
      </w:r>
      <w:r>
        <w:t>a</w:t>
      </w:r>
      <w:r>
        <w:t>miento y de las actitudes respecto de las denominadas profesiones “de hombres y de mujeres”, lo que tiene por objeto superar todos los obstáculos que impiden la plena emancipación de las niñas.</w:t>
      </w:r>
    </w:p>
    <w:p w:rsidR="00000000" w:rsidRDefault="00000000">
      <w:pPr>
        <w:pStyle w:val="SingleTxt"/>
      </w:pPr>
      <w:r>
        <w:tab/>
        <w:t>2.</w:t>
      </w:r>
      <w:r>
        <w:tab/>
        <w:t>En 2000/2001 se impartió enseñanza secundaria en 95 escuelas estatales, de las que cuatro estaban destinadas a estudiantes con necesidades especiales y cu</w:t>
      </w:r>
      <w:r>
        <w:t>a</w:t>
      </w:r>
      <w:r>
        <w:t>tro eran escuelas secundarias privadas. El sistema de enseñanza secundaria abarca a los estudiantes de entre 14 y 19 años de edad. La mayoría de ellos asisten a escuelas próximas a su lugar de residencia y algunos se desplazan diariamente a otros lugares o viven en internados.</w:t>
      </w:r>
    </w:p>
    <w:p w:rsidR="00000000" w:rsidRDefault="00000000">
      <w:pPr>
        <w:pStyle w:val="SingleTxt"/>
        <w:suppressAutoHyphens/>
      </w:pPr>
      <w:r>
        <w:tab/>
        <w:t>Durante los períodos sobre los que se informa (1995/1996-2001/2002), el número de niñas que cursaban enseñanza primaria pasó a representar poco más del 48% del total de alumnos, es decir, era prácticamente igual que el porcentaje de niños.</w:t>
      </w:r>
    </w:p>
    <w:p w:rsidR="00000000" w:rsidRDefault="00000000">
      <w:pPr>
        <w:pStyle w:val="SingleTxt"/>
      </w:pPr>
      <w:r>
        <w:tab/>
        <w:t>Por lo que respecta al origen étnico de los alumnos de la enseñanza secundaria, las alumnas de origen macedonio representan entre el 51 y el 52%; las albanesas entre el 37 y el 41%; las turcas entre el 29 y el 37%; las romaníes entre 31 y el 40%; las valacas entre el 46 y el 52%; y las serbias entre el 39 y el 42%, con tendencia al a</w:t>
      </w:r>
      <w:r>
        <w:t>u</w:t>
      </w:r>
      <w:r>
        <w:t>mento de ese porcentaje.</w:t>
      </w:r>
    </w:p>
    <w:p w:rsidR="00000000" w:rsidRDefault="00000000">
      <w:pPr>
        <w:pStyle w:val="SingleTxt"/>
      </w:pPr>
      <w:r>
        <w:tab/>
        <w:t>Por lo que respecta a las profesiones preferidas por las alumnas de la enseña</w:t>
      </w:r>
      <w:r>
        <w:t>n</w:t>
      </w:r>
      <w:r>
        <w:t>za secundaria, cabe señalar que, por ejemplo, en 2001/2002, se indicaron las s</w:t>
      </w:r>
      <w:r>
        <w:t>i</w:t>
      </w:r>
      <w:r>
        <w:t>guientes: ballet, idiomas, textiles, profesiones médicas, secretariado, ciencias geol</w:t>
      </w:r>
      <w:r>
        <w:t>ó</w:t>
      </w:r>
      <w:r>
        <w:t>gicas, derecho, servicios personales, ciencias químicas y tecnología, profesiones estas que representaban entre el 66,7 y el 86,8% de las preferencias de las alumnas. Las profesiones menos atractivas eran las de electricista y mecánico, que represe</w:t>
      </w:r>
      <w:r>
        <w:t>n</w:t>
      </w:r>
      <w:r>
        <w:t>taban el 7%.</w:t>
      </w:r>
    </w:p>
    <w:p w:rsidR="00000000" w:rsidRDefault="00000000">
      <w:pPr>
        <w:pStyle w:val="SingleTxt"/>
      </w:pPr>
      <w:r>
        <w:tab/>
        <w:t>La igualdad entre los géneros en la enseñanza secundaria también se da en el caso de la orientación profesional y de la obtención de títulos. Pese a los esfuerzos que se realizan constantemente para que las niñas asistan también a las escuelas s</w:t>
      </w:r>
      <w:r>
        <w:t>e</w:t>
      </w:r>
      <w:r>
        <w:t>cundarias, en las zonas montañosas poco desarrolladas se sigue manteniendo la idea trad</w:t>
      </w:r>
      <w:r>
        <w:t>i</w:t>
      </w:r>
      <w:r>
        <w:t>cional de que las niñas no deben cursar esa enseñanza.</w:t>
      </w:r>
    </w:p>
    <w:p w:rsidR="00000000" w:rsidRDefault="00000000">
      <w:pPr>
        <w:pStyle w:val="SingleTxt"/>
      </w:pPr>
      <w:r>
        <w:tab/>
        <w:t>Las escuelas secundarias estatales se encuentran en las zonas urbanas y hay escuelas de formación profesional en cada región. Con objeto de eliminar los est</w:t>
      </w:r>
      <w:r>
        <w:t>e</w:t>
      </w:r>
      <w:r>
        <w:t>reotipos relacionados con la continuación de la enseñanza secundaria y hacer que aumente el número de niñas que acceden a esa enseñanza en ciertas regiones, se i</w:t>
      </w:r>
      <w:r>
        <w:t>m</w:t>
      </w:r>
      <w:r>
        <w:t>parten las s</w:t>
      </w:r>
      <w:r>
        <w:t>i</w:t>
      </w:r>
      <w:r>
        <w:t>guientes clases especiales en algunas zonas menos desarrolladas:</w:t>
      </w:r>
    </w:p>
    <w:p w:rsidR="00000000" w:rsidRDefault="00000000">
      <w:pPr>
        <w:pStyle w:val="SingleTxt"/>
        <w:tabs>
          <w:tab w:val="right" w:pos="1685"/>
        </w:tabs>
        <w:ind w:left="1742" w:hanging="475"/>
      </w:pPr>
      <w:r>
        <w:tab/>
        <w:t>–</w:t>
      </w:r>
      <w:r>
        <w:tab/>
        <w:t>Gostivar: enseñanza secundaria en los pueblos de Rostushe y Negotino;</w:t>
      </w:r>
    </w:p>
    <w:p w:rsidR="00000000" w:rsidRDefault="00000000">
      <w:pPr>
        <w:pStyle w:val="SingleTxt"/>
        <w:tabs>
          <w:tab w:val="right" w:pos="1685"/>
        </w:tabs>
        <w:ind w:left="1742" w:hanging="475"/>
      </w:pPr>
      <w:r>
        <w:tab/>
        <w:t>–</w:t>
      </w:r>
      <w:r>
        <w:tab/>
        <w:t>Tetovo: enseñanza en materia de salud en Gostivar;</w:t>
      </w:r>
    </w:p>
    <w:p w:rsidR="00000000" w:rsidRDefault="00000000">
      <w:pPr>
        <w:pStyle w:val="SingleTxt"/>
        <w:tabs>
          <w:tab w:val="right" w:pos="1685"/>
        </w:tabs>
        <w:ind w:left="1742" w:hanging="475"/>
      </w:pPr>
      <w:r>
        <w:tab/>
        <w:t>–</w:t>
      </w:r>
      <w:r>
        <w:tab/>
        <w:t>Delchevo: enseñanza secundaria y textil en Makedonska Kamenica.</w:t>
      </w:r>
    </w:p>
    <w:p w:rsidR="00000000" w:rsidRDefault="00000000">
      <w:pPr>
        <w:pStyle w:val="SingleTxt"/>
      </w:pPr>
      <w:r>
        <w:tab/>
        <w:t>3.</w:t>
      </w:r>
      <w:r>
        <w:tab/>
        <w:t>En 2001/2002 se matricularon 44.710 alumnos en las dos universidades estatales, a saber, la Universidad de los Santos Cirilo y Metodio, en Skopje, y la Universidad de San Clemente Ohridski, en Bitola; dentro de ese total, había 24.691 mujeres, lo que representaba el 55,2 %. De los 41.590 alumnos matriculados en las facultades, 23.279 eran mujeres, lo que representaba el 56%, en tanto que los ce</w:t>
      </w:r>
      <w:r>
        <w:t>n</w:t>
      </w:r>
      <w:r>
        <w:t>tros de formación profesional contaban con 1.123 alumnos, de los que 786 eran mujeres, es decir, el 70%.</w:t>
      </w:r>
    </w:p>
    <w:p w:rsidR="00000000" w:rsidRDefault="00000000">
      <w:pPr>
        <w:pStyle w:val="SingleTxt"/>
      </w:pPr>
      <w:r>
        <w:tab/>
        <w:t>Por lo que respecta a los años académicos anteriores, en 2000/2001 se matr</w:t>
      </w:r>
      <w:r>
        <w:t>i</w:t>
      </w:r>
      <w:r>
        <w:t>cularon 40.246 estudiantes, de los que 22.463 eran mujeres, es decir, el 55,8%; en 1999/2000 se matricularon 36.922 estudiantes, de los que 20.325 eran mujeres, es decir, el 55,04%; en 1998/1999, de un total de 35.141 estudiantes, 19.359 eran m</w:t>
      </w:r>
      <w:r>
        <w:t>u</w:t>
      </w:r>
      <w:r>
        <w:t>jeres; y en 1997/1998, de un total de 32.048 estudiantes, 17.484 eran mujeres, es d</w:t>
      </w:r>
      <w:r>
        <w:t>e</w:t>
      </w:r>
      <w:r>
        <w:t>cir, el 54,6%; durante ese período, el porcentaje de mujeres respecto del número t</w:t>
      </w:r>
      <w:r>
        <w:t>o</w:t>
      </w:r>
      <w:r>
        <w:t>tal de hombres pasó del 54,6% al 55,8%, lo que pone de manifiesto que aumentó el número de mujeres dentro de la población general de estudiantes. En el cuadro que figura a continuación pueden observarse los diferentes porcentajes.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matriculados en facultades y centros de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26"/>
        <w:gridCol w:w="813"/>
        <w:gridCol w:w="81"/>
        <w:gridCol w:w="732"/>
        <w:gridCol w:w="813"/>
        <w:gridCol w:w="75"/>
        <w:gridCol w:w="738"/>
        <w:gridCol w:w="813"/>
        <w:gridCol w:w="69"/>
        <w:gridCol w:w="744"/>
        <w:gridCol w:w="813"/>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Centros de formación profesional</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Facultades</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Primer ciclo </w:t>
            </w:r>
            <w:r>
              <w:rPr>
                <w:i/>
                <w:sz w:val="14"/>
              </w:rPr>
              <w:br/>
              <w:t>de facultad</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44 710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24 691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43 587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23 905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23 279</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40 246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22 436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37 802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21 423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36 922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20 325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34 390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19 200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34 850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19 238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31 432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18 221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35 141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32 712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19 359</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18 656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32 048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16 405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7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En los centros de enseñanza superior de la República de Macedonia, el número de nuevos alumnos matriculados durante el período que se examina (1997/1998-2001/2002), pasó de 7.930 a 12.422, lo que supuso un aumento del 56,6%, en tanto que el número de nuevas alumnas pasó de 4.324 a 6.440, lo que equivale a un a</w:t>
      </w:r>
      <w:r>
        <w:t>u</w:t>
      </w:r>
      <w:r>
        <w:t>mento del 48,9%. El porcentaje de alumnas respecto del total de nuevos alumnos matriculados pasó de 53 al 55% y su aumento fue paralelo al del porcentaje de alumnas respecto del total de alumnos matriculados.</w:t>
      </w:r>
    </w:p>
    <w:p w:rsidR="00000000" w:rsidRDefault="00000000">
      <w:pPr>
        <w:pStyle w:val="SingleTxt"/>
      </w:pPr>
      <w:r>
        <w:tab/>
        <w:t>En el cuadro que figura a continuación se exponen los orígenes étnicos decl</w:t>
      </w:r>
      <w:r>
        <w:t>a</w:t>
      </w:r>
      <w:r>
        <w:t>rados por las alumnas en relación con el número total de alumnos matriculados: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Alumnos matriculados en la República de Macedonia, según el origen étnico declarado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900"/>
        <w:gridCol w:w="708"/>
        <w:gridCol w:w="709"/>
        <w:gridCol w:w="113"/>
        <w:gridCol w:w="596"/>
        <w:gridCol w:w="709"/>
        <w:gridCol w:w="45"/>
        <w:gridCol w:w="663"/>
        <w:gridCol w:w="709"/>
        <w:gridCol w:w="68"/>
        <w:gridCol w:w="641"/>
        <w:gridCol w:w="709"/>
        <w:gridCol w:w="90"/>
        <w:gridCol w:w="618"/>
        <w:gridCol w:w="709"/>
        <w:gridCol w:w="113"/>
        <w:gridCol w:w="596"/>
        <w:gridCol w:w="709"/>
        <w:gridCol w:w="45"/>
        <w:gridCol w:w="663"/>
        <w:gridCol w:w="709"/>
        <w:gridCol w:w="68"/>
        <w:gridCol w:w="641"/>
        <w:gridCol w:w="709"/>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spacing w:before="80" w:after="80" w:line="160" w:lineRule="exact"/>
              <w:ind w:right="40"/>
              <w:rPr>
                <w:i/>
                <w:sz w:val="14"/>
              </w:rPr>
            </w:pPr>
          </w:p>
        </w:tc>
        <w:tc>
          <w:tcPr>
            <w:tcW w:w="141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113" w:type="dxa"/>
            <w:tcBorders>
              <w:top w:val="single" w:sz="4" w:space="0" w:color="auto"/>
            </w:tcBorders>
            <w:vAlign w:val="bottom"/>
          </w:tcPr>
          <w:p w:rsidR="00000000" w:rsidRDefault="00000000">
            <w:pPr>
              <w:spacing w:before="80" w:after="80" w:line="160" w:lineRule="exact"/>
              <w:ind w:right="40"/>
              <w:jc w:val="right"/>
              <w:rPr>
                <w:i/>
                <w:sz w:val="14"/>
              </w:rPr>
            </w:pPr>
          </w:p>
        </w:tc>
        <w:tc>
          <w:tcPr>
            <w:tcW w:w="13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Macedonios</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13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Albaneses</w:t>
            </w:r>
          </w:p>
        </w:tc>
        <w:tc>
          <w:tcPr>
            <w:tcW w:w="68" w:type="dxa"/>
            <w:tcBorders>
              <w:top w:val="single" w:sz="4" w:space="0" w:color="auto"/>
            </w:tcBorders>
            <w:vAlign w:val="bottom"/>
          </w:tcPr>
          <w:p w:rsidR="00000000" w:rsidRDefault="00000000">
            <w:pPr>
              <w:spacing w:before="80" w:after="80"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Turcos</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32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Romaníes</w:t>
            </w:r>
          </w:p>
        </w:tc>
        <w:tc>
          <w:tcPr>
            <w:tcW w:w="113" w:type="dxa"/>
            <w:tcBorders>
              <w:top w:val="single" w:sz="4" w:space="0" w:color="auto"/>
            </w:tcBorders>
            <w:vAlign w:val="bottom"/>
          </w:tcPr>
          <w:p w:rsidR="00000000" w:rsidRDefault="00000000">
            <w:pPr>
              <w:spacing w:before="80" w:after="80" w:line="160" w:lineRule="exact"/>
              <w:ind w:right="40"/>
              <w:jc w:val="right"/>
              <w:rPr>
                <w:i/>
                <w:sz w:val="14"/>
              </w:rPr>
            </w:pPr>
          </w:p>
        </w:tc>
        <w:tc>
          <w:tcPr>
            <w:tcW w:w="13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Valacos</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13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Serbios</w:t>
            </w:r>
          </w:p>
        </w:tc>
        <w:tc>
          <w:tcPr>
            <w:tcW w:w="68" w:type="dxa"/>
            <w:tcBorders>
              <w:top w:val="single" w:sz="4" w:space="0" w:color="auto"/>
            </w:tcBorders>
            <w:vAlign w:val="bottom"/>
          </w:tcPr>
          <w:p w:rsidR="00000000" w:rsidRDefault="00000000">
            <w:pPr>
              <w:spacing w:before="80" w:after="80"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Otros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spacing w:after="80" w:line="160" w:lineRule="exact"/>
              <w:ind w:right="40"/>
              <w:rPr>
                <w:i/>
                <w:sz w:val="14"/>
              </w:rPr>
            </w:pPr>
            <w:r>
              <w:rPr>
                <w:i/>
                <w:sz w:val="14"/>
              </w:rPr>
              <w:t>Año</w:t>
            </w:r>
          </w:p>
        </w:tc>
        <w:tc>
          <w:tcPr>
            <w:tcW w:w="70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spacing w:before="40" w:after="40" w:line="210" w:lineRule="exact"/>
              <w:ind w:right="40"/>
              <w:rPr>
                <w:sz w:val="17"/>
              </w:rPr>
            </w:pPr>
          </w:p>
        </w:tc>
        <w:tc>
          <w:tcPr>
            <w:tcW w:w="708"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t>%</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44 575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24 626</w:t>
            </w:r>
            <w:r>
              <w:rPr>
                <w:sz w:val="17"/>
              </w:rPr>
              <w:br/>
              <w:t>55,2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39 765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22 149</w:t>
            </w:r>
            <w:r>
              <w:rPr>
                <w:sz w:val="17"/>
              </w:rPr>
              <w:br/>
              <w:t>55,7</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2 192</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1 094</w:t>
            </w:r>
            <w:r>
              <w:rPr>
                <w:sz w:val="17"/>
              </w:rPr>
              <w:br/>
              <w:t>49,9</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r>
              <w:rPr>
                <w:sz w:val="17"/>
              </w:rPr>
              <w:br/>
              <w:t>49,3</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r>
              <w:rPr>
                <w:sz w:val="17"/>
              </w:rPr>
              <w:br/>
              <w:t>54,0</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r>
              <w:rPr>
                <w:sz w:val="17"/>
              </w:rPr>
              <w:br/>
              <w:t>61,6</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r>
              <w:rPr>
                <w:sz w:val="17"/>
              </w:rPr>
              <w:br/>
              <w:t>51,7</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r>
              <w:rPr>
                <w:sz w:val="17"/>
              </w:rPr>
              <w:br/>
              <w:t>51,5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t>%</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40 075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22 381</w:t>
            </w:r>
            <w:r>
              <w:rPr>
                <w:sz w:val="17"/>
              </w:rPr>
              <w:br/>
              <w:t>55,8</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35 396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20 069</w:t>
            </w:r>
            <w:r>
              <w:rPr>
                <w:sz w:val="17"/>
              </w:rPr>
              <w:br/>
              <w:t>56,7</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1 053</w:t>
            </w:r>
            <w:r>
              <w:rPr>
                <w:sz w:val="17"/>
              </w:rPr>
              <w:br/>
              <w:t>46,1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r>
              <w:rPr>
                <w:sz w:val="17"/>
              </w:rPr>
              <w:br/>
              <w:t>50,2</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r>
              <w:rPr>
                <w:sz w:val="17"/>
              </w:rPr>
              <w:br/>
              <w:t>61,1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r>
              <w:rPr>
                <w:sz w:val="17"/>
              </w:rPr>
              <w:br/>
              <w:t>61,8</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r>
              <w:rPr>
                <w:sz w:val="17"/>
              </w:rPr>
              <w:br/>
              <w:t>51,7</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r>
              <w:rPr>
                <w:sz w:val="17"/>
              </w:rPr>
              <w:br/>
              <w:t>48,3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t>%</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36 679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20 216</w:t>
            </w:r>
            <w:r>
              <w:rPr>
                <w:sz w:val="17"/>
              </w:rPr>
              <w:br/>
              <w:t>55,1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36 269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18 271</w:t>
            </w:r>
            <w:r>
              <w:rPr>
                <w:sz w:val="17"/>
              </w:rPr>
              <w:br/>
              <w:t>50,4</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r>
              <w:rPr>
                <w:sz w:val="17"/>
              </w:rPr>
              <w:br/>
              <w:t>43,6</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r>
              <w:rPr>
                <w:sz w:val="17"/>
              </w:rPr>
              <w:br/>
              <w:t>50,6</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r>
              <w:rPr>
                <w:sz w:val="17"/>
              </w:rPr>
              <w:br/>
              <w:t>49,3</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r>
              <w:rPr>
                <w:sz w:val="17"/>
              </w:rPr>
              <w:br/>
              <w:t>58,8</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r>
              <w:rPr>
                <w:sz w:val="17"/>
              </w:rPr>
              <w:br/>
              <w:t>51,5</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r>
              <w:rPr>
                <w:sz w:val="17"/>
              </w:rPr>
              <w:br/>
              <w:t>50,8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t>%</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34 850</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19 238</w:t>
            </w:r>
            <w:r>
              <w:rPr>
                <w:sz w:val="17"/>
              </w:rPr>
              <w:br/>
              <w:t>55,2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31 095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17 387</w:t>
            </w:r>
            <w:r>
              <w:rPr>
                <w:sz w:val="17"/>
              </w:rPr>
              <w:br/>
              <w:t>55,9</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r>
              <w:rPr>
                <w:sz w:val="17"/>
              </w:rPr>
              <w:br/>
              <w:t>45,2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r>
              <w:rPr>
                <w:sz w:val="17"/>
              </w:rPr>
              <w:br/>
              <w:t>46,9</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r>
              <w:rPr>
                <w:sz w:val="17"/>
              </w:rPr>
              <w:br/>
              <w:t>56,3</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r>
              <w:rPr>
                <w:sz w:val="17"/>
              </w:rPr>
              <w:br/>
              <w:t>62,3</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r>
              <w:rPr>
                <w:sz w:val="17"/>
              </w:rPr>
              <w:br/>
              <w:t>54,8</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r>
              <w:rPr>
                <w:sz w:val="17"/>
              </w:rPr>
              <w:br/>
              <w:t>50,4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t>%</w:t>
            </w:r>
          </w:p>
        </w:tc>
        <w:tc>
          <w:tcPr>
            <w:tcW w:w="70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31 768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17 350</w:t>
            </w:r>
            <w:r>
              <w:rPr>
                <w:sz w:val="17"/>
              </w:rPr>
              <w:br/>
              <w:t>54,6</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28 986</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16 004</w:t>
            </w:r>
            <w:r>
              <w:rPr>
                <w:sz w:val="17"/>
              </w:rPr>
              <w:br/>
              <w:t>55,2</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r>
              <w:rPr>
                <w:sz w:val="17"/>
              </w:rPr>
              <w:br/>
              <w:t>43,4</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r>
              <w:rPr>
                <w:sz w:val="17"/>
              </w:rPr>
              <w:br/>
              <w:t>51</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br/>
              <w:t>42,9</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r>
              <w:rPr>
                <w:sz w:val="17"/>
              </w:rPr>
              <w:br/>
              <w:t>59,2</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r>
              <w:rPr>
                <w:sz w:val="17"/>
              </w:rPr>
              <w:br/>
              <w:t>50,8</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r>
              <w:rPr>
                <w:sz w:val="17"/>
              </w:rPr>
              <w:br/>
              <w:t>52,7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Instituto Estatal de Estadística.</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ab/>
        <w:t>A la vista del cuadro que figura supra, cabe señalar que los porcentajes de alumnas durante el período sobre el que se informa fueron los siguientes: maced</w:t>
      </w:r>
      <w:r>
        <w:t>o</w:t>
      </w:r>
      <w:r>
        <w:t>nias, entre el 50,4 y el 55,9%; albanesas, entre el 43,4 y el 49,9%; turcas, entre el 46,9 y el 51%; romaníes, entre el 42,9 y el 61,1%; valacas, entre el 58,8 y el 61,8%; serbias, entre el 50,8 y el 54,8%; y otras, entre el 48,3 y el 52,7%.</w:t>
      </w:r>
    </w:p>
    <w:p w:rsidR="00000000" w:rsidRDefault="00000000">
      <w:pPr>
        <w:pStyle w:val="SingleTxt"/>
      </w:pPr>
      <w:r>
        <w:tab/>
        <w:t>El porcentaje de alumnas durante este período, en función de la nacionalidad, oscila entre el 42,9 y el 62,3%, lo que, como promedio, significa que, sobre todo en el último año académico, el porcentaje de alumnas matriculados fue superior al de los alumnos.</w:t>
      </w:r>
    </w:p>
    <w:p w:rsidR="00000000" w:rsidRDefault="00000000">
      <w:pPr>
        <w:pStyle w:val="SingleTxt"/>
      </w:pPr>
      <w:r>
        <w:tab/>
        <w:t>En el cuadro que figura a continuación se exponen los números totales de alumnos matriculados en diferentes carreras: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900"/>
        <w:gridCol w:w="639"/>
        <w:gridCol w:w="640"/>
        <w:gridCol w:w="71"/>
        <w:gridCol w:w="568"/>
        <w:gridCol w:w="640"/>
        <w:gridCol w:w="52"/>
        <w:gridCol w:w="588"/>
        <w:gridCol w:w="639"/>
        <w:gridCol w:w="33"/>
        <w:gridCol w:w="607"/>
        <w:gridCol w:w="640"/>
        <w:gridCol w:w="103"/>
        <w:gridCol w:w="536"/>
        <w:gridCol w:w="640"/>
        <w:gridCol w:w="84"/>
        <w:gridCol w:w="556"/>
        <w:gridCol w:w="639"/>
        <w:gridCol w:w="65"/>
        <w:gridCol w:w="575"/>
        <w:gridCol w:w="64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spacing w:before="80" w:after="80" w:line="160" w:lineRule="exact"/>
              <w:ind w:right="40"/>
              <w:rPr>
                <w:i/>
                <w:sz w:val="14"/>
              </w:rPr>
            </w:pPr>
          </w:p>
        </w:tc>
        <w:tc>
          <w:tcPr>
            <w:tcW w:w="127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71" w:type="dxa"/>
            <w:tcBorders>
              <w:top w:val="single" w:sz="4" w:space="0" w:color="auto"/>
            </w:tcBorders>
            <w:vAlign w:val="bottom"/>
          </w:tcPr>
          <w:p w:rsidR="00000000" w:rsidRDefault="00000000">
            <w:pPr>
              <w:spacing w:before="80" w:after="80" w:line="160" w:lineRule="exact"/>
              <w:ind w:right="40"/>
              <w:jc w:val="right"/>
              <w:rPr>
                <w:i/>
                <w:sz w:val="14"/>
              </w:rPr>
            </w:pPr>
          </w:p>
        </w:tc>
        <w:tc>
          <w:tcPr>
            <w:tcW w:w="120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Ciencias naturales y matemáticas</w:t>
            </w:r>
          </w:p>
        </w:tc>
        <w:tc>
          <w:tcPr>
            <w:tcW w:w="52" w:type="dxa"/>
            <w:tcBorders>
              <w:top w:val="single" w:sz="4" w:space="0" w:color="auto"/>
            </w:tcBorders>
            <w:vAlign w:val="bottom"/>
          </w:tcPr>
          <w:p w:rsidR="00000000" w:rsidRDefault="00000000">
            <w:pPr>
              <w:spacing w:before="80" w:after="80" w:line="160" w:lineRule="exact"/>
              <w:ind w:right="40"/>
              <w:jc w:val="right"/>
              <w:rPr>
                <w:i/>
                <w:sz w:val="14"/>
              </w:rPr>
            </w:pPr>
          </w:p>
        </w:tc>
        <w:tc>
          <w:tcPr>
            <w:tcW w:w="122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Carreras técnicas y tecnológicas</w:t>
            </w:r>
          </w:p>
        </w:tc>
        <w:tc>
          <w:tcPr>
            <w:tcW w:w="33" w:type="dxa"/>
            <w:tcBorders>
              <w:top w:val="single" w:sz="4" w:space="0" w:color="auto"/>
            </w:tcBorders>
            <w:vAlign w:val="bottom"/>
          </w:tcPr>
          <w:p w:rsidR="00000000" w:rsidRDefault="00000000">
            <w:pPr>
              <w:spacing w:before="80" w:after="80" w:line="160" w:lineRule="exact"/>
              <w:ind w:right="40"/>
              <w:jc w:val="right"/>
              <w:rPr>
                <w:i/>
                <w:sz w:val="14"/>
              </w:rPr>
            </w:pPr>
          </w:p>
        </w:tc>
        <w:tc>
          <w:tcPr>
            <w:tcW w:w="124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Carreras médicas</w:t>
            </w:r>
          </w:p>
        </w:tc>
        <w:tc>
          <w:tcPr>
            <w:tcW w:w="103" w:type="dxa"/>
            <w:tcBorders>
              <w:top w:val="single" w:sz="4" w:space="0" w:color="auto"/>
            </w:tcBorders>
            <w:vAlign w:val="bottom"/>
          </w:tcPr>
          <w:p w:rsidR="00000000" w:rsidRDefault="00000000">
            <w:pPr>
              <w:spacing w:before="80" w:after="80" w:line="160" w:lineRule="exact"/>
              <w:ind w:right="40"/>
              <w:jc w:val="right"/>
              <w:rPr>
                <w:i/>
                <w:sz w:val="14"/>
              </w:rPr>
            </w:pPr>
          </w:p>
        </w:tc>
        <w:tc>
          <w:tcPr>
            <w:tcW w:w="117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Carreras biotécnicas</w:t>
            </w:r>
          </w:p>
        </w:tc>
        <w:tc>
          <w:tcPr>
            <w:tcW w:w="84" w:type="dxa"/>
            <w:tcBorders>
              <w:top w:val="single" w:sz="4" w:space="0" w:color="auto"/>
            </w:tcBorders>
            <w:vAlign w:val="bottom"/>
          </w:tcPr>
          <w:p w:rsidR="00000000" w:rsidRDefault="00000000">
            <w:pPr>
              <w:spacing w:before="80" w:after="80" w:line="160" w:lineRule="exact"/>
              <w:ind w:right="40"/>
              <w:jc w:val="right"/>
              <w:rPr>
                <w:i/>
                <w:sz w:val="14"/>
              </w:rPr>
            </w:pPr>
          </w:p>
        </w:tc>
        <w:tc>
          <w:tcPr>
            <w:tcW w:w="119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Carreras sociales</w:t>
            </w:r>
          </w:p>
        </w:tc>
        <w:tc>
          <w:tcPr>
            <w:tcW w:w="65" w:type="dxa"/>
            <w:tcBorders>
              <w:top w:val="single" w:sz="4" w:space="0" w:color="auto"/>
            </w:tcBorders>
            <w:vAlign w:val="bottom"/>
          </w:tcPr>
          <w:p w:rsidR="00000000" w:rsidRDefault="00000000">
            <w:pPr>
              <w:spacing w:before="80" w:after="80" w:line="160" w:lineRule="exact"/>
              <w:ind w:right="40"/>
              <w:jc w:val="right"/>
              <w:rPr>
                <w:i/>
                <w:sz w:val="14"/>
              </w:rPr>
            </w:pPr>
          </w:p>
        </w:tc>
        <w:tc>
          <w:tcPr>
            <w:tcW w:w="121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Humanidades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spacing w:after="80" w:line="160" w:lineRule="exact"/>
              <w:ind w:right="40"/>
              <w:rPr>
                <w:i/>
                <w:sz w:val="14"/>
              </w:rPr>
            </w:pPr>
            <w:r>
              <w:rPr>
                <w:i/>
                <w:sz w:val="14"/>
              </w:rPr>
              <w:t>Año</w:t>
            </w:r>
          </w:p>
        </w:tc>
        <w:tc>
          <w:tcPr>
            <w:tcW w:w="639" w:type="dxa"/>
            <w:tcBorders>
              <w:top w:val="single" w:sz="4" w:space="0" w:color="auto"/>
            </w:tcBorders>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39"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40" w:type="dxa"/>
            <w:gridSpan w:val="2"/>
          </w:tcPr>
          <w:p w:rsidR="00000000" w:rsidRDefault="00000000">
            <w:pPr>
              <w:spacing w:after="80" w:line="160" w:lineRule="exact"/>
              <w:ind w:right="40"/>
              <w:jc w:val="right"/>
              <w:rPr>
                <w:i/>
                <w:sz w:val="14"/>
              </w:rPr>
            </w:pPr>
            <w:r>
              <w:rPr>
                <w:i/>
                <w:sz w:val="14"/>
              </w:rPr>
              <w:t>Total</w:t>
            </w:r>
          </w:p>
        </w:tc>
        <w:tc>
          <w:tcPr>
            <w:tcW w:w="639"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40"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39"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40" w:type="dxa"/>
            <w:gridSpan w:val="2"/>
          </w:tcPr>
          <w:p w:rsidR="00000000" w:rsidRDefault="00000000">
            <w:pPr>
              <w:spacing w:after="80" w:line="160" w:lineRule="exact"/>
              <w:ind w:right="40"/>
              <w:jc w:val="right"/>
              <w:rPr>
                <w:i/>
                <w:sz w:val="14"/>
              </w:rPr>
            </w:pPr>
            <w:r>
              <w:rPr>
                <w:i/>
                <w:sz w:val="14"/>
              </w:rPr>
              <w:t>Total</w:t>
            </w:r>
          </w:p>
        </w:tc>
        <w:tc>
          <w:tcPr>
            <w:tcW w:w="639" w:type="dxa"/>
            <w:tcBorders>
              <w:top w:val="single" w:sz="4" w:space="0" w:color="auto"/>
            </w:tcBorders>
          </w:tcPr>
          <w:p w:rsidR="00000000" w:rsidRDefault="00000000">
            <w:pPr>
              <w:spacing w:after="80" w:line="160" w:lineRule="exact"/>
              <w:ind w:right="40"/>
              <w:jc w:val="right"/>
              <w:rPr>
                <w:i/>
                <w:sz w:val="14"/>
              </w:rPr>
            </w:pPr>
            <w:r>
              <w:rPr>
                <w:i/>
                <w:sz w:val="14"/>
              </w:rPr>
              <w:t>Mujeres</w:t>
            </w:r>
          </w:p>
        </w:tc>
        <w:tc>
          <w:tcPr>
            <w:tcW w:w="640"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spacing w:before="40" w:after="40" w:line="210" w:lineRule="exact"/>
              <w:ind w:right="40"/>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39"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39"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t>%</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44 710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24 691</w:t>
            </w:r>
            <w:r>
              <w:rPr>
                <w:sz w:val="17"/>
              </w:rPr>
              <w:br/>
              <w:t>55,2</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2 006</w:t>
            </w:r>
            <w:r>
              <w:rPr>
                <w:sz w:val="17"/>
              </w:rPr>
              <w:br/>
              <w:t>64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10 169</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2 785</w:t>
            </w:r>
            <w:r>
              <w:rPr>
                <w:sz w:val="17"/>
              </w:rPr>
              <w:br/>
              <w:t>27,4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2 569</w:t>
            </w:r>
            <w:r>
              <w:rPr>
                <w:sz w:val="17"/>
              </w:rPr>
              <w:br/>
              <w:t>71,3</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1 418</w:t>
            </w:r>
            <w:r>
              <w:rPr>
                <w:sz w:val="17"/>
              </w:rPr>
              <w:br/>
              <w:t>41,7</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23 589</w:t>
            </w:r>
            <w:r>
              <w:rPr>
                <w:sz w:val="17"/>
              </w:rPr>
              <w:br/>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15 592</w:t>
            </w:r>
            <w:r>
              <w:rPr>
                <w:sz w:val="17"/>
              </w:rPr>
              <w:br/>
              <w:t>66,1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r>
              <w:rPr>
                <w:sz w:val="17"/>
              </w:rPr>
              <w:br/>
              <w:t>39,4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t>%</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40 246</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22 463</w:t>
            </w:r>
            <w:r>
              <w:rPr>
                <w:sz w:val="17"/>
              </w:rPr>
              <w:br/>
              <w:t>55,8</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2 903</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1 938</w:t>
            </w:r>
            <w:r>
              <w:rPr>
                <w:sz w:val="17"/>
              </w:rPr>
              <w:br/>
              <w:t>66,8</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9 012</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2 564</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3 388</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2 369</w:t>
            </w:r>
            <w:r>
              <w:rPr>
                <w:sz w:val="17"/>
              </w:rPr>
              <w:br/>
              <w:t>69,9</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1 372</w:t>
            </w:r>
            <w:r>
              <w:rPr>
                <w:sz w:val="17"/>
              </w:rPr>
              <w:br/>
              <w:t>42</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20 893</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13 913</w:t>
            </w:r>
            <w:r>
              <w:rPr>
                <w:sz w:val="17"/>
              </w:rPr>
              <w:br/>
              <w:t>66,6</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r>
              <w:rPr>
                <w:sz w:val="17"/>
              </w:rPr>
              <w:br/>
              <w:t>39,4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t>%</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36 922</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20 325</w:t>
            </w:r>
            <w:r>
              <w:rPr>
                <w:sz w:val="17"/>
              </w:rPr>
              <w:br/>
              <w:t>55,0</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2 887</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1 903</w:t>
            </w:r>
            <w:r>
              <w:rPr>
                <w:sz w:val="17"/>
              </w:rPr>
              <w:br/>
              <w:t>65,9</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8 912</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2 534</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3 467</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2 396</w:t>
            </w:r>
            <w:r>
              <w:rPr>
                <w:sz w:val="17"/>
              </w:rPr>
              <w:br/>
              <w:t>69,1</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3 209</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1 317</w:t>
            </w:r>
            <w:r>
              <w:rPr>
                <w:sz w:val="17"/>
              </w:rPr>
              <w:br/>
              <w:t>41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17 643</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11 842</w:t>
            </w:r>
            <w:r>
              <w:rPr>
                <w:sz w:val="17"/>
              </w:rPr>
              <w:br/>
              <w:t>67,1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r>
              <w:rPr>
                <w:sz w:val="17"/>
              </w:rPr>
              <w:br/>
              <w:t>41,4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t>%</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35 141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19 359</w:t>
            </w:r>
            <w:r>
              <w:rPr>
                <w:sz w:val="17"/>
              </w:rPr>
              <w:br/>
              <w:t>55,1</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2 662</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1 789</w:t>
            </w:r>
            <w:r>
              <w:rPr>
                <w:sz w:val="17"/>
              </w:rPr>
              <w:br/>
              <w:t>67,2</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8 828</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2 515</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2 114</w:t>
            </w:r>
            <w:r>
              <w:rPr>
                <w:sz w:val="17"/>
              </w:rPr>
              <w:br/>
              <w:t>69,9</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r>
              <w:rPr>
                <w:sz w:val="17"/>
              </w:rPr>
              <w:br/>
              <w:t>40,6</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17 158</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11 524</w:t>
            </w:r>
            <w:r>
              <w:rPr>
                <w:sz w:val="17"/>
              </w:rPr>
              <w:br/>
              <w:t>67,1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r>
              <w:rPr>
                <w:sz w:val="17"/>
              </w:rPr>
              <w:br/>
              <w:t>41,8</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t>%</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32 048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17 484</w:t>
            </w:r>
            <w:r>
              <w:rPr>
                <w:sz w:val="17"/>
              </w:rPr>
              <w:br/>
              <w:t>54,6</w:t>
            </w:r>
          </w:p>
        </w:tc>
        <w:tc>
          <w:tcPr>
            <w:tcW w:w="63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2 384</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1 609</w:t>
            </w:r>
            <w:r>
              <w:rPr>
                <w:sz w:val="17"/>
              </w:rPr>
              <w:br/>
              <w:t>67,5</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8 655</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2 445</w:t>
            </w:r>
            <w:r>
              <w:rPr>
                <w:sz w:val="17"/>
              </w:rPr>
              <w:br/>
              <w:t>28,2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3 224</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2 271</w:t>
            </w:r>
            <w:r>
              <w:rPr>
                <w:sz w:val="17"/>
              </w:rPr>
              <w:br/>
              <w:t>70,4</w:t>
            </w:r>
          </w:p>
        </w:tc>
        <w:tc>
          <w:tcPr>
            <w:tcW w:w="63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1 037</w:t>
            </w:r>
            <w:r>
              <w:rPr>
                <w:sz w:val="17"/>
              </w:rPr>
              <w:br/>
              <w:t>42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14 619</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9 821</w:t>
            </w:r>
            <w:r>
              <w:rPr>
                <w:sz w:val="17"/>
              </w:rPr>
              <w:br/>
              <w:t>67,2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r>
              <w:rPr>
                <w:sz w:val="17"/>
              </w:rPr>
              <w:br/>
              <w:t>44,4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los datos que figuran supra, las alumnas mostraron más interés en las carreras sociales, ya que representaron entre el 66,1 y el 67,2% de los alu</w:t>
      </w:r>
      <w:r>
        <w:t>m</w:t>
      </w:r>
      <w:r>
        <w:t>nos; y entre el 64 y el 67,5% de los estudiantes de las carreras de ciencias naturales y matemáticas, al igual que en el caso de las carreras médicas. Las alumnas demo</w:t>
      </w:r>
      <w:r>
        <w:t>s</w:t>
      </w:r>
      <w:r>
        <w:t>traron un interés menor, aunque importante, en las carreras técnicas y tecnológicas, por comparación con otras carreras científicas.</w:t>
      </w:r>
    </w:p>
    <w:p w:rsidR="00000000" w:rsidRDefault="00000000">
      <w:pPr>
        <w:pStyle w:val="SingleTxt"/>
      </w:pPr>
      <w:r>
        <w:tab/>
        <w:t>Sobre la base de los datos estadísticos relativos al número de estudiantes gr</w:t>
      </w:r>
      <w:r>
        <w:t>a</w:t>
      </w:r>
      <w:r>
        <w:t>duados de los centros de enseñanza superior, el porcentaje de alumnas graduadas d</w:t>
      </w:r>
      <w:r>
        <w:t>u</w:t>
      </w:r>
      <w:r>
        <w:t>rante ese período osciló entre el 53,6 y el 62,8%, lo que equivale a un promedio del 59,1%.</w:t>
      </w:r>
    </w:p>
    <w:p w:rsidR="00000000" w:rsidRDefault="00000000">
      <w:pPr>
        <w:pStyle w:val="SingleTxt"/>
      </w:pPr>
      <w:r>
        <w:tab/>
        <w:t>Durante el período sobre el que se informa, el porcentaje de mujeres que obt</w:t>
      </w:r>
      <w:r>
        <w:t>u</w:t>
      </w:r>
      <w:r>
        <w:t>vieron un título de maestría osciló entre 41,1 y el 52,8%, lo que equivale a un 48,4% como promedio, en tanto que el porcentaje de mujeres que obtuvieron el título de doctoras osciló entre el 30 y el 43,5%, lo que equivale a un 35% como promedio.</w:t>
      </w:r>
    </w:p>
    <w:p w:rsidR="00000000" w:rsidRDefault="00000000">
      <w:pPr>
        <w:pStyle w:val="SingleTxt"/>
      </w:pPr>
      <w:r>
        <w:tab/>
        <w:t>Con arreglo al origen étnico, el porcentaje de estudiantes macedonias gradu</w:t>
      </w:r>
      <w:r>
        <w:t>a</w:t>
      </w:r>
      <w:r>
        <w:t>das osciló entre el 54,8 y el 61,6%, lo que equivale a un promedio del 59%; en el caso de las estudiantes albanesas, el porcentaje osciló entre el 35 y el 59%, lo que equivale a un promedio del 48%; en el caso de las estudiantes de origen turco, el porcentaje osciló entre el 38,9 y el 69,2%, lo que equivale a un promedio del 52%; en el caso de las estudiantes romaníes, el porcentaje fue del 45,8%, en el de las v</w:t>
      </w:r>
      <w:r>
        <w:t>a</w:t>
      </w:r>
      <w:r>
        <w:t>lacas un 50,6%, en el de las serbias un 50% y en el de otras nacionalidades un 54%.</w:t>
      </w:r>
    </w:p>
    <w:p w:rsidR="00000000" w:rsidRDefault="00000000">
      <w:pPr>
        <w:pStyle w:val="SingleTxt"/>
      </w:pPr>
      <w:r>
        <w:tab/>
        <w:t>b)</w:t>
      </w:r>
      <w:r>
        <w:tab/>
        <w:t>1.</w:t>
      </w:r>
      <w:r>
        <w:tab/>
        <w:t>En la enseñanza primaria, la instrucción se imparte de conformidad con modernos programas de estudios para los que se han preparado libros de texto y de consulta adecuados, sin estereotipos basados en el género. Se han establecido normas y principios para el personal docente de cada asignatura.</w:t>
      </w:r>
    </w:p>
    <w:p w:rsidR="00000000" w:rsidRDefault="00000000">
      <w:pPr>
        <w:pStyle w:val="SingleTxt"/>
      </w:pPr>
      <w:r>
        <w:tab/>
        <w:t>Además de las asignaturas obligatorias, se prevé la organización de ciertas a</w:t>
      </w:r>
      <w:r>
        <w:t>c</w:t>
      </w:r>
      <w:r>
        <w:t>tividades facultativas en algunos ámbitos, en función de los intereses y capacidades de los estudiantes. Además, se organizan actividades gratuitas y no gratuitas para avanzar en ciertas asignaturas científicas, así como actividades adicionales de fo</w:t>
      </w:r>
      <w:r>
        <w:t>r</w:t>
      </w:r>
      <w:r>
        <w:t>mación p</w:t>
      </w:r>
      <w:r>
        <w:t>a</w:t>
      </w:r>
      <w:r>
        <w:t>ra los estudiantes con bajo rendimiento.</w:t>
      </w:r>
    </w:p>
    <w:p w:rsidR="00000000" w:rsidRDefault="00000000">
      <w:pPr>
        <w:pStyle w:val="SingleTxt"/>
      </w:pPr>
      <w:r>
        <w:tab/>
        <w:t>2.</w:t>
      </w:r>
      <w:r>
        <w:tab/>
        <w:t>Los alumnos y alumnas participan por igual en las actividades de las e</w:t>
      </w:r>
      <w:r>
        <w:t>s</w:t>
      </w:r>
      <w:r>
        <w:t>cuelas secundarias. El personal docente, los programas de estudio, los exámenes, las aulas y el equipo son iguales para los alumnos y las alumnas.</w:t>
      </w:r>
    </w:p>
    <w:p w:rsidR="00000000" w:rsidRDefault="00000000">
      <w:pPr>
        <w:pStyle w:val="SingleTxt"/>
      </w:pPr>
      <w:r>
        <w:tab/>
        <w:t>Por lo que respecta al personal docente, el 51% está integrado por mujeres. Los porcentajes de profesoras en función del origen nacional son los siguientes: m</w:t>
      </w:r>
      <w:r>
        <w:t>a</w:t>
      </w:r>
      <w:r>
        <w:t>cedonias, entre el 56 y el 59%; turcas, entre el 39 y el 48%; y albanesas alrededor del 25%. En las escuelas secundarias estatales, de un total de 90 directores, 24 son m</w:t>
      </w:r>
      <w:r>
        <w:t>u</w:t>
      </w:r>
      <w:r>
        <w:t>jeres, lo que equivale al 26,6%.</w:t>
      </w:r>
    </w:p>
    <w:p w:rsidR="00000000" w:rsidRDefault="00000000">
      <w:pPr>
        <w:pStyle w:val="SingleTxt"/>
      </w:pPr>
      <w:r>
        <w:tab/>
        <w:t>3.</w:t>
      </w:r>
      <w:r>
        <w:tab/>
        <w:t>Por lo que respecta a la igualdad de acceso a la enseñanza superior, tanto los alumnos como las alumnas tienen los mismos programas de estudios, exámenes, locales, equipo y profesores, sin que se establezcan distinciones de titulación entre los profesores de los alumnos y las alumnas.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68"/>
        <w:gridCol w:w="768"/>
        <w:gridCol w:w="84"/>
        <w:gridCol w:w="684"/>
        <w:gridCol w:w="768"/>
        <w:gridCol w:w="78"/>
        <w:gridCol w:w="691"/>
        <w:gridCol w:w="768"/>
        <w:gridCol w:w="71"/>
        <w:gridCol w:w="697"/>
        <w:gridCol w:w="768"/>
        <w:gridCol w:w="65"/>
        <w:gridCol w:w="703"/>
        <w:gridCol w:w="769"/>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09"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Personal docente en las facultades y los </w:t>
            </w:r>
            <w:r>
              <w:rPr>
                <w:i/>
                <w:sz w:val="14"/>
              </w:rPr>
              <w:br/>
              <w:t>centros de formación profesional</w:t>
            </w:r>
          </w:p>
        </w:tc>
        <w:tc>
          <w:tcPr>
            <w:tcW w:w="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Personal docente en las universidades</w:t>
            </w: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Facultades</w:t>
            </w:r>
          </w:p>
        </w:tc>
        <w:tc>
          <w:tcPr>
            <w:tcW w:w="7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Centros de formación profesional</w:t>
            </w:r>
          </w:p>
        </w:tc>
        <w:tc>
          <w:tcPr>
            <w:tcW w:w="7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Skopje</w:t>
            </w:r>
          </w:p>
        </w:tc>
        <w:tc>
          <w:tcPr>
            <w:tcW w:w="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Bitola</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6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t>%</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2 738</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r>
              <w:rPr>
                <w:sz w:val="17"/>
              </w:rPr>
              <w:br/>
              <w:t>43,5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2 676</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1 167</w:t>
            </w:r>
            <w:r>
              <w:rPr>
                <w:sz w:val="17"/>
              </w:rPr>
              <w:br/>
              <w:t>43,6</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r>
              <w:rPr>
                <w:sz w:val="17"/>
              </w:rPr>
              <w:br/>
              <w:t>37</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2 472</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r>
              <w:rPr>
                <w:sz w:val="17"/>
              </w:rPr>
              <w:br/>
              <w:t>44,6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r>
              <w:rPr>
                <w:sz w:val="17"/>
              </w:rPr>
              <w:br/>
              <w:t>33,1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t>%</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2 737</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r>
              <w:rPr>
                <w:sz w:val="17"/>
              </w:rPr>
              <w:br/>
              <w:t>42,1</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2 679</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1 131</w:t>
            </w:r>
            <w:r>
              <w:rPr>
                <w:sz w:val="17"/>
              </w:rPr>
              <w:br/>
              <w:t>42,2</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r>
              <w:rPr>
                <w:sz w:val="17"/>
              </w:rPr>
              <w:br/>
              <w:t>34,5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2 477</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w:t>
            </w:r>
            <w:r>
              <w:rPr>
                <w:sz w:val="17"/>
              </w:rPr>
              <w:br/>
              <w:t>43,1</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r>
              <w:rPr>
                <w:sz w:val="17"/>
              </w:rPr>
              <w:br/>
              <w:t>32,3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t>%</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r>
              <w:rPr>
                <w:sz w:val="17"/>
              </w:rPr>
              <w:br/>
              <w:t>42,5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1 158</w:t>
            </w:r>
            <w:r>
              <w:rPr>
                <w:sz w:val="17"/>
              </w:rPr>
              <w:br/>
              <w:t>42,5</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r>
              <w:rPr>
                <w:sz w:val="17"/>
              </w:rPr>
              <w:br/>
              <w:t>42</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r>
              <w:rPr>
                <w:sz w:val="17"/>
              </w:rPr>
              <w:br/>
              <w:t>42,9</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r>
              <w:rPr>
                <w:sz w:val="17"/>
              </w:rPr>
              <w:br/>
              <w:t>38,5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t>%</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r>
              <w:rPr>
                <w:sz w:val="17"/>
              </w:rPr>
              <w:br/>
              <w:t>41,6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r>
              <w:rPr>
                <w:sz w:val="17"/>
              </w:rPr>
              <w:br/>
              <w:t>41,9</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r>
              <w:rPr>
                <w:sz w:val="17"/>
              </w:rPr>
              <w:br/>
              <w:t>50</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2 413</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1 029</w:t>
            </w:r>
            <w:r>
              <w:rPr>
                <w:sz w:val="17"/>
              </w:rPr>
              <w:br/>
              <w:t>42,6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r>
              <w:rPr>
                <w:sz w:val="17"/>
              </w:rPr>
              <w:br/>
              <w:t>31,5</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t>%</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2 652</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r>
              <w:rPr>
                <w:sz w:val="17"/>
              </w:rPr>
              <w:br/>
              <w:t>40,9</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2 602</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1 069</w:t>
            </w:r>
            <w:r>
              <w:rPr>
                <w:sz w:val="17"/>
              </w:rPr>
              <w:br/>
              <w:t>41,1</w:t>
            </w:r>
          </w:p>
        </w:tc>
        <w:tc>
          <w:tcPr>
            <w:tcW w:w="76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r>
              <w:rPr>
                <w:sz w:val="17"/>
              </w:rPr>
              <w:br/>
              <w:t>32</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2 421</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w:t>
            </w:r>
            <w:r>
              <w:rPr>
                <w:sz w:val="17"/>
              </w:rPr>
              <w:br/>
              <w:t>41,6</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6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r>
              <w:rPr>
                <w:sz w:val="17"/>
              </w:rPr>
              <w:b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r>
        <w:br w:type="page"/>
      </w:r>
      <w:r>
        <w:tab/>
        <w:t>A la vista del cuadro, cabe llegar a la conclusión de que, en los centros de e</w:t>
      </w:r>
      <w:r>
        <w:t>n</w:t>
      </w:r>
      <w:r>
        <w:t>señanza superior, el porcentaje de profesoras y profesoras auxiliares osciló entre 40,9 y el 43,5% durante el período sobre el que se informa.</w:t>
      </w:r>
    </w:p>
    <w:p w:rsidR="00000000" w:rsidRDefault="00000000">
      <w:pPr>
        <w:pStyle w:val="SingleTxt"/>
        <w:suppressAutoHyphens/>
      </w:pPr>
      <w:r>
        <w:tab/>
        <w:t>La distribución por género de los profesores y profesores auxiliares es la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26"/>
        <w:gridCol w:w="813"/>
        <w:gridCol w:w="813"/>
        <w:gridCol w:w="813"/>
        <w:gridCol w:w="813"/>
        <w:gridCol w:w="813"/>
        <w:gridCol w:w="813"/>
        <w:gridCol w:w="813"/>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Profesores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Auxiliares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Otros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t>%</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2 738</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r>
              <w:rPr>
                <w:sz w:val="17"/>
              </w:rPr>
              <w:br/>
              <w:t>43,5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r>
              <w:rPr>
                <w:sz w:val="17"/>
              </w:rPr>
              <w:br/>
              <w:t>34,3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r>
              <w:rPr>
                <w:sz w:val="17"/>
              </w:rPr>
              <w:br/>
              <w:t>55,6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r>
              <w:rPr>
                <w:sz w:val="17"/>
              </w:rPr>
              <w:br/>
              <w:t>56,9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t>%</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2 737</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r>
              <w:rPr>
                <w:sz w:val="17"/>
              </w:rPr>
              <w:br/>
              <w:t>42,1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r>
              <w:rPr>
                <w:sz w:val="17"/>
              </w:rPr>
              <w:br/>
              <w:t>32,2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r>
              <w:rPr>
                <w:sz w:val="17"/>
              </w:rPr>
              <w:br/>
              <w:t>53,4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r>
              <w:rPr>
                <w:sz w:val="17"/>
              </w:rPr>
              <w:br/>
              <w:t>57,7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t>%</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2 774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r>
              <w:rPr>
                <w:sz w:val="17"/>
              </w:rPr>
              <w:br/>
              <w:t>42,5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r>
              <w:rPr>
                <w:sz w:val="17"/>
              </w:rPr>
              <w:br/>
              <w:t>32,6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1 149</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r>
              <w:rPr>
                <w:sz w:val="17"/>
              </w:rPr>
              <w:br/>
              <w:t>53,4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r>
              <w:rPr>
                <w:sz w:val="17"/>
              </w:rPr>
              <w:br/>
              <w:t>59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t>%</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2 654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r>
              <w:rPr>
                <w:sz w:val="17"/>
              </w:rPr>
              <w:br/>
              <w:t>41,6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r>
              <w:rPr>
                <w:sz w:val="17"/>
              </w:rPr>
              <w:br/>
              <w:t>30</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r>
              <w:rPr>
                <w:sz w:val="17"/>
              </w:rPr>
              <w:br/>
              <w:t>54,2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r>
              <w:rPr>
                <w:sz w:val="17"/>
              </w:rPr>
              <w:br/>
              <w:t>56,7</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t>%</w:t>
            </w:r>
          </w:p>
        </w:tc>
        <w:tc>
          <w:tcPr>
            <w:tcW w:w="72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2 652</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r>
              <w:rPr>
                <w:sz w:val="17"/>
              </w:rPr>
              <w:br/>
              <w:t>40,9</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1 408</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r>
              <w:rPr>
                <w:sz w:val="17"/>
              </w:rPr>
              <w:br/>
              <w:t>29,4</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r>
              <w:rPr>
                <w:sz w:val="17"/>
              </w:rPr>
              <w:br/>
              <w:t>53,7</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r>
              <w:rPr>
                <w:sz w:val="17"/>
              </w:rPr>
              <w:br/>
              <w:t>55,6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porcentaje de personal docente femenino varía entre el 29,4 y el 34,3% y aumenta de manera constante. El porcentaje de profesoras auxiliares respecto del número total de profesores auxiliares es bastante elevado y oscila entre el 53,4 y el 55,6%, lo que indica que ese porcentaje seguirá aumentando en lo sucesivo y de esa manera aumentará la representación de las profesoras y profesoras auxiliares de la enseña</w:t>
      </w:r>
      <w:r>
        <w:t>n</w:t>
      </w:r>
      <w:r>
        <w:t>za superior dentro de la estructura del personal docente.</w:t>
      </w:r>
    </w:p>
    <w:p w:rsidR="00000000" w:rsidRDefault="00000000">
      <w:pPr>
        <w:pStyle w:val="SingleTxt"/>
      </w:pPr>
      <w:r>
        <w:tab/>
        <w:t>El desglose por género de los cargos directivos en las universidades de la R</w:t>
      </w:r>
      <w:r>
        <w:t>e</w:t>
      </w:r>
      <w:r>
        <w:t>pública de Macedonia es el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920"/>
        <w:gridCol w:w="920"/>
        <w:gridCol w:w="50"/>
        <w:gridCol w:w="871"/>
        <w:gridCol w:w="920"/>
        <w:gridCol w:w="920"/>
        <w:gridCol w:w="921"/>
      </w:tblGrid>
      <w:tr w:rsidR="00000000">
        <w:tblPrEx>
          <w:tblCellMar>
            <w:top w:w="0" w:type="dxa"/>
            <w:left w:w="0" w:type="dxa"/>
            <w:bottom w:w="0" w:type="dxa"/>
            <w:right w:w="0" w:type="dxa"/>
          </w:tblCellMar>
        </w:tblPrEx>
        <w:trPr>
          <w:cantSplit/>
          <w:tblHeader/>
        </w:trPr>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Centros de enseñanza superior</w:t>
            </w:r>
          </w:p>
        </w:tc>
        <w:tc>
          <w:tcPr>
            <w:tcW w:w="18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Rector/decano</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Vicerrector/vicedecano</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Personal directivo</w:t>
            </w:r>
          </w:p>
        </w:tc>
      </w:tr>
      <w:tr w:rsidR="00000000">
        <w:tblPrEx>
          <w:tblCellMar>
            <w:top w:w="0" w:type="dxa"/>
            <w:left w:w="0" w:type="dxa"/>
            <w:bottom w:w="0" w:type="dxa"/>
            <w:right w:w="0" w:type="dxa"/>
          </w:tblCellMar>
        </w:tblPrEx>
        <w:trPr>
          <w:cantSplit/>
          <w:tblHeader/>
        </w:trPr>
        <w:tc>
          <w:tcPr>
            <w:tcW w:w="18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2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Skopje</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Bitola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92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9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15,4</w:t>
            </w:r>
          </w:p>
        </w:tc>
        <w:tc>
          <w:tcPr>
            <w:tcW w:w="9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69,4</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1"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año académico 2001/2002, las mujeres que ocupaban cargos dire</w:t>
      </w:r>
      <w:r>
        <w:t>c</w:t>
      </w:r>
      <w:r>
        <w:t>tivos representaron el 32%. En el caso de las principales funciones directivas, ese porcentaje representó el 15,4%, en tanto que se cifró en alrededor del 70% en el c</w:t>
      </w:r>
      <w:r>
        <w:t>a</w:t>
      </w:r>
      <w:r>
        <w:t>so de los cargos directivos auxiliares, porcentaje que resulta bastante elevado.</w:t>
      </w:r>
    </w:p>
    <w:p w:rsidR="00000000" w:rsidRDefault="00000000">
      <w:pPr>
        <w:pStyle w:val="SingleTxt"/>
      </w:pPr>
      <w:r>
        <w:tab/>
        <w:t>c)</w:t>
      </w:r>
      <w:r>
        <w:tab/>
        <w:t>En todos los segmentos del sistema docente general, los planes de ens</w:t>
      </w:r>
      <w:r>
        <w:t>e</w:t>
      </w:r>
      <w:r>
        <w:t>ñanza y de estudios, los libros de texto y los métodos de enseñanza son accesibles a toda la p</w:t>
      </w:r>
      <w:r>
        <w:t>o</w:t>
      </w:r>
      <w:r>
        <w:t>blación estudiantil, con independencia del género.</w:t>
      </w:r>
    </w:p>
    <w:p w:rsidR="00000000" w:rsidRDefault="00000000">
      <w:pPr>
        <w:pStyle w:val="SingleTxt"/>
      </w:pPr>
      <w:r>
        <w:tab/>
        <w:t>En relación con la eliminación de los estereotipos relacionados con las funci</w:t>
      </w:r>
      <w:r>
        <w:t>o</w:t>
      </w:r>
      <w:r>
        <w:t>nes del hombre y la mujer en todos los niveles docentes, es destacar el ejemplo de la Academia de Policía, institución que, de conformidad con la Ley de la Academia de Policía (Gaceta Oficial, no. 40/2003), se encarga de formar a los agentes de policía nuevos y ya existentes y depende del Ministerio del Interior (antiguo Centro de fo</w:t>
      </w:r>
      <w:r>
        <w:t>r</w:t>
      </w:r>
      <w:r>
        <w:t>mación del personal en la esfera de la seguridad).</w:t>
      </w:r>
    </w:p>
    <w:p w:rsidR="00000000" w:rsidRDefault="00000000">
      <w:pPr>
        <w:pStyle w:val="SingleTxt"/>
      </w:pPr>
      <w:r>
        <w:tab/>
        <w:t>En relación con el desglose por género de los empleados, los cargos que oc</w:t>
      </w:r>
      <w:r>
        <w:t>u</w:t>
      </w:r>
      <w:r>
        <w:t>pan las mujeres van desde los menos complejos a los de doctora en la Facultad de Segur</w:t>
      </w:r>
      <w:r>
        <w:t>i</w:t>
      </w:r>
      <w:r>
        <w:t>dad.</w:t>
      </w:r>
    </w:p>
    <w:p w:rsidR="00000000" w:rsidRDefault="00000000">
      <w:pPr>
        <w:pStyle w:val="SingleTxt"/>
        <w:suppressAutoHyphens/>
      </w:pPr>
      <w:r>
        <w:tab/>
        <w:t>En el cuadro que figura a continuación se muestran los porcentajes correspondie</w:t>
      </w:r>
      <w:r>
        <w:t>n</w:t>
      </w:r>
      <w:r>
        <w:t>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de dirección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Cargos superiores</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Ministerio del Interior.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r>
        <w:br w:type="page"/>
      </w:r>
      <w:r>
        <w:tab/>
        <w:t>A la vista de esos datos, no cabe duda de que las mujeres están más represe</w:t>
      </w:r>
      <w:r>
        <w:t>n</w:t>
      </w:r>
      <w:r>
        <w:t>tadas que los hombres en la Academia, lo que ciertamente constituye una importante aportación al fomento de la educación en esta esfera.</w:t>
      </w:r>
    </w:p>
    <w:p w:rsidR="00000000" w:rsidRDefault="00000000">
      <w:pPr>
        <w:pStyle w:val="SingleTxt"/>
      </w:pPr>
      <w:r>
        <w:tab/>
        <w:t>d)</w:t>
      </w:r>
      <w:r>
        <w:tab/>
        <w:t>Tanto los alumnos como las alumnas tienen las mismas oportunidades de obtener becas y créditos.</w:t>
      </w:r>
    </w:p>
    <w:p w:rsidR="00000000" w:rsidRDefault="00000000">
      <w:pPr>
        <w:pStyle w:val="SingleTxt"/>
      </w:pPr>
      <w:r>
        <w:tab/>
        <w:t>El número total de becas concedidas durante los cinco últimos años a los est</w:t>
      </w:r>
      <w:r>
        <w:t>u</w:t>
      </w:r>
      <w:r>
        <w:t>diantes especialmente dotados ha sido de 6.164, de las que 3.609 correspondieron a mujeres, lo que equivale al 58,8%.</w:t>
      </w:r>
    </w:p>
    <w:p w:rsidR="00000000" w:rsidRDefault="00000000">
      <w:pPr>
        <w:pStyle w:val="SingleTxt"/>
      </w:pPr>
      <w:r>
        <w:tab/>
        <w:t>En el cuadro que figura a continuación se muestra la situación de los benef</w:t>
      </w:r>
      <w:r>
        <w:t>i</w:t>
      </w:r>
      <w:r>
        <w:t>ciarios de becas por año académico: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académico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20001/2002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1 034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1 748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3 609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2 554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6 164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ese período, el número de estudiantes a los que se concedieron becas por estar especialmente dotados fue de 9.115, de los que 5.879 eran mujeres, es d</w:t>
      </w:r>
      <w:r>
        <w:t>e</w:t>
      </w:r>
      <w:r>
        <w:t>cir, el 64,5%.</w:t>
      </w:r>
    </w:p>
    <w:p w:rsidR="00000000" w:rsidRDefault="00000000">
      <w:pPr>
        <w:pStyle w:val="SingleTxt"/>
      </w:pPr>
      <w:r>
        <w:tab/>
        <w:t>A continuación figura un desglose por género de los estudiantes especialmente dot</w:t>
      </w:r>
      <w:r>
        <w:t>a</w:t>
      </w:r>
      <w:r>
        <w:t>dos que obtuvieron becas: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académico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20001/2002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2 690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1 765</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9 115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3 236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5 879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estudiantes especialmente dotados tienen la oportunidad de pasar a otro curso superior en dos ocasiones durante la enseñanza primaria, en tanto que los que obtienen peores resultados, sea cual sea su género, pueden asistir a clases compl</w:t>
      </w:r>
      <w:r>
        <w:t>e</w:t>
      </w:r>
      <w:r>
        <w:t>mentarias después del horario lectivo ordinario a fin de que logren pasar al curso s</w:t>
      </w:r>
      <w:r>
        <w:t>i</w:t>
      </w:r>
      <w:r>
        <w:t>guiente. Pueden adoptarse medidas pedagógicas en el caso de los estudiantes que i</w:t>
      </w:r>
      <w:r>
        <w:t>n</w:t>
      </w:r>
      <w:r>
        <w:t>frinjan las normas docentes y de convivencia, al tiempo que se prohíbe y sanciona someter a los estudiantes a cualquier tipo de hostigamiento.</w:t>
      </w:r>
    </w:p>
    <w:p w:rsidR="00000000" w:rsidRDefault="00000000">
      <w:pPr>
        <w:pStyle w:val="SingleTxt"/>
      </w:pPr>
      <w:r>
        <w:tab/>
        <w:t>Por otra parte, el número total de becas concedidas para cursar los estudios d</w:t>
      </w:r>
      <w:r>
        <w:t>e</w:t>
      </w:r>
      <w:r>
        <w:t>seados fue de 809, de las que 531 correspondieron a alumnas, es decir, el 65,6%.</w:t>
      </w:r>
    </w:p>
    <w:p w:rsidR="00000000" w:rsidRDefault="00000000">
      <w:pPr>
        <w:pStyle w:val="SingleTxt"/>
      </w:pPr>
      <w:r>
        <w:tab/>
        <w:t>El número total de préstamos concedidos a los estudiantes durante el período sobre el que se informa fue de 20.918, de los que 14.362 correspondieron a alumnas, es decir, el 68,6%.</w:t>
      </w:r>
    </w:p>
    <w:p w:rsidR="00000000" w:rsidRDefault="00000000">
      <w:pPr>
        <w:pStyle w:val="SingleTxt"/>
      </w:pPr>
      <w:r>
        <w:tab/>
        <w:t>e)</w:t>
      </w:r>
      <w:r>
        <w:tab/>
        <w:t>En la enseñanza primaria, asistieron a clases organizadas para adultos en centros especiales alumnos de entre 15 y 17 años de edad, edad ésta última que es la máxima para asistir a la escuela primaria; además, se impartieron clases de música y b</w:t>
      </w:r>
      <w:r>
        <w:t>a</w:t>
      </w:r>
      <w:r>
        <w:t>llet.</w:t>
      </w:r>
    </w:p>
    <w:p w:rsidR="00000000" w:rsidRDefault="00000000">
      <w:pPr>
        <w:pStyle w:val="SingleTxt"/>
      </w:pPr>
      <w:r>
        <w:tab/>
        <w:t>Tampoco existen diferencias por razones de género en los programas de ens</w:t>
      </w:r>
      <w:r>
        <w:t>e</w:t>
      </w:r>
      <w:r>
        <w:t>ñanza secundaria para adultos en el sistema de autoeducación, en cuyo marco se o</w:t>
      </w:r>
      <w:r>
        <w:t>r</w:t>
      </w:r>
      <w:r>
        <w:t>ganizan exámenes con arreglo a un programa de estudios establecido por una e</w:t>
      </w:r>
      <w:r>
        <w:t>s</w:t>
      </w:r>
      <w:r>
        <w:t>cuela de formación profesional en régimen de autofinanciación. Están destinados a adultos que no lograron concluir sus estudios dentro de los períodos establecidos; se les imparte enseñanza durante tres años y pueden acceder a un programa de cuatro años de duración. Además, pueden acceder a un programa de recalificación de una profesión a otra o a un programa de especialización.</w:t>
      </w:r>
    </w:p>
    <w:p w:rsidR="00000000" w:rsidRDefault="00000000">
      <w:pPr>
        <w:pStyle w:val="SingleTxt"/>
      </w:pPr>
      <w:r>
        <w:tab/>
        <w:t>Por otra parte, con arreglo a la legislación pueden cursar un programa de fo</w:t>
      </w:r>
      <w:r>
        <w:t>r</w:t>
      </w:r>
      <w:r>
        <w:t>mación profesional de dos años de duración las personas que no hayan concluido la enseñanza primaria y, paralelamente a su formación profesional, han de cursar est</w:t>
      </w:r>
      <w:r>
        <w:t>u</w:t>
      </w:r>
      <w:r>
        <w:t>dios de enseñanza primaria.</w:t>
      </w:r>
    </w:p>
    <w:p w:rsidR="00000000" w:rsidRDefault="00000000">
      <w:pPr>
        <w:pStyle w:val="SingleTxt"/>
      </w:pPr>
      <w:r>
        <w:tab/>
        <w:t>A continuación figura un desglose de estudiantes adultos por género y origen étnico: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720"/>
        <w:gridCol w:w="940"/>
        <w:gridCol w:w="830"/>
        <w:gridCol w:w="830"/>
        <w:gridCol w:w="830"/>
        <w:gridCol w:w="830"/>
        <w:gridCol w:w="830"/>
        <w:gridCol w:w="830"/>
        <w:gridCol w:w="83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académico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Macedonios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Albaneses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Turcos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Romaníes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Valacos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Serbios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Otros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Sin origen declarado</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1 074</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1 146</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1 263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w:t>
      </w:r>
      <w:r>
        <w:tab/>
        <w:t>Los alumnos asisten a las escuelas de la zona en que residen, aunque no se les deniega la posibilidad de matricularse en otras, para lo cual han de seguir el procedimiento establecido en la legislación. Los padres cuyos hijos no asisten a la escuela son objeto de sanciones, ya que la finalidad es eliminar el analfabetismo por falta de escuelas o por abandono de los estudiantes.</w:t>
      </w:r>
    </w:p>
    <w:p w:rsidR="00000000" w:rsidRDefault="00000000">
      <w:pPr>
        <w:pStyle w:val="SingleTxt"/>
      </w:pPr>
      <w:r>
        <w:tab/>
        <w:t>Aunque en la enseñanza secundaria se han establecido las condiciones neces</w:t>
      </w:r>
      <w:r>
        <w:t>a</w:t>
      </w:r>
      <w:r>
        <w:t>rias para que abarque a toda la población, la tasa de deserción es muy elevada, pri</w:t>
      </w:r>
      <w:r>
        <w:t>n</w:t>
      </w:r>
      <w:r>
        <w:t>cipalmente entre los estudiantes pobres de los primeros cursos. La tasa de deserción se cifra en alrededor del 1% para ambos géneros.</w:t>
      </w:r>
    </w:p>
    <w:p w:rsidR="00000000" w:rsidRDefault="00000000">
      <w:pPr>
        <w:pStyle w:val="SingleTxt"/>
      </w:pPr>
      <w:r>
        <w:tab/>
        <w:t>g) y h)</w:t>
      </w:r>
      <w:r>
        <w:tab/>
        <w:t>En los últimos años se han puesto en marcha varios proyectos de emancipación de las muchachas en el marco de la red europea de escuelas, proye</w:t>
      </w:r>
      <w:r>
        <w:t>c</w:t>
      </w:r>
      <w:r>
        <w:t>tos que promueven la salud y las relaciones entre los géneros. Además, hay varios programas de fomento de la participación en actividades deportivas y de educación fís</w:t>
      </w:r>
      <w:r>
        <w:t>i</w:t>
      </w:r>
      <w:r>
        <w:t>ca sin distinciones de género.</w:t>
      </w:r>
    </w:p>
    <w:p w:rsidR="00000000" w:rsidRDefault="00000000">
      <w:pPr>
        <w:pStyle w:val="SingleTxt"/>
        <w:rPr>
          <w:spacing w:val="2"/>
          <w:w w:val="101"/>
        </w:rPr>
      </w:pPr>
      <w:r>
        <w:rPr>
          <w:spacing w:val="2"/>
          <w:w w:val="101"/>
        </w:rPr>
        <w:tab/>
        <w:t>En la República de Macedonia se imparte educación a los niños con necesidades especiales en escuelas secundarias especiales. El porcentaje de alumnas se cifra en alr</w:t>
      </w:r>
      <w:r>
        <w:rPr>
          <w:spacing w:val="2"/>
          <w:w w:val="101"/>
        </w:rPr>
        <w:t>e</w:t>
      </w:r>
      <w:r>
        <w:rPr>
          <w:spacing w:val="2"/>
          <w:w w:val="101"/>
        </w:rPr>
        <w:t>dedor del 30%. A continuación figura un cuadro con el correspondiente de</w:t>
      </w:r>
      <w:r>
        <w:rPr>
          <w:spacing w:val="2"/>
          <w:w w:val="101"/>
        </w:rPr>
        <w:t>s</w:t>
      </w:r>
      <w:r>
        <w:rPr>
          <w:spacing w:val="2"/>
          <w:w w:val="101"/>
        </w:rPr>
        <w:t>glose: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académico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estudiantes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Artículo 11</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spacing w:val="2"/>
          <w:w w:val="101"/>
        </w:rPr>
      </w:pPr>
      <w:r>
        <w:rPr>
          <w:i/>
          <w:spacing w:val="2"/>
          <w:w w:val="101"/>
        </w:rPr>
        <w:tab/>
        <w:t>1.</w:t>
      </w:r>
      <w:r>
        <w:rPr>
          <w:i/>
          <w:spacing w:val="2"/>
          <w:w w:val="101"/>
        </w:rPr>
        <w:tab/>
        <w:t>Los Estados Partes adoptarán todas las medidas apropiadas para eliminar la discriminación contra la mujer en la esfera del empleo a fin de asegurar a la mujer, en condiciones de igualdad con los hombres, los mismos derechos, en part</w:t>
      </w:r>
      <w:r>
        <w:rPr>
          <w:i/>
          <w:spacing w:val="2"/>
          <w:w w:val="101"/>
        </w:rPr>
        <w:t>i</w:t>
      </w:r>
      <w:r>
        <w:rPr>
          <w:i/>
          <w:spacing w:val="2"/>
          <w:w w:val="101"/>
        </w:rPr>
        <w:t>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aprendizaje, la formación profesional superior y el adiestramiento periódico;</w:t>
      </w: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000000" w:rsidRDefault="00000000">
      <w:pPr>
        <w:pStyle w:val="SingleTxt"/>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rPr>
          <w:i/>
        </w:rPr>
      </w:pPr>
      <w:r>
        <w:rPr>
          <w:i/>
        </w:rPr>
        <w:tab/>
        <w:t>f)</w:t>
      </w:r>
      <w:r>
        <w:rPr>
          <w:i/>
        </w:rPr>
        <w:tab/>
        <w:t>El derecho a la protección de la salud y a la seguridad en las condici</w:t>
      </w:r>
      <w:r>
        <w:rPr>
          <w:i/>
        </w:rPr>
        <w:t>o</w:t>
      </w:r>
      <w:r>
        <w:rPr>
          <w:i/>
        </w:rPr>
        <w:t>nes de trabajo, incluso la salvaguardia de la función de repr</w:t>
      </w:r>
      <w:r>
        <w:rPr>
          <w:i/>
        </w:rPr>
        <w:t>o</w:t>
      </w:r>
      <w:r>
        <w:rPr>
          <w:i/>
        </w:rPr>
        <w:t>ducción.</w:t>
      </w:r>
    </w:p>
    <w:p w:rsidR="00000000" w:rsidRDefault="00000000">
      <w:pPr>
        <w:pStyle w:val="SingleTxt"/>
        <w:rPr>
          <w:i/>
        </w:rPr>
      </w:pPr>
      <w:r>
        <w:rPr>
          <w:i/>
        </w:rPr>
        <w:tab/>
        <w:t>2.</w:t>
      </w:r>
      <w:r>
        <w:rPr>
          <w:i/>
        </w:rPr>
        <w:tab/>
        <w:t>A fin de impedir la discriminación contra la mujer por razones de m</w:t>
      </w:r>
      <w:r>
        <w:rPr>
          <w:i/>
        </w:rPr>
        <w:t>a</w:t>
      </w:r>
      <w:r>
        <w:rPr>
          <w:i/>
        </w:rPr>
        <w:t>trimonio o maternidad y asegurar la efectividad de su derecho a trabajar, los Est</w:t>
      </w:r>
      <w:r>
        <w:rPr>
          <w:i/>
        </w:rPr>
        <w:t>a</w:t>
      </w:r>
      <w:r>
        <w:rPr>
          <w:i/>
        </w:rPr>
        <w:t>dos Partes tomarán medidas adecuadas para:</w:t>
      </w:r>
    </w:p>
    <w:p w:rsidR="00000000" w:rsidRDefault="00000000">
      <w:pPr>
        <w:pStyle w:val="SingleTxt"/>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rPr>
          <w:i/>
        </w:rPr>
      </w:pPr>
      <w:r>
        <w:rPr>
          <w:i/>
        </w:rPr>
        <w:tab/>
        <w:t>d)</w:t>
      </w:r>
      <w:r>
        <w:rPr>
          <w:i/>
        </w:rPr>
        <w:tab/>
        <w:t>Prestar protección especial a la mujer durante el embarazo en los tipos de tr</w:t>
      </w:r>
      <w:r>
        <w:rPr>
          <w:i/>
        </w:rPr>
        <w:t>a</w:t>
      </w:r>
      <w:r>
        <w:rPr>
          <w:i/>
        </w:rPr>
        <w:t>bajos que se haya probado puedan resultar perjudiciales para ella.</w:t>
      </w:r>
    </w:p>
    <w:p w:rsidR="00000000" w:rsidRDefault="00000000">
      <w:pPr>
        <w:pStyle w:val="SingleTxt"/>
        <w:rPr>
          <w:i/>
        </w:rPr>
      </w:pPr>
      <w:r>
        <w:rPr>
          <w:i/>
        </w:rPr>
        <w:tab/>
        <w:t>3.</w:t>
      </w:r>
      <w:r>
        <w:rPr>
          <w:i/>
        </w:rPr>
        <w:tab/>
        <w:t>La legislación protectora relacionada con las cuestiones comprendidas en este artículo será examinada periódicamente a la luz de los conocimientos cie</w:t>
      </w:r>
      <w:r>
        <w:rPr>
          <w:i/>
        </w:rPr>
        <w:t>n</w:t>
      </w:r>
      <w:r>
        <w:rPr>
          <w:i/>
        </w:rPr>
        <w:t>tíf</w:t>
      </w:r>
      <w:r>
        <w:rPr>
          <w:i/>
        </w:rPr>
        <w:t>i</w:t>
      </w:r>
      <w:r>
        <w:rPr>
          <w:i/>
        </w:rPr>
        <w:t>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Constitución (párrafo 1 del artículo 32), toda persona tiene derecho a trabajar, a elegir libremente su empleo, a ser protegida en el trabajo y a obtener prestaciones por desempleo; además, puede acceder al empleo toda pe</w:t>
      </w:r>
      <w:r>
        <w:t>r</w:t>
      </w:r>
      <w:r>
        <w:t>sona, en iguales condiciones y sin ningún tipo de discriminación, incluida la discr</w:t>
      </w:r>
      <w:r>
        <w:t>i</w:t>
      </w:r>
      <w:r>
        <w:t>min</w:t>
      </w:r>
      <w:r>
        <w:t>a</w:t>
      </w:r>
      <w:r>
        <w:t>ción por razón de género.</w:t>
      </w:r>
    </w:p>
    <w:p w:rsidR="00000000" w:rsidRDefault="00000000">
      <w:pPr>
        <w:pStyle w:val="SingleTxt"/>
      </w:pPr>
      <w:r>
        <w:tab/>
        <w:t>Sobre la base de esas disposiciones, se han promulgado varias leyes para as</w:t>
      </w:r>
      <w:r>
        <w:t>e</w:t>
      </w:r>
      <w:r>
        <w:t>gurar que se respetan los derechos constitucionales en materia de empleo. Las leyes en cuestión son las siguientes: Ley de relaciones laborales, Ley del empleo, Ley de prestaciones por desempleo y Ley de aumento del empleo.</w:t>
      </w:r>
    </w:p>
    <w:p w:rsidR="00000000" w:rsidRDefault="00000000">
      <w:pPr>
        <w:pStyle w:val="SingleTxt"/>
        <w:rPr>
          <w:spacing w:val="2"/>
          <w:w w:val="101"/>
        </w:rPr>
      </w:pPr>
      <w:r>
        <w:tab/>
        <w:t>Se han firmado convenios colectivos en los sectores económicos y no econ</w:t>
      </w:r>
      <w:r>
        <w:t>ó</w:t>
      </w:r>
      <w:r>
        <w:t>micos: el Convenio Colectivo general para el sector económico de la República de Macedonia y el Convenio Colectivo general para la administración pública, las e</w:t>
      </w:r>
      <w:r>
        <w:t>m</w:t>
      </w:r>
      <w:r>
        <w:t xml:space="preserve">presas públicas, los órganos administrativos, los órganos de autogobierno local y otras entidades que no realizan actividades económicas. Casi todos los convenios </w:t>
      </w:r>
      <w:r>
        <w:rPr>
          <w:spacing w:val="2"/>
          <w:w w:val="101"/>
        </w:rPr>
        <w:t>colectivos de los sectores concretos se basan en los dos convenios colectivos gen</w:t>
      </w:r>
      <w:r>
        <w:rPr>
          <w:spacing w:val="2"/>
          <w:w w:val="101"/>
        </w:rPr>
        <w:t>e</w:t>
      </w:r>
      <w:r>
        <w:rPr>
          <w:spacing w:val="2"/>
          <w:w w:val="101"/>
        </w:rPr>
        <w:t>rales.</w:t>
      </w:r>
    </w:p>
    <w:p w:rsidR="00000000" w:rsidRDefault="00000000">
      <w:pPr>
        <w:pStyle w:val="SingleTxt"/>
      </w:pPr>
      <w:r>
        <w:tab/>
        <w:t>Las relaciones laborales se rigen por la Ley de relaciones laborales, aprobada en 1993. La Ley ha sido modificada en varias ocasiones en el marco de programas de reforma del mercado laboral.</w:t>
      </w:r>
    </w:p>
    <w:p w:rsidR="00000000" w:rsidRDefault="00000000">
      <w:pPr>
        <w:pStyle w:val="SingleTxt"/>
        <w:suppressAutoHyphens/>
      </w:pPr>
      <w:r>
        <w:tab/>
        <w:t>Hay otras normas que regulan esas cuestiones en la enseñanza primaria y secund</w:t>
      </w:r>
      <w:r>
        <w:t>a</w:t>
      </w:r>
      <w:r>
        <w:t>ria.</w:t>
      </w:r>
    </w:p>
    <w:p w:rsidR="00000000" w:rsidRDefault="00000000">
      <w:pPr>
        <w:pStyle w:val="SingleTxt"/>
      </w:pPr>
      <w:r>
        <w:tab/>
        <w:t>De conformidad con el Acuerdo de Estabilización y Asociación concertado entre la República de Macedonia y la Unión Europea el 9 de abril de 2001, el G</w:t>
      </w:r>
      <w:r>
        <w:t>o</w:t>
      </w:r>
      <w:r>
        <w:t>bierno de la República de Macedonia aprobó un programa para armonizar la legisl</w:t>
      </w:r>
      <w:r>
        <w:t>a</w:t>
      </w:r>
      <w:r>
        <w:t>ción con la de la Unión Europea. A tal efecto, se confeccionó una lista de las dire</w:t>
      </w:r>
      <w:r>
        <w:t>c</w:t>
      </w:r>
      <w:r>
        <w:t>tivas relativas al trabajo y al empleo que habían de servir de referencia para armon</w:t>
      </w:r>
      <w:r>
        <w:t>i</w:t>
      </w:r>
      <w:r>
        <w:t>zar la legislación, así como el calendario y las etapas de la armonización. En la pr</w:t>
      </w:r>
      <w:r>
        <w:t>i</w:t>
      </w:r>
      <w:r>
        <w:t>mera etapa se ha armonizado la legislación a varias directivas de la Comunidad Económica Europea: la Directiva 75/117/EEC del Consejo, relativa al principio de la igualdad de remuneración entre el hombre y la mujer, la Directiva 76/207/EEC, relativa a la igualdad de acceso al empleo y a la educación y a la igualdad de cond</w:t>
      </w:r>
      <w:r>
        <w:t>i</w:t>
      </w:r>
      <w:r>
        <w:t>ciones de trabajo, y la Directiva 97/80/EEC, relativa a la carga de la prueba en los casos de discriminación. Esas Directivas han influido en la Ley de relaciones lab</w:t>
      </w:r>
      <w:r>
        <w:t>o</w:t>
      </w:r>
      <w:r>
        <w:t>rales y otra legislación l</w:t>
      </w:r>
      <w:r>
        <w:t>a</w:t>
      </w:r>
      <w:r>
        <w:t>boral conexa.</w:t>
      </w:r>
    </w:p>
    <w:p w:rsidR="00000000" w:rsidRDefault="00000000">
      <w:pPr>
        <w:pStyle w:val="SingleTxt"/>
      </w:pPr>
      <w:r>
        <w:tab/>
        <w:t>Así, en el apartado a) del artículo 8 de la Ley de relaciones laborales (Gaceta Oficial, no. 25/2003) se dispone que los empleadores no colocarán al trabajador en una posición desigual por razones de su raza, color de piel, género, edad, salud, di</w:t>
      </w:r>
      <w:r>
        <w:t>s</w:t>
      </w:r>
      <w:r>
        <w:t>capacidad, ideas políticas o religiosas, afiliación a un sindicato, origen nacional o social, patrimonio u otras circunstancias personales.</w:t>
      </w:r>
    </w:p>
    <w:p w:rsidR="00000000" w:rsidRDefault="00000000">
      <w:pPr>
        <w:pStyle w:val="SingleTxt"/>
      </w:pPr>
      <w:r>
        <w:tab/>
        <w:t>Se deben brindar a las mujeres y a los hombres las mismas oportunidades en cuanto al empleo, promoción de las perspectivas de carrera, seguridad en el trabajo, condiciones de trabajo, horas de trabajo y rescisión de los contratos laborales.</w:t>
      </w:r>
    </w:p>
    <w:p w:rsidR="00000000" w:rsidRDefault="00000000">
      <w:pPr>
        <w:pStyle w:val="SingleTxt"/>
      </w:pPr>
      <w:r>
        <w:tab/>
        <w:t>Además, al artículo 70 de la Ley de relaciones laborales se ha agregado un nuevo artículo 70 a), en el que se dispone lo siguiente (Gaceta Oficial, no. 25/2003): “Los empleadores pagarán la misma remuneración por el mismo trabajo, con ind</w:t>
      </w:r>
      <w:r>
        <w:t>e</w:t>
      </w:r>
      <w:r>
        <w:t>pendencia del género”. Las disposiciones de los contratos y los convenios colectivos que sean contrarias al párrafo 1 de este artículo serán nulas de pleno derecho.</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rPr>
          <w:spacing w:val="2"/>
          <w:w w:val="101"/>
        </w:rPr>
      </w:pPr>
      <w:r>
        <w:tab/>
        <w:t>Los acontecimientos ocurridos en los últimos años de la transición han dado lugar a algunos graves problemas de subsistencia; para resolverlos, es necesario crear puestos de trabajo y oportunidades de obtener ingresos, particularmente en el caso de las mujeres, ya que muchas de ellas se quedaron sin trabajo y, por cons</w:t>
      </w:r>
      <w:r>
        <w:t>i</w:t>
      </w:r>
      <w:r>
        <w:t>guiente, sin la oportunidad de obtener ingresos para sí y para sus familias. Los datos de la encuesta de empleo de 2001 ponen de manifiesto que la población total en edad de trabajar ascendía a 1.554.420 personas, de las que 782.363 eran mujeres, es decir, el 50,3%. El 55,5% de esas personas estaban integradas en el mercado de tr</w:t>
      </w:r>
      <w:r>
        <w:t>a</w:t>
      </w:r>
      <w:r>
        <w:t>bajo y el 44,5% no lo estaban. No cabe duda de que ese 55,5% es un porcentaje r</w:t>
      </w:r>
      <w:r>
        <w:t>e</w:t>
      </w:r>
      <w:r>
        <w:t xml:space="preserve">lativamente bajo, lo que obedece principalmente a la reducida tasa correspondiente a las mujeres, a saber, el 45,5%, en tanto que los hombres representaban el 65,6%. Ello pone de manifiesto que la población ha soportado todo el peso de los cambios ocasionados por la transición. Del total de 599.308 personas empleadas, únicamente 242.042 son mujeres, lo que equivale al 40,4%. La tasa de desempleo se cifra en el </w:t>
      </w:r>
      <w:r>
        <w:rPr>
          <w:spacing w:val="2"/>
          <w:w w:val="101"/>
        </w:rPr>
        <w:t>30,5%, desglosada en un 29,5% correspondiente a los hombres y un 32% correspo</w:t>
      </w:r>
      <w:r>
        <w:rPr>
          <w:spacing w:val="2"/>
          <w:w w:val="101"/>
        </w:rPr>
        <w:t>n</w:t>
      </w:r>
      <w:r>
        <w:rPr>
          <w:spacing w:val="2"/>
          <w:w w:val="101"/>
        </w:rPr>
        <w:t>diente a las mujeres. Por lo que respecta al nivel económico de las mujeres, el 69,8% son trabajadoras manuales con poca remuneración, el 3,7% son empresarias, el 4,8% son trabajadoras autónomas y el 21,8% son trabajadoras familiares sin remuner</w:t>
      </w:r>
      <w:r>
        <w:rPr>
          <w:spacing w:val="2"/>
          <w:w w:val="101"/>
        </w:rPr>
        <w:t>a</w:t>
      </w:r>
      <w:r>
        <w:rPr>
          <w:spacing w:val="2"/>
          <w:w w:val="101"/>
        </w:rPr>
        <w:t>ción.</w:t>
      </w:r>
    </w:p>
    <w:p w:rsidR="00000000" w:rsidRDefault="00000000">
      <w:pPr>
        <w:pStyle w:val="SingleTxt"/>
      </w:pPr>
      <w:r>
        <w:tab/>
        <w:t>Esto pone de manifiesto que la mujer no aprovecha las oportunidades de a</w:t>
      </w:r>
      <w:r>
        <w:t>u</w:t>
      </w:r>
      <w:r>
        <w:t>toempleo y empleo que brinda el sector privado. Por ello, deben hacerse esfuerzos para incrementar el interés y las capacidades de las mujeres, así como el apoyo m</w:t>
      </w:r>
      <w:r>
        <w:t>u</w:t>
      </w:r>
      <w:r>
        <w:t>tuo para que se hagan cargo de empresas, lo que contribuirá a resolver el problema del d</w:t>
      </w:r>
      <w:r>
        <w:t>e</w:t>
      </w:r>
      <w:r>
        <w:t>sempleo y a mejorar su situación económica.</w:t>
      </w:r>
    </w:p>
    <w:p w:rsidR="00000000" w:rsidRDefault="00000000">
      <w:pPr>
        <w:pStyle w:val="SingleTxt"/>
        <w:keepNext/>
        <w:keepLines/>
      </w:pPr>
      <w:r>
        <w:tab/>
        <w:t>Durante la transición, el empleo fue abundante, razón por la que esa abunda</w:t>
      </w:r>
      <w:r>
        <w:t>n</w:t>
      </w:r>
      <w:r>
        <w:t>cia de mano de obra barata impidió que se utilizara el capital humano de manera r</w:t>
      </w:r>
      <w:r>
        <w:t>a</w:t>
      </w:r>
      <w:r>
        <w:t>cional y eficaz. El cambio a una economía de mercado no hizo sino agudizar el pr</w:t>
      </w:r>
      <w:r>
        <w:t>o</w:t>
      </w:r>
      <w:r>
        <w:t>blema de la utilización racional de la mano de obra en lo tocante a la cantidad y a la calidad, al tiempo que el proceso de privatización hizo necesario reducir las plant</w:t>
      </w:r>
      <w:r>
        <w:t>i</w:t>
      </w:r>
      <w:r>
        <w:t>llas (se estima que el sobreempleo se cifraba en alrededor del 30% antes de que c</w:t>
      </w:r>
      <w:r>
        <w:t>o</w:t>
      </w:r>
      <w:r>
        <w:t>menzaran la privatización y las reformas estructurales).</w:t>
      </w:r>
    </w:p>
    <w:p w:rsidR="00000000" w:rsidRDefault="00000000">
      <w:pPr>
        <w:pStyle w:val="SingleTxt"/>
      </w:pPr>
      <w:r>
        <w:tab/>
        <w:t>La reducción de las plantillas, la racionalización y la mayor eficiencia de la mano de obra han dado lugar, según fuentes oficiales, a una importante reducción del número de personas empleadas y a una modificación de la estructura de la p</w:t>
      </w:r>
      <w:r>
        <w:t>o</w:t>
      </w:r>
      <w:r>
        <w:t>blación activa.</w:t>
      </w: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Empleados por ocupación y por género en la República de Macedonia, 1997-2001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Número de empleados por ocupación y por género en la República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26"/>
        <w:gridCol w:w="727"/>
        <w:gridCol w:w="728"/>
        <w:gridCol w:w="705"/>
        <w:gridCol w:w="90"/>
        <w:gridCol w:w="660"/>
        <w:gridCol w:w="728"/>
        <w:gridCol w:w="682"/>
        <w:gridCol w:w="20"/>
        <w:gridCol w:w="70"/>
        <w:gridCol w:w="683"/>
        <w:gridCol w:w="727"/>
        <w:gridCol w:w="728"/>
        <w:gridCol w:w="22"/>
        <w:gridCol w:w="90"/>
        <w:gridCol w:w="616"/>
        <w:gridCol w:w="727"/>
        <w:gridCol w:w="727"/>
        <w:gridCol w:w="1"/>
        <w:gridCol w:w="89"/>
        <w:gridCol w:w="638"/>
        <w:gridCol w:w="728"/>
        <w:gridCol w:w="704"/>
        <w:gridCol w:w="24"/>
      </w:tblGrid>
      <w:tr w:rsidR="00000000">
        <w:tblPrEx>
          <w:tblCellMar>
            <w:top w:w="0" w:type="dxa"/>
            <w:left w:w="0" w:type="dxa"/>
            <w:bottom w:w="0" w:type="dxa"/>
            <w:right w:w="0" w:type="dxa"/>
          </w:tblCellMar>
        </w:tblPrEx>
        <w:trPr>
          <w:gridAfter w:val="1"/>
          <w:wAfter w:w="24" w:type="dxa"/>
          <w:cantSplit/>
          <w:tblHeader/>
        </w:trPr>
        <w:tc>
          <w:tcPr>
            <w:tcW w:w="1326" w:type="dxa"/>
            <w:tcBorders>
              <w:top w:val="single" w:sz="4" w:space="0" w:color="auto"/>
            </w:tcBorders>
            <w:vAlign w:val="bottom"/>
          </w:tcPr>
          <w:p w:rsidR="00000000" w:rsidRDefault="00000000">
            <w:pPr>
              <w:spacing w:before="80" w:after="80" w:line="160" w:lineRule="exact"/>
              <w:ind w:right="40"/>
              <w:rPr>
                <w:i/>
                <w:sz w:val="14"/>
              </w:rPr>
            </w:pPr>
          </w:p>
        </w:tc>
        <w:tc>
          <w:tcPr>
            <w:tcW w:w="216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20" w:type="dxa"/>
            <w:tcBorders>
              <w:top w:val="single" w:sz="4" w:space="0" w:color="auto"/>
            </w:tcBorders>
            <w:vAlign w:val="bottom"/>
          </w:tcPr>
          <w:p w:rsidR="00000000" w:rsidRDefault="00000000">
            <w:pPr>
              <w:spacing w:before="80" w:after="80" w:line="160" w:lineRule="exact"/>
              <w:ind w:right="40"/>
              <w:jc w:val="right"/>
              <w:rPr>
                <w:i/>
                <w:sz w:val="14"/>
              </w:rPr>
            </w:pPr>
          </w:p>
        </w:tc>
        <w:tc>
          <w:tcPr>
            <w:tcW w:w="70" w:type="dxa"/>
            <w:tcBorders>
              <w:top w:val="single" w:sz="4" w:space="0" w:color="auto"/>
            </w:tcBorders>
            <w:vAlign w:val="bottom"/>
          </w:tcPr>
          <w:p w:rsidR="00000000" w:rsidRDefault="00000000">
            <w:pPr>
              <w:spacing w:before="80" w:after="80" w:line="160" w:lineRule="exact"/>
              <w:ind w:right="40"/>
              <w:jc w:val="center"/>
              <w:rPr>
                <w:i/>
                <w:sz w:val="14"/>
              </w:rPr>
            </w:pPr>
          </w:p>
        </w:tc>
        <w:tc>
          <w:tcPr>
            <w:tcW w:w="2160"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90" w:type="dxa"/>
            <w:gridSpan w:val="2"/>
            <w:tcBorders>
              <w:top w:val="single" w:sz="4" w:space="0" w:color="auto"/>
            </w:tcBorders>
            <w:vAlign w:val="bottom"/>
          </w:tcPr>
          <w:p w:rsidR="00000000" w:rsidRDefault="00000000">
            <w:pPr>
              <w:spacing w:before="80" w:after="80" w:line="160" w:lineRule="exact"/>
              <w:ind w:right="40"/>
              <w:jc w:val="right"/>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326" w:type="dxa"/>
            <w:vAlign w:val="bottom"/>
          </w:tcPr>
          <w:p w:rsidR="00000000" w:rsidRDefault="00000000">
            <w:pPr>
              <w:spacing w:after="81" w:line="160" w:lineRule="exact"/>
              <w:ind w:right="40"/>
              <w:rPr>
                <w:i/>
                <w:sz w:val="14"/>
              </w:rPr>
            </w:pPr>
            <w:r>
              <w:rPr>
                <w:i/>
                <w:sz w:val="14"/>
              </w:rPr>
              <w:t>Ocupación</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705"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750" w:type="dxa"/>
            <w:gridSpan w:val="2"/>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682"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20" w:type="dxa"/>
            <w:vAlign w:val="bottom"/>
          </w:tcPr>
          <w:p w:rsidR="00000000" w:rsidRDefault="00000000">
            <w:pPr>
              <w:spacing w:after="81" w:line="160" w:lineRule="exact"/>
              <w:ind w:right="40"/>
              <w:jc w:val="right"/>
              <w:rPr>
                <w:i/>
                <w:sz w:val="14"/>
              </w:rPr>
            </w:pPr>
          </w:p>
        </w:tc>
        <w:tc>
          <w:tcPr>
            <w:tcW w:w="70" w:type="dxa"/>
            <w:vAlign w:val="bottom"/>
          </w:tcPr>
          <w:p w:rsidR="00000000" w:rsidRDefault="00000000">
            <w:pPr>
              <w:spacing w:after="81" w:line="160" w:lineRule="exact"/>
              <w:ind w:right="40"/>
              <w:jc w:val="right"/>
              <w:rPr>
                <w:i/>
                <w:sz w:val="14"/>
              </w:rPr>
            </w:pPr>
          </w:p>
        </w:tc>
        <w:tc>
          <w:tcPr>
            <w:tcW w:w="683"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728" w:type="dxa"/>
            <w:gridSpan w:val="3"/>
            <w:vAlign w:val="bottom"/>
          </w:tcPr>
          <w:p w:rsidR="00000000" w:rsidRDefault="00000000">
            <w:pPr>
              <w:spacing w:after="81" w:line="160" w:lineRule="exact"/>
              <w:ind w:right="40"/>
              <w:jc w:val="right"/>
              <w:rPr>
                <w:i/>
                <w:sz w:val="14"/>
              </w:rPr>
            </w:pPr>
            <w:r>
              <w:rPr>
                <w:i/>
                <w:sz w:val="14"/>
              </w:rPr>
              <w:t>Total</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728" w:type="dxa"/>
            <w:gridSpan w:val="2"/>
            <w:vAlign w:val="bottom"/>
          </w:tcPr>
          <w:p w:rsidR="00000000" w:rsidRDefault="00000000">
            <w:pPr>
              <w:spacing w:after="81" w:line="160" w:lineRule="exact"/>
              <w:ind w:right="40"/>
              <w:jc w:val="right"/>
              <w:rPr>
                <w:i/>
                <w:sz w:val="14"/>
              </w:rPr>
            </w:pPr>
            <w:r>
              <w:rPr>
                <w:i/>
                <w:sz w:val="14"/>
              </w:rPr>
              <w:t>Mujeres</w:t>
            </w:r>
          </w:p>
        </w:tc>
        <w:tc>
          <w:tcPr>
            <w:tcW w:w="727" w:type="dxa"/>
            <w:gridSpan w:val="2"/>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728" w:type="dxa"/>
            <w:gridSpan w:val="2"/>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326" w:type="dxa"/>
            <w:tcBorders>
              <w:top w:val="single" w:sz="4" w:space="0" w:color="auto"/>
            </w:tcBorders>
            <w:vAlign w:val="bottom"/>
          </w:tcPr>
          <w:p w:rsidR="00000000" w:rsidRDefault="00000000">
            <w:pPr>
              <w:spacing w:before="81" w:after="81" w:line="210" w:lineRule="exact"/>
              <w:ind w:right="40"/>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05" w:type="dxa"/>
            <w:tcBorders>
              <w:top w:val="single" w:sz="4" w:space="0" w:color="auto"/>
            </w:tcBorders>
            <w:vAlign w:val="bottom"/>
          </w:tcPr>
          <w:p w:rsidR="00000000" w:rsidRDefault="00000000">
            <w:pPr>
              <w:spacing w:before="81" w:after="81" w:line="210" w:lineRule="exact"/>
              <w:ind w:right="40"/>
              <w:jc w:val="right"/>
              <w:rPr>
                <w:b/>
                <w:sz w:val="17"/>
              </w:rPr>
            </w:pPr>
          </w:p>
        </w:tc>
        <w:tc>
          <w:tcPr>
            <w:tcW w:w="750"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682" w:type="dxa"/>
            <w:tcBorders>
              <w:top w:val="single" w:sz="4" w:space="0" w:color="auto"/>
            </w:tcBorders>
            <w:vAlign w:val="bottom"/>
          </w:tcPr>
          <w:p w:rsidR="00000000" w:rsidRDefault="00000000">
            <w:pPr>
              <w:spacing w:before="81" w:after="81" w:line="210" w:lineRule="exact"/>
              <w:ind w:right="40"/>
              <w:jc w:val="right"/>
              <w:rPr>
                <w:b/>
                <w:sz w:val="17"/>
              </w:rPr>
            </w:pPr>
          </w:p>
        </w:tc>
        <w:tc>
          <w:tcPr>
            <w:tcW w:w="773" w:type="dxa"/>
            <w:gridSpan w:val="3"/>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gridSpan w:val="3"/>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gridSpan w:val="2"/>
            <w:tcBorders>
              <w:top w:val="single" w:sz="4" w:space="0" w:color="auto"/>
            </w:tcBorders>
            <w:vAlign w:val="bottom"/>
          </w:tcPr>
          <w:p w:rsidR="00000000" w:rsidRDefault="00000000">
            <w:pPr>
              <w:spacing w:before="81" w:after="81" w:line="210" w:lineRule="exact"/>
              <w:ind w:right="40"/>
              <w:jc w:val="right"/>
              <w:rPr>
                <w:b/>
                <w:sz w:val="17"/>
              </w:rPr>
            </w:pPr>
          </w:p>
        </w:tc>
      </w:tr>
      <w:tr w:rsidR="00000000">
        <w:tblPrEx>
          <w:tblCellMar>
            <w:top w:w="0" w:type="dxa"/>
            <w:left w:w="0" w:type="dxa"/>
            <w:bottom w:w="0" w:type="dxa"/>
            <w:right w:w="0" w:type="dxa"/>
          </w:tblCellMar>
        </w:tblPrEx>
        <w:tc>
          <w:tcPr>
            <w:tcW w:w="132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512 301</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328 404</w:t>
            </w:r>
          </w:p>
        </w:tc>
        <w:tc>
          <w:tcPr>
            <w:tcW w:w="70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183 896</w:t>
            </w:r>
          </w:p>
        </w:tc>
        <w:tc>
          <w:tcPr>
            <w:tcW w:w="75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539 762</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341 876</w:t>
            </w:r>
          </w:p>
        </w:tc>
        <w:tc>
          <w:tcPr>
            <w:tcW w:w="6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197 886</w:t>
            </w:r>
          </w:p>
        </w:tc>
        <w:tc>
          <w:tcPr>
            <w:tcW w:w="773" w:type="dxa"/>
            <w:gridSpan w:val="3"/>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545 222</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337 994</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207 228</w:t>
            </w:r>
          </w:p>
        </w:tc>
        <w:tc>
          <w:tcPr>
            <w:tcW w:w="728" w:type="dxa"/>
            <w:gridSpan w:val="3"/>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549 846</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339 550</w:t>
            </w:r>
          </w:p>
        </w:tc>
        <w:tc>
          <w:tcPr>
            <w:tcW w:w="728"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210 297</w:t>
            </w:r>
          </w:p>
        </w:tc>
        <w:tc>
          <w:tcPr>
            <w:tcW w:w="72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599 308</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357 266</w:t>
            </w:r>
          </w:p>
        </w:tc>
        <w:tc>
          <w:tcPr>
            <w:tcW w:w="728"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242 042</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 xml:space="preserve">Trabajadores agrícolas </w:t>
            </w:r>
            <w:r>
              <w:rPr>
                <w:sz w:val="17"/>
              </w:rPr>
              <w:br/>
              <w:t>y conexos</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84 256</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57 495</w:t>
            </w:r>
          </w:p>
        </w:tc>
        <w:tc>
          <w:tcPr>
            <w:tcW w:w="70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26 760</w:t>
            </w:r>
          </w:p>
        </w:tc>
        <w:tc>
          <w:tcPr>
            <w:tcW w:w="75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94 817</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63 335</w:t>
            </w:r>
          </w:p>
        </w:tc>
        <w:tc>
          <w:tcPr>
            <w:tcW w:w="68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31 482</w:t>
            </w:r>
          </w:p>
        </w:tc>
        <w:tc>
          <w:tcPr>
            <w:tcW w:w="773" w:type="dxa"/>
            <w:gridSpan w:val="3"/>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101 613</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64 496</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37 117</w:t>
            </w:r>
          </w:p>
        </w:tc>
        <w:tc>
          <w:tcPr>
            <w:tcW w:w="728" w:type="dxa"/>
            <w:gridSpan w:val="3"/>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108 125</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65 495</w:t>
            </w:r>
          </w:p>
        </w:tc>
        <w:tc>
          <w:tcPr>
            <w:tcW w:w="72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42 630</w:t>
            </w:r>
          </w:p>
        </w:tc>
        <w:tc>
          <w:tcPr>
            <w:tcW w:w="727"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131 094</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74 842</w:t>
            </w:r>
          </w:p>
        </w:tc>
        <w:tc>
          <w:tcPr>
            <w:tcW w:w="72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56 253</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Mineros, trabajadores industriales y trabajadores conexos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163 988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126 752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37 236</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173 846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130 734</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43 112</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162 093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118 380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43 713</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168 830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124 464</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44 366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190 458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130 630</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59 828</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del comercio</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50 116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28 672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21 444</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55 363</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32 178</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23 185</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49 311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27 835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21 476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47 589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26 371</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21 218</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56 339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30 289</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26 050</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los servicios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34 962</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18 299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16 663</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35 587</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15 930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19 657</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34 745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16 414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18 331</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33 338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16 264</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17 074</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36 842</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16 452</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20 390</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Personal de la </w:t>
            </w:r>
            <w:r>
              <w:rPr>
                <w:sz w:val="17"/>
              </w:rPr>
              <w:br/>
              <w:t>seguridad social</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19 980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19 454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20 651</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20 154</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19 940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19 035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21 263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20 337</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27 659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26 743</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Trabajadores administrativos </w:t>
            </w:r>
            <w:r>
              <w:rPr>
                <w:sz w:val="17"/>
              </w:rPr>
              <w:br/>
              <w:t>y conexos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52 255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20 302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31 953</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52 064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20 480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31 584</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49 460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20 603</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28 857</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51 947</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22 407</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29 540</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50 330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20 007</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30 322</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administrativo</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18 866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14 165</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4 701</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19 700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14 500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5 199</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26 021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19 825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6 196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26 703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20 427</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21 610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16 246</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5 365</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Expertos y artistas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83 784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40 024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43 759</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82 854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40 323</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42 532</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82 052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38 089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43 963</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83 065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37 006</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46 059</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77 205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35 049</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42 156</w:t>
            </w:r>
          </w:p>
        </w:tc>
      </w:tr>
      <w:tr w:rsidR="00000000">
        <w:tblPrEx>
          <w:tblCellMar>
            <w:top w:w="0" w:type="dxa"/>
            <w:left w:w="0" w:type="dxa"/>
            <w:bottom w:w="0" w:type="dxa"/>
            <w:right w:w="0" w:type="dxa"/>
          </w:tblCellMar>
        </w:tblPrEx>
        <w:tc>
          <w:tcPr>
            <w:tcW w:w="132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ocupaciones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73"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7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3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sin ocupación</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3 667</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2 814</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7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3 884</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3 364</w:t>
            </w:r>
          </w:p>
        </w:tc>
        <w:tc>
          <w:tcPr>
            <w:tcW w:w="6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73"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19 262</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12 593</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6 669</w:t>
            </w:r>
          </w:p>
        </w:tc>
        <w:tc>
          <w:tcPr>
            <w:tcW w:w="728"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7 749</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5 540</w:t>
            </w:r>
          </w:p>
        </w:tc>
        <w:tc>
          <w:tcPr>
            <w:tcW w:w="72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2 208</w:t>
            </w:r>
          </w:p>
        </w:tc>
        <w:tc>
          <w:tcPr>
            <w:tcW w:w="72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6 809</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6 134</w:t>
            </w:r>
          </w:p>
        </w:tc>
        <w:tc>
          <w:tcPr>
            <w:tcW w:w="72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ab/>
        <w:t>En relación con las actividades económicas, el mayor número de mujeres tr</w:t>
      </w:r>
      <w:r>
        <w:t>a</w:t>
      </w:r>
      <w:r>
        <w:t>baja en la industria y la minería, a saber, 37.236, el menor número corresponde a la agricultura y actividades conexas, cifrado en 26.760, y las trabajadoras no cualific</w:t>
      </w:r>
      <w:r>
        <w:t>a</w:t>
      </w:r>
      <w:r>
        <w:t>das suman 853. En las actividades no económicas, el mayor número de mujeres c</w:t>
      </w:r>
      <w:r>
        <w:t>o</w:t>
      </w:r>
      <w:r>
        <w:t>rresponde al sector administrativo y conexo, a saber, 31.953, en tanto que el sector de la defensa cuenta con el menor número de mujeres, cifrado en 526. En 2001, del total 599.308 personas con empleo, 242.042 eran mujeres. Esta última cifra se de</w:t>
      </w:r>
      <w:r>
        <w:t>s</w:t>
      </w:r>
      <w:r>
        <w:t>glosaba de la manera siguiente: actividades comerciales, dentro de las que el mayor número de mujeres correspondía a las que trabajaban en la industria y la minería, a saber, 59.828; y actividades no comerciales, dentro de las que el mayor número c</w:t>
      </w:r>
      <w:r>
        <w:t>o</w:t>
      </w:r>
      <w:r>
        <w:t>rrespondía a las que trabajaban como expertas y artistas (42.156), seguidas de las auxiliares administrativas (30.322).</w:t>
      </w:r>
    </w:p>
    <w:p w:rsidR="00000000" w:rsidRDefault="00000000">
      <w:pPr>
        <w:pStyle w:val="SingleTxt"/>
      </w:pPr>
    </w:p>
    <w:p w:rsidR="00000000" w:rsidRDefault="00000000">
      <w:pPr>
        <w:pStyle w:val="SingleTxt"/>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Solicitantes de empleo inscritos en el Organismo de Empleo de la República de Macedonia, en función de su grado de especialización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76"/>
        <w:gridCol w:w="756"/>
        <w:gridCol w:w="816"/>
        <w:gridCol w:w="48"/>
        <w:gridCol w:w="768"/>
        <w:gridCol w:w="816"/>
        <w:gridCol w:w="36"/>
        <w:gridCol w:w="780"/>
        <w:gridCol w:w="816"/>
        <w:gridCol w:w="114"/>
        <w:gridCol w:w="702"/>
        <w:gridCol w:w="816"/>
        <w:gridCol w:w="102"/>
        <w:gridCol w:w="714"/>
        <w:gridCol w:w="816"/>
        <w:gridCol w:w="90"/>
        <w:gridCol w:w="726"/>
        <w:gridCol w:w="816"/>
        <w:gridCol w:w="78"/>
        <w:gridCol w:w="738"/>
        <w:gridCol w:w="816"/>
      </w:tblGrid>
      <w:tr w:rsidR="00000000">
        <w:tblPrEx>
          <w:tblCellMar>
            <w:top w:w="0" w:type="dxa"/>
            <w:left w:w="0" w:type="dxa"/>
            <w:bottom w:w="0" w:type="dxa"/>
            <w:right w:w="0" w:type="dxa"/>
          </w:tblCellMar>
        </w:tblPrEx>
        <w:trPr>
          <w:cantSplit/>
          <w:tblHeader/>
        </w:trPr>
        <w:tc>
          <w:tcPr>
            <w:tcW w:w="876" w:type="dxa"/>
            <w:tcBorders>
              <w:top w:val="single" w:sz="4" w:space="0" w:color="auto"/>
            </w:tcBorders>
            <w:vAlign w:val="bottom"/>
          </w:tcPr>
          <w:p w:rsidR="00000000" w:rsidRDefault="00000000">
            <w:pPr>
              <w:spacing w:before="80" w:after="80" w:line="160" w:lineRule="exact"/>
              <w:ind w:right="40"/>
              <w:rPr>
                <w:i/>
                <w:sz w:val="14"/>
              </w:rPr>
            </w:pPr>
          </w:p>
        </w:tc>
        <w:tc>
          <w:tcPr>
            <w:tcW w:w="15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48" w:type="dxa"/>
            <w:tcBorders>
              <w:top w:val="single" w:sz="4" w:space="0" w:color="auto"/>
            </w:tcBorders>
            <w:vAlign w:val="bottom"/>
          </w:tcPr>
          <w:p w:rsidR="00000000" w:rsidRDefault="00000000">
            <w:pPr>
              <w:spacing w:before="80" w:after="80" w:line="160" w:lineRule="exact"/>
              <w:ind w:right="40"/>
              <w:jc w:val="right"/>
              <w:rPr>
                <w:i/>
                <w:sz w:val="14"/>
              </w:rPr>
            </w:pPr>
          </w:p>
        </w:tc>
        <w:tc>
          <w:tcPr>
            <w:tcW w:w="158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Trabajadores no especializados</w:t>
            </w:r>
          </w:p>
        </w:tc>
        <w:tc>
          <w:tcPr>
            <w:tcW w:w="36" w:type="dxa"/>
            <w:tcBorders>
              <w:top w:val="single" w:sz="4" w:space="0" w:color="auto"/>
            </w:tcBorders>
            <w:vAlign w:val="bottom"/>
          </w:tcPr>
          <w:p w:rsidR="00000000" w:rsidRDefault="00000000">
            <w:pPr>
              <w:spacing w:before="80" w:after="80" w:line="160" w:lineRule="exact"/>
              <w:ind w:right="40"/>
              <w:jc w:val="right"/>
              <w:rPr>
                <w:i/>
                <w:sz w:val="14"/>
              </w:rPr>
            </w:pPr>
          </w:p>
        </w:tc>
        <w:tc>
          <w:tcPr>
            <w:tcW w:w="159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Trabajadores semiespecializados y sin haber concluido la enseñanza secundaria</w:t>
            </w:r>
          </w:p>
        </w:tc>
        <w:tc>
          <w:tcPr>
            <w:tcW w:w="114" w:type="dxa"/>
            <w:tcBorders>
              <w:top w:val="single" w:sz="4" w:space="0" w:color="auto"/>
            </w:tcBorders>
            <w:vAlign w:val="bottom"/>
          </w:tcPr>
          <w:p w:rsidR="00000000" w:rsidRDefault="00000000">
            <w:pPr>
              <w:spacing w:before="80" w:after="80" w:line="160" w:lineRule="exact"/>
              <w:ind w:right="40"/>
              <w:jc w:val="right"/>
              <w:rPr>
                <w:i/>
                <w:sz w:val="14"/>
              </w:rPr>
            </w:pPr>
          </w:p>
        </w:tc>
        <w:tc>
          <w:tcPr>
            <w:tcW w:w="151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Trabajadores especializados y muy especializados</w:t>
            </w:r>
          </w:p>
        </w:tc>
        <w:tc>
          <w:tcPr>
            <w:tcW w:w="102" w:type="dxa"/>
            <w:tcBorders>
              <w:top w:val="single" w:sz="4" w:space="0" w:color="auto"/>
            </w:tcBorders>
            <w:vAlign w:val="bottom"/>
          </w:tcPr>
          <w:p w:rsidR="00000000" w:rsidRDefault="00000000">
            <w:pPr>
              <w:spacing w:before="80" w:after="80" w:line="160" w:lineRule="exact"/>
              <w:ind w:right="40"/>
              <w:jc w:val="right"/>
              <w:rPr>
                <w:i/>
                <w:sz w:val="14"/>
              </w:rPr>
            </w:pPr>
          </w:p>
        </w:tc>
        <w:tc>
          <w:tcPr>
            <w:tcW w:w="153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Trabajadores con estudios completos de enseñanza secundaria</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54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Trabajadores con el primer ciclo de enseñanza </w:t>
            </w:r>
            <w:r>
              <w:rPr>
                <w:i/>
                <w:sz w:val="14"/>
              </w:rPr>
              <w:br/>
              <w:t>universitaria</w:t>
            </w:r>
          </w:p>
        </w:tc>
        <w:tc>
          <w:tcPr>
            <w:tcW w:w="78" w:type="dxa"/>
            <w:tcBorders>
              <w:top w:val="single" w:sz="4" w:space="0" w:color="auto"/>
            </w:tcBorders>
            <w:vAlign w:val="bottom"/>
          </w:tcPr>
          <w:p w:rsidR="00000000" w:rsidRDefault="00000000">
            <w:pPr>
              <w:spacing w:before="80" w:after="80" w:line="160" w:lineRule="exact"/>
              <w:ind w:right="40"/>
              <w:jc w:val="right"/>
              <w:rPr>
                <w:i/>
                <w:sz w:val="14"/>
              </w:rPr>
            </w:pPr>
          </w:p>
        </w:tc>
        <w:tc>
          <w:tcPr>
            <w:tcW w:w="155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superior</w:t>
            </w:r>
          </w:p>
        </w:tc>
      </w:tr>
      <w:tr w:rsidR="00000000">
        <w:tblPrEx>
          <w:tblCellMar>
            <w:top w:w="0" w:type="dxa"/>
            <w:left w:w="0" w:type="dxa"/>
            <w:bottom w:w="0" w:type="dxa"/>
            <w:right w:w="0" w:type="dxa"/>
          </w:tblCellMar>
        </w:tblPrEx>
        <w:trPr>
          <w:tblHeader/>
        </w:trPr>
        <w:tc>
          <w:tcPr>
            <w:tcW w:w="876" w:type="dxa"/>
            <w:vAlign w:val="bottom"/>
          </w:tcPr>
          <w:p w:rsidR="00000000" w:rsidRDefault="00000000">
            <w:pPr>
              <w:spacing w:after="80" w:line="160" w:lineRule="exact"/>
              <w:ind w:right="40"/>
              <w:rPr>
                <w:i/>
                <w:sz w:val="14"/>
              </w:rPr>
            </w:pPr>
            <w:r>
              <w:rPr>
                <w:i/>
                <w:sz w:val="14"/>
              </w:rPr>
              <w:t>Año</w:t>
            </w:r>
          </w:p>
        </w:tc>
        <w:tc>
          <w:tcPr>
            <w:tcW w:w="756"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876" w:type="dxa"/>
            <w:tcBorders>
              <w:top w:val="single" w:sz="12" w:space="0" w:color="auto"/>
            </w:tcBorders>
            <w:vAlign w:val="bottom"/>
          </w:tcPr>
          <w:p w:rsidR="00000000" w:rsidRDefault="00000000">
            <w:pPr>
              <w:spacing w:before="40" w:after="40" w:line="210" w:lineRule="exact"/>
              <w:ind w:right="40"/>
              <w:rPr>
                <w:sz w:val="17"/>
              </w:rPr>
            </w:pPr>
          </w:p>
        </w:tc>
        <w:tc>
          <w:tcPr>
            <w:tcW w:w="75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1997</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203 499</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82 368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114 225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50 379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21 039</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8 268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46 711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16 847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21 524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6 874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6 374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8 670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4 542</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Abril de 1998</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227 038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89 886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126 431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57 426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16 155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53 077</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19 508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31 375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4 570</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1999</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292 454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113 947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161 571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70 477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21 110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7 118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69 506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24 717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40 267</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11 635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7 401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4 042</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11 613</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6 279</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2000</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306 848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119 800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176 410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77 826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16 696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68 231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24 401</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45 511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11 952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6 682</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2001</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304 341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116 956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173 251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75 255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16 482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4 473</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66 280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23 380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48 328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13 848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6 906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12 776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7 371</w:t>
            </w:r>
          </w:p>
        </w:tc>
      </w:tr>
      <w:tr w:rsidR="00000000">
        <w:tblPrEx>
          <w:tblCellMar>
            <w:top w:w="0" w:type="dxa"/>
            <w:left w:w="0" w:type="dxa"/>
            <w:bottom w:w="0" w:type="dxa"/>
            <w:right w:w="0" w:type="dxa"/>
          </w:tblCellMar>
        </w:tblPrEx>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Junio de 2002</w:t>
            </w:r>
          </w:p>
        </w:tc>
        <w:tc>
          <w:tcPr>
            <w:tcW w:w="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318 732</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121 851</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179 155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77 499</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16 860</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4 612</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67 475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23 163</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55 242</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16 577</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3 426</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12 659</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7 073</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de Empleo, 1997-2002.</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pPr>
    </w:p>
    <w:p w:rsidR="00000000" w:rsidRDefault="00000000">
      <w:pPr>
        <w:pStyle w:val="SingleTxt"/>
        <w:sectPr w:rsidR="00000000">
          <w:headerReference w:type="even" r:id="rId30"/>
          <w:headerReference w:type="default" r:id="rId31"/>
          <w:footerReference w:type="even" r:id="rId32"/>
          <w:footerReference w:type="default" r:id="rId33"/>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ab/>
        <w:t>En el cuadro 2 se muestra que, de un total de 257.666 solicitantes de empleo en 1997, 116.323 eran mujeres. Había 50.379 mujeres sin especialización laboral y 4.542 con título universitario. En 2002, de un total de 370.112 solicitantes de e</w:t>
      </w:r>
      <w:r>
        <w:t>m</w:t>
      </w:r>
      <w:r>
        <w:t>pleo, había 162.013 mujeres. El número de trabajadoras no especializadas ascendía a 77.449 y el de universitarias a 7.073. Esos datos muestran que ha aumentado el número de trabajadoras no especializadas que buscan empleo. No obstante, también ha aumentado ligeramente el número de mujeres solicitantes de empleo que han concluido sus estudios de enseñanza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Solicitantes de empleo, desglosados por 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Organismo de Empleo de la República de Macedonia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Examen de la estructura de edades de los solicitantes de empleo inscritos en el Organismo de Empleo de la República de Macedonia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000000">
        <w:tblPrEx>
          <w:tblCellMar>
            <w:top w:w="0" w:type="dxa"/>
            <w:left w:w="0" w:type="dxa"/>
            <w:bottom w:w="0" w:type="dxa"/>
            <w:right w:w="0" w:type="dxa"/>
          </w:tblCellMar>
        </w:tblPrEx>
        <w:trPr>
          <w:tblHeader/>
        </w:trPr>
        <w:tc>
          <w:tcPr>
            <w:tcW w:w="895" w:type="dxa"/>
            <w:tcBorders>
              <w:top w:val="single" w:sz="4" w:space="0" w:color="auto"/>
            </w:tcBorders>
            <w:vAlign w:val="bottom"/>
          </w:tcPr>
          <w:p w:rsidR="00000000" w:rsidRDefault="00000000">
            <w:pPr>
              <w:spacing w:before="80" w:after="80" w:line="160" w:lineRule="exact"/>
              <w:ind w:right="40"/>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c>
          <w:tcPr>
            <w:tcW w:w="895" w:type="dxa"/>
            <w:tcBorders>
              <w:top w:val="single" w:sz="4" w:space="0" w:color="auto"/>
            </w:tcBorders>
            <w:vAlign w:val="bottom"/>
          </w:tcPr>
          <w:p w:rsidR="00000000" w:rsidRDefault="00000000">
            <w:pPr>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895" w:type="dxa"/>
            <w:vAlign w:val="bottom"/>
          </w:tcPr>
          <w:p w:rsidR="00000000" w:rsidRDefault="00000000">
            <w:pPr>
              <w:spacing w:after="80" w:line="160" w:lineRule="exact"/>
              <w:ind w:right="40"/>
              <w:rPr>
                <w:i/>
                <w:sz w:val="14"/>
              </w:rPr>
            </w:pPr>
            <w:r>
              <w:rPr>
                <w:i/>
                <w:sz w:val="14"/>
              </w:rPr>
              <w:t>Año</w:t>
            </w:r>
          </w:p>
        </w:tc>
        <w:tc>
          <w:tcPr>
            <w:tcW w:w="895" w:type="dxa"/>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Mujeres</w:t>
            </w:r>
          </w:p>
        </w:tc>
        <w:tc>
          <w:tcPr>
            <w:tcW w:w="895" w:type="dxa"/>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Mujeres</w:t>
            </w:r>
          </w:p>
        </w:tc>
        <w:tc>
          <w:tcPr>
            <w:tcW w:w="895" w:type="dxa"/>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Mujeres</w:t>
            </w:r>
          </w:p>
        </w:tc>
        <w:tc>
          <w:tcPr>
            <w:tcW w:w="895" w:type="dxa"/>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Mujeres</w:t>
            </w:r>
          </w:p>
        </w:tc>
        <w:tc>
          <w:tcPr>
            <w:tcW w:w="895" w:type="dxa"/>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895" w:type="dxa"/>
            <w:tcBorders>
              <w:top w:val="single" w:sz="12" w:space="0" w:color="auto"/>
            </w:tcBorders>
            <w:vAlign w:val="bottom"/>
          </w:tcPr>
          <w:p w:rsidR="00000000" w:rsidRDefault="00000000">
            <w:pPr>
              <w:spacing w:before="40" w:after="40" w:line="210" w:lineRule="exact"/>
              <w:ind w:right="40"/>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1997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257 666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116 323</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120 620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55 479</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76 058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35 306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39 464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21 524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6 874</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Abril de 1998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275 232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122 822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117 301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55 276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77 073</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35 224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49 483</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23 524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31 375</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8 798</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1999</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354 660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156 990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160 457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73 868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93 272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42 846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60 664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28 641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40 267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11 635</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2000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366 211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163 581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162 864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77 478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95 430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43 752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62 406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29 217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45 511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13 134</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Diciembre de 2001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360 340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159 395</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152 927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72 781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95 189</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43 391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63 896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29 375</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48 328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13 848</w:t>
            </w:r>
          </w:p>
        </w:tc>
      </w:tr>
      <w:tr w:rsidR="00000000">
        <w:tblPrEx>
          <w:tblCellMar>
            <w:top w:w="0" w:type="dxa"/>
            <w:left w:w="0" w:type="dxa"/>
            <w:bottom w:w="0" w:type="dxa"/>
            <w:right w:w="0" w:type="dxa"/>
          </w:tblCellMar>
        </w:tblPrEx>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Junio de 2002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370 112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162 013</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143 721</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68 817</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100 257</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44 984</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70 892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31 635</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55 242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16 577</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de Empleo, 1997-2002.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ab/>
        <w:t>La legislación garantiza la igualdad de las condiciones de empleo para el ho</w:t>
      </w:r>
      <w:r>
        <w:t>m</w:t>
      </w:r>
      <w:r>
        <w:t>bre y la mujer, condiciones que se precisan en la Ley de relaciones laborales.</w:t>
      </w:r>
    </w:p>
    <w:p w:rsidR="00000000" w:rsidRDefault="00000000">
      <w:pPr>
        <w:pStyle w:val="SingleTxt"/>
      </w:pPr>
      <w:r>
        <w:tab/>
        <w:t>De conformidad con la Constitución y la legislación laboral, toda persona tiene derecho a percibir un ingreso apropiado y a disfrutar de períodos de descansos di</w:t>
      </w:r>
      <w:r>
        <w:t>a</w:t>
      </w:r>
      <w:r>
        <w:t>rios, semanales y anuales. Así pues, no existe ningún tipo de discriminación contra la mujer en relación con el sueldo. En lo concerniente al principio de igual remun</w:t>
      </w:r>
      <w:r>
        <w:t>e</w:t>
      </w:r>
      <w:r>
        <w:t>ración por igual trabajo, las mujeres perciben el mismo salario que los hombres. Las trabajadoras tienen derecho a percibir su salario durante sus vacaciones anuales, los días feriados y los períodos en que no trabajen de resultas del embarazo, el parto y la atención a los hijos, así como durante los períodos de reclasificación, clasific</w:t>
      </w:r>
      <w:r>
        <w:t>a</w:t>
      </w:r>
      <w:r>
        <w:t>ción y desarrollo de las perspectivas de carrera de conformidad con otras normas v</w:t>
      </w:r>
      <w:r>
        <w:t>i</w:t>
      </w:r>
      <w:r>
        <w:t>gentes.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Desempleo</w:t>
      </w:r>
    </w:p>
    <w:p w:rsidR="00000000" w:rsidRDefault="00000000">
      <w:pPr>
        <w:pStyle w:val="SingleTxt"/>
        <w:spacing w:after="0" w:line="120" w:lineRule="exact"/>
        <w:rPr>
          <w:sz w:val="10"/>
        </w:rPr>
      </w:pPr>
    </w:p>
    <w:p w:rsidR="00000000" w:rsidRDefault="00000000">
      <w:pPr>
        <w:pStyle w:val="SingleTxt"/>
      </w:pPr>
      <w:r>
        <w:tab/>
        <w:t>Las cuestiones relacionadas con el empleo y las prestaciones por desempleo están reguladas en la Ley del empleo y de prestaciones por desempleo, aprobada en 1997 (Gaceta Oficial, nos. 37/97, 25/2000, 100/2000 y 50/2001). Esa Ley, entre otras cosas, contiene disposiciones sobre las prestaciones por desempleo, lo que i</w:t>
      </w:r>
      <w:r>
        <w:t>n</w:t>
      </w:r>
      <w:r>
        <w:t>cluye las condiciones y los métodos de adquisición y de ejercicio de ese derecho, así como otros derechos establecidos en la legislación y disposiciones que regulan los der</w:t>
      </w:r>
      <w:r>
        <w:t>e</w:t>
      </w:r>
      <w:r>
        <w:t>chos económicos.</w:t>
      </w:r>
    </w:p>
    <w:p w:rsidR="00000000" w:rsidRDefault="00000000">
      <w:pPr>
        <w:pStyle w:val="SingleTxt"/>
      </w:pPr>
      <w:r>
        <w:tab/>
        <w:t>Según los datos de la Oficina de Empleo, a finales de 2002, el número de d</w:t>
      </w:r>
      <w:r>
        <w:t>e</w:t>
      </w:r>
      <w:r>
        <w:t>sempleados era de 374.144, de los que 209.131 (el 55,9%) eran hombres y 165.013 (el 44,1%) eran mujeres.</w:t>
      </w:r>
    </w:p>
    <w:p w:rsidR="00000000" w:rsidRDefault="00000000">
      <w:pPr>
        <w:pStyle w:val="SingleTxt"/>
      </w:pPr>
      <w:r>
        <w:tab/>
        <w:t>La estructura de edades de los desempleados ha resultado muy negativa en los últimos años y se prevé que siga empeorando. Los desempleados menores de 30 años de edad representan el 39,6% del total de los desempleados y el 60,4% restante corresponde a los desempleados mayores de 30 años (de 30 a 40 años, el 26,7%; de 40 a 50 años, el 19,2%; y mayores de 50 años, el 14,5%).</w:t>
      </w:r>
    </w:p>
    <w:p w:rsidR="00000000" w:rsidRDefault="00000000">
      <w:pPr>
        <w:pStyle w:val="SingleTxt"/>
      </w:pPr>
      <w:r>
        <w:tab/>
        <w:t>La situación también es desfavorable por lo que respecta al desempleo en fu</w:t>
      </w:r>
      <w:r>
        <w:t>n</w:t>
      </w:r>
      <w:r>
        <w:t>ción del grado de especialización. Más de la mitad de los desempleados (el 52,9%) no tienen especialización, están semiespecializados o se trata de personas que ún</w:t>
      </w:r>
      <w:r>
        <w:t>i</w:t>
      </w:r>
      <w:r>
        <w:t>camente han cursado estudios de enseñanza primaria. Los desempleados que han concluido sus estudios de enseñanza primaria representan el 24%, los trabajadores especializados y muy especializados el 18%, los que cuentan con estudios de ens</w:t>
      </w:r>
      <w:r>
        <w:t>e</w:t>
      </w:r>
      <w:r>
        <w:t>ñanza superior el 3,3% y los que tienen estudios universitarios el 1,8%.</w:t>
      </w:r>
    </w:p>
    <w:p w:rsidR="00000000" w:rsidRDefault="00000000">
      <w:pPr>
        <w:pStyle w:val="SingleTxt"/>
      </w:pPr>
      <w:r>
        <w:tab/>
        <w:t>De resultas de las medidas adoptadas por el Gobierno en 2001 para aumentar el nivel económico de la mujer y suprimir la discriminación en el mercado laboral, se ha conseguido que las mujeres representen el 30,9% de los asalariados, que es el porcentaje más elevado que se ha registrado desde 1996, a lo que se suma la tasa más baja de mujeres desempleadas, cifrada en el 32%. Se trata, pues, de un impo</w:t>
      </w:r>
      <w:r>
        <w:t>r</w:t>
      </w:r>
      <w:r>
        <w:t>tante éxito en la esfera del empleo de la mujer. No obstante, ese éxito no puede co</w:t>
      </w:r>
      <w:r>
        <w:t>n</w:t>
      </w:r>
      <w:r>
        <w:t>sid</w:t>
      </w:r>
      <w:r>
        <w:t>e</w:t>
      </w:r>
      <w:r>
        <w:t>rarse satisfactorio si se compara con el total de mujeres desempleadas.</w:t>
      </w:r>
    </w:p>
    <w:p w:rsidR="00000000" w:rsidRDefault="00000000">
      <w:pPr>
        <w:pStyle w:val="SingleTxt"/>
      </w:pPr>
      <w:r>
        <w:tab/>
        <w:t>De conformidad con la legislación positiva aprobada, en los últimos años se ha registrado una tendencia a establecer una red especializada de instituciones en ap</w:t>
      </w:r>
      <w:r>
        <w:t>o</w:t>
      </w:r>
      <w:r>
        <w:t>yo de las empresas, que utilizan muchos empresarios con independencia de su gén</w:t>
      </w:r>
      <w:r>
        <w:t>e</w:t>
      </w:r>
      <w:r>
        <w:t>ro. Con la salvedad de dos o tres empresas fundadas mediante inversiones extranj</w:t>
      </w:r>
      <w:r>
        <w:t>e</w:t>
      </w:r>
      <w:r>
        <w:t>ras, todas las demás no han considerado necesario establecer programas especializ</w:t>
      </w:r>
      <w:r>
        <w:t>a</w:t>
      </w:r>
      <w:r>
        <w:t>dos para empresarias, similares a los existentes en otros países.</w:t>
      </w:r>
    </w:p>
    <w:p w:rsidR="00000000" w:rsidRDefault="00000000">
      <w:pPr>
        <w:pStyle w:val="SingleTxt"/>
      </w:pPr>
      <w:r>
        <w:tab/>
        <w:t>Desde el punto de vista geográfico, el mayor número de desempleados se r</w:t>
      </w:r>
      <w:r>
        <w:t>e</w:t>
      </w:r>
      <w:r>
        <w:t>gistra en las grandes ciudades. Con objeto de poner fin a la tendencia al incremento del desempleo, se adoptaron medidas normativas mediante la promulgación de nu</w:t>
      </w:r>
      <w:r>
        <w:t>e</w:t>
      </w:r>
      <w:r>
        <w:t>vas leyes, particularmente la Ley de incentivos al empleo; la Ley de reforma y co</w:t>
      </w:r>
      <w:r>
        <w:t>m</w:t>
      </w:r>
      <w:r>
        <w:t>plemento de la Ley de relaciones laborales; y la Ley de reforma y complemento de la Ley del empleo y de prestaciones por desempleo, lo que dio lugar al establec</w:t>
      </w:r>
      <w:r>
        <w:t>i</w:t>
      </w:r>
      <w:r>
        <w:t>miento de requisitos previos de carácter normativo, jurídico y de otra índole para dotar de más flexibilidad y competitividad al mercado laboral, al tiempo que los empleadores se vieron más motivados a contratar a nuevos asalariados, tanto ho</w:t>
      </w:r>
      <w:r>
        <w:t>m</w:t>
      </w:r>
      <w:r>
        <w:t>bres como m</w:t>
      </w:r>
      <w:r>
        <w:t>u</w:t>
      </w:r>
      <w:r>
        <w:t>jeres.</w:t>
      </w:r>
    </w:p>
    <w:p w:rsidR="00000000" w:rsidRDefault="00000000">
      <w:pPr>
        <w:pStyle w:val="SingleTxt"/>
      </w:pPr>
      <w:r>
        <w:tab/>
        <w:t>De conformidad con la Ley del empleo, los desempleados tienen derecho a asistencia en la búsqueda de trabajo, al pago de la cuota correspondiente en co</w:t>
      </w:r>
      <w:r>
        <w:t>n</w:t>
      </w:r>
      <w:r>
        <w:t>cepto de atención de la salud, al seguro de jubilación y de discapacidad, al reembo</w:t>
      </w:r>
      <w:r>
        <w:t>l</w:t>
      </w:r>
      <w:r>
        <w:t>so de los gastos de desplazamiento, etc. Es fundamental que se siga pagando ese subsidio económico después de que haya concluido el período establecido por la l</w:t>
      </w:r>
      <w:r>
        <w:t>e</w:t>
      </w:r>
      <w:r>
        <w:t>gislación para las beneficiarias del subsidio durante el embarazo, período que pros</w:t>
      </w:r>
      <w:r>
        <w:t>i</w:t>
      </w:r>
      <w:r>
        <w:t>gue después del parto y cuya duración está determinada en la normativa que regula las relaciones laborales. La cuantía del subsidio durante el período de desempleo es del 50% del sueldo promedio percibido por los empleados en los tres últimos meses, calculado en función de la cuantía del sueldo mínimo pagado en la República de Macedonia. En el marco del Proyecto de apoyo a la reforma social, se ha preparado un Programa de redistribución laboral, que entraña la celebración de consultas sobre el empleo, la formación y la reclasificación de los desempleados, la contratación en el sector público, la prestación de ayuda a las pequeñas empresas, los programas e</w:t>
      </w:r>
      <w:r>
        <w:t>x</w:t>
      </w:r>
      <w:r>
        <w:t>perimentales, los planes económicos regionales y los programas de formación en material de gestión, así como otras prestaciones destinadas a los hombres y mujeres.</w:t>
      </w:r>
    </w:p>
    <w:p w:rsidR="00000000" w:rsidRDefault="00000000">
      <w:pPr>
        <w:pStyle w:val="SingleTxt"/>
      </w:pPr>
      <w:r>
        <w:tab/>
        <w:t>Según el Programa del Gobierno para aumentar el empleo, en 2003 se aprobó una nueva Ley de incentivos al empleo (Gaceta Oficial, no. 25/2003), en la que se establecían medidas para estimular el empleo de ciertos grupos en los que había d</w:t>
      </w:r>
      <w:r>
        <w:t>e</w:t>
      </w:r>
      <w:r>
        <w:t>sempleados de larga data. En el marco de esas medidas, se proporcionan ayudas económicas a los empleadores para que atiendan a sus necesidades de mano de obra, así como incentivos para que se contrate a desempleados.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relacionados con el embarazo, el parto y la maternidad</w:t>
      </w:r>
    </w:p>
    <w:p w:rsidR="00000000" w:rsidRDefault="00000000">
      <w:pPr>
        <w:pStyle w:val="SingleTxt"/>
        <w:spacing w:after="0" w:line="120" w:lineRule="exact"/>
        <w:rPr>
          <w:sz w:val="10"/>
        </w:rPr>
      </w:pPr>
    </w:p>
    <w:p w:rsidR="00000000" w:rsidRDefault="00000000">
      <w:pPr>
        <w:pStyle w:val="SingleTxt"/>
      </w:pPr>
      <w:r>
        <w:tab/>
        <w:t>En el marco de los derechos y libertades humanos básicos, en el artículo 42 de la Constitución se garantiza una protección especial en el trabajo a los menores y las madres, habida cuenta de su situación especial. La Ley de relaciones laborales se ajusta a lo dispuesto en la Constitución, lo que plasma en sus artículos 58 a 68, r</w:t>
      </w:r>
      <w:r>
        <w:t>e</w:t>
      </w:r>
      <w:r>
        <w:t>lativos en particular a la protección de la mujer.</w:t>
      </w:r>
    </w:p>
    <w:p w:rsidR="00000000" w:rsidRDefault="00000000">
      <w:pPr>
        <w:pStyle w:val="SingleTxt"/>
      </w:pPr>
      <w:r>
        <w:tab/>
        <w:t>De conformidad con esa Ley, las asalariadas tienen derecho a la protección en el trabajo durante el embarazo. No se pueden encomendar a las mujeres trabajos que redunden en menoscabo de su salud ni trabajos nocturnos. Esa protección abarca a las madres de hijos menores de dos años de edad.</w:t>
      </w:r>
    </w:p>
    <w:p w:rsidR="00000000" w:rsidRDefault="00000000">
      <w:pPr>
        <w:pStyle w:val="SingleTxt"/>
      </w:pPr>
      <w:r>
        <w:tab/>
        <w:t>Las mujeres tienen derecho a una licencia de maternidad de nueve meses ini</w:t>
      </w:r>
      <w:r>
        <w:t>n</w:t>
      </w:r>
      <w:r>
        <w:t>terrumpidos y, en caso de que den a luz a más que un hijo (mellizos, trillizos, etc.), tienen derecho a una licencia de un año. Las trabajadoras pueden comenzar a di</w:t>
      </w:r>
      <w:r>
        <w:t>s</w:t>
      </w:r>
      <w:r>
        <w:t>frutar de la licencia de maternidad cuando falten 45 días para el parto y han de di</w:t>
      </w:r>
      <w:r>
        <w:t>s</w:t>
      </w:r>
      <w:r>
        <w:t>frutarla obligatoriamente durante los 28 días anteriores. En caso de que hayan adoptado un niño, las mujeres tienen los mismos derechos. El padre puede ejercitar el derecho a la licencia de paternidad en caso de muerte de la madre o si ésta aba</w:t>
      </w:r>
      <w:r>
        <w:t>n</w:t>
      </w:r>
      <w:r>
        <w:t>dona al hijo o se ve impedida de ejercitar sus derechos por causas justificadas.</w:t>
      </w:r>
    </w:p>
    <w:p w:rsidR="00000000" w:rsidRDefault="00000000">
      <w:pPr>
        <w:pStyle w:val="SingleTxt"/>
      </w:pPr>
      <w:r>
        <w:tab/>
        <w:t>Si una trabajadora da a luz a un hijo muerto o si el hijo muere antes de que termine la licencia de maternidad, la trabajadora tiene derecho a prorrogar esa lice</w:t>
      </w:r>
      <w:r>
        <w:t>n</w:t>
      </w:r>
      <w:r>
        <w:t>cia hasta que se recupere según prescripción médica, pero al menos durante un p</w:t>
      </w:r>
      <w:r>
        <w:t>e</w:t>
      </w:r>
      <w:r>
        <w:t>ríodo de 45 días, durante el cual está facultada para ejercitar todos los derechos c</w:t>
      </w:r>
      <w:r>
        <w:t>o</w:t>
      </w:r>
      <w:r>
        <w:t>rrespondientes a la licencia de maternidad.</w:t>
      </w:r>
    </w:p>
    <w:p w:rsidR="00000000" w:rsidRDefault="00000000">
      <w:pPr>
        <w:pStyle w:val="SingleTxt"/>
      </w:pPr>
      <w:r>
        <w:tab/>
        <w:t>Durante la licencia de maternidad, las trabajadoras tienen derecho a una pre</w:t>
      </w:r>
      <w:r>
        <w:t>s</w:t>
      </w:r>
      <w:r>
        <w:t>tación salarial por la cuantía que se determine en las normas de empleo y de ate</w:t>
      </w:r>
      <w:r>
        <w:t>n</w:t>
      </w:r>
      <w:r>
        <w:t>ción de la salud.</w:t>
      </w:r>
    </w:p>
    <w:p w:rsidR="00000000" w:rsidRDefault="00000000">
      <w:pPr>
        <w:pStyle w:val="SingleTxt"/>
      </w:pPr>
      <w:r>
        <w:tab/>
        <w:t>Una vez concluida la licencia de maternidad, toda trabajadora tiene derecho a una licencia con goce de sueldo para atender y criar a su hijo hasta que cumpla tres años de edad en caso de que éste padezca una enfermedad que requiera atención i</w:t>
      </w:r>
      <w:r>
        <w:t>n</w:t>
      </w:r>
      <w:r>
        <w:t>tensiva. Además, tiene derecho a un horario laboral reducido con la misma final</w:t>
      </w:r>
      <w:r>
        <w:t>i</w:t>
      </w:r>
      <w:r>
        <w:t>dad. Esos derechos también se reconocen al padre. El padre o la madre de un hijo gravemente discapacitado tiene derecho a trabajar durante la mitad de la jornada l</w:t>
      </w:r>
      <w:r>
        <w:t>a</w:t>
      </w:r>
      <w:r>
        <w:t>boral en caso de que ambos padres estén empleados o se trate de un padre o madre sin pareja, teniendo en cuenta las conclusiones de la junta médica competente. En esos casos, la jornada laboral reducida tendrá la consideración de jornada laboral completa.</w:t>
      </w:r>
    </w:p>
    <w:p w:rsidR="00000000" w:rsidRDefault="00000000">
      <w:pPr>
        <w:pStyle w:val="SingleTxt"/>
      </w:pPr>
      <w:r>
        <w:tab/>
        <w:t>Además de los derechos mencionados, las trabajadoras, al igual que otros as</w:t>
      </w:r>
      <w:r>
        <w:t>a</w:t>
      </w:r>
      <w:r>
        <w:t>lariados, tienen derecho a una licencia cuando no están en condiciones desempeñar los cometidos que les han sido asignados. La licencia de maternidad está garantiz</w:t>
      </w:r>
      <w:r>
        <w:t>a</w:t>
      </w:r>
      <w:r>
        <w:t>da una vez presentado el certificado médico correspondiente. De conformidad con la Ley de asistencia de la salud, la prestación que se percibe mientras se disfruta de la licencia de maternidad corresponde al 70% del salario básico. En caso de enferm</w:t>
      </w:r>
      <w:r>
        <w:t>e</w:t>
      </w:r>
      <w:r>
        <w:t>dad imputable al servicio, la prestación se cifra en el 100% del salario.</w:t>
      </w:r>
    </w:p>
    <w:p w:rsidR="00000000" w:rsidRDefault="00000000">
      <w:pPr>
        <w:pStyle w:val="SingleTxt"/>
      </w:pPr>
      <w:r>
        <w:tab/>
        <w:t>La Ley de relaciones laborales y otras normas que regulan el disfrute de esos derechos por la mujer cuentan con disposiciones especiales en las que se sanciona y se imputan responsabilidades a quienes impidan que se ejerciten esos derechos.</w:t>
      </w:r>
    </w:p>
    <w:p w:rsidR="00000000" w:rsidRDefault="00000000">
      <w:pPr>
        <w:pStyle w:val="SingleTxt"/>
        <w:suppressAutoHyphens/>
      </w:pPr>
      <w:r>
        <w:tab/>
        <w:t>La Ley de relaciones laborales, por lo que respecta a la protección especial de la mujer, está en consonancia con lo dispuesto en los convenios de la Organización Internacional del Trabajo relativos a esta esfera, tales como el Convenio No. 100, de 1951, sobre igualdad de remuneración; y el Convenio No. 3, sobre protección a la maternidad antes y después del parto y sobre no discriminación en materia de empleo, etc.</w:t>
      </w:r>
    </w:p>
    <w:p w:rsidR="00000000" w:rsidRDefault="00000000">
      <w:pPr>
        <w:pStyle w:val="SingleTxt"/>
      </w:pPr>
      <w:r>
        <w:tab/>
        <w:t>Las normas aprobadas en el marco de la Ley de relaciones laborales acerca de la protección especial de la mujer en el trabajo, como, por ejemplo, las aprobadas por el Ministerio del Interior, se ajustan a los términos más precisos del Convenio Colectivo del Ministerio del Interior (Gaceta Oficial, nos. 8/98, 11/98, 2/2000 y 2/2003).</w:t>
      </w:r>
    </w:p>
    <w:p w:rsidR="00000000" w:rsidRDefault="00000000">
      <w:pPr>
        <w:pStyle w:val="SingleTxt"/>
      </w:pPr>
      <w:r>
        <w:tab/>
        <w:t>En el artículo 63 del Convenio Colectivo se regulan los derechos de las asal</w:t>
      </w:r>
      <w:r>
        <w:t>a</w:t>
      </w:r>
      <w:r>
        <w:t>riadas que trabajan por la noche a:</w:t>
      </w:r>
    </w:p>
    <w:p w:rsidR="00000000" w:rsidRDefault="00000000">
      <w:pPr>
        <w:pStyle w:val="SingleTxt"/>
        <w:tabs>
          <w:tab w:val="right" w:pos="1685"/>
        </w:tabs>
        <w:ind w:left="1742" w:hanging="475"/>
      </w:pPr>
      <w:r>
        <w:tab/>
        <w:t>–</w:t>
      </w:r>
      <w:r>
        <w:tab/>
        <w:t>Que se les faciliten alimentos o un subsidio para alimentos;</w:t>
      </w:r>
    </w:p>
    <w:p w:rsidR="00000000" w:rsidRDefault="00000000">
      <w:pPr>
        <w:pStyle w:val="SingleTxt"/>
        <w:tabs>
          <w:tab w:val="right" w:pos="1685"/>
        </w:tabs>
        <w:ind w:left="1742" w:hanging="475"/>
      </w:pPr>
      <w:r>
        <w:tab/>
        <w:t>–</w:t>
      </w:r>
      <w:r>
        <w:tab/>
        <w:t>Que se les faciliten medios de transporte o un subsidio para transporte;</w:t>
      </w:r>
    </w:p>
    <w:p w:rsidR="00000000" w:rsidRDefault="00000000">
      <w:pPr>
        <w:pStyle w:val="SingleTxt"/>
        <w:tabs>
          <w:tab w:val="right" w:pos="1685"/>
        </w:tabs>
        <w:ind w:left="1742" w:hanging="475"/>
      </w:pPr>
      <w:r>
        <w:tab/>
        <w:t>–</w:t>
      </w:r>
      <w:r>
        <w:tab/>
        <w:t>Que se cuente con la presencia de empleados expertos;</w:t>
      </w:r>
    </w:p>
    <w:p w:rsidR="00000000" w:rsidRDefault="00000000">
      <w:pPr>
        <w:pStyle w:val="SingleTxt"/>
        <w:tabs>
          <w:tab w:val="right" w:pos="1685"/>
        </w:tabs>
        <w:ind w:left="1742" w:hanging="475"/>
      </w:pPr>
      <w:r>
        <w:tab/>
        <w:t>–</w:t>
      </w:r>
      <w:r>
        <w:tab/>
        <w:t>Que se les concedan otras prestaciones.</w:t>
      </w:r>
    </w:p>
    <w:p w:rsidR="00000000" w:rsidRDefault="00000000">
      <w:pPr>
        <w:pStyle w:val="SingleTxt"/>
      </w:pPr>
      <w:r>
        <w:tab/>
        <w:t>El sindicato está facultado para verificar el cumplimiento de las condiciones de los turnos de trabajo nocturnos. En caso de que no se hayan establecido cond</w:t>
      </w:r>
      <w:r>
        <w:t>i</w:t>
      </w:r>
      <w:r>
        <w:t>ciones a tal efecto, el sindicato pedirá que se ponga fin al turno y, si no se atiende su pet</w:t>
      </w:r>
      <w:r>
        <w:t>i</w:t>
      </w:r>
      <w:r>
        <w:t>ción, el sindicato pedirá que intervenga la Inspección de Trabajo.</w:t>
      </w:r>
    </w:p>
    <w:p w:rsidR="00000000" w:rsidRDefault="00000000">
      <w:pPr>
        <w:pStyle w:val="SingleTxt"/>
      </w:pPr>
      <w:r>
        <w:tab/>
        <w:t>En relación con los requisitos necesarios para obtener empleo en el Ministerio del Interior, la Ley de asuntos internos y el Convenio Colectivo del Ministerio no contienen disposiciones concretas relativas a la mujer, ya que parten de la base de la igualdad de trato entre ambos géneros. El establecimiento eventual de condiciones especiales para la mujer entrañaría una discriminación contra ella, lo que, por otra parte, se opondría a la disposición de la Constitución de que “toda persona tiene d</w:t>
      </w:r>
      <w:r>
        <w:t>e</w:t>
      </w:r>
      <w:r>
        <w:t>recho a solicitar y obtener trabajo en cualquier empleo en las mismas condiciones”.</w:t>
      </w:r>
    </w:p>
    <w:p w:rsidR="00000000" w:rsidRDefault="00000000">
      <w:pPr>
        <w:pStyle w:val="SingleTxt"/>
      </w:pPr>
      <w:r>
        <w:tab/>
        <w:t>De conformidad con el artículo 9 de la Constitución, los ciudadanos tienen igualdad de derechos con independencia del género, la raza, el color de piel, el or</w:t>
      </w:r>
      <w:r>
        <w:t>i</w:t>
      </w:r>
      <w:r>
        <w:t>gen nacional o social, las convicciones políticas o religiosos, la situación social y el patrimonio. Partiendo de esas disposiciones constitucionales, que imponen la obl</w:t>
      </w:r>
      <w:r>
        <w:t>i</w:t>
      </w:r>
      <w:r>
        <w:t>gación de que las leyes, los convenios colectivos y otras normas se ajusten a la Constitución, si se aprobasen normas discriminatorias respecto de la mujer, dichas normas serían d</w:t>
      </w:r>
      <w:r>
        <w:t>e</w:t>
      </w:r>
      <w:r>
        <w:t>claradas nulas de pleno derecho por el Tribunal Constitucional.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Edad promedia de las mujeres en el primer parto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000000">
        <w:tblPrEx>
          <w:tblCellMar>
            <w:top w:w="0" w:type="dxa"/>
            <w:left w:w="0" w:type="dxa"/>
            <w:bottom w:w="0" w:type="dxa"/>
            <w:right w:w="0" w:type="dxa"/>
          </w:tblCellMar>
        </w:tblPrEx>
        <w:trPr>
          <w:tblHeader/>
        </w:trPr>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Estatal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República de Macedonia hay una red de servicios e instituciones dedic</w:t>
      </w:r>
      <w:r>
        <w:t>a</w:t>
      </w:r>
      <w:r>
        <w:t>das a prestar atención a los niños y asistencia a los padres. Además de las organiz</w:t>
      </w:r>
      <w:r>
        <w:t>a</w:t>
      </w:r>
      <w:r>
        <w:t>ciones de asistencia y cuidados a los niños en edad preescolar, hay organizaciones especializadas que atienden a los niños con problemas de desarrollo psicofísico, así como organizaciones que se encargan de atender a los niños abandonados.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niños en edad preescolar atendidos por diversas organizaciones durante el período 1997-2001 (situación existente al 30 de septiembre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030"/>
        <w:gridCol w:w="1290"/>
      </w:tblGrid>
      <w:tr w:rsidR="00000000">
        <w:tblPrEx>
          <w:tblCellMar>
            <w:top w:w="0" w:type="dxa"/>
            <w:left w:w="0" w:type="dxa"/>
            <w:bottom w:w="0" w:type="dxa"/>
            <w:right w:w="0" w:type="dxa"/>
          </w:tblCellMar>
        </w:tblPrEx>
        <w:trPr>
          <w:tblHeader/>
        </w:trPr>
        <w:tc>
          <w:tcPr>
            <w:tcW w:w="60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niños</w:t>
            </w:r>
          </w:p>
        </w:tc>
      </w:tr>
      <w:tr w:rsidR="00000000">
        <w:tblPrEx>
          <w:tblCellMar>
            <w:top w:w="0" w:type="dxa"/>
            <w:left w:w="0" w:type="dxa"/>
            <w:bottom w:w="0" w:type="dxa"/>
            <w:right w:w="0" w:type="dxa"/>
          </w:tblCellMar>
        </w:tblPrEx>
        <w:trPr>
          <w:trHeight w:hRule="exact" w:val="115"/>
          <w:tblHeader/>
        </w:trPr>
        <w:tc>
          <w:tcPr>
            <w:tcW w:w="6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1997</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21 204</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1998</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22 003</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1999</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22 564</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2000</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22 032</w:t>
            </w:r>
          </w:p>
        </w:tc>
      </w:tr>
      <w:tr w:rsidR="00000000">
        <w:tblPrEx>
          <w:tblCellMar>
            <w:top w:w="0" w:type="dxa"/>
            <w:left w:w="0" w:type="dxa"/>
            <w:bottom w:w="0" w:type="dxa"/>
            <w:right w:w="0" w:type="dxa"/>
          </w:tblCellMar>
        </w:tblPrEx>
        <w:tc>
          <w:tcPr>
            <w:tcW w:w="6030" w:type="dxa"/>
            <w:tcBorders>
              <w:bottom w:val="single" w:sz="12" w:space="0" w:color="auto"/>
            </w:tcBorders>
            <w:vAlign w:val="bottom"/>
          </w:tcPr>
          <w:p w:rsidR="00000000" w:rsidRDefault="00000000">
            <w:pPr>
              <w:tabs>
                <w:tab w:val="left" w:pos="288"/>
                <w:tab w:val="left" w:leader="dot" w:pos="6000"/>
              </w:tabs>
              <w:spacing w:before="40" w:after="40" w:line="210" w:lineRule="exact"/>
              <w:ind w:right="40"/>
              <w:rPr>
                <w:spacing w:val="60"/>
                <w:sz w:val="17"/>
              </w:rPr>
            </w:pPr>
            <w:r>
              <w:rPr>
                <w:sz w:val="17"/>
              </w:rPr>
              <w:t>2001</w:t>
            </w:r>
            <w:r>
              <w:rPr>
                <w:spacing w:val="60"/>
                <w:sz w:val="17"/>
              </w:rPr>
              <w:tab/>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21 449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y Política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Asistencia social</w:t>
      </w:r>
    </w:p>
    <w:p w:rsidR="00000000" w:rsidRDefault="00000000">
      <w:pPr>
        <w:pStyle w:val="SingleTxt"/>
        <w:spacing w:after="0" w:line="120" w:lineRule="exact"/>
        <w:rPr>
          <w:sz w:val="10"/>
        </w:rPr>
      </w:pPr>
    </w:p>
    <w:p w:rsidR="00000000" w:rsidRDefault="00000000">
      <w:pPr>
        <w:pStyle w:val="SingleTxt"/>
      </w:pPr>
      <w:r>
        <w:tab/>
        <w:t>Los ciudadanos tienen garantizados los derechos a la asistencia social y el s</w:t>
      </w:r>
      <w:r>
        <w:t>e</w:t>
      </w:r>
      <w:r>
        <w:t>guro social de conformidad con la Constitución, lo que está en consonancia con los pri</w:t>
      </w:r>
      <w:r>
        <w:t>n</w:t>
      </w:r>
      <w:r>
        <w:t>cipios de la justicia social.</w:t>
      </w:r>
    </w:p>
    <w:p w:rsidR="00000000" w:rsidRDefault="00000000">
      <w:pPr>
        <w:pStyle w:val="SingleTxt"/>
      </w:pPr>
      <w:r>
        <w:tab/>
        <w:t>A tenor de la Ley del seguro de jubilación e invalidez, se prevé la prestación de asistencia social a los asalariados, lo que exige que los empleadores aporten co</w:t>
      </w:r>
      <w:r>
        <w:t>n</w:t>
      </w:r>
      <w:r>
        <w:t>tribuciones a ciertos fondos (el seguro de jubilación e invalidez, el seguro de enfe</w:t>
      </w:r>
      <w:r>
        <w:t>r</w:t>
      </w:r>
      <w:r>
        <w:t>m</w:t>
      </w:r>
      <w:r>
        <w:t>e</w:t>
      </w:r>
      <w:r>
        <w:t>dad, el seguro de desempleo, etc.).</w:t>
      </w:r>
    </w:p>
    <w:p w:rsidR="00000000" w:rsidRDefault="00000000">
      <w:pPr>
        <w:pStyle w:val="SingleTxt"/>
      </w:pPr>
      <w:r>
        <w:tab/>
        <w:t>De conformidad con el principio constitucional de la no discriminación por r</w:t>
      </w:r>
      <w:r>
        <w:t>a</w:t>
      </w:r>
      <w:r>
        <w:t>zones de género, la mujer tiene los mismos derechos que el hombre en la esfera de la asi</w:t>
      </w:r>
      <w:r>
        <w:t>s</w:t>
      </w:r>
      <w:r>
        <w:t>tencia social.</w:t>
      </w:r>
    </w:p>
    <w:p w:rsidR="00000000" w:rsidRDefault="00000000">
      <w:pPr>
        <w:pStyle w:val="SingleTxt"/>
      </w:pPr>
      <w:r>
        <w:tab/>
        <w:t>El beneficiario del seguro tiene derecho a una pensión al cumplir determinada edad, que es de 63 años, en el caso del hombre, y de 60, en el caso de la mujer, de</w:t>
      </w:r>
      <w:r>
        <w:t>s</w:t>
      </w:r>
      <w:r>
        <w:t>pués de haber trabajado por lo menos 20 años.</w:t>
      </w:r>
    </w:p>
    <w:p w:rsidR="00000000" w:rsidRDefault="00000000">
      <w:pPr>
        <w:pStyle w:val="SingleTxt"/>
      </w:pPr>
      <w:r>
        <w:tab/>
        <w:t>Los beneficiarios del seguro que hayan trabajado menos de 20 años tienen d</w:t>
      </w:r>
      <w:r>
        <w:t>e</w:t>
      </w:r>
      <w:r>
        <w:t>recho a una pensión al cumplir los 65 años de edad, en el caso de los hombres, y los 63 años, en el caso de las mujeres, después de haber estado asegurados durante 15 años por lo menos.</w:t>
      </w:r>
    </w:p>
    <w:p w:rsidR="00000000" w:rsidRDefault="00000000">
      <w:pPr>
        <w:pStyle w:val="SingleTxt"/>
        <w:rPr>
          <w:spacing w:val="2"/>
          <w:w w:val="101"/>
        </w:rPr>
      </w:pPr>
      <w:r>
        <w:rPr>
          <w:spacing w:val="2"/>
          <w:w w:val="101"/>
        </w:rPr>
        <w:tab/>
        <w:t>Durante el período de transición comprendido entre el 1º de enero de 1994 y el 31 de diciembre de 1998, se fue incrementando gradualmente la edad límite de la mujer.</w:t>
      </w:r>
    </w:p>
    <w:p w:rsidR="00000000" w:rsidRDefault="00000000">
      <w:pPr>
        <w:pStyle w:val="SingleTxt"/>
      </w:pPr>
      <w:r>
        <w:tab/>
        <w:t>Los beneficiarios del seguro tienen derecho a una pensión, con independencia de su edad, si han estado asegurados durante 40 años (en el caso de los hombres) o 35 años (en el caso de las mujeres).</w:t>
      </w:r>
    </w:p>
    <w:p w:rsidR="00000000" w:rsidRDefault="00000000">
      <w:pPr>
        <w:pStyle w:val="SingleTxt"/>
      </w:pPr>
      <w:r>
        <w:tab/>
        <w:t>Además de los derechos de pensión, la legislación reconoce el derecho a una pe</w:t>
      </w:r>
      <w:r>
        <w:t>n</w:t>
      </w:r>
      <w:r>
        <w:t>sión de invalidez si se reúnen ciertas condiciones.</w:t>
      </w:r>
    </w:p>
    <w:p w:rsidR="00000000" w:rsidRDefault="00000000">
      <w:pPr>
        <w:pStyle w:val="SingleTxt"/>
      </w:pPr>
      <w:r>
        <w:tab/>
        <w:t>De conformidad con la Ley del seguro de jubilación e invalidez, hay invalidez cuando el titular del seguro, de resultas de modificaciones permanentes en su estado de salud, lesiones producidas en el trabajo o padecimiento de cualquier enfermedad imputable al trabajo, no puede curarse mediante tratamiento médico o su capacidad de trabajar resulta menoscabada o perdida.</w:t>
      </w:r>
    </w:p>
    <w:p w:rsidR="00000000" w:rsidRDefault="00000000">
      <w:pPr>
        <w:pStyle w:val="SingleTxt"/>
      </w:pPr>
      <w:r>
        <w:tab/>
        <w:t>La pensión de invalidez se determina con arreglo a los mismos parámetros que la pensión tras un período de aseguramiento de 40 años (caso de los hombres) y 35 años (caso de las mujeres).</w:t>
      </w:r>
    </w:p>
    <w:p w:rsidR="00000000" w:rsidRDefault="00000000">
      <w:pPr>
        <w:pStyle w:val="SingleTxt"/>
      </w:pPr>
      <w:r>
        <w:tab/>
        <w:t>La mujer beneficiaría del seguro tiene derecho, cuando así lo solicita, a una pensión de invalidez en las mismas condiciones y la misma cuantía que los hombres.</w:t>
      </w:r>
    </w:p>
    <w:p w:rsidR="00000000" w:rsidRDefault="00000000">
      <w:pPr>
        <w:pStyle w:val="SingleTxt"/>
      </w:pPr>
      <w:r>
        <w:tab/>
        <w:t>La viuda tiene derecho a una pensión familiar si, a la muerte del esposo, tiene cumplidos los 45 años de edad, edad que se cifra en los 55 años en el caso del viudo. Los hijos tienen derecho una pensión familiar hasta que cumplan 15 años de edad o 26, en caso de que estén estudiando.</w:t>
      </w:r>
    </w:p>
    <w:p w:rsidR="00000000" w:rsidRDefault="00000000">
      <w:pPr>
        <w:pStyle w:val="SingleTxt"/>
        <w:rPr>
          <w:spacing w:val="2"/>
          <w:w w:val="101"/>
        </w:rPr>
      </w:pPr>
      <w:r>
        <w:rPr>
          <w:spacing w:val="2"/>
          <w:w w:val="101"/>
        </w:rPr>
        <w:tab/>
        <w:t>De conformidad con la Ley del seguro de jubilación e invalidez, los asalariados pueden ejercitar ciertos derechos en caso de discapacidad: los beneficiarios y benefici</w:t>
      </w:r>
      <w:r>
        <w:rPr>
          <w:spacing w:val="2"/>
          <w:w w:val="101"/>
        </w:rPr>
        <w:t>a</w:t>
      </w:r>
      <w:r>
        <w:rPr>
          <w:spacing w:val="2"/>
          <w:w w:val="101"/>
        </w:rPr>
        <w:t>rias del seguro que no padezcan invalidez total tienen derecho a un horario de trabajo reducido, a que se les asignen tareas apropiadas y a que se les reclasif</w:t>
      </w:r>
      <w:r>
        <w:rPr>
          <w:spacing w:val="2"/>
          <w:w w:val="101"/>
        </w:rPr>
        <w:t>i</w:t>
      </w:r>
      <w:r>
        <w:rPr>
          <w:spacing w:val="2"/>
          <w:w w:val="101"/>
        </w:rPr>
        <w:t>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Beneficiarios de pensiones en función del tipo de pensión y del género durante el período comprendido entre 1992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94"/>
        <w:gridCol w:w="1094"/>
        <w:gridCol w:w="1094"/>
        <w:gridCol w:w="48"/>
        <w:gridCol w:w="1046"/>
        <w:gridCol w:w="1094"/>
        <w:gridCol w:w="110"/>
        <w:gridCol w:w="984"/>
        <w:gridCol w:w="1094"/>
        <w:gridCol w:w="82"/>
        <w:gridCol w:w="1012"/>
        <w:gridCol w:w="1094"/>
      </w:tblGrid>
      <w:tr w:rsidR="00000000">
        <w:tblPrEx>
          <w:tblCellMar>
            <w:top w:w="0" w:type="dxa"/>
            <w:left w:w="0" w:type="dxa"/>
            <w:bottom w:w="0" w:type="dxa"/>
            <w:right w:w="0" w:type="dxa"/>
          </w:tblCellMar>
        </w:tblPrEx>
        <w:trPr>
          <w:cantSplit/>
          <w:tblHeader/>
        </w:trPr>
        <w:tc>
          <w:tcPr>
            <w:tcW w:w="1094" w:type="dxa"/>
            <w:vMerge w:val="restart"/>
            <w:tcBorders>
              <w:top w:val="single" w:sz="4" w:space="0" w:color="auto"/>
            </w:tcBorders>
            <w:vAlign w:val="bottom"/>
          </w:tcPr>
          <w:p w:rsidR="00000000" w:rsidRDefault="00000000">
            <w:pPr>
              <w:spacing w:before="80" w:after="80" w:line="160" w:lineRule="exact"/>
              <w:ind w:right="40"/>
              <w:rPr>
                <w:i/>
                <w:sz w:val="14"/>
              </w:rPr>
            </w:pPr>
            <w:r>
              <w:rPr>
                <w:i/>
                <w:sz w:val="14"/>
              </w:rPr>
              <w:t>Año en que se accedió a la prestación</w:t>
            </w:r>
          </w:p>
        </w:tc>
        <w:tc>
          <w:tcPr>
            <w:tcW w:w="218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Pensión de edad</w:t>
            </w:r>
          </w:p>
        </w:tc>
        <w:tc>
          <w:tcPr>
            <w:tcW w:w="48" w:type="dxa"/>
            <w:tcBorders>
              <w:top w:val="single" w:sz="4" w:space="0" w:color="auto"/>
            </w:tcBorders>
            <w:vAlign w:val="bottom"/>
          </w:tcPr>
          <w:p w:rsidR="00000000" w:rsidRDefault="00000000">
            <w:pPr>
              <w:spacing w:before="80" w:after="80" w:line="160" w:lineRule="exact"/>
              <w:ind w:right="40"/>
              <w:jc w:val="right"/>
              <w:rPr>
                <w:i/>
                <w:sz w:val="14"/>
              </w:rPr>
            </w:pPr>
          </w:p>
        </w:tc>
        <w:tc>
          <w:tcPr>
            <w:tcW w:w="21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Pensión de invalidez</w:t>
            </w:r>
          </w:p>
        </w:tc>
        <w:tc>
          <w:tcPr>
            <w:tcW w:w="110" w:type="dxa"/>
            <w:tcBorders>
              <w:top w:val="single" w:sz="4" w:space="0" w:color="auto"/>
            </w:tcBorders>
            <w:vAlign w:val="bottom"/>
          </w:tcPr>
          <w:p w:rsidR="00000000" w:rsidRDefault="00000000">
            <w:pPr>
              <w:spacing w:before="80" w:after="80" w:line="160" w:lineRule="exact"/>
              <w:ind w:right="40"/>
              <w:jc w:val="right"/>
              <w:rPr>
                <w:i/>
                <w:sz w:val="14"/>
              </w:rPr>
            </w:pPr>
          </w:p>
        </w:tc>
        <w:tc>
          <w:tcPr>
            <w:tcW w:w="207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Pensión familiar</w:t>
            </w:r>
          </w:p>
        </w:tc>
        <w:tc>
          <w:tcPr>
            <w:tcW w:w="82" w:type="dxa"/>
            <w:tcBorders>
              <w:top w:val="single" w:sz="4" w:space="0" w:color="auto"/>
            </w:tcBorders>
            <w:vAlign w:val="bottom"/>
          </w:tcPr>
          <w:p w:rsidR="00000000" w:rsidRDefault="00000000">
            <w:pPr>
              <w:spacing w:before="80" w:after="80" w:line="160" w:lineRule="exact"/>
              <w:ind w:right="40"/>
              <w:jc w:val="right"/>
              <w:rPr>
                <w:i/>
                <w:sz w:val="14"/>
              </w:rPr>
            </w:pPr>
          </w:p>
        </w:tc>
        <w:tc>
          <w:tcPr>
            <w:tcW w:w="210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1094" w:type="dxa"/>
            <w:vMerge/>
            <w:vAlign w:val="bottom"/>
          </w:tcPr>
          <w:p w:rsidR="00000000" w:rsidRDefault="00000000">
            <w:pPr>
              <w:spacing w:after="80" w:line="160" w:lineRule="exact"/>
              <w:ind w:right="40"/>
              <w:rPr>
                <w:i/>
                <w:sz w:val="14"/>
              </w:rPr>
            </w:pP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94" w:type="dxa"/>
            <w:gridSpan w:val="2"/>
            <w:vAlign w:val="bottom"/>
          </w:tcPr>
          <w:p w:rsidR="00000000" w:rsidRDefault="00000000">
            <w:pPr>
              <w:spacing w:after="80" w:line="160" w:lineRule="exact"/>
              <w:ind w:right="40"/>
              <w:jc w:val="right"/>
              <w:rPr>
                <w:i/>
                <w:sz w:val="14"/>
              </w:rPr>
            </w:pPr>
            <w:r>
              <w:rPr>
                <w:i/>
                <w:sz w:val="14"/>
              </w:rPr>
              <w:t>Hombres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94" w:type="dxa"/>
            <w:gridSpan w:val="2"/>
            <w:vAlign w:val="bottom"/>
          </w:tcPr>
          <w:p w:rsidR="00000000" w:rsidRDefault="00000000">
            <w:pPr>
              <w:spacing w:after="80" w:line="160" w:lineRule="exact"/>
              <w:ind w:right="40"/>
              <w:jc w:val="right"/>
              <w:rPr>
                <w:i/>
                <w:sz w:val="14"/>
              </w:rPr>
            </w:pPr>
            <w:r>
              <w:rPr>
                <w:i/>
                <w:sz w:val="14"/>
              </w:rPr>
              <w:t>Hombres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94" w:type="dxa"/>
            <w:gridSpan w:val="2"/>
            <w:vAlign w:val="bottom"/>
          </w:tcPr>
          <w:p w:rsidR="00000000" w:rsidRDefault="00000000">
            <w:pPr>
              <w:spacing w:after="80" w:line="160" w:lineRule="exact"/>
              <w:ind w:right="40"/>
              <w:jc w:val="right"/>
              <w:rPr>
                <w:i/>
                <w:sz w:val="14"/>
              </w:rPr>
            </w:pPr>
            <w:r>
              <w:rPr>
                <w:i/>
                <w:sz w:val="14"/>
              </w:rPr>
              <w:t>Hombres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094" w:type="dxa"/>
            <w:tcBorders>
              <w:top w:val="single" w:sz="12" w:space="0" w:color="auto"/>
            </w:tcBorders>
            <w:vAlign w:val="bottom"/>
          </w:tcPr>
          <w:p w:rsidR="00000000" w:rsidRDefault="00000000">
            <w:pPr>
              <w:spacing w:before="40" w:after="40" w:line="210" w:lineRule="exact"/>
              <w:ind w:right="40"/>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102 021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41 030</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50 243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193 294</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76 059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25 962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28 832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13 244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142 563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50 731</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113 779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43 867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52 891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210 537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84 265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29 514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30 415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13 452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38 935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13 956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157 592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56 922</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116 283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45 453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54 847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216 583</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86 044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30 239</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32 780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12 673</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42 002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12 845</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160 826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55 755</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116 241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46 509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56 557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219 307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85 383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13 724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43 369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13 188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161 537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57 770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117 042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47 431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58 254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222 727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85 590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31 452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32 985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14 446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13 928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162 901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59 826</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118 148</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48 909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60 042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227 099</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85 806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32 342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32 563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163 456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46 060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13 982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164 429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62 670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119 194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51 208</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61 184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231 586</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85 386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34 250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16 958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47 060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167 172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64 414</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120 574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52 060</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63 205</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235 839</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85 916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34 658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37 218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14 844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48 207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171 399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64 500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124 213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52 546</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64 365</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241 124</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35 808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37 552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15 001</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175 321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65 803</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125 332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52 619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66 249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247 200</w:t>
            </w:r>
          </w:p>
        </w:tc>
      </w:tr>
      <w:tr w:rsidR="00000000">
        <w:tblPrEx>
          <w:tblCellMar>
            <w:top w:w="0" w:type="dxa"/>
            <w:left w:w="0" w:type="dxa"/>
            <w:bottom w:w="0" w:type="dxa"/>
            <w:right w:w="0" w:type="dxa"/>
          </w:tblCellMar>
        </w:tblPrEx>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89 265</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39 067</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37 606</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15 013</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50 800</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15 449</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17 671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69 529</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Fondo del Seguro de enfermedad.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40 de la Constitución, que garantiza una ate</w:t>
      </w:r>
      <w:r>
        <w:t>n</w:t>
      </w:r>
      <w:r>
        <w:t>ción y una protección especiales de la familia, la Ley de asistencia social a la infa</w:t>
      </w:r>
      <w:r>
        <w:t>n</w:t>
      </w:r>
      <w:r>
        <w:t>cia prevé la posibilidad de percibir un subsidio por hijo hasta el tercero como máx</w:t>
      </w:r>
      <w:r>
        <w:t>i</w:t>
      </w:r>
      <w:r>
        <w:t>mo, por orden de nacimiento. El objetivo de ese subsidio es mantener y proteger el nivel de vida del niño, en función del ingreso de la familia y del número de mie</w:t>
      </w:r>
      <w:r>
        <w:t>m</w:t>
      </w:r>
      <w:r>
        <w:t>bros de é</w:t>
      </w:r>
      <w:r>
        <w:t>s</w:t>
      </w:r>
      <w:r>
        <w:t>ta.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r>
      <w:r>
        <w:t>Artículo 12</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rPr>
          <w:i/>
        </w:rPr>
      </w:pPr>
      <w:r>
        <w:rPr>
          <w:i/>
        </w:rPr>
        <w:tab/>
        <w:t>2.</w:t>
      </w:r>
      <w:r>
        <w:rPr>
          <w:i/>
        </w:rPr>
        <w:tab/>
        <w:t>Sin perjuicio de lo dispuesto en el párrafo 1 supra, los Estados Partes garantizarán a la mujer servicios apropiados en relación con el embarazo, el parto y el período posterior al parto, proporcionando servicios gratuitos cuando fuere n</w:t>
      </w:r>
      <w:r>
        <w:rPr>
          <w:i/>
        </w:rPr>
        <w:t>e</w:t>
      </w:r>
      <w:r>
        <w:rPr>
          <w:i/>
        </w:rPr>
        <w:t xml:space="preserve">cesario, y </w:t>
      </w:r>
      <w:r>
        <w:rPr>
          <w:i/>
          <w:spacing w:val="2"/>
          <w:w w:val="101"/>
        </w:rPr>
        <w:t>le asegurarán una nutrición adecuada durante el embarazo y la lacta</w:t>
      </w:r>
      <w:r>
        <w:rPr>
          <w:i/>
          <w:spacing w:val="2"/>
          <w:w w:val="101"/>
        </w:rPr>
        <w:t>n</w:t>
      </w:r>
      <w:r>
        <w:rPr>
          <w:i/>
          <w:spacing w:val="2"/>
          <w:w w:val="101"/>
        </w:rP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lo dispuesto en la Constitución, todo ciudadano tiene garantiz</w:t>
      </w:r>
      <w:r>
        <w:t>a</w:t>
      </w:r>
      <w:r>
        <w:t>do el derecho a la asistencia de la salud, que abarca el correspondiente derecho de la mujer en esa esfera. Los ciudadanos tienen el derecho y la obligación de cuidar de su salud y de la salud de los demás (artículo 39 de la Constitución).</w:t>
      </w:r>
    </w:p>
    <w:p w:rsidR="00000000" w:rsidRDefault="00000000">
      <w:pPr>
        <w:pStyle w:val="SingleTxt"/>
      </w:pPr>
      <w:r>
        <w:tab/>
        <w:t>Los ciudadanos tienen derecho a la seguridad social y al seguro social, regul</w:t>
      </w:r>
      <w:r>
        <w:t>a</w:t>
      </w:r>
      <w:r>
        <w:t>dos en la legislación y en el correspondiente convenio colectivo (artículo 34 de la Constitución). Toda persona tiene derecho a adoptar por sí misma decisiones en r</w:t>
      </w:r>
      <w:r>
        <w:t>e</w:t>
      </w:r>
      <w:r>
        <w:t>lación con la procreación (artículo 41 de la Constitución). La República sostiene la política de población humanizada, en armonía con el desarrollo económico y social. En particular, la República protege a la maternidad y a los menores (párrafo 1 del artículo 42 de la Constitución).</w:t>
      </w:r>
    </w:p>
    <w:p w:rsidR="00000000" w:rsidRDefault="00000000">
      <w:pPr>
        <w:pStyle w:val="SingleTxt"/>
      </w:pPr>
      <w:r>
        <w:tab/>
        <w:t>De conformidad con la Ley de atención de la salud (Gaceta Oficial, nos. 38/91, texto refundido, 4/2000 y 5/2000), la asistencia de la salud abarca las medidas, act</w:t>
      </w:r>
      <w:r>
        <w:t>i</w:t>
      </w:r>
      <w:r>
        <w:t>vidades y procedimientos necesarios para mantener y mejorar la salud, la vida, el entorno laboral y los derechos y obligaciones que se ejercitan en el marco del seguro de enfermedad, así como las medidas, actividades y procedimientos emprendidos por las organizaciones del sector para proteger y mejorar la salud, impedir que se produzcan enfermedades, lesiones y otras perturbaciones de la salud y luchar contra ellas, realizar diagnósticos tempranos de las enfermedades, lesiones y afecciones y proceder al tratamiento y a la rehabilitación oportunos y eficaces mediante la puesta en práctica de medidas, actividades y procedimientos de carácter médico. La ate</w:t>
      </w:r>
      <w:r>
        <w:t>n</w:t>
      </w:r>
      <w:r>
        <w:t>ción de la salud se basa en los principios de la accesibilidad, la racionalidad y la continuidad.</w:t>
      </w:r>
    </w:p>
    <w:p w:rsidR="00000000" w:rsidRDefault="00000000">
      <w:pPr>
        <w:pStyle w:val="SingleTxt"/>
      </w:pPr>
      <w:r>
        <w:tab/>
        <w:t>En el marco de la Ley del seguro de enfermedad (Gaceta Oficial, nos. 25/2000 y 96/2000), se estableció un sistema de seguro de enfermedad para todos los ciud</w:t>
      </w:r>
      <w:r>
        <w:t>a</w:t>
      </w:r>
      <w:r>
        <w:t>danos de la República de Macedonia, basado en la política de la universalidad, la solidaridad, la igualdad y la eficacia en función de los costos. El sistema del seguro de enfermedad obligatorio abarca tanto al hombre como a la mujer, siempre que ésta última tenga derecho a ser titular de un seguro. De conformidad con el artículo 5 de la Ley, las mujeres asalariadas, jubiladas, desempleadas, necesitadas de asistencia social, agricultoras, trabajadoras autónomas, etc., quedan cubiertas por el corre</w:t>
      </w:r>
      <w:r>
        <w:t>s</w:t>
      </w:r>
      <w:r>
        <w:t>pondiente seguro, al tiempo que se prevé que, en caso de no estarlo, quedan abarc</w:t>
      </w:r>
      <w:r>
        <w:t>a</w:t>
      </w:r>
      <w:r>
        <w:t>das dentro del seguro de enfermedad obligatorio de la persona de la que dependan por razones de vinculación familiar.</w:t>
      </w:r>
    </w:p>
    <w:p w:rsidR="00000000" w:rsidRDefault="00000000">
      <w:pPr>
        <w:pStyle w:val="SingleTxt"/>
      </w:pPr>
      <w:r>
        <w:tab/>
        <w:t>El seguro de enfermedad obligatorio comprende los exámenes médicos y los demás tipos de asistencia prestada por médicos de atención primaria de la salud y por especialistas; también abarca la atención de la salud en los hospitales, las med</w:t>
      </w:r>
      <w:r>
        <w:t>i</w:t>
      </w:r>
      <w:r>
        <w:t>das preventivas, terapéuticas y de rehabilitación, los medicamentos, las prótesis y, de acuerdo con la lista establecida por el Ministerio de Sanidad, la prestación de servicios de salud de emergencia. Además, en el caso de las mujeres que son titul</w:t>
      </w:r>
      <w:r>
        <w:t>a</w:t>
      </w:r>
      <w:r>
        <w:t>res del seguro médico obligatorio, éste abarca la atención de la salud durante el e</w:t>
      </w:r>
      <w:r>
        <w:t>m</w:t>
      </w:r>
      <w:r>
        <w:t>barazo y el parto.</w:t>
      </w:r>
    </w:p>
    <w:p w:rsidR="00000000" w:rsidRDefault="00000000">
      <w:pPr>
        <w:pStyle w:val="SingleTxt"/>
      </w:pPr>
      <w:r>
        <w:tab/>
        <w:t>Al hacer uso de los servicios de salud, el titular del seguro y su familia aportan fondos propios para pagar el precio total del servicio médico en la cuantía de hasta el 20% del costo total promedio del servicio. Están exentas del copago de los serv</w:t>
      </w:r>
      <w:r>
        <w:t>i</w:t>
      </w:r>
      <w:r>
        <w:t>cios de atención de la salud las mujeres en relación con los servicios que se les prestan con motivo del embarazo, el parto, la maternidad y la planificación familiar, así como en el caso de otros exámenes médicos de atención primaria de la salud, salvo que se trate de una interrupción voluntaria del embarazo sin que medie pre</w:t>
      </w:r>
      <w:r>
        <w:t>s</w:t>
      </w:r>
      <w:r>
        <w:t>cripción médica; los enfermos mentales internados en centros psiquiátricos; los huérfanos; los enfermos mentales; los menores de 18 años de edad; y las personas aseguradas que necesiten prótesis para sus miembros inferiores y superiores, aud</w:t>
      </w:r>
      <w:r>
        <w:t>í</w:t>
      </w:r>
      <w:r>
        <w:t>fonos, prótesis oculares, sillas de ruedas y dispositivos para efectuar limpiezas f</w:t>
      </w:r>
      <w:r>
        <w:t>i</w:t>
      </w:r>
      <w:r>
        <w:t>siológicas. Además del derecho a la atención de la salud primaria, especializada y hospitalaria, las asalariadas que sean titulares de seguros, así como los hombres, ti</w:t>
      </w:r>
      <w:r>
        <w:t>e</w:t>
      </w:r>
      <w:r>
        <w:t>nen derecho a un complemento salarial en caso de que se vean impedidos de trabajar como consecuencia de una enfermedad o lesión profesional. La cuantía de ese co</w:t>
      </w:r>
      <w:r>
        <w:t>m</w:t>
      </w:r>
      <w:r>
        <w:t>plemento se calcula del mismo modo tanto para las mujeres como para los hombres asegurados. Además, las asalariadas tienen derecho a un complemento salarial si se ven impedidas de trabajar como consecuencia del embarazo y el parto, complemento cuya cuantía es el 100% del salario percibido en el mes anterior al comienzo de la lice</w:t>
      </w:r>
      <w:r>
        <w:t>n</w:t>
      </w:r>
      <w:r>
        <w:t>cia maternidad.</w:t>
      </w:r>
    </w:p>
    <w:p w:rsidR="00000000" w:rsidRDefault="00000000">
      <w:pPr>
        <w:pStyle w:val="SingleTxt"/>
      </w:pPr>
      <w:r>
        <w:tab/>
        <w:t>La interrupción voluntaria del embarazo (aborto) está regulada por la legisl</w:t>
      </w:r>
      <w:r>
        <w:t>a</w:t>
      </w:r>
      <w:r>
        <w:t>ción pertinente, a saber, la Ley de interrupción del embarazo (Gaceta Oficial de la República Socialista de Macedonia, no. 19/77, versión definitiva, y Gaceta Oficial de la República de Macedonia, no. 15. 95). De conformidad con la Ley de interru</w:t>
      </w:r>
      <w:r>
        <w:t>p</w:t>
      </w:r>
      <w:r>
        <w:t>ción del embarazo, la mujer tiene derecho a decidir si interrumpe el embarazo. Ese derecho puede limitarse únicamente por razones de protección de la salud de la m</w:t>
      </w:r>
      <w:r>
        <w:t>u</w:t>
      </w:r>
      <w:r>
        <w:t>jer. En la Ley se establece el plazo límite para la interrupción del embarazo (diez semanas a partir del día de la concepción), los casos de interrupción después del plazo límite, los métodos de interrupción del embarazo y los requisitos que han de reunir los centros de atención de la salud en que se practiquen abortos. A fin de evitar que se recurra al aborto en sustitución de los métodos anticonceptivos, tiene especial importancia la recientemente aprobada Ley del seguro de enfermedad, s</w:t>
      </w:r>
      <w:r>
        <w:t>e</w:t>
      </w:r>
      <w:r>
        <w:t>gún la cual los gastos de los abortos practicados sin prescripción médica corren t</w:t>
      </w:r>
      <w:r>
        <w:t>o</w:t>
      </w:r>
      <w:r>
        <w:t xml:space="preserve">talmente a cargo de la mujer.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establecidos con arreglo a la ley para aplicar medidas complementarias de atención de la salud</w:t>
      </w:r>
    </w:p>
    <w:p w:rsidR="00000000" w:rsidRDefault="00000000">
      <w:pPr>
        <w:pStyle w:val="SingleTxt"/>
        <w:spacing w:after="0" w:line="120" w:lineRule="exact"/>
        <w:rPr>
          <w:sz w:val="10"/>
        </w:rPr>
      </w:pPr>
    </w:p>
    <w:p w:rsidR="00000000" w:rsidRDefault="00000000">
      <w:pPr>
        <w:pStyle w:val="SingleTxt"/>
      </w:pPr>
      <w:r>
        <w:tab/>
        <w:t>De conformidad con la Ley de atención de la salud, en el presupuesto del E</w:t>
      </w:r>
      <w:r>
        <w:t>s</w:t>
      </w:r>
      <w:r>
        <w:t>tado se consignan recursos para financiar programas destinados a todos los ciudad</w:t>
      </w:r>
      <w:r>
        <w:t>a</w:t>
      </w:r>
      <w:r>
        <w:t>nos, con independencia de que estén o no estén asegurados, a los efectos de poner en práctica determinadas medidas y actividades en materia de atención preventiva de la salud; inmunización obligatoria; diagnóstico, prevención y tratamiento de la brucelosis; protección de la población frente al SIDA; atención activa a las madres y niños; exámenes sistemáticos de los niños y estudiantes; organización de campañas de donación de sangre; atención de la salud de grupos especiales de la población y personas no aseguradas que padecen ciertas enfermedades; reembolso de los gastos a los pacientes sometidos a diálisis; suministro de medicamentos a los pacientes que hayan sufrido trasplantes; suministro de productos citostáticos, insulina y hormona del crecimiento a los enfermos de hemofilia; y atención de la salud de los enfermos mentales y drogadictos.</w:t>
      </w:r>
    </w:p>
    <w:p w:rsidR="00000000" w:rsidRDefault="00000000">
      <w:pPr>
        <w:pStyle w:val="SingleTxt"/>
      </w:pPr>
      <w:r>
        <w:tab/>
        <w:t>Cada año el Gobierno de la República de Macedonia aprueba un Programa de atención activa de la salud para las madres y niños, en el que se prevén medidas y actividades para mejorar la situación sanitaria de esas personas (medidas en materia de planificación de la familia, atención a los embarazos deseados y medidas de atención de la salud de los niños en edad preescolar).</w:t>
      </w:r>
    </w:p>
    <w:p w:rsidR="00000000" w:rsidRDefault="00000000">
      <w:pPr>
        <w:pStyle w:val="SingleTxt"/>
      </w:pPr>
      <w:r>
        <w:tab/>
        <w:t>En este informe figura el texto íntegro de programas en los que se examina la atención suplementaria de la salud de la mujer, considerada como integrante de un grupo especialmente vulnerable (suplemento 1 del anexo relativo a la salud).</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internacional: Proyectos de apoyo a la aplicación de medidas complementarias en materia de atención de la salud de la población, especialmente de las mujeres y los niños</w:t>
      </w:r>
    </w:p>
    <w:p w:rsidR="00000000" w:rsidRDefault="00000000">
      <w:pPr>
        <w:pStyle w:val="SingleTxt"/>
        <w:spacing w:after="0" w:line="120" w:lineRule="exact"/>
        <w:rPr>
          <w:sz w:val="10"/>
        </w:rPr>
      </w:pPr>
    </w:p>
    <w:p w:rsidR="00000000" w:rsidRDefault="00000000">
      <w:pPr>
        <w:pStyle w:val="SingleTxt"/>
      </w:pPr>
      <w:r>
        <w:tab/>
        <w:t>En el marco de la cooperación internacional en los planos bilateral y multilat</w:t>
      </w:r>
      <w:r>
        <w:t>e</w:t>
      </w:r>
      <w:r>
        <w:t>ral, se han puesto en marcha numerosos proyectos encaminados a poner en práctica medidas de atención de la salud de la población en general y de las mujeres y los n</w:t>
      </w:r>
      <w:r>
        <w:t>i</w:t>
      </w:r>
      <w:r>
        <w:t>ños en particular. La formulación de esos proyectos, necesaria de resultas de la s</w:t>
      </w:r>
      <w:r>
        <w:t>i</w:t>
      </w:r>
      <w:r>
        <w:t>tuación política y económica existente en el país, ha permitido que se mantuviera el nivel de salud pese a los graves problemas que enfrentaba la República de Maced</w:t>
      </w:r>
      <w:r>
        <w:t>o</w:t>
      </w:r>
      <w:r>
        <w:t>nia en el último decenio, y en particular en los cinco últimos años.</w:t>
      </w:r>
    </w:p>
    <w:p w:rsidR="00000000" w:rsidRDefault="00000000">
      <w:pPr>
        <w:pStyle w:val="SingleTxt"/>
      </w:pPr>
      <w:r>
        <w:tab/>
        <w:t>Se adjunta una lista de los proyectos, acompañada de observaciones sobre su cont</w:t>
      </w:r>
      <w:r>
        <w:t>e</w:t>
      </w:r>
      <w:r>
        <w:t>nido y sus efectos (apéndice 2 del anexo sobre la salud).</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Inclusión del sector no gubernamental</w:t>
      </w:r>
    </w:p>
    <w:p w:rsidR="00000000" w:rsidRDefault="00000000">
      <w:pPr>
        <w:pStyle w:val="SingleTxt"/>
        <w:spacing w:after="0" w:line="120" w:lineRule="exact"/>
        <w:rPr>
          <w:sz w:val="10"/>
        </w:rPr>
      </w:pPr>
    </w:p>
    <w:p w:rsidR="00000000" w:rsidRDefault="00000000">
      <w:pPr>
        <w:pStyle w:val="SingleTxt"/>
      </w:pPr>
      <w:r>
        <w:tab/>
        <w:t>En relación con las actividades de los proyectos aprobados por el Ministerio de Sanidad, no cabe duda de que está aumentando la participación de las organizaci</w:t>
      </w:r>
      <w:r>
        <w:t>o</w:t>
      </w:r>
      <w:r>
        <w:t>nes no gubernamentales en el sector de la asistencia de la salud, especialmente las organizaciones no gubernamentales de mujeres, lo que forma parte de la estrategia establecida por el Ministerio a tal efecto. La ejecución de varios proyectos en col</w:t>
      </w:r>
      <w:r>
        <w:t>a</w:t>
      </w:r>
      <w:r>
        <w:t>boración con organizaciones no gubernamentales ha permitido el establecimiento de r</w:t>
      </w:r>
      <w:r>
        <w:t>e</w:t>
      </w:r>
      <w:r>
        <w:t>laciones de colaboración a largo plazo con el sector no gubernamental.</w:t>
      </w:r>
    </w:p>
    <w:p w:rsidR="00000000" w:rsidRDefault="00000000">
      <w:pPr>
        <w:pStyle w:val="SingleTxt"/>
      </w:pPr>
      <w:r>
        <w:tab/>
        <w:t>Como ejemplo de la función práctica que desempeña el sector no gubern</w:t>
      </w:r>
      <w:r>
        <w:t>a</w:t>
      </w:r>
      <w:r>
        <w:t>mental, cabe mencionar las actividades de la organización no gubernamental den</w:t>
      </w:r>
      <w:r>
        <w:t>o</w:t>
      </w:r>
      <w:r>
        <w:t>minada Centro de apoyo a la familia, la maternidad y la infancia de Skopje, el cual, durante el período 2001-2002, participó en la Iniciativa de hospitales amigos de los niños, dentro del décimo tramo de la ejecución, centrado en la prestación de apoyo a la formación de grupos de madres.</w:t>
      </w:r>
    </w:p>
    <w:p w:rsidR="00000000" w:rsidRDefault="00000000">
      <w:pPr>
        <w:pStyle w:val="SingleTxt"/>
        <w:keepNext/>
        <w:keepLines/>
      </w:pPr>
      <w:r>
        <w:tab/>
        <w:t>Esa organización ha formado en actividades de apoyo a 85 madres, quienes, además de su trabajo en el plano local, constituyeron 556 grupos en apoyo de la lactancia materna que abarcaban a 2.756 madres y 523 embarazadas con el propósito de facilitar la debida información sobre ese tipo de lactancia. Los resultados cons</w:t>
      </w:r>
      <w:r>
        <w:t>e</w:t>
      </w:r>
      <w:r>
        <w:t>guidos no sólo confirman la necesidad de la participación de las organizaciones no gubernamentales, sino que también muestran el interés de la población, particula</w:t>
      </w:r>
      <w:r>
        <w:t>r</w:t>
      </w:r>
      <w:r>
        <w:t>mente de las mujeres, y la necesidad que tienen de apoyo.</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iniciativas locales</w:t>
      </w:r>
    </w:p>
    <w:p w:rsidR="00000000" w:rsidRDefault="00000000">
      <w:pPr>
        <w:pStyle w:val="SingleTxt"/>
        <w:spacing w:after="0" w:line="120" w:lineRule="exact"/>
        <w:rPr>
          <w:sz w:val="10"/>
        </w:rPr>
      </w:pPr>
    </w:p>
    <w:p w:rsidR="00000000" w:rsidRDefault="00000000">
      <w:pPr>
        <w:pStyle w:val="SingleTxt"/>
      </w:pPr>
      <w:r>
        <w:tab/>
        <w:t>Aunque, después de la independencia de la República de Macedonia, se hizo necesario establecer un sistema centralizado de asistencia de la salud, en los últimos años se ha destacado el desarrollo de iniciativas locales en todas las esferas de la asistencia de la salud, lo que ha propiciado un entorno favorable al desarrollo de esas iniciativas. Las actividades iniciales se realizaron con la asistencia de organiz</w:t>
      </w:r>
      <w:r>
        <w:t>a</w:t>
      </w:r>
      <w:r>
        <w:t>ciones internacionales (la OMS y el UNICEF) en la esfera de la salud mental y la salud maternoinfantil (proyectos de apoyo a la salud mental y a la lactancia). Se crearon centros locales de salud mental en cinco municipios, los cuales prestan una atención multidisciplinaria (sanitaria y social) en el plano local. Tras la aprobación de la Ley de autogobierno local (Gaceta Oficial, no. 5/2002), se han establecido obligaciones jurídicas para el desarrollo de esas iniciativas en la esfera de la salud, la crianza de los hijos, el fomento de la salud, las actividades preventivas, la prote</w:t>
      </w:r>
      <w:r>
        <w:t>c</w:t>
      </w:r>
      <w:r>
        <w:t xml:space="preserve">ción de la salud de los asalariados, la atención de la salud en los centros de trabajo, la vigilancia médica del entorno, la supervisión de las enfermedades contagiosas y la asistencia a pacientes con necesidades especiales (salud mental, malos tratos a </w:t>
      </w:r>
      <w:r>
        <w:br/>
        <w:t>n</w:t>
      </w:r>
      <w:r>
        <w:t>i</w:t>
      </w:r>
      <w:r>
        <w:t>ños, etc.).</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w:t>
      </w:r>
    </w:p>
    <w:p w:rsidR="00000000" w:rsidRDefault="00000000">
      <w:pPr>
        <w:pStyle w:val="SingleTxt"/>
        <w:spacing w:after="0" w:line="120" w:lineRule="exact"/>
        <w:rPr>
          <w:sz w:val="10"/>
        </w:rPr>
      </w:pPr>
    </w:p>
    <w:p w:rsidR="00000000" w:rsidRDefault="00000000">
      <w:pPr>
        <w:pStyle w:val="SingleTxt"/>
      </w:pPr>
      <w:r>
        <w:tab/>
        <w:t>Hasta la fecha, la República de Macedonia no ha preparado un documento e</w:t>
      </w:r>
      <w:r>
        <w:t>s</w:t>
      </w:r>
      <w:r>
        <w:t>tratégico para el desarrollo de la atención de la salud a largo plazo. La Academia Macedonia de la Artes y las Ciencias está preparando ese documento, en el que se prevén prácticas positivas y nuevas para el desarrollo, consideradas puntos de ref</w:t>
      </w:r>
      <w:r>
        <w:t>e</w:t>
      </w:r>
      <w:r>
        <w:t>rencia estratégicos. Esas prácticas son las siguientes:</w:t>
      </w:r>
    </w:p>
    <w:p w:rsidR="00000000" w:rsidRDefault="00000000">
      <w:pPr>
        <w:pStyle w:val="SingleTxt"/>
        <w:tabs>
          <w:tab w:val="right" w:pos="1685"/>
        </w:tabs>
        <w:ind w:left="1742" w:hanging="475"/>
      </w:pPr>
      <w:r>
        <w:tab/>
        <w:t>•</w:t>
      </w:r>
      <w:r>
        <w:tab/>
        <w:t>Enfoque interdisciplinario;</w:t>
      </w:r>
    </w:p>
    <w:p w:rsidR="00000000" w:rsidRDefault="00000000">
      <w:pPr>
        <w:pStyle w:val="SingleTxt"/>
        <w:tabs>
          <w:tab w:val="right" w:pos="1685"/>
        </w:tabs>
        <w:ind w:left="1742" w:hanging="475"/>
      </w:pPr>
      <w:r>
        <w:tab/>
        <w:t>•</w:t>
      </w:r>
      <w:r>
        <w:tab/>
        <w:t>Enfoque intersectorial;</w:t>
      </w:r>
    </w:p>
    <w:p w:rsidR="00000000" w:rsidRDefault="00000000">
      <w:pPr>
        <w:pStyle w:val="SingleTxt"/>
        <w:tabs>
          <w:tab w:val="right" w:pos="1685"/>
        </w:tabs>
        <w:ind w:left="1742" w:hanging="475"/>
      </w:pPr>
      <w:r>
        <w:tab/>
        <w:t>•</w:t>
      </w:r>
      <w:r>
        <w:tab/>
        <w:t>Inclusión del sector no gubernamental;</w:t>
      </w:r>
    </w:p>
    <w:p w:rsidR="00000000" w:rsidRDefault="00000000">
      <w:pPr>
        <w:pStyle w:val="SingleTxt"/>
        <w:tabs>
          <w:tab w:val="right" w:pos="1685"/>
        </w:tabs>
        <w:ind w:left="1742" w:hanging="475"/>
      </w:pPr>
      <w:r>
        <w:tab/>
        <w:t>•</w:t>
      </w:r>
      <w:r>
        <w:tab/>
        <w:t>Desarrollo de iniciativas locales; y</w:t>
      </w:r>
    </w:p>
    <w:p w:rsidR="00000000" w:rsidRDefault="00000000">
      <w:pPr>
        <w:pStyle w:val="SingleTxt"/>
        <w:tabs>
          <w:tab w:val="right" w:pos="1685"/>
        </w:tabs>
        <w:ind w:left="1742" w:hanging="475"/>
      </w:pPr>
      <w:r>
        <w:tab/>
        <w:t>•</w:t>
      </w:r>
      <w:r>
        <w:tab/>
        <w:t>Colaboración internacional.</w:t>
      </w:r>
    </w:p>
    <w:p w:rsidR="00000000" w:rsidRDefault="00000000">
      <w:pPr>
        <w:pStyle w:val="SingleTxt"/>
        <w:suppressAutoHyphens/>
      </w:pPr>
      <w:r>
        <w:tab/>
        <w:t>Esas prácticas ya se aplican en el sistema asistencia de la salud con buenos result</w:t>
      </w:r>
      <w:r>
        <w:t>a</w:t>
      </w:r>
      <w:r>
        <w:t>dos.</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general del sistema de atención de la salud de la República de Macedonia</w:t>
      </w:r>
    </w:p>
    <w:p w:rsidR="00000000" w:rsidRDefault="00000000">
      <w:pPr>
        <w:pStyle w:val="SingleTxt"/>
        <w:spacing w:after="0" w:line="120" w:lineRule="exact"/>
        <w:rPr>
          <w:sz w:val="10"/>
        </w:rPr>
      </w:pPr>
    </w:p>
    <w:p w:rsidR="00000000" w:rsidRDefault="00000000">
      <w:pPr>
        <w:pStyle w:val="SingleTxt"/>
      </w:pPr>
      <w:r>
        <w:tab/>
        <w:t>Se preparó un documento con el examen general del sistema de atención de la salud en la República de Macedonia dentro del marco del Observatorio Europeo de Sistemas de Atención de la Salud, que está integrado por la Oficina Regional Eur</w:t>
      </w:r>
      <w:r>
        <w:t>o</w:t>
      </w:r>
      <w:r>
        <w:t>pea de la Organización Mundial de la Salud, el Banco Europeo de Inversiones, el Banco Mundial, los Gobiernos de Noruega y España, la Facultad de Ciencias Ec</w:t>
      </w:r>
      <w:r>
        <w:t>o</w:t>
      </w:r>
      <w:r>
        <w:t>nómicas y Políticas de Londres, la Facultad de Higiene y Medicina Tropical de Londres y el Open Society Institute. El documento que contenía el examen fue p</w:t>
      </w:r>
      <w:r>
        <w:t>u</w:t>
      </w:r>
      <w:r>
        <w:t>blicado en 2000 y puede consultarse en el sitio http//:www.observatory.dk. de la I</w:t>
      </w:r>
      <w:r>
        <w:t>n</w:t>
      </w:r>
      <w:r>
        <w:t>ternet. Así pues, se ha respetado el principio de la transparencia de los datos del sistema de salud en los planos nacional e internacional. El Ministerio de Sanidad tiene el propósito de proporcionar constantemente datos y actualizarlos, a lo que se procederá después del desarrollo del sistema, que aún no concluido.</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Investigaciones sobre la situación de la salud de las mujeres y los niños en la República de Macedonia</w:t>
      </w:r>
    </w:p>
    <w:p w:rsidR="00000000" w:rsidRDefault="00000000">
      <w:pPr>
        <w:pStyle w:val="SingleTxt"/>
        <w:spacing w:after="0" w:line="120" w:lineRule="exact"/>
        <w:rPr>
          <w:sz w:val="10"/>
        </w:rPr>
      </w:pPr>
    </w:p>
    <w:p w:rsidR="00000000" w:rsidRDefault="00000000">
      <w:pPr>
        <w:pStyle w:val="SingleTxt"/>
      </w:pPr>
      <w:r>
        <w:tab/>
        <w:t>La supervisión del estado de salud de la población, incluido el de las mujeres y los niños, se lleva a cabo con arreglo al sistema establecido de presentación de i</w:t>
      </w:r>
      <w:r>
        <w:t>n</w:t>
      </w:r>
      <w:r>
        <w:t>formes y de registro en el marco de diez institutos regionales y un instituto estatal de atención de la salud. Los datos utilizados en el presente informe proceden de ese sistema de supervisión. A partir del año pasado, dentro del Programa PHARE, se está formulando proyecto para modernizar y hacer avanzar el sistema mencionado, armonizándolo con los sistemas europeos. Mediante el nuevo sistema, que se ajust</w:t>
      </w:r>
      <w:r>
        <w:t>a</w:t>
      </w:r>
      <w:r>
        <w:t>rá a la nueva legislación relativa a las estadísticas en materia de salud, se habrá apl</w:t>
      </w:r>
      <w:r>
        <w:t>i</w:t>
      </w:r>
      <w:r>
        <w:t>cado totalmente la Recomendación no. 9 del Comité de supervisión de la recogida de datos, relativa en particular al estado de salud de la mujer y encaminada a mej</w:t>
      </w:r>
      <w:r>
        <w:t>o</w:t>
      </w:r>
      <w:r>
        <w:t>rar las condiciones de la evaluación de los progresos de la puesta en práctica de la Convención desde una perspectiva oficial, es decir, el proceso de realización de los derechos de la mujer desde el punto de vista crítico. Ya se ha redactado la versión inicial de la nueva legislación.</w:t>
      </w:r>
    </w:p>
    <w:p w:rsidR="00000000" w:rsidRDefault="00000000">
      <w:pPr>
        <w:pStyle w:val="SingleTxt"/>
      </w:pPr>
      <w:r>
        <w:tab/>
        <w:t>La República de Macedonia demostró un interés especial en el estado de salud de la mujer en el marco de las investigaciones realizadas en 1999 por numerosos grupos acerca del componente de micronutrientes, cuyos resultados se publicaron en 2000.</w:t>
      </w:r>
    </w:p>
    <w:p w:rsidR="00000000" w:rsidRDefault="00000000">
      <w:pPr>
        <w:pStyle w:val="SingleTxt"/>
      </w:pPr>
      <w:r>
        <w:tab/>
        <w:t>En relación con lo que antecede, no cabe duda de que el sistema de atención de la salud de la República de Macedonia cuenta con sólidas bases por lo que respecta a la protección del derecho a la salud. El sistema se está reformando desde el punto de vista legislativo y de la práctica con miras a que se atienda mejor a las necesid</w:t>
      </w:r>
      <w:r>
        <w:t>a</w:t>
      </w:r>
      <w:r>
        <w:t>des de salud de la población, particularmente de los grupos vulnerables.</w:t>
      </w:r>
    </w:p>
    <w:p w:rsidR="00000000" w:rsidRDefault="00000000">
      <w:pPr>
        <w:pStyle w:val="SingleTxt"/>
      </w:pPr>
      <w:r>
        <w:tab/>
        <w:t>En ciertos ámbitos ya se han puesto de manifiesto los progresos realizados, como puede observarse en los indicadores del estado de salud de la población, esp</w:t>
      </w:r>
      <w:r>
        <w:t>e</w:t>
      </w:r>
      <w:r>
        <w:t>cialmente de las mujeres y los niños. No obstante, se espera conseguir mejores r</w:t>
      </w:r>
      <w:r>
        <w:t>e</w:t>
      </w:r>
      <w:r>
        <w:t>sultados a largo plazo, teniendo en cuenta la situación económica y política exi</w:t>
      </w:r>
      <w:r>
        <w:t>s</w:t>
      </w:r>
      <w:r>
        <w:t>tente en el país y los esfuerzos que se están realizando sobre todo para mantener y post</w:t>
      </w:r>
      <w:r>
        <w:t>e</w:t>
      </w:r>
      <w:r>
        <w:t>riormente mejorar las prestaciones del sistema establecido.</w:t>
      </w:r>
    </w:p>
    <w:p w:rsidR="00000000" w:rsidRDefault="00000000">
      <w:pPr>
        <w:pStyle w:val="SingleTxt"/>
      </w:pPr>
      <w:r>
        <w:tab/>
        <w:t>Es preciso destacar que el sector de la salud no es un sector más. Las relaci</w:t>
      </w:r>
      <w:r>
        <w:t>o</w:t>
      </w:r>
      <w:r>
        <w:t>nes entre los aspectos sociales y económicos influyen en la política sanitaria, que tiene componentes científicos, jurídicos, profesionales y éticos.</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asistencia de la salud y el estado de salud de la mujer en la República de Macedonia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r>
      <w:r>
        <w:rPr>
          <w:i/>
          <w:spacing w:val="2"/>
          <w:w w:val="101"/>
        </w:rPr>
        <w:t>Datos demográficos y vitales detallados</w:t>
      </w:r>
      <w:r>
        <w:rPr>
          <w:spacing w:val="2"/>
          <w:w w:val="101"/>
        </w:rPr>
        <w:t>: Durante los últimos decenios, la pobl</w:t>
      </w:r>
      <w:r>
        <w:rPr>
          <w:spacing w:val="2"/>
          <w:w w:val="101"/>
        </w:rPr>
        <w:t>a</w:t>
      </w:r>
      <w:r>
        <w:rPr>
          <w:spacing w:val="2"/>
          <w:w w:val="101"/>
        </w:rPr>
        <w:t>ción de la República de Macedonia no ha hecho sino crecer de manera con</w:t>
      </w:r>
      <w:r>
        <w:rPr>
          <w:spacing w:val="2"/>
          <w:w w:val="101"/>
        </w:rPr>
        <w:t>s</w:t>
      </w:r>
      <w:r>
        <w:rPr>
          <w:spacing w:val="2"/>
          <w:w w:val="101"/>
        </w:rPr>
        <w:t>tante.</w:t>
      </w:r>
    </w:p>
    <w:p w:rsidR="00000000" w:rsidRDefault="00000000">
      <w:pPr>
        <w:pStyle w:val="SingleTxt"/>
      </w:pPr>
      <w:r>
        <w:tab/>
        <w:t>Está aumentando el porcentaje de mujeres, que pasó de representar el 49,3% en 1999 al 50% en 2001, en tanto que está disminuyendo el número de hombres, ya que pasó 1.080.808 en 1990 a 1.018.521 en 2001.</w:t>
      </w:r>
    </w:p>
    <w:p w:rsidR="00000000" w:rsidRDefault="00000000">
      <w:pPr>
        <w:pStyle w:val="SingleTxt"/>
      </w:pPr>
      <w:r>
        <w:tab/>
        <w:t>Durante el período comprendido entre 1990 y 2001 disminuyó gradualmente la tasa de crecimiento de la población, ya que pasó de 9,7 por 1.000 en 1990 a 5 por 1.000 en 2001. En los últimos años cayó manifiestamente la tasa de natalidad, ya que pasó de 16,6 por 1.000 en 1990 a 13,3 por 1.000 en 2001, al tiempo que la tasa de mort</w:t>
      </w:r>
      <w:r>
        <w:t>a</w:t>
      </w:r>
      <w:r>
        <w:t>lidad aumentó de 6,9 a 8,3 por 1.000 en 2001.</w:t>
      </w:r>
    </w:p>
    <w:p w:rsidR="00000000" w:rsidRDefault="00000000">
      <w:pPr>
        <w:pStyle w:val="SingleTxt"/>
      </w:pPr>
      <w:r>
        <w:tab/>
        <w:t>El porcentaje de mayores de 65 años de edad está aumentando gradualmente, ya que pasó del 7,3% en 1990 al 10,1 % en 2001, razón por la que se prevé que s</w:t>
      </w:r>
      <w:r>
        <w:t>e</w:t>
      </w:r>
      <w:r>
        <w:t>guirá e</w:t>
      </w:r>
      <w:r>
        <w:t>n</w:t>
      </w:r>
      <w:r>
        <w:t>vejeciendo la población.</w:t>
      </w:r>
    </w:p>
    <w:p w:rsidR="00000000" w:rsidRDefault="00000000">
      <w:pPr>
        <w:pStyle w:val="SingleTxt"/>
      </w:pPr>
      <w:r>
        <w:tab/>
        <w:t>En los últimos años la esperanza de vida ha aumentado ligeramente hasta c</w:t>
      </w:r>
      <w:r>
        <w:t>i</w:t>
      </w:r>
      <w:r>
        <w:t>frarse en 73 años para toda la población. Las mujeres tienen cinco años más de esp</w:t>
      </w:r>
      <w:r>
        <w:t>e</w:t>
      </w:r>
      <w:r>
        <w:t>ranza de vida que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Esperanza de vida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1997-1999</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1999-2001</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72,49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72,49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72,68</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70,37</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70,37</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70,48</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70,68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Indicadores demográficos y vitales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60"/>
        <w:gridCol w:w="928"/>
        <w:gridCol w:w="1094"/>
        <w:gridCol w:w="1094"/>
        <w:gridCol w:w="1094"/>
        <w:gridCol w:w="1094"/>
        <w:gridCol w:w="1094"/>
        <w:gridCol w:w="1094"/>
        <w:gridCol w:w="1094"/>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spacing w:before="80" w:after="80" w:line="160" w:lineRule="exact"/>
              <w:ind w:right="40"/>
              <w:rPr>
                <w:i/>
                <w:sz w:val="14"/>
              </w:rPr>
            </w:pPr>
          </w:p>
        </w:tc>
        <w:tc>
          <w:tcPr>
            <w:tcW w:w="92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1990</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109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928"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total</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2 131 806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1 966 000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1 992 208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1 998 000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2 008 000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2 025 000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2 031 000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2 036 441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1 050 998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981 704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988 274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997 691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1 002 997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1 011 982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1 019 697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1 017 920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de 15 a 49 años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mayores de 15 años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1 080 808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1 014 296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1 003 934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1 000 309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1 005 003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1 013 018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1 011 303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1 018 521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población mayor de 65 años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población urbana</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población rural</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natalidad</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Crecimiento natural</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infantil</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desempleados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empleadas</w:t>
            </w:r>
          </w:p>
        </w:tc>
        <w:tc>
          <w:tcPr>
            <w:tcW w:w="9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Fuente: Ministerio de Sanidad.</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Causas de mortalidad</w:t>
      </w:r>
    </w:p>
    <w:p w:rsidR="00000000" w:rsidRDefault="00000000">
      <w:pPr>
        <w:pStyle w:val="SingleTxt"/>
        <w:spacing w:after="0" w:line="120" w:lineRule="exact"/>
        <w:rPr>
          <w:sz w:val="10"/>
        </w:rPr>
      </w:pPr>
    </w:p>
    <w:p w:rsidR="00000000" w:rsidRDefault="00000000">
      <w:pPr>
        <w:pStyle w:val="SingleTxt"/>
      </w:pPr>
      <w:r>
        <w:tab/>
        <w:t>La mortalidad es un factor ilustrativo del estado de salud de la población. En 2001 fallecieron en la República de Macedonia 16.919 personas, lo que supuso una disminución del 1,9% respecto de la tasa de 2000, cifrada en 8,3 por 1.000. Se pr</w:t>
      </w:r>
      <w:r>
        <w:t>o</w:t>
      </w:r>
      <w:r>
        <w:t>dujo un aumento del 15,5% por comparación con 1990, año en que la tasa de mort</w:t>
      </w:r>
      <w:r>
        <w:t>a</w:t>
      </w:r>
      <w:r>
        <w:t>lidad se había cifrado en 6,7 por 1.000 habitantes, lo que arrojaba la cifra de 14.643 fall</w:t>
      </w:r>
      <w:r>
        <w:t>e</w:t>
      </w:r>
      <w:r>
        <w:t>cidos.</w:t>
      </w:r>
    </w:p>
    <w:p w:rsidR="00000000" w:rsidRDefault="00000000">
      <w:pPr>
        <w:pStyle w:val="SingleTxt"/>
      </w:pPr>
      <w:r>
        <w:tab/>
        <w:t>Por lo que respecta al desglose por edad de los fallecidos, la tasa correspo</w:t>
      </w:r>
      <w:r>
        <w:t>n</w:t>
      </w:r>
      <w:r>
        <w:t>diente a las mujeres, cifrada en el 1,6 por 1.000 en 1990, es inferior a la de los ho</w:t>
      </w:r>
      <w:r>
        <w:t>m</w:t>
      </w:r>
      <w:r>
        <w:t>bres, que representa el 7,6 por 1.000; la tasa de mortalidad de ambos géneros siguió una tendencia creciente durante el período comprendido entre 1995 y 2001, llegando a cifrarse en el 7,5 por 1.000 en el caso de las mujeres y en el 9,1 por 1.000 en el c</w:t>
      </w:r>
      <w:r>
        <w:t>a</w:t>
      </w:r>
      <w:r>
        <w:t>so los hombres.</w:t>
      </w:r>
    </w:p>
    <w:p w:rsidR="00000000" w:rsidRDefault="00000000">
      <w:pPr>
        <w:pStyle w:val="SingleTxt"/>
      </w:pPr>
      <w:r>
        <w:tab/>
        <w:t>En cuanto al desglose por edades, las diferencias entre los géneros son mucho más evidentes, ya que la tasa correspondiente a las mujeres del grupo de edad de mayores de 65 años se cifra en el 51,6 por 1.000 y en el caso los hombres en el 3,6 por 1.000.</w:t>
      </w:r>
    </w:p>
    <w:p w:rsidR="00000000" w:rsidRDefault="00000000">
      <w:pPr>
        <w:pStyle w:val="SingleTxt"/>
      </w:pPr>
      <w:r>
        <w:tab/>
        <w:t>Durante el período examinado, no se produjeron cambios en las cinco princ</w:t>
      </w:r>
      <w:r>
        <w:t>i</w:t>
      </w:r>
      <w:r>
        <w:t>pales causas de fallecimiento; el primer lugar correspondió a las enfermedades ca</w:t>
      </w:r>
      <w:r>
        <w:t>r</w:t>
      </w:r>
      <w:r>
        <w:t>diovasculares, que representaron el 48,6% del número total de fallecimientos en 1990 y el 56,4% en 2001. El porcentaje de fallecimientos imputables al neoplasma maligno se cifró en el 15,3% en 1990 y en el 18,1% en 2001. Los fallecimientos por enfermedades respiratorias representaron el 6,3% en 1990 y el 3,3% en 2001. Los fallecimientos por lesiones y envenenamiento ocuparon el cuarto y el tercer lugar respect</w:t>
      </w:r>
      <w:r>
        <w:t>i</w:t>
      </w:r>
      <w:r>
        <w:t>vamente en 1990 y 2001, representando el 4,8% y el 4,4%.</w:t>
      </w:r>
    </w:p>
    <w:p w:rsidR="00000000" w:rsidRDefault="00000000">
      <w:pPr>
        <w:pStyle w:val="SingleTxt"/>
      </w:pPr>
      <w:r>
        <w:tab/>
        <w:t>Durante el período examinado, la mortalidad derivada de la maternidad fluctuó entre el 22,8 por 1.000 en 1995 y el 3,4 por 1.000 en 1997 y 1998, en tanto que en 2001 se cifró en 14,7 por 1.000.</w:t>
      </w:r>
    </w:p>
    <w:p w:rsidR="00000000" w:rsidRDefault="00000000">
      <w:pPr>
        <w:pStyle w:val="SingleTxt"/>
      </w:pPr>
      <w:r>
        <w:tab/>
        <w:t>El número de fallecimientos por causas violentas durante el período compre</w:t>
      </w:r>
      <w:r>
        <w:t>n</w:t>
      </w:r>
      <w:r>
        <w:t>dido entre 1990 y 2001 muestra un ligero aumento, ya que pasó de 700 casos por 100.000 ciudadanos en 1990 a 741 por 100.000 en 2001. Los accidentes represent</w:t>
      </w:r>
      <w:r>
        <w:t>a</w:t>
      </w:r>
      <w:r>
        <w:t>ron el 61,8% del número total de los fallecimientos por causas violentas; por lo d</w:t>
      </w:r>
      <w:r>
        <w:t>e</w:t>
      </w:r>
      <w:r>
        <w:t>más, se suicidaron menos mujeres que hombres y no se produjo ningún aumento e</w:t>
      </w:r>
      <w:r>
        <w:t>s</w:t>
      </w:r>
      <w:r>
        <w:t>pectac</w:t>
      </w:r>
      <w:r>
        <w:t>u</w:t>
      </w:r>
      <w:r>
        <w:t>lar de suicidios durante el período examinado.</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Morbilidad de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Morbilidad en los ambulatorios y policlínicos</w:t>
      </w:r>
    </w:p>
    <w:p w:rsidR="00000000" w:rsidRDefault="00000000">
      <w:pPr>
        <w:pStyle w:val="SingleTxt"/>
        <w:spacing w:after="0" w:line="120" w:lineRule="exact"/>
        <w:rPr>
          <w:sz w:val="10"/>
        </w:rPr>
      </w:pPr>
    </w:p>
    <w:p w:rsidR="00000000" w:rsidRDefault="00000000">
      <w:pPr>
        <w:pStyle w:val="SingleTxt"/>
      </w:pPr>
      <w:r>
        <w:tab/>
        <w:t>Según la Oficina de asistencia de la salud a la mujer, en 2000 se registraron 167.601 casos de personas enfermas y la tasa de morbilidad de las mujeres se cifró en 2.119,3 por 10.000. Por comparación con 1990, año en que la tasa de morbilidad se había cifrado en 2.699 por 10.000, se produjo una disminución del 46,5%. No obstante, no cabe duda de que está aumentando la morbilidad causada por el ne</w:t>
      </w:r>
      <w:r>
        <w:t>o</w:t>
      </w:r>
      <w:r>
        <w:t>plasma maligno, cuya tasa se cifró en el 64,2 por 10.000 en 1990 y en el 70,8 por 10.000 en 2000 (la morbilidad está causada fundamentalmente por el neoplasma maligno de mama y útero). Desde el punto de vista patológico general, las enferm</w:t>
      </w:r>
      <w:r>
        <w:t>e</w:t>
      </w:r>
      <w:r>
        <w:t>dades más frecuentes son las del sistema genitourinario, que representan el 54,5%, y las diez dolencias más frecuentes son las relacionadas con las complicaciones d</w:t>
      </w:r>
      <w:r>
        <w:t>u</w:t>
      </w:r>
      <w:r>
        <w:t>rante la menstruación, las enfermedades inflamatorias, la esterilidad, la candiasis, las complicaciones durante el embarazo y el puerperio, el neoplasma benigno y m</w:t>
      </w:r>
      <w:r>
        <w:t>a</w:t>
      </w:r>
      <w:r>
        <w:t>ligno del útero, etc.</w:t>
      </w:r>
    </w:p>
    <w:p w:rsidR="00000000" w:rsidRDefault="00000000">
      <w:pPr>
        <w:pStyle w:val="SingleTxt"/>
      </w:pPr>
      <w:r>
        <w:tab/>
        <w:t>Durante el período comprendido entre 1990 y 2000, se observa una tendencia a la disminución constante de la morbilidad relacionada con la medicina general. Esa morbilidad afecta más a las mujeres que a los hombres, ya que la tasa de las prim</w:t>
      </w:r>
      <w:r>
        <w:t>e</w:t>
      </w:r>
      <w:r>
        <w:t>ras es de 8.507,8 por 10.000, en tanto que, en el caso del hombre es de 7.427,7 por 10.000. Las enfermedades más frecuentes de la mujer son las que afectan a los si</w:t>
      </w:r>
      <w:r>
        <w:t>s</w:t>
      </w:r>
      <w:r>
        <w:t>temas respiratorio, cardiovascular, digestivo, muscular y genitourinario, así como las enfermedades mentales.</w:t>
      </w:r>
    </w:p>
    <w:p w:rsidR="00000000" w:rsidRDefault="00000000">
      <w:pPr>
        <w:pStyle w:val="SingleTxt"/>
      </w:pPr>
      <w:r>
        <w:tab/>
        <w:t>En relación con el desglose por edades, son más frecuentes las enfermedades entre los ancianos.</w:t>
      </w:r>
    </w:p>
    <w:p w:rsidR="00000000" w:rsidRDefault="00000000">
      <w:pPr>
        <w:pStyle w:val="SingleTxt"/>
      </w:pPr>
      <w:r>
        <w:tab/>
        <w:t>En cuanto a la morbilidad hospitalaria, en 2001 la tasa correspondiente a las mujeres fue de 801,6 por 10.000, en tanto que en el caso de los hombres la tasa se cifró en 767,3 por 10.000.</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organizaciones encargadas de la asistencia de la salud</w:t>
      </w:r>
    </w:p>
    <w:p w:rsidR="00000000" w:rsidRDefault="00000000">
      <w:pPr>
        <w:pStyle w:val="SingleTxt"/>
        <w:spacing w:after="0" w:line="120" w:lineRule="exact"/>
        <w:rPr>
          <w:sz w:val="10"/>
        </w:rPr>
      </w:pPr>
    </w:p>
    <w:p w:rsidR="00000000" w:rsidRDefault="00000000">
      <w:pPr>
        <w:pStyle w:val="SingleTxt"/>
      </w:pPr>
      <w:r>
        <w:tab/>
        <w:t>Las organizaciones sanitarias llevan a cabo sus actividades dentro del marco del sistema existente, en el que se imparten orientaciones generales para que se pr</w:t>
      </w:r>
      <w:r>
        <w:t>o</w:t>
      </w:r>
      <w:r>
        <w:t>du</w:t>
      </w:r>
      <w:r>
        <w:t>z</w:t>
      </w:r>
      <w:r>
        <w:t>ca un cambio hacia la atención preventiva de la salud.</w:t>
      </w:r>
    </w:p>
    <w:p w:rsidR="00000000" w:rsidRDefault="00000000">
      <w:pPr>
        <w:pStyle w:val="SingleTxt"/>
      </w:pPr>
      <w:r>
        <w:tab/>
        <w:t>La atención de la salud de la mujer se organiza a tres niveles, a saber, la ate</w:t>
      </w:r>
      <w:r>
        <w:t>n</w:t>
      </w:r>
      <w:r>
        <w:t>ción primaria de la salud, la atención secundaria y la atención terciaria.</w:t>
      </w:r>
    </w:p>
    <w:p w:rsidR="00000000" w:rsidRDefault="00000000">
      <w:pPr>
        <w:pStyle w:val="SingleTxt"/>
      </w:pPr>
      <w:r>
        <w:tab/>
        <w:t>A partir de 2002 la atención primaria de la salud, que es la base del sistema sanitario de la República de Macedonia, está enmarcada dentro de una amplia red de unidades médicas. El Servicio de Salud realiza actividades preventivas y curativas mediante seis estaciones de salud, 18 centros de atención de la salud y 16 centros médicos o dependencias de servicios médicos (hay 296 unidades médicas rurales dentro de los servicios de salud). Dentro de esas organizaciones sanitarias, se presta a la mujer atención primaria de la salud en el marco de la medicina general, la salud ocupacional y la atención dental; se prestan a la mujer servicios especializados de salud dentro de los pabellones para mujeres con que cuentan las dependencias san</w:t>
      </w:r>
      <w:r>
        <w:t>i</w:t>
      </w:r>
      <w:r>
        <w:t>tarias y los centros médicos existentes en la República (un total de 50 unidades), así como en ocho departamentos obstetricia de los ambulatorios. Por último, existe una adecuada distribución de servicios tanto en las zonas urbanas como en las rurales.</w:t>
      </w:r>
    </w:p>
    <w:p w:rsidR="00000000" w:rsidRDefault="00000000">
      <w:pPr>
        <w:pStyle w:val="SingleTxt"/>
      </w:pPr>
      <w:r>
        <w:tab/>
        <w:t>La atención secundaria de la salud corre a cargo de los servicios de obstetricia y ginecología; la Oficina de protección de las madres y niños de Skopje; y los d</w:t>
      </w:r>
      <w:r>
        <w:t>e</w:t>
      </w:r>
      <w:r>
        <w:t>part</w:t>
      </w:r>
      <w:r>
        <w:t>a</w:t>
      </w:r>
      <w:r>
        <w:t>mentos de obstetricia y ginecología de los hospitales generales.</w:t>
      </w:r>
    </w:p>
    <w:p w:rsidR="00000000" w:rsidRDefault="00000000">
      <w:pPr>
        <w:pStyle w:val="SingleTxt"/>
      </w:pPr>
      <w:r>
        <w:tab/>
        <w:t>La atención terciaria de la salud corre a cargo de la Clínica Ginecológica y del Hospital Especial de obstetricia y ginecología de Skopje, así como de los depart</w:t>
      </w:r>
      <w:r>
        <w:t>a</w:t>
      </w:r>
      <w:r>
        <w:t>mentos de atención de la salud de la mujer del resto de los ambulatorios y centros sanitarios.</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Dotación de personal</w:t>
      </w:r>
    </w:p>
    <w:p w:rsidR="00000000" w:rsidRDefault="00000000">
      <w:pPr>
        <w:pStyle w:val="SingleTxt"/>
        <w:keepNext/>
        <w:keepLines/>
        <w:spacing w:after="0" w:line="120" w:lineRule="exact"/>
        <w:rPr>
          <w:sz w:val="10"/>
        </w:rPr>
      </w:pPr>
    </w:p>
    <w:p w:rsidR="00000000" w:rsidRDefault="00000000">
      <w:pPr>
        <w:pStyle w:val="SingleTxt"/>
        <w:keepNext/>
        <w:keepLines/>
      </w:pPr>
      <w:r>
        <w:tab/>
        <w:t>En 1990 la atención de la salud de la mujer corría a cargo de 1.245 empleados médicos de tres niveles: 363 en el nivel primario (el 29,1%), 479 en el nivel secu</w:t>
      </w:r>
      <w:r>
        <w:t>n</w:t>
      </w:r>
      <w:r>
        <w:t>dario (el 38,5%) y 403 en el nivel terciario (el 32,4%).</w:t>
      </w:r>
    </w:p>
    <w:p w:rsidR="00000000" w:rsidRDefault="00000000">
      <w:pPr>
        <w:pStyle w:val="SingleTxt"/>
        <w:rPr>
          <w:spacing w:val="2"/>
          <w:w w:val="101"/>
        </w:rPr>
      </w:pPr>
      <w:r>
        <w:rPr>
          <w:spacing w:val="2"/>
          <w:w w:val="101"/>
        </w:rPr>
        <w:tab/>
        <w:t>El número de doctores era de 303, de los que 211 eran ginecólogos; además, había 728 médicos que habían cursado estudios superiores y secundarios de medic</w:t>
      </w:r>
      <w:r>
        <w:rPr>
          <w:spacing w:val="2"/>
          <w:w w:val="101"/>
        </w:rPr>
        <w:t>i</w:t>
      </w:r>
      <w:r>
        <w:rPr>
          <w:spacing w:val="2"/>
          <w:w w:val="101"/>
        </w:rPr>
        <w:t>na.</w:t>
      </w:r>
    </w:p>
    <w:p w:rsidR="00000000" w:rsidRDefault="00000000">
      <w:pPr>
        <w:pStyle w:val="SingleTxt"/>
      </w:pPr>
      <w:r>
        <w:tab/>
        <w:t>En 2001 el número de empleados médicos y auxiliares descendió a 1.125, es decir, un 9,6%, como consecuencia de la disminución del número de empleados m</w:t>
      </w:r>
      <w:r>
        <w:t>é</w:t>
      </w:r>
      <w:r>
        <w:t>dicos que habían cursado enseñanza en las escuelas de enfermería y las escuelas s</w:t>
      </w:r>
      <w:r>
        <w:t>e</w:t>
      </w:r>
      <w:r>
        <w:t>cundarias de medicina. El número de doctores aumentó a 335, es decir, el 10,6%, y el número de especialistas pasó a cifrarse en 275, es decir, el 30,3%. El número de e</w:t>
      </w:r>
      <w:r>
        <w:t>m</w:t>
      </w:r>
      <w:r>
        <w:t>pleados médicos con estudios superiores pasó a 790, lo que representa el 8,5%.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Doctores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Enseñanza superior</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Enseñanza secundaria</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Especialistas</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1 245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1 124</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prestaron asistencia primaria de la salud 92 doctores (el 27,5%), ate</w:t>
      </w:r>
      <w:r>
        <w:t>n</w:t>
      </w:r>
      <w:r>
        <w:t>ción secundaria 130 (el 38,8%) y atención terciaria 113 (el 33,7%).</w:t>
      </w:r>
    </w:p>
    <w:p w:rsidR="00000000" w:rsidRDefault="00000000">
      <w:pPr>
        <w:pStyle w:val="SingleTxt"/>
      </w:pPr>
      <w:r>
        <w:tab/>
        <w:t>Dentro de la estructura general de personal, los empleados de atención secu</w:t>
      </w:r>
      <w:r>
        <w:t>n</w:t>
      </w:r>
      <w:r>
        <w:t>daria de la salud representan el 45,9% y los de la atención terciaria el 30,4%, en tanto que el porcentaje menor corresponde a los empleados encargados de la ate</w:t>
      </w:r>
      <w:r>
        <w:t>n</w:t>
      </w:r>
      <w:r>
        <w:t>ción primaria, a saber, el 23,7%.</w:t>
      </w:r>
    </w:p>
    <w:p w:rsidR="00000000" w:rsidRDefault="00000000">
      <w:pPr>
        <w:pStyle w:val="SingleTxt"/>
      </w:pPr>
      <w:r>
        <w:tab/>
        <w:t>La proporción de personal médico con titulación superior y secundaria re</w:t>
      </w:r>
      <w:r>
        <w:t>s</w:t>
      </w:r>
      <w:r>
        <w:t>pecto del número de doctores del nivel primario es de 2 a 1; en el nivel secundario de 2,9 a 1; y en el nivel terciario de 2 a 1.</w:t>
      </w:r>
    </w:p>
    <w:p w:rsidR="00000000" w:rsidRDefault="00000000">
      <w:pPr>
        <w:pStyle w:val="SingleTxt"/>
      </w:pPr>
      <w:r>
        <w:tab/>
        <w:t>La atención primaria de la salud se presta mediante dispensarios para la mujer encargados de realizar actividades curativas y cuyo número se cifró en 73 en 1990 y en 50 en 2001; además, hay otros dispensarios que realizan actividades preventivas (servicio de asesoramiento durante el embarazo, servicios de planificación de la f</w:t>
      </w:r>
      <w:r>
        <w:t>a</w:t>
      </w:r>
      <w:r>
        <w:t>milia y atención de enfermería).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Atención primaria de la salud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Unidades de atención de la salud de la mujer en el nivel primario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724"/>
        <w:gridCol w:w="724"/>
        <w:gridCol w:w="724"/>
        <w:gridCol w:w="725"/>
        <w:gridCol w:w="724"/>
        <w:gridCol w:w="724"/>
        <w:gridCol w:w="725"/>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07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unidades</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Tipos de unidades de organización</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r>
              <w:rPr>
                <w:i/>
                <w:sz w:val="14"/>
              </w:rPr>
              <w:br/>
              <w:t>2000</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Consultas de médicos</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asesoramiento durante el embarazo</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asesoramiento de planificación de la familia</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enfermería</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pPr>
      <w:r>
        <w:tab/>
        <w:t>La atención primaria de la salud de la mujer abarca servicios de salud preve</w:t>
      </w:r>
      <w:r>
        <w:t>n</w:t>
      </w:r>
      <w:r>
        <w:t>tiva que se prestan por departamentos de asesoramiento durante el embarazo y cuyo número de usuarias disminuyó un 22% de 1990 a 1995, si bien aumentó un 9,8% entre 1995 y 2001. Con la salvedad de la disminución registrada en 1990, los serv</w:t>
      </w:r>
      <w:r>
        <w:t>i</w:t>
      </w:r>
      <w:r>
        <w:t>cios de enfermería de distrito aumentaron un 15,5% entre 1990 y 2001.</w:t>
      </w:r>
    </w:p>
    <w:p w:rsidR="00000000" w:rsidRDefault="00000000">
      <w:pPr>
        <w:pStyle w:val="SingleTxt"/>
      </w:pPr>
      <w:r>
        <w:tab/>
        <w:t>Los datos correspondientes a los servicios de enfermería de distrito ponen de manifiesto una mejora de la organización y de las actividades de esos servicios, que tienen una importancia esencial antes del parto, al tiempo que proporcionan ayuda y asistencia profesional durante la lactancia y durante el parto. Esa importancia ob</w:t>
      </w:r>
      <w:r>
        <w:t>e</w:t>
      </w:r>
      <w:r>
        <w:t>dece en parte a un proyecto emprendido del Ministerio de Sanidad y el UNICEF, cuyo objetivo es fortalecer los servicios de enfermería de distrito en materia de pe</w:t>
      </w:r>
      <w:r>
        <w:t>r</w:t>
      </w:r>
      <w:r>
        <w:t>sonal, recursos financieros y organización técnica, lo que servirá para que dismin</w:t>
      </w:r>
      <w:r>
        <w:t>u</w:t>
      </w:r>
      <w:r>
        <w:t>ya la tasa de fallecimientos de lactantes.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 de la mujer en el nivel primario con arreglo al número de servicios prestados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720"/>
        <w:gridCol w:w="720"/>
        <w:gridCol w:w="720"/>
        <w:gridCol w:w="720"/>
        <w:gridCol w:w="720"/>
        <w:gridCol w:w="720"/>
        <w:gridCol w:w="720"/>
        <w:gridCol w:w="72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de los servicio de asesoramiento durante el embarazo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154 767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120 240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113 239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114 155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136 795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116 913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144 018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108 455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enfermería de distrito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47 241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127 269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90 399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117 179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115 459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110 066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122 340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120 456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Usuarias de los servicios de asesoramiento en materia de planificación de la familia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87 037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33 957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32 560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22 705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oficinas encargadas de anticonceptivos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10 807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Anticonceptivos orales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24 360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9 377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Anticonceptivos intrauterinos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Diafragmas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métodos anticonceptivos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Asistencia en las consultas médicas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524 362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344 783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288 798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307 941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312 269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306 897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305 270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282 786</w:t>
            </w:r>
          </w:p>
        </w:tc>
      </w:tr>
    </w:tbl>
    <w:p w:rsidR="00000000" w:rsidRDefault="00000000">
      <w:pPr>
        <w:pStyle w:val="Foote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Footer"/>
        <w:spacing w:line="120" w:lineRule="exact"/>
        <w:rPr>
          <w:sz w:val="10"/>
        </w:rPr>
      </w:pPr>
    </w:p>
    <w:p w:rsidR="00000000" w:rsidRDefault="00000000">
      <w:pPr>
        <w:pStyle w:val="SingleTxt"/>
      </w:pPr>
      <w:r>
        <w:tab/>
        <w:t>El gráfico que figura a continuación presenta la situación existente por lo que respecta a los usuarios de los servicios de planificación de la familia y a los antico</w:t>
      </w:r>
      <w:r>
        <w:t>n</w:t>
      </w:r>
      <w:r>
        <w:t>ceptivos facilitados durante el período de diez años comprendidos entre 1990 y 2001. Las actividades de planificación de la familia resultan insuficientes y no cabe duda de que está disminuyendo el número de medicamentos anticonceptivos.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group id="_x0000_s2051" style="position:absolute;left:0;text-align:left;margin-left:53.95pt;margin-top:5.15pt;width:419.4pt;height:166.25pt;z-index:2" coordorigin="2274,2325" coordsize="8388,3325"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2274;top:2325;width:8388;height:3325">
              <v:imagedata r:id="rId34" o:title=""/>
            </v:shape>
            <v:shapetype id="_x0000_t202" coordsize="21600,21600" o:spt="202" path="m,l,21600r21600,l21600,xe">
              <v:stroke joinstyle="miter"/>
              <v:path gradientshapeok="t" o:connecttype="rect"/>
            </v:shapetype>
            <v:shape id="_x0000_s2053" type="#_x0000_t202" style="position:absolute;left:3282;top:2469;width:7056;height:390" filled="f" stroked="f">
              <v:textbox>
                <w:txbxContent>
                  <w:p w:rsidR="00000000" w:rsidRDefault="00000000">
                    <w:pPr>
                      <w:jc w:val="center"/>
                      <w:rPr>
                        <w:b/>
                        <w:sz w:val="18"/>
                      </w:rPr>
                    </w:pPr>
                    <w:r>
                      <w:rPr>
                        <w:b/>
                        <w:snapToGrid w:val="0"/>
                        <w:sz w:val="18"/>
                        <w:lang w:val="en-US" w:eastAsia="en-US"/>
                      </w:rPr>
                      <w:t>Anticonceptivos suministrados en la República de Macedonia entre 1990 y 2001</w:t>
                    </w:r>
                  </w:p>
                </w:txbxContent>
              </v:textbox>
            </v:shape>
            <v:shape id="_x0000_s2054" type="#_x0000_t202" style="position:absolute;left:5106;top:5136;width:3936;height:480" filled="f" stroked="f">
              <v:textbox>
                <w:txbxContent>
                  <w:p w:rsidR="00000000" w:rsidRDefault="00000000">
                    <w:pPr>
                      <w:pStyle w:val="SingleTxt"/>
                    </w:pPr>
                    <w:r>
                      <w:t>Número</w:t>
                    </w:r>
                  </w:p>
                  <w:p w:rsidR="00000000" w:rsidRDefault="00000000"/>
                </w:txbxContent>
              </v:textbox>
            </v:shape>
            <v:shape id="_x0000_s2055" type="#_x0000_t202" style="position:absolute;left:2418;top:3333;width:720;height:864" filled="f" stroked="f">
              <v:textbox style="layout-flow:vertical;mso-layout-flow-alt:bottom-to-top">
                <w:txbxContent>
                  <w:p w:rsidR="00000000" w:rsidRDefault="00000000">
                    <w:pPr>
                      <w:jc w:val="center"/>
                    </w:pPr>
                    <w:r>
                      <w:t>Año</w:t>
                    </w:r>
                  </w:p>
                </w:txbxContent>
              </v:textbox>
            </v:shape>
          </v:group>
          <o:OLEObject Type="Embed" ProgID="Excel.Sheet.8" ShapeID="_x0000_s2052" DrawAspect="Content" ObjectID="_1395245449" r:id="rId3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 xml:space="preserve">La situación existente obedece presumiblemente a que las mujeres han pasado a recurrir a los servicios privados de ginecología, a lo que se suma la posibilidad de obtener medicamentos libremente y sin prescripción facultativa y ello dificulta la vigilancia de la utilización de los anticonceptivos para regular la fecundidad. Al </w:t>
      </w:r>
      <w:r>
        <w:rPr>
          <w:spacing w:val="2"/>
          <w:w w:val="101"/>
        </w:rPr>
        <w:t>igual que en el período anterior, en 2001 se recetaron 10.807 anticonceptivos por el o</w:t>
      </w:r>
      <w:r>
        <w:rPr>
          <w:spacing w:val="2"/>
          <w:w w:val="101"/>
        </w:rPr>
        <w:t>r</w:t>
      </w:r>
      <w:r>
        <w:rPr>
          <w:spacing w:val="2"/>
          <w:w w:val="101"/>
        </w:rPr>
        <w:t>den siguiente: anticonceptivos orales (el 86,8%), anticonceptivos intrauterinos (el 9,2%) y diafragmas (el 0,5%); los demás métodos anticonceptivos representaron el 3,5%.</w:t>
      </w:r>
    </w:p>
    <w:p w:rsidR="00000000" w:rsidRDefault="00000000">
      <w:pPr>
        <w:pStyle w:val="SingleTxt"/>
      </w:pPr>
      <w:r>
        <w:tab/>
        <w:t>Según los servicios de asesoramiento de planificación de la familia, el número de medicamentos anticonceptivos recetados entre 1990 y 2001 disminuyó consid</w:t>
      </w:r>
      <w:r>
        <w:t>e</w:t>
      </w:r>
      <w:r>
        <w:t>rablemente en alrededor de dos tercios y el número de usuarias disminuyó un 19%.</w:t>
      </w:r>
    </w:p>
    <w:p w:rsidR="00000000" w:rsidRDefault="00000000">
      <w:pPr>
        <w:pStyle w:val="SingleTxt"/>
      </w:pPr>
      <w:r>
        <w:tab/>
        <w:t>El aborto, al que se sigue recurriendo como método de control de la fecund</w:t>
      </w:r>
      <w:r>
        <w:t>i</w:t>
      </w:r>
      <w:r>
        <w:t>dad, suele ser denominado “planificación de la familia”; según los datos del período más reciente, por cada 2,5 partos se registró un aborto. En 2001 se registraron 8.427 abortos y la proporción entre los partos y los abortos fue de 3,2 a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Partos realizados con ayuda profesional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955"/>
        <w:gridCol w:w="956"/>
        <w:gridCol w:w="956"/>
        <w:gridCol w:w="103"/>
        <w:gridCol w:w="852"/>
        <w:gridCol w:w="956"/>
        <w:gridCol w:w="82"/>
        <w:gridCol w:w="874"/>
        <w:gridCol w:w="956"/>
      </w:tblGrid>
      <w:tr w:rsidR="00000000">
        <w:tblPrEx>
          <w:tblCellMar>
            <w:top w:w="0" w:type="dxa"/>
            <w:left w:w="0" w:type="dxa"/>
            <w:bottom w:w="0" w:type="dxa"/>
            <w:right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1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3823" w:type="dxa"/>
            <w:gridSpan w:val="6"/>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Fuera de los centros médicos</w:t>
            </w:r>
          </w:p>
        </w:tc>
      </w:tr>
      <w:tr w:rsidR="00000000">
        <w:tblPrEx>
          <w:tblCellMar>
            <w:top w:w="0" w:type="dxa"/>
            <w:left w:w="0" w:type="dxa"/>
            <w:bottom w:w="0" w:type="dxa"/>
            <w:right w:w="0" w:type="dxa"/>
          </w:tblCellMar>
        </w:tblPrEx>
        <w:trPr>
          <w:cantSplit/>
          <w:tblHeader/>
        </w:trPr>
        <w:tc>
          <w:tcPr>
            <w:tcW w:w="630" w:type="dxa"/>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55"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12"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 centros médicos</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0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Con ayuda profesional</w:t>
            </w:r>
          </w:p>
        </w:tc>
        <w:tc>
          <w:tcPr>
            <w:tcW w:w="8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Sin ayuda profesional</w:t>
            </w:r>
          </w:p>
        </w:tc>
      </w:tr>
      <w:tr w:rsidR="00000000">
        <w:tblPrEx>
          <w:tblCellMar>
            <w:top w:w="0" w:type="dxa"/>
            <w:left w:w="0" w:type="dxa"/>
            <w:bottom w:w="0" w:type="dxa"/>
            <w:right w:w="0" w:type="dxa"/>
          </w:tblCellMar>
        </w:tblPrEx>
        <w:trPr>
          <w:tblHeader/>
        </w:trPr>
        <w:tc>
          <w:tcPr>
            <w:tcW w:w="6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955"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5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5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35 401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30 928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32 154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29 741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31 403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29 603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29 478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27 728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29 244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27 833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27 309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25 682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29 308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27 231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27 294</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26 183</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5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5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Partos desglosados en función de la edad de la madre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Menos de 20 años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Más de 35 años</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35 401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32 154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29 478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29 244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27 309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29 308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27 010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nacimientos y abortos provocados registrados en la República de M</w:t>
      </w:r>
      <w:r>
        <w:t>a</w:t>
      </w:r>
      <w:r>
        <w:t>cedonia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2020"/>
        <w:gridCol w:w="2020"/>
        <w:gridCol w:w="202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w:t>
            </w:r>
            <w:r>
              <w:rPr>
                <w:i/>
                <w:sz w:val="14"/>
              </w:rPr>
              <w:br/>
              <w:t>nacimientos</w:t>
            </w:r>
          </w:p>
        </w:tc>
        <w:tc>
          <w:tcPr>
            <w:tcW w:w="2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w:t>
            </w:r>
            <w:r>
              <w:rPr>
                <w:i/>
                <w:sz w:val="14"/>
              </w:rPr>
              <w:br/>
              <w:t>abortos provocados</w:t>
            </w:r>
          </w:p>
        </w:tc>
        <w:tc>
          <w:tcPr>
            <w:tcW w:w="2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 entre los abortos provocados y los nacimientos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35 704</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21 894</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32 440</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15 805</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31 712</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14 164</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29 777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12 058</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29 547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12 015</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27 587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8 479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29 357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10 129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27 294</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8 427</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pPr>
      <w:r>
        <w:tab/>
        <w:t>Para acceder a los servicios terapéuticos se acude a las oficinas de los doct</w:t>
      </w:r>
      <w:r>
        <w:t>o</w:t>
      </w:r>
      <w:r>
        <w:t>res, v</w:t>
      </w:r>
      <w:r>
        <w:t>i</w:t>
      </w:r>
      <w:r>
        <w:t>sitas que disminuyeron un 45,3%.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secundaria de la salud</w:t>
      </w:r>
    </w:p>
    <w:p w:rsidR="00000000" w:rsidRDefault="00000000">
      <w:pPr>
        <w:pStyle w:val="SingleTxt"/>
        <w:spacing w:after="0" w:line="120" w:lineRule="exact"/>
        <w:rPr>
          <w:sz w:val="10"/>
        </w:rPr>
      </w:pPr>
    </w:p>
    <w:p w:rsidR="00000000" w:rsidRDefault="00000000">
      <w:pPr>
        <w:pStyle w:val="SingleTxt"/>
      </w:pPr>
      <w:r>
        <w:tab/>
        <w:t>La atención secundaria de la salud corre a cargo de los servicios de especi</w:t>
      </w:r>
      <w:r>
        <w:t>a</w:t>
      </w:r>
      <w:r>
        <w:t>listas, los departamentos de obstetricia y ginecología de los 16 hospitales generales existentes y la Oficina de protección de las madres y los niños de Skopje, que es una institución especializada en la atención de la salud de los lactantes y de los niños, al tiempo que realiza actividades encaminadas a mejorar la atención de la salud de las m</w:t>
      </w:r>
      <w:r>
        <w:t>u</w:t>
      </w:r>
      <w:r>
        <w:t>jeres en edad reproductiva.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Dotación de personal</w:t>
      </w:r>
    </w:p>
    <w:p w:rsidR="00000000" w:rsidRDefault="00000000">
      <w:pPr>
        <w:pStyle w:val="SingleTxt"/>
        <w:spacing w:after="0" w:line="120" w:lineRule="exact"/>
        <w:rPr>
          <w:sz w:val="10"/>
        </w:rPr>
      </w:pPr>
    </w:p>
    <w:p w:rsidR="00000000" w:rsidRDefault="00000000">
      <w:pPr>
        <w:pStyle w:val="SingleTxt"/>
      </w:pPr>
      <w:r>
        <w:tab/>
        <w:t>En 2001 la atención secundaria de la salud corría a cargo de 516 empleados médicos y auxiliares (513 empleados médicos y tres auxiliares). De esa suma, 130 eran doctores (106 especialistas) y 383 eran empleados médicos con estudios sup</w:t>
      </w:r>
      <w:r>
        <w:t>e</w:t>
      </w:r>
      <w:r>
        <w:t>riores y secundarios. La proporción entre los doctores y los empleados médicos con estudios superiores y secundarios era de 1 a 3 en 2001. Por lo que respecta al año 1990, se registró un aumento del número de especialistas del 39,4% en los depart</w:t>
      </w:r>
      <w:r>
        <w:t>a</w:t>
      </w:r>
      <w:r>
        <w:t>mentos de obstetricia y ginecología, al tiempo que el número de empleados con e</w:t>
      </w:r>
      <w:r>
        <w:t>s</w:t>
      </w:r>
      <w:r>
        <w:t>tudios s</w:t>
      </w:r>
      <w:r>
        <w:t>e</w:t>
      </w:r>
      <w:r>
        <w:t>cundarios y superiores aumentó un 2,2%.</w:t>
      </w:r>
    </w:p>
    <w:p w:rsidR="00000000" w:rsidRDefault="00000000">
      <w:pPr>
        <w:pStyle w:val="SingleTxt"/>
      </w:pPr>
      <w:r>
        <w:tab/>
        <w:t>Hay un servicio especializado en obstetricia y ginecología en Bitola, que, en 2001 estaba a cargo de un especialista, así como otro en Demir Hisar, a cargo de un esp</w:t>
      </w:r>
      <w:r>
        <w:t>e</w:t>
      </w:r>
      <w:r>
        <w:t>cialista y un interno.</w:t>
      </w:r>
    </w:p>
    <w:p w:rsidR="00000000" w:rsidRDefault="00000000">
      <w:pPr>
        <w:pStyle w:val="SingleTxt"/>
      </w:pPr>
      <w:r>
        <w:tab/>
        <w:t>En 2001 los departamentos de ginecología y obstetricia de los hospitales gen</w:t>
      </w:r>
      <w:r>
        <w:t>e</w:t>
      </w:r>
      <w:r>
        <w:t>rales de la República de Macedonia estaban a cargo de 122 doctores, de los que 99 eran especialistas, y de 376 empleados médicos con titulación y superior. La propo</w:t>
      </w:r>
      <w:r>
        <w:t>r</w:t>
      </w:r>
      <w:r>
        <w:t>ción entre los doctores y los empleados médicos era de 1 a 3,1. En 1990 se produjo un l</w:t>
      </w:r>
      <w:r>
        <w:t>i</w:t>
      </w:r>
      <w:r>
        <w:t>gero aumento del número de doctores y especialistas.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médico de los departamentos de ginecología y obstetricia de los hospitales generales de la República de Macedonia, 1990-2001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605"/>
        <w:gridCol w:w="1605"/>
        <w:gridCol w:w="1605"/>
        <w:gridCol w:w="1605"/>
      </w:tblGrid>
      <w:tr w:rsidR="00000000">
        <w:tblPrEx>
          <w:tblCellMar>
            <w:top w:w="0" w:type="dxa"/>
            <w:left w:w="0" w:type="dxa"/>
            <w:bottom w:w="0" w:type="dxa"/>
            <w:right w:w="0" w:type="dxa"/>
          </w:tblCellMar>
        </w:tblPrEx>
        <w:trPr>
          <w:cantSplit/>
          <w:tblHeader/>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32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Doctores</w:t>
            </w:r>
          </w:p>
        </w:tc>
        <w:tc>
          <w:tcPr>
            <w:tcW w:w="160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 titulación superior y secundaria</w:t>
            </w:r>
          </w:p>
        </w:tc>
        <w:tc>
          <w:tcPr>
            <w:tcW w:w="160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Personal médico con titulación superior y secundaria por cada doctor</w:t>
            </w: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Especialistas</w:t>
            </w:r>
          </w:p>
        </w:tc>
        <w:tc>
          <w:tcPr>
            <w:tcW w:w="160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60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Servicios médicos y actividades realizadas </w:t>
      </w:r>
    </w:p>
    <w:p w:rsidR="00000000" w:rsidRDefault="00000000">
      <w:pPr>
        <w:pStyle w:val="SingleTxt"/>
        <w:spacing w:after="0" w:line="120" w:lineRule="exact"/>
        <w:rPr>
          <w:sz w:val="10"/>
        </w:rPr>
      </w:pPr>
    </w:p>
    <w:p w:rsidR="00000000" w:rsidRDefault="00000000">
      <w:pPr>
        <w:pStyle w:val="SingleTxt"/>
      </w:pPr>
      <w:r>
        <w:tab/>
        <w:t>Ha aumentado el número de visitas a las consultas de especialistas en las r</w:t>
      </w:r>
      <w:r>
        <w:t>e</w:t>
      </w:r>
      <w:r>
        <w:t>giones de Bitola y Kumanovo. Se registraron 8.905 visitas en 2001 y 9.089 en 2001, lo que r</w:t>
      </w:r>
      <w:r>
        <w:t>e</w:t>
      </w:r>
      <w:r>
        <w:t>presenta un aumento del 1,5%.</w:t>
      </w:r>
    </w:p>
    <w:p w:rsidR="00000000" w:rsidRDefault="00000000">
      <w:pPr>
        <w:pStyle w:val="SingleTxt"/>
      </w:pPr>
      <w:r>
        <w:tab/>
        <w:t>El número de mujeres tratadas en los hospitales fue de 36.254 en 1990 y 24.449 en 2001, lo que representa una disminución del 326%. La tasa de hospital</w:t>
      </w:r>
      <w:r>
        <w:t>i</w:t>
      </w:r>
      <w:r>
        <w:t>zación de las mujeres se cifra en el 30,6 por 1.000. El número de camas en esos d</w:t>
      </w:r>
      <w:r>
        <w:t>e</w:t>
      </w:r>
      <w:r>
        <w:t>partamentos pasó de 773 en 1990 a 722 en 2001, al tiempo que el número anual de mujeres por cama se cifró en 34. La duración promedia del internamiento es de ci</w:t>
      </w:r>
      <w:r>
        <w:t>n</w:t>
      </w:r>
      <w:r>
        <w:t>co días, por lo que la ocupación promedia en los hospitales durante el año es de 168,5 días. La tasa de utilización de la capacidad de los departamentos de obstetricia y ginecología de los hospitales generales pasó de 58,3 en 1990 a 46,2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terciaria de la salud</w:t>
      </w:r>
    </w:p>
    <w:p w:rsidR="00000000" w:rsidRDefault="00000000">
      <w:pPr>
        <w:pStyle w:val="SingleTxt"/>
        <w:keepNext/>
        <w:keepLines/>
        <w:spacing w:after="0" w:line="120" w:lineRule="exact"/>
        <w:rPr>
          <w:sz w:val="10"/>
        </w:rPr>
      </w:pPr>
    </w:p>
    <w:p w:rsidR="00000000" w:rsidRDefault="00000000">
      <w:pPr>
        <w:pStyle w:val="SingleTxt"/>
        <w:keepNext/>
        <w:keepLines/>
      </w:pPr>
      <w:r>
        <w:tab/>
        <w:t>La asistencia muy especializada de la salud de la mujer en la República de Macedonia corre a cargo de la Clínica de obstetricia y ginecología de la Facultad de Medicina de Skopje y otras clínicas e institutos, así como del Hospital Especial de obstetr</w:t>
      </w:r>
      <w:r>
        <w:t>i</w:t>
      </w:r>
      <w:r>
        <w:t xml:space="preserve">cia y ginecología de Skopje. </w:t>
      </w:r>
    </w:p>
    <w:p w:rsidR="00000000" w:rsidRDefault="00000000">
      <w:pPr>
        <w:pStyle w:val="SingleTxt"/>
      </w:pPr>
      <w:r>
        <w:tab/>
        <w:t>La atención terciaria de la salud entraña la prestación de servicios hospitalarios y de especialistas, así como la utilización de modernos métodos de diagnóstico y de cura, la utilización de equipo de alta tecnología, la realización de investigaciones científ</w:t>
      </w:r>
      <w:r>
        <w:t>i</w:t>
      </w:r>
      <w:r>
        <w:t>cas y la organización de cursos educativos de alto nivel sobre la salud.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Dotación de personal</w:t>
      </w:r>
    </w:p>
    <w:p w:rsidR="00000000" w:rsidRDefault="00000000">
      <w:pPr>
        <w:pStyle w:val="SingleTxt"/>
        <w:spacing w:after="0" w:line="120" w:lineRule="exact"/>
        <w:rPr>
          <w:sz w:val="10"/>
        </w:rPr>
      </w:pPr>
    </w:p>
    <w:p w:rsidR="00000000" w:rsidRDefault="00000000">
      <w:pPr>
        <w:pStyle w:val="SingleTxt"/>
      </w:pPr>
      <w:r>
        <w:tab/>
        <w:t>En 2001, 342 empleados médicos y auxiliares (338 empleados médicos y cu</w:t>
      </w:r>
      <w:r>
        <w:t>a</w:t>
      </w:r>
      <w:r>
        <w:t>tro auxiliares) procedieron a prestar atención médica. Doscientos veintitrés emple</w:t>
      </w:r>
      <w:r>
        <w:t>a</w:t>
      </w:r>
      <w:r>
        <w:t>dos médicos correspondían a la Clínica de obstetricia y ginecología y 119 al Hosp</w:t>
      </w:r>
      <w:r>
        <w:t>i</w:t>
      </w:r>
      <w:r>
        <w:t>tal Especial.</w:t>
      </w:r>
    </w:p>
    <w:p w:rsidR="00000000" w:rsidRDefault="00000000">
      <w:pPr>
        <w:pStyle w:val="SingleTxt"/>
      </w:pPr>
      <w:r>
        <w:tab/>
        <w:t>El número total de médicos (113) incluye 79 especialistas, de los que 46, es decir, el 58,2%, son empleados de la Clínica de obstetricia y ginecología y el resto lo son del Hospital Especial. La prestación de asistencia terciaria de la salud corre a cargo de 225 empleados médicos con titulación superior y secundaria; de ellos, 148 trabajan en la Clínica de obstetricia y ginecología, en la que cuatro auxiliares méd</w:t>
      </w:r>
      <w:r>
        <w:t>i</w:t>
      </w:r>
      <w:r>
        <w:t>cos i</w:t>
      </w:r>
      <w:r>
        <w:t>m</w:t>
      </w:r>
      <w:r>
        <w:t>parten educación sanitaria a las mujeres.</w:t>
      </w:r>
    </w:p>
    <w:p w:rsidR="00000000" w:rsidRDefault="00000000">
      <w:pPr>
        <w:pStyle w:val="SingleTxt"/>
      </w:pPr>
      <w:r>
        <w:tab/>
        <w:t>No obstante, la proporción entre médicos y personal médico con titulación s</w:t>
      </w:r>
      <w:r>
        <w:t>u</w:t>
      </w:r>
      <w:r>
        <w:t>perior y secundaria (1 a 2) se ajusta a las normas de dotación de personal establec</w:t>
      </w:r>
      <w:r>
        <w:t>i</w:t>
      </w:r>
      <w:r>
        <w:t>das en la Clínica y en el Hospital Especial.</w:t>
      </w:r>
    </w:p>
    <w:p w:rsidR="00000000" w:rsidRDefault="00000000">
      <w:pPr>
        <w:pStyle w:val="SingleTxt"/>
      </w:pPr>
      <w:r>
        <w:tab/>
        <w:t>Por comparación con 1990, ha aumentado el número total de doctores (78) y de especialistas (58). Además, el número de empleados médicos con titulación sup</w:t>
      </w:r>
      <w:r>
        <w:t>e</w:t>
      </w:r>
      <w:r>
        <w:t>rior y secundaria pasó de 171 en 1990 a 215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médicos y actividades realizadas</w:t>
      </w:r>
    </w:p>
    <w:p w:rsidR="00000000" w:rsidRDefault="00000000">
      <w:pPr>
        <w:pStyle w:val="SingleTxt"/>
        <w:spacing w:after="0" w:line="120" w:lineRule="exact"/>
        <w:rPr>
          <w:sz w:val="10"/>
        </w:rPr>
      </w:pPr>
    </w:p>
    <w:p w:rsidR="00000000" w:rsidRDefault="00000000">
      <w:pPr>
        <w:pStyle w:val="SingleTxt"/>
      </w:pPr>
      <w:r>
        <w:tab/>
        <w:t>Los servicios médicos que se prestan en la esfera de la atención terciaria de la salud de la mujer en la República de Macedonia abarcan tanto las visitas a los do</w:t>
      </w:r>
      <w:r>
        <w:t>c</w:t>
      </w:r>
      <w:r>
        <w:t>tores y al personal médico con titulación superior y secundaria de los centros esp</w:t>
      </w:r>
      <w:r>
        <w:t>e</w:t>
      </w:r>
      <w:r>
        <w:t>cializados como las estancias hospitalarias en la Clínica y el Hospital Especial.</w:t>
      </w:r>
    </w:p>
    <w:p w:rsidR="00000000" w:rsidRDefault="00000000">
      <w:pPr>
        <w:pStyle w:val="SingleTxt"/>
        <w:rPr>
          <w:spacing w:val="2"/>
          <w:w w:val="101"/>
        </w:rPr>
      </w:pPr>
      <w:r>
        <w:tab/>
        <w:t>En 2000 se prestó atención terciaria de la salud a 14.645 mujeres en diversos departamentos. Eso representó 81.286 días-hospital en ambas instituciones, de los que 57.972, es decir, el 71,3%, correspondieron a la Clínica de obstetricia y gin</w:t>
      </w:r>
      <w:r>
        <w:t>e</w:t>
      </w:r>
      <w:r>
        <w:t>cología y el porcentaje restante al Hospital Especial. La duración promedia del tr</w:t>
      </w:r>
      <w:r>
        <w:t>a</w:t>
      </w:r>
      <w:r>
        <w:t xml:space="preserve">tamiento en la Clínica es superior (6,7 días), en tanto que en el Hospital Especial el promedio de estancia de las mujeres es de 3,9 días. Por lo que respecta a la tasa de hospitalización, por cada 1.000 mujeres que ingresan en el Hospital Especial, 25,9 </w:t>
      </w:r>
      <w:r>
        <w:rPr>
          <w:spacing w:val="2"/>
          <w:w w:val="101"/>
        </w:rPr>
        <w:t>proceden de Skopje, en tanto que en la Clínica la tasa se cifra en 10,8 por 1.000, lo que obedece al hecho de que se hospitaliza en ella a mujeres procedentes de todo el país.</w:t>
      </w:r>
    </w:p>
    <w:p w:rsidR="00000000" w:rsidRDefault="00000000">
      <w:pPr>
        <w:pStyle w:val="SingleTxt"/>
      </w:pPr>
      <w:r>
        <w:tab/>
        <w:t>El número de camas en la Clínica disminuyó de 257 en 1990 a 236 en 2000. Lo mismo ocurrió en el caso del Hospital Especial, que cuenta con 138 camas. El número de pacientes por cama tratados anualmente en la Clínica es de 37 y en el hospital Especial de 453. La tasa de utilización de la capacidad es del 67,3% en la Clínica y del 52,7% en el Hospital Especial. La ocupación promedia por cama es de 245,6 d</w:t>
      </w:r>
      <w:r>
        <w:t>í</w:t>
      </w:r>
      <w:r>
        <w:t>as en la Clínica y de 168,9 días en el Hospital Especial.</w:t>
      </w:r>
    </w:p>
    <w:p w:rsidR="00000000" w:rsidRDefault="00000000">
      <w:pPr>
        <w:pStyle w:val="SingleTxt"/>
      </w:pPr>
      <w:r>
        <w:tab/>
        <w:t>En el cuadro 6 del anexo relativo a la salud figuran los diez centros a que rec</w:t>
      </w:r>
      <w:r>
        <w:t>u</w:t>
      </w:r>
      <w:r>
        <w:t>rrieron más frecuentemente las mujeres de la República de Macedonia durante el p</w:t>
      </w:r>
      <w:r>
        <w:t>e</w:t>
      </w:r>
      <w:r>
        <w:t>rí</w:t>
      </w:r>
      <w:r>
        <w:t>o</w:t>
      </w:r>
      <w:r>
        <w:t>do comprendido entre 1995 y 1998.</w:t>
      </w:r>
    </w:p>
    <w:p w:rsidR="00000000" w:rsidRDefault="00000000">
      <w:pPr>
        <w:pStyle w:val="SingleTxt"/>
      </w:pPr>
      <w:r>
        <w:tab/>
        <w:t>Las organizaciones encargadas de la atención de la salud y las organizaciones no gubernamentales no han registrado ningún caso de castración de mujeres en la República de Macedonia, ya que no es una práctica usual en el país. En relación con las enfermedades profesionales de la mujer, hasta la fecha sólo se han realizado e</w:t>
      </w:r>
      <w:r>
        <w:t>s</w:t>
      </w:r>
      <w:r>
        <w:t>tudios, si bien no se ha llevado a cabo ninguna observación permanente por géneros. El estado de salud de las inmigrantes no se sigue con especial atención. Por ello, es necesario que el sistema estadístico contenga indicadores para ese segmento de la población en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rPr>
          <w:i/>
        </w:rPr>
      </w:pPr>
      <w:r>
        <w:rPr>
          <w:i/>
        </w:rPr>
        <w:tab/>
        <w:t>b)</w:t>
      </w:r>
      <w:r>
        <w:rPr>
          <w:i/>
        </w:rPr>
        <w:tab/>
        <w:t>El derecho a obtener préstamos bancarios, hipotecas y otras formas de crédito financiero;</w:t>
      </w: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Como se ha indicado, en la República de Macedonia se brindan una asistencia y una protección especiales a la familia, incluidas las correspondientes prestaciones. Las madres, los hijos y los menores en general quedan protegidos por la Constit</w:t>
      </w:r>
      <w:r>
        <w:t>u</w:t>
      </w:r>
      <w:r>
        <w:t>ción (artículos 40 y 42).</w:t>
      </w:r>
    </w:p>
    <w:p w:rsidR="00000000" w:rsidRDefault="00000000">
      <w:pPr>
        <w:pStyle w:val="SingleTxt"/>
        <w:rPr>
          <w:spacing w:val="2"/>
          <w:w w:val="101"/>
        </w:rPr>
      </w:pPr>
      <w:r>
        <w:tab/>
        <w:t>De conformidad con la Ley de asistencia social (Gaceta Oficial, no. 50/1997) y sus correspondientes modificaciones y adiciones, el Estado es el agente primordial encargado de prestar asistencia social a los ciudadanos y de brindarles oportunid</w:t>
      </w:r>
      <w:r>
        <w:t>a</w:t>
      </w:r>
      <w:r>
        <w:t>des para que ejerciten sus derechos. El Gobierno aprobó el Programa de asistencia social, en el que se delimitan los sectores a los que va dirigida esa asistencia, las n</w:t>
      </w:r>
      <w:r>
        <w:t>e</w:t>
      </w:r>
      <w:r>
        <w:t xml:space="preserve">cesidades especiales de los correspondientes sectores y los métodos de prestación de la </w:t>
      </w:r>
      <w:r>
        <w:rPr>
          <w:spacing w:val="2"/>
          <w:w w:val="101"/>
        </w:rPr>
        <w:t>asistencia. Además, el Gobierno ha establecido una red pública de servicios de asi</w:t>
      </w:r>
      <w:r>
        <w:rPr>
          <w:spacing w:val="2"/>
          <w:w w:val="101"/>
        </w:rPr>
        <w:t>s</w:t>
      </w:r>
      <w:r>
        <w:rPr>
          <w:spacing w:val="2"/>
          <w:w w:val="101"/>
        </w:rPr>
        <w:t>tencia social. Teniendo en cuenta los derechos a la asistencia social y las condiciones establecidas por la Ley mencionada, se adoptarán medidas en materia de previsión s</w:t>
      </w:r>
      <w:r>
        <w:rPr>
          <w:spacing w:val="2"/>
          <w:w w:val="101"/>
        </w:rPr>
        <w:t>o</w:t>
      </w:r>
      <w:r>
        <w:rPr>
          <w:spacing w:val="2"/>
          <w:w w:val="101"/>
        </w:rPr>
        <w:t>cial, protección extrainstitucional y prestación de asistencia a los benefici</w:t>
      </w:r>
      <w:r>
        <w:rPr>
          <w:spacing w:val="2"/>
          <w:w w:val="101"/>
        </w:rPr>
        <w:t>a</w:t>
      </w:r>
      <w:r>
        <w:rPr>
          <w:spacing w:val="2"/>
          <w:w w:val="101"/>
        </w:rPr>
        <w:t>rios.</w:t>
      </w:r>
    </w:p>
    <w:p w:rsidR="00000000" w:rsidRDefault="00000000">
      <w:pPr>
        <w:pStyle w:val="SingleTxt"/>
      </w:pPr>
      <w:r>
        <w:tab/>
        <w:t>De conformidad con la Ley, los beneficiarios de la asistencia social son los ciudadanos de la República de Macedonia que residen en ella, así como los extranj</w:t>
      </w:r>
      <w:r>
        <w:t>e</w:t>
      </w:r>
      <w:r>
        <w:t>ros con permiso de residencia.</w:t>
      </w:r>
    </w:p>
    <w:p w:rsidR="00000000" w:rsidRDefault="00000000">
      <w:pPr>
        <w:pStyle w:val="SingleTxt"/>
        <w:rPr>
          <w:spacing w:val="2"/>
          <w:w w:val="101"/>
        </w:rPr>
      </w:pPr>
      <w:r>
        <w:tab/>
        <w:t>En cuanto al modo de poner en práctica la protección social, se están adopta</w:t>
      </w:r>
      <w:r>
        <w:t>n</w:t>
      </w:r>
      <w:r>
        <w:t>do medidas para impedir que se produzcan riesgos sociales para los ciudadanos, las familias o los grupos de población, particularmente recurriendo a actividades de asesoramiento, el desarrollo de formas de autoayuda, el trabajo de voluntarios co</w:t>
      </w:r>
      <w:r>
        <w:t>m</w:t>
      </w:r>
      <w:r>
        <w:t>prometidos personalmente a tal efecto sin contraprestaciones financieras y la util</w:t>
      </w:r>
      <w:r>
        <w:t>i</w:t>
      </w:r>
      <w:r>
        <w:t xml:space="preserve">zación </w:t>
      </w:r>
      <w:r>
        <w:rPr>
          <w:spacing w:val="2"/>
          <w:w w:val="101"/>
        </w:rPr>
        <w:t>de otros métodos adecuados a las necesidades de asistencia social de los benef</w:t>
      </w:r>
      <w:r>
        <w:rPr>
          <w:spacing w:val="2"/>
          <w:w w:val="101"/>
        </w:rPr>
        <w:t>i</w:t>
      </w:r>
      <w:r>
        <w:rPr>
          <w:spacing w:val="2"/>
          <w:w w:val="101"/>
        </w:rPr>
        <w:t>ci</w:t>
      </w:r>
      <w:r>
        <w:rPr>
          <w:spacing w:val="2"/>
          <w:w w:val="101"/>
        </w:rPr>
        <w:t>a</w:t>
      </w:r>
      <w:r>
        <w:rPr>
          <w:spacing w:val="2"/>
          <w:w w:val="101"/>
        </w:rPr>
        <w:t>rios.</w:t>
      </w:r>
    </w:p>
    <w:p w:rsidR="00000000" w:rsidRDefault="00000000">
      <w:pPr>
        <w:pStyle w:val="SingleTxt"/>
        <w:rPr>
          <w:spacing w:val="2"/>
          <w:w w:val="101"/>
        </w:rPr>
      </w:pPr>
      <w:r>
        <w:rPr>
          <w:spacing w:val="2"/>
          <w:w w:val="101"/>
        </w:rPr>
        <w:tab/>
        <w:t>En el artículo 10 de la Ley de asistencia social se establece que, en la esfera de la asistencia extrainstitucional, se tiene derecho a lo siguiente: servicios sociales; ayuda a título individual; asistencia familiar; asistencia doméstica; y acogida en otra familia.</w:t>
      </w:r>
    </w:p>
    <w:p w:rsidR="00000000" w:rsidRDefault="00000000">
      <w:pPr>
        <w:pStyle w:val="SingleTxt"/>
      </w:pPr>
      <w:r>
        <w:tab/>
        <w:t>La asistencia institucional incluye el derecho de la persona a ser capacitada p</w:t>
      </w:r>
      <w:r>
        <w:t>a</w:t>
      </w:r>
      <w:r>
        <w:t>ra realizar actividades laborales productivas y el derecho a ser acogida en una inst</w:t>
      </w:r>
      <w:r>
        <w:t>i</w:t>
      </w:r>
      <w:r>
        <w:t>tución de asistencia social. Las personas con discapacidades en su desarrollo psic</w:t>
      </w:r>
      <w:r>
        <w:t>o</w:t>
      </w:r>
      <w:r>
        <w:t>lógico de carácter grave y moderado tienen derecho a que se les dote de medios para realizar una actividad productiva. El derecho a ser acogido en una institución de asistencia social afecta a las personas que vivan en condiciones inadecuadas en el seno de la familia o que, por otras razones, precisen esa acogida al no poder ser atendidas mediante otras formas de asistencia.</w:t>
      </w:r>
    </w:p>
    <w:p w:rsidR="00000000" w:rsidRDefault="00000000">
      <w:pPr>
        <w:pStyle w:val="SingleTxt"/>
      </w:pPr>
      <w:r>
        <w:tab/>
        <w:t>En el artículo 20 de la mencionada Ley se define el tipo de asistencia econ</w:t>
      </w:r>
      <w:r>
        <w:t>ó</w:t>
      </w:r>
      <w:r>
        <w:t>mica que se presta a los beneficiarios: asistencia permanente a las personas con i</w:t>
      </w:r>
      <w:r>
        <w:t>n</w:t>
      </w:r>
      <w:r>
        <w:t>capacidad laboral y sin seguro social; asistencia permanente a las personas en co</w:t>
      </w:r>
      <w:r>
        <w:t>n</w:t>
      </w:r>
      <w:r>
        <w:t>diciones de trabajar y sin seguro social; subsidio de asistencia y ayuda; asistencia sanitaria; complemento salarial en caso de jornada laboral reducida por tener que atender a un hijo con discapacidad; subsidio único u otro tipo asistencia en especie; y prestación para vivienda.</w:t>
      </w:r>
    </w:p>
    <w:p w:rsidR="00000000" w:rsidRDefault="00000000">
      <w:pPr>
        <w:pStyle w:val="SingleTxt"/>
      </w:pPr>
      <w:r>
        <w:tab/>
        <w:t>El derecho a un subsidio permanente, de conformidad con el artículo 20, c</w:t>
      </w:r>
      <w:r>
        <w:t>o</w:t>
      </w:r>
      <w:r>
        <w:t>rresponde a la persona con incapacidad laboral y sin seguro social que no puede obtener fondos para subsistir acogiéndose a otras normas.</w:t>
      </w:r>
    </w:p>
    <w:p w:rsidR="00000000" w:rsidRDefault="00000000">
      <w:pPr>
        <w:pStyle w:val="SingleTxt"/>
        <w:rPr>
          <w:spacing w:val="2"/>
          <w:w w:val="101"/>
        </w:rPr>
      </w:pPr>
      <w:r>
        <w:rPr>
          <w:spacing w:val="2"/>
          <w:w w:val="101"/>
        </w:rPr>
        <w:tab/>
        <w:t>Según la Ley, las personas con incapacidad laboral son aquéllas que padecen una discapacidad moderada, grave o muy grave en su desarrollo psicológico y las personas que, como consecuencia de su discapacidad, no han podido asistir a la escuela y, de</w:t>
      </w:r>
      <w:r>
        <w:rPr>
          <w:spacing w:val="2"/>
          <w:w w:val="101"/>
        </w:rPr>
        <w:t>s</w:t>
      </w:r>
      <w:r>
        <w:rPr>
          <w:spacing w:val="2"/>
          <w:w w:val="101"/>
        </w:rPr>
        <w:t>pués de haberse desarrollado, carecen de capacidad para trabajar; las mujeres sin pareja durante el mes anterior al parto y el padre o la madre sin pareja con un hijo menor de tres años de edad; los muchachos entre 15 y 26 años en caso de que asistan a la escuela en régimen de jornada completa; y los hombres y mujeres mayores de 65 años.</w:t>
      </w:r>
    </w:p>
    <w:p w:rsidR="00000000" w:rsidRDefault="00000000">
      <w:pPr>
        <w:pStyle w:val="SingleTxt"/>
      </w:pPr>
      <w:r>
        <w:tab/>
        <w:t>Con arreglo a esa Ley, la familia es una unidad integrada por el esposo y la e</w:t>
      </w:r>
      <w:r>
        <w:t>s</w:t>
      </w:r>
      <w:r>
        <w:t>posa, los padres, los hijos y otros parientes que vivan con ellos y de los que depe</w:t>
      </w:r>
      <w:r>
        <w:t>n</w:t>
      </w:r>
      <w:r>
        <w:t>dan para su subsistencia.</w:t>
      </w:r>
    </w:p>
    <w:p w:rsidR="00000000" w:rsidRDefault="00000000">
      <w:pPr>
        <w:pStyle w:val="SingleTxt"/>
      </w:pPr>
      <w:r>
        <w:tab/>
        <w:t>El subsidio permanente es una prestación básica que se define en función del sueldo bruto mensual percibido en el sector no comercial de la República de Mac</w:t>
      </w:r>
      <w:r>
        <w:t>e</w:t>
      </w:r>
      <w:r>
        <w:t>donia d</w:t>
      </w:r>
      <w:r>
        <w:t>u</w:t>
      </w:r>
      <w:r>
        <w:t>rante los tres últimos meses; su cuantía es la siguiente:</w:t>
      </w:r>
    </w:p>
    <w:p w:rsidR="00000000" w:rsidRDefault="00000000">
      <w:pPr>
        <w:pStyle w:val="SingleTxt"/>
        <w:tabs>
          <w:tab w:val="right" w:pos="1685"/>
        </w:tabs>
        <w:ind w:left="1742" w:hanging="475"/>
      </w:pPr>
      <w:r>
        <w:tab/>
        <w:t>–</w:t>
      </w:r>
      <w:r>
        <w:tab/>
        <w:t>El 20% en el caso del subsidio básico (un único beneficiario);</w:t>
      </w:r>
    </w:p>
    <w:p w:rsidR="00000000" w:rsidRDefault="00000000">
      <w:pPr>
        <w:pStyle w:val="SingleTxt"/>
        <w:tabs>
          <w:tab w:val="right" w:pos="1685"/>
        </w:tabs>
        <w:ind w:left="1742" w:hanging="475"/>
      </w:pPr>
      <w:r>
        <w:tab/>
        <w:t>–</w:t>
      </w:r>
      <w:r>
        <w:tab/>
        <w:t>El 28% en el caso de dos cobeneficiarios; y</w:t>
      </w:r>
    </w:p>
    <w:p w:rsidR="00000000" w:rsidRDefault="00000000">
      <w:pPr>
        <w:pStyle w:val="SingleTxt"/>
        <w:tabs>
          <w:tab w:val="right" w:pos="1685"/>
        </w:tabs>
        <w:ind w:left="1742" w:hanging="475"/>
      </w:pPr>
      <w:r>
        <w:tab/>
        <w:t>–</w:t>
      </w:r>
      <w:r>
        <w:tab/>
        <w:t>El 40% en el caso de más de dos cobeneficiarios.</w:t>
      </w:r>
    </w:p>
    <w:p w:rsidR="00000000" w:rsidRDefault="00000000">
      <w:pPr>
        <w:pStyle w:val="SingleTxt"/>
      </w:pPr>
      <w:r>
        <w:tab/>
        <w:t>El sueldo promedio se define en función de los datos de la Oficina Nacional de Estadística de la República de Macedonia. El subsidio permanente se paga con c</w:t>
      </w:r>
      <w:r>
        <w:t>a</w:t>
      </w:r>
      <w:r>
        <w:t>rácter mensual. La cuantía del salario mínimo correspondiente a los funcionarios públicos se determinó en junio de 2002 y asciende a 5.060 dinares.</w:t>
      </w:r>
    </w:p>
    <w:p w:rsidR="00000000" w:rsidRDefault="00000000">
      <w:pPr>
        <w:pStyle w:val="SingleTxt"/>
      </w:pPr>
      <w:r>
        <w:tab/>
        <w:t>En el artículo 32 de la Ley de asistencia social se regula el derecho a la asi</w:t>
      </w:r>
      <w:r>
        <w:t>s</w:t>
      </w:r>
      <w:r>
        <w:t>tencia de la salud por parte de los beneficiarios de la asistencia financiera perm</w:t>
      </w:r>
      <w:r>
        <w:t>a</w:t>
      </w:r>
      <w:r>
        <w:t>nente; las personas acogidas en otras familias y en instituciones de asistencia social; y los beneficiarios del subsidio de ayuda y asistencia percibido por otra persona en caso de que no puedan obtener un subsidio por sí mismos.</w:t>
      </w:r>
    </w:p>
    <w:p w:rsidR="00000000" w:rsidRDefault="00000000">
      <w:pPr>
        <w:pStyle w:val="SingleTxt"/>
      </w:pPr>
      <w:r>
        <w:tab/>
        <w:t>En el artículo 33 se reconoce el derecho a un complemento salarial correspo</w:t>
      </w:r>
      <w:r>
        <w:t>n</w:t>
      </w:r>
      <w:r>
        <w:t>diente a la jornada laboral reducida para poder atender a un hijo con discapacidad (el 30% del salario promedio), tal como se define en la Ley de relaciones laborales. El cobro de ese complemento se pide al Centro de servicios sociales.</w:t>
      </w:r>
    </w:p>
    <w:p w:rsidR="00000000" w:rsidRDefault="00000000">
      <w:pPr>
        <w:pStyle w:val="SingleTxt"/>
      </w:pPr>
      <w:r>
        <w:tab/>
        <w:t>Tiene derecho al subsidio único la persona o familia que corra un riesgo como consecuencia de un desastre natural, una epidemia, un tratamiento de larga duración en un centro de atención de la salud u otra crisis social. La cuantía de ese subsidio asciende como máximo a dos meses del salario mensual promedio percibido por el titular en el sector no comercial durante los tres últimos meses. La cuantía del su</w:t>
      </w:r>
      <w:r>
        <w:t>b</w:t>
      </w:r>
      <w:r>
        <w:t>sidio único de asistencia social está determinada por un reglamento promulgado por el Ministro de Trabajo y Política Social.</w:t>
      </w:r>
    </w:p>
    <w:p w:rsidR="00000000" w:rsidRDefault="00000000">
      <w:pPr>
        <w:pStyle w:val="SingleTxt"/>
      </w:pPr>
      <w:r>
        <w:tab/>
        <w:t>Si un miembro de la familia tiene un pariente que no viva con él y al que haya de prestar asistencia económica, el Centro de asistencia social garantizará el derecho a la asistencia social si se reúnen las condiciones establecidas en la legislación. Los recursos financieros correspondientes se consignan en el presupuesto de la Repúbl</w:t>
      </w:r>
      <w:r>
        <w:t>i</w:t>
      </w:r>
      <w:r>
        <w:t>ca de Macedonia.</w:t>
      </w:r>
    </w:p>
    <w:p w:rsidR="00000000" w:rsidRDefault="00000000">
      <w:pPr>
        <w:pStyle w:val="SingleTxt"/>
      </w:pPr>
      <w:r>
        <w:tab/>
        <w:t>b)</w:t>
      </w:r>
      <w:r>
        <w:tab/>
        <w:t>Según el párrafo 1 del artículo 32 de la Constitución, toda persona tiene derecho a trabajar, a elegir libremente su trabajo y a obtener una seguridad material durante los períodos en que esté temporalmente empleado. De conformidad con el artículo 2, todo ciudadano tiene derecho a acceder a cualquier trabajo y a percibir un sueldo apropiado (párrafo 3).</w:t>
      </w:r>
    </w:p>
    <w:p w:rsidR="00000000" w:rsidRDefault="00000000">
      <w:pPr>
        <w:pStyle w:val="SingleTxt"/>
      </w:pPr>
      <w:r>
        <w:tab/>
        <w:t>En el párrafo 5 de ese mismo artículo de la Constitución se establece que los trabajadores pueden delimitar más detalladamente sus derechos laborales mediante la l</w:t>
      </w:r>
      <w:r>
        <w:t>e</w:t>
      </w:r>
      <w:r>
        <w:t>gislación y los convenios colectivos.</w:t>
      </w:r>
    </w:p>
    <w:p w:rsidR="00000000" w:rsidRDefault="00000000">
      <w:pPr>
        <w:pStyle w:val="SingleTxt"/>
        <w:keepNext/>
        <w:keepLines/>
      </w:pPr>
      <w:r>
        <w:tab/>
        <w:t>La Estrategia nacional de desarrollo económico de la República de Macedonia est</w:t>
      </w:r>
      <w:r>
        <w:t>a</w:t>
      </w:r>
      <w:r>
        <w:t>blece tres tipos de medidas para mantener una activa política laboral, a saber:</w:t>
      </w:r>
    </w:p>
    <w:p w:rsidR="00000000" w:rsidRDefault="00000000">
      <w:pPr>
        <w:pStyle w:val="SingleTxt"/>
        <w:keepNext/>
        <w:keepLines/>
        <w:tabs>
          <w:tab w:val="right" w:pos="1685"/>
        </w:tabs>
        <w:ind w:left="1742" w:hanging="475"/>
      </w:pPr>
      <w:r>
        <w:tab/>
        <w:t>•</w:t>
      </w:r>
      <w:r>
        <w:tab/>
        <w:t>Asistencia para obtener empleo (información, mediación para el empleo y co</w:t>
      </w:r>
      <w:r>
        <w:t>n</w:t>
      </w:r>
      <w:r>
        <w:t>sultas laborales);</w:t>
      </w:r>
    </w:p>
    <w:p w:rsidR="00000000" w:rsidRDefault="00000000">
      <w:pPr>
        <w:pStyle w:val="SingleTxt"/>
        <w:tabs>
          <w:tab w:val="right" w:pos="1685"/>
        </w:tabs>
        <w:ind w:left="1742" w:hanging="475"/>
      </w:pPr>
      <w:r>
        <w:tab/>
        <w:t>•</w:t>
      </w:r>
      <w:r>
        <w:tab/>
        <w:t>Capacitación (especialización y reclasificación);</w:t>
      </w:r>
    </w:p>
    <w:p w:rsidR="00000000" w:rsidRDefault="00000000">
      <w:pPr>
        <w:pStyle w:val="SingleTxt"/>
        <w:tabs>
          <w:tab w:val="right" w:pos="1685"/>
        </w:tabs>
        <w:ind w:left="1742" w:hanging="475"/>
        <w:rPr>
          <w:spacing w:val="2"/>
          <w:w w:val="101"/>
        </w:rPr>
      </w:pPr>
      <w:r>
        <w:tab/>
        <w:t>•</w:t>
      </w:r>
      <w:r>
        <w:tab/>
      </w:r>
      <w:r>
        <w:rPr>
          <w:spacing w:val="2"/>
          <w:w w:val="101"/>
        </w:rPr>
        <w:t>Creación de puestos de trabajo (desarrollo de las pequeñas y medianas empr</w:t>
      </w:r>
      <w:r>
        <w:rPr>
          <w:spacing w:val="2"/>
          <w:w w:val="101"/>
        </w:rPr>
        <w:t>e</w:t>
      </w:r>
      <w:r>
        <w:rPr>
          <w:spacing w:val="2"/>
          <w:w w:val="101"/>
        </w:rPr>
        <w:t>sas).</w:t>
      </w:r>
    </w:p>
    <w:p w:rsidR="00000000" w:rsidRDefault="00000000">
      <w:pPr>
        <w:pStyle w:val="SingleTxt"/>
      </w:pPr>
      <w:r>
        <w:tab/>
        <w:t>El papel de la mujer en la economía y en los procesos de adopción de decisi</w:t>
      </w:r>
      <w:r>
        <w:t>o</w:t>
      </w:r>
      <w:r>
        <w:t>nes económicas constituye una parte importante de las actividades ordinarias. Es la manifestación del derecho garantizado por la Constitución, junto con el principio de la igualdad entre los géneros, que afecta a todos los sectores de la sociedad. No obstante, además de lo que se ha indicado, hay importantes diferencias tanto por lo que respecta a los criterios de las mujeres y los hombres como por lo que respecta a su capacidad de adquirir poder dentro de las estructuras económicas. Por ello, las actividades de las instituciones del Gobierno y de las organizaciones de mujeres de la República de Macedonia deben encaminarse hacia la elevación del nivel de ed</w:t>
      </w:r>
      <w:r>
        <w:t>u</w:t>
      </w:r>
      <w:r>
        <w:t>cación, la crianza de los hijos y la sensibilización de la sociedad respecto del papel de la mujer en los procesos de adopción de decisiones económicas. Ésa es la única manera de que las mujeres accedan en condiciones de igualdad a los préstamos ba</w:t>
      </w:r>
      <w:r>
        <w:t>n</w:t>
      </w:r>
      <w:r>
        <w:t>carios, las hipotecas y otros créditos financieros, lo que les permitirá ejercitar los derechos que les garantiza la Constitución.</w:t>
      </w:r>
    </w:p>
    <w:p w:rsidR="00000000" w:rsidRDefault="00000000">
      <w:pPr>
        <w:pStyle w:val="SingleTxt"/>
      </w:pPr>
      <w:r>
        <w:tab/>
        <w:t>Así pues, el Gobierno la República de Macedonia, en el marco de las activid</w:t>
      </w:r>
      <w:r>
        <w:t>a</w:t>
      </w:r>
      <w:r>
        <w:t>des de los programas, está intentando eliminar la discriminación y establecer un equilibrio entre los géneros en lo concerniente a la vida económica y profesional mediante:</w:t>
      </w:r>
    </w:p>
    <w:p w:rsidR="00000000" w:rsidRDefault="00000000">
      <w:pPr>
        <w:pStyle w:val="SingleTxt"/>
      </w:pPr>
      <w:r>
        <w:tab/>
        <w:t>a)</w:t>
      </w:r>
      <w:r>
        <w:tab/>
        <w:t>La prestación de servicios jurídicos gratuitos o poco costosos que pe</w:t>
      </w:r>
      <w:r>
        <w:t>r</w:t>
      </w:r>
      <w:r>
        <w:t>mitan garantizar la igualdad de acceso a los recursos económicos y la obtención de préstamos especiales por parte de las mujeres, sobre todo de las muchachas;</w:t>
      </w:r>
    </w:p>
    <w:p w:rsidR="00000000" w:rsidRDefault="00000000">
      <w:pPr>
        <w:pStyle w:val="SingleTxt"/>
      </w:pPr>
      <w:r>
        <w:tab/>
        <w:t>b)</w:t>
      </w:r>
      <w:r>
        <w:tab/>
        <w:t>El fomento de la participación o coparticipación de la mujer en los pr</w:t>
      </w:r>
      <w:r>
        <w:t>o</w:t>
      </w:r>
      <w:r>
        <w:t>cesos de adopción de decisiones de las instituciones que presten servicios crediticios y fina</w:t>
      </w:r>
      <w:r>
        <w:t>n</w:t>
      </w:r>
      <w:r>
        <w:t>cieros.</w:t>
      </w:r>
    </w:p>
    <w:p w:rsidR="00000000" w:rsidRDefault="00000000">
      <w:pPr>
        <w:pStyle w:val="SingleTxt"/>
      </w:pPr>
      <w:r>
        <w:tab/>
        <w:t>En relación con la consecución de esos objetivos en cuestión, es necesario que las organizaciones internacionales proporcionen recursos financieros para los pr</w:t>
      </w:r>
      <w:r>
        <w:t>o</w:t>
      </w:r>
      <w:r>
        <w:t>gramas y proyectos encaminados a garantizar la igualdad de acceso de la mujer a los recursos económicos. Así, debe recurrirse a seminarios, a reuniones de trabajo, a r</w:t>
      </w:r>
      <w:r>
        <w:t>e</w:t>
      </w:r>
      <w:r>
        <w:t>uniones informativas y al establecimiento de bases de datos como punto de partida para la realización de las actividades destinadas a eliminar la discriminación de la mujer en esa esfera concreta.</w:t>
      </w:r>
    </w:p>
    <w:p w:rsidR="00000000" w:rsidRDefault="00000000">
      <w:pPr>
        <w:pStyle w:val="SingleTxt"/>
        <w:suppressAutoHyphens/>
      </w:pPr>
      <w:r>
        <w:tab/>
        <w:t>A este respecto, es preciso mencionar como medida positiva el Programa de préstamos colectivos establecido por la organización no gubernamental “Moznosti”. Esa organización puso en marcha un programa experimental a comienzos de 1998, el cual, una vez obtenidos resultados positivos, pasó a ser un programa ordinario a partir de diciembre de ese mismo año. El Programa estaba financiado por la Agencia de los Estados Unidos para el Desarrollo Internacional (USAID) y por la Fundación de los Países Bajos. A la vista de los datos facilitados por dicha organización no gubernamental, se observa que, del total de préstamos concedidos, a saber, 56, únicamente tres se concedieron a hombres. Por lo demás, 11 de los préstamos concedidos asce</w:t>
      </w:r>
      <w:r>
        <w:t>n</w:t>
      </w:r>
      <w:r>
        <w:t>dían a 19.000 marcos alemanes.</w:t>
      </w:r>
    </w:p>
    <w:p w:rsidR="00000000" w:rsidRDefault="00000000">
      <w:pPr>
        <w:pStyle w:val="SingleTxt"/>
      </w:pPr>
      <w:r>
        <w:tab/>
        <w:t>Después de analizar los resultados del Programa, la organización no gubern</w:t>
      </w:r>
      <w:r>
        <w:t>a</w:t>
      </w:r>
      <w:r>
        <w:t>mental “Moznosti” hará extensivo el sistema a otras poblaciones de la República de Mac</w:t>
      </w:r>
      <w:r>
        <w:t>e</w:t>
      </w:r>
      <w:r>
        <w:t>donia.</w:t>
      </w:r>
    </w:p>
    <w:p w:rsidR="00000000" w:rsidRDefault="00000000">
      <w:pPr>
        <w:pStyle w:val="SingleTxt"/>
      </w:pPr>
      <w:r>
        <w:tab/>
        <w:t>c)</w:t>
      </w:r>
      <w:r>
        <w:tab/>
        <w:t>Las mujeres, al igual que los hombres, participan en actividades de e</w:t>
      </w:r>
      <w:r>
        <w:t>s</w:t>
      </w:r>
      <w:r>
        <w:t>parcimiento y de carácter deportivo y cultural. En el anexo sobre cultura que figura al final del informe se presentan datos estadísticos sobre las trabajadoras de los se</w:t>
      </w:r>
      <w:r>
        <w:t>r</w:t>
      </w:r>
      <w:r>
        <w:t>vicios cult</w:t>
      </w:r>
      <w:r>
        <w:t>u</w:t>
      </w:r>
      <w:r>
        <w:t>rales, artísticos e informativos.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w:t>
      </w:r>
      <w:r>
        <w:rPr>
          <w:i/>
        </w:rPr>
        <w:t>i</w:t>
      </w:r>
      <w:r>
        <w:rPr>
          <w:i/>
        </w:rPr>
        <w:t>ciones de la presente Convención a la mujer en las zonas rurales.</w:t>
      </w:r>
    </w:p>
    <w:p w:rsidR="00000000" w:rsidRDefault="00000000">
      <w:pPr>
        <w:pStyle w:val="SingleTxt"/>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w:t>
      </w:r>
      <w:r>
        <w:rPr>
          <w:i/>
        </w:rPr>
        <w:t>u</w:t>
      </w:r>
      <w:r>
        <w:rPr>
          <w:i/>
        </w:rPr>
        <w:t>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w:t>
      </w:r>
      <w:r>
        <w:rPr>
          <w:i/>
        </w:rPr>
        <w:t>i</w:t>
      </w:r>
      <w:r>
        <w:rPr>
          <w:i/>
        </w:rPr>
        <w:t>veles;</w:t>
      </w:r>
    </w:p>
    <w:p w:rsidR="00000000" w:rsidRDefault="00000000">
      <w:pPr>
        <w:pStyle w:val="SingleTxt"/>
        <w:rPr>
          <w:i/>
        </w:rPr>
      </w:pPr>
      <w:r>
        <w:rPr>
          <w:i/>
        </w:rPr>
        <w:tab/>
        <w:t>b)</w:t>
      </w:r>
      <w:r>
        <w:rPr>
          <w:i/>
        </w:rPr>
        <w:tab/>
        <w:t>Tener acceso a servicios adecuados de atención médica, inclusive info</w:t>
      </w:r>
      <w:r>
        <w:rPr>
          <w:i/>
        </w:rPr>
        <w:t>r</w:t>
      </w:r>
      <w:r>
        <w:rPr>
          <w:i/>
        </w:rPr>
        <w:t>m</w:t>
      </w:r>
      <w:r>
        <w:rPr>
          <w:i/>
        </w:rPr>
        <w:t>a</w:t>
      </w:r>
      <w:r>
        <w:rPr>
          <w:i/>
        </w:rPr>
        <w:t>ción, asesoramiento y servicios en materia de planificación de la familia;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w:t>
      </w:r>
      <w:r>
        <w:rPr>
          <w:i/>
        </w:rPr>
        <w:t>e</w:t>
      </w:r>
      <w:r>
        <w:rPr>
          <w:i/>
        </w:rPr>
        <w:t>forma agraria y de reasentamiento.</w:t>
      </w: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keepNext/>
        <w:keepLines/>
      </w:pPr>
      <w:r>
        <w:tab/>
        <w:t>En la República de Macedonia las mujeres de las zonas rurales representan una parte considerable de la población activa ocupada en la agricultura. Dado su insuf</w:t>
      </w:r>
      <w:r>
        <w:t>i</w:t>
      </w:r>
      <w:r>
        <w:t>ciente grado de instrucción general y de formación profesional, las mujeres de las zonas rurales no tienen más remedio que trabajar en la agricultura; es decir, la act</w:t>
      </w:r>
      <w:r>
        <w:t>i</w:t>
      </w:r>
      <w:r>
        <w:t>vidad de las mujeres rurales en la agricultura obedece a necesidades sociales y ec</w:t>
      </w:r>
      <w:r>
        <w:t>o</w:t>
      </w:r>
      <w:r>
        <w:t>nómicas y no a su libre elección.</w:t>
      </w:r>
    </w:p>
    <w:p w:rsidR="00000000" w:rsidRDefault="00000000">
      <w:pPr>
        <w:pStyle w:val="SingleTxt"/>
      </w:pPr>
      <w:r>
        <w:tab/>
        <w:t>La situación social de las mujeres de las zonas rurales muestra las incongrue</w:t>
      </w:r>
      <w:r>
        <w:t>n</w:t>
      </w:r>
      <w:r>
        <w:t>cias fundamentales de la sociedad, dimanantes del propio proceso desarrollo. Así, la libertad política de la mujer de se está desarrollando con mucha más celeridad que la libertad económica y la igualdad entre el hombre y la mujer, la cual, sin embargo, depende de transformaciones radicales de los conceptos culturales, las actitudes y el comportamiento cotidiano de la población.</w:t>
      </w:r>
    </w:p>
    <w:p w:rsidR="00000000" w:rsidRDefault="00000000">
      <w:pPr>
        <w:pStyle w:val="SingleTxt"/>
      </w:pPr>
      <w:r>
        <w:tab/>
        <w:t>La situación social de las mujeres de las zonas rurales se ve influida por dos proc</w:t>
      </w:r>
      <w:r>
        <w:t>e</w:t>
      </w:r>
      <w:r>
        <w:t>sos:</w:t>
      </w:r>
    </w:p>
    <w:p w:rsidR="00000000" w:rsidRDefault="00000000">
      <w:pPr>
        <w:pStyle w:val="SingleTxt"/>
        <w:tabs>
          <w:tab w:val="right" w:pos="1685"/>
        </w:tabs>
        <w:ind w:left="1742" w:hanging="475"/>
      </w:pPr>
      <w:r>
        <w:tab/>
        <w:t>•</w:t>
      </w:r>
      <w:r>
        <w:tab/>
        <w:t>La modernización; y</w:t>
      </w:r>
    </w:p>
    <w:p w:rsidR="00000000" w:rsidRDefault="00000000">
      <w:pPr>
        <w:pStyle w:val="SingleTxt"/>
        <w:tabs>
          <w:tab w:val="right" w:pos="1685"/>
        </w:tabs>
        <w:ind w:left="1742" w:hanging="475"/>
      </w:pPr>
      <w:r>
        <w:tab/>
        <w:t>•</w:t>
      </w:r>
      <w:r>
        <w:tab/>
        <w:t>La pérdida de predominio de la agricultura.</w:t>
      </w:r>
    </w:p>
    <w:p w:rsidR="00000000" w:rsidRDefault="00000000">
      <w:pPr>
        <w:pStyle w:val="SingleTxt"/>
      </w:pPr>
      <w:r>
        <w:tab/>
        <w:t>De todos modos, su posición también se ve influida por la tradición, el co</w:t>
      </w:r>
      <w:r>
        <w:t>n</w:t>
      </w:r>
      <w:r>
        <w:t>cepto del lugar y el papel que ocupa en la familia y la comunidad rural y la aglutin</w:t>
      </w:r>
      <w:r>
        <w:t>a</w:t>
      </w:r>
      <w:r>
        <w:t>ción del trabajo y la vida cotidiana.</w:t>
      </w:r>
    </w:p>
    <w:p w:rsidR="00000000" w:rsidRDefault="00000000">
      <w:pPr>
        <w:pStyle w:val="SingleTxt"/>
      </w:pPr>
      <w:r>
        <w:tab/>
        <w:t>Una de las tendencias sociodemográficas más importantes del mundo agrícola es la asunción por parte de la mujer de tareas que anteriormente realizaba el hombre.</w:t>
      </w:r>
    </w:p>
    <w:p w:rsidR="00000000" w:rsidRDefault="00000000">
      <w:pPr>
        <w:pStyle w:val="SingleTxt"/>
      </w:pPr>
      <w:r>
        <w:tab/>
        <w:t>Según los datos de una investigación realizada en la República de Macedonia, cabe llegar a la conclusión de que se ha visto menoscabada la autoridad del padre. La gran influencia de la mujer en los procesos de adopción de decisiones a nivel familiar y su participación en pie de igualdad con el hombre en esos procesos con</w:t>
      </w:r>
      <w:r>
        <w:t>s</w:t>
      </w:r>
      <w:r>
        <w:t>tituyen un indicio de las modernas relaciones familiares que existen en el seno de la familia.</w:t>
      </w:r>
    </w:p>
    <w:p w:rsidR="00000000" w:rsidRDefault="00000000">
      <w:pPr>
        <w:pStyle w:val="SingleTxt"/>
      </w:pPr>
      <w:r>
        <w:tab/>
        <w:t>Están estrechamente vinculadas entre sí las dos funciones que desempeña la mujer de las zonas rurales como ama de casa y como productora agrícola; en alg</w:t>
      </w:r>
      <w:r>
        <w:t>u</w:t>
      </w:r>
      <w:r>
        <w:t>nos casos resulta difícil distinguir entre esas funciones, ya que, durante ciertos p</w:t>
      </w:r>
      <w:r>
        <w:t>e</w:t>
      </w:r>
      <w:r>
        <w:t>ríodos, las mujeres de las zonas rurales llevan a cabo tareas domésticas relacionadas con la producción agropecuaria.</w:t>
      </w:r>
    </w:p>
    <w:p w:rsidR="00000000" w:rsidRDefault="00000000">
      <w:pPr>
        <w:pStyle w:val="SingleTxt"/>
        <w:suppressAutoHyphens/>
      </w:pPr>
      <w:r>
        <w:tab/>
        <w:t>El tiempo de ocio de las mujeres de las zonas rurales se caracteriza por la inexistencia de las condiciones necesarias para disfrutarlo debidamente. En primer lugar, trabajan durante más de diez horas, razón por la que únicamente utilizan el tiempo libre para descansar de manera pasiva. En segundo lugar, cabe mencionar la tradición y la falta de verdaderas oportunidades para realizar actividades culturales y de d</w:t>
      </w:r>
      <w:r>
        <w:t>i</w:t>
      </w:r>
      <w:r>
        <w:t>versión durante el tiempo libre.</w:t>
      </w:r>
    </w:p>
    <w:p w:rsidR="00000000" w:rsidRDefault="00000000">
      <w:pPr>
        <w:pStyle w:val="SingleTxt"/>
      </w:pPr>
      <w:r>
        <w:tab/>
        <w:t>Habida cuenta de lo que antecede, es necesaria una transformación fundame</w:t>
      </w:r>
      <w:r>
        <w:t>n</w:t>
      </w:r>
      <w:r>
        <w:t>tal de las relaciones de las familias rurales, lo que puede conseguirse si hay voluntad para hacerlo. La nueva situación de desarrollo, particularmente el establecimiento de una economía de mercado en la que la agricultura desempeña el papel que le corre</w:t>
      </w:r>
      <w:r>
        <w:t>s</w:t>
      </w:r>
      <w:r>
        <w:t>ponde, influye directamente en la mejora de la situación de las mujeres rurales, ya que contribuye a su emancipación y a hacer que ocupen un lugar adecuado en el d</w:t>
      </w:r>
      <w:r>
        <w:t>e</w:t>
      </w:r>
      <w:r>
        <w:t>sarrollo rural.</w:t>
      </w:r>
    </w:p>
    <w:p w:rsidR="00000000" w:rsidRDefault="00000000">
      <w:pPr>
        <w:pStyle w:val="SingleTxt"/>
      </w:pPr>
      <w:r>
        <w:tab/>
        <w:t>La Dependencia de igualdad entre los géneros del Ministerio de Trabajo y P</w:t>
      </w:r>
      <w:r>
        <w:t>o</w:t>
      </w:r>
      <w:r>
        <w:t>lítica Social atribuye en sus programas de actividades un lugar y una función dest</w:t>
      </w:r>
      <w:r>
        <w:t>a</w:t>
      </w:r>
      <w:r>
        <w:t>cadas a la mujer de las zonas rurales. Ello se pone de manifiesto en las negociaci</w:t>
      </w:r>
      <w:r>
        <w:t>o</w:t>
      </w:r>
      <w:r>
        <w:t>nes que están celebrando el Organismo de Turismo de la República de Grecia y el Departamento de Economía y Comercio Exterior de la Oficina de enlace con Grecia de la República de Macedonia a los efectos de promover la colaboración internaci</w:t>
      </w:r>
      <w:r>
        <w:t>o</w:t>
      </w:r>
      <w:r>
        <w:t>nal y el desarrollo del agroturismo en el Lago Prespa. Ese proyecto de agroturismo no sólo entraña la protección del medio ambiente, sino que también brinda oport</w:t>
      </w:r>
      <w:r>
        <w:t>u</w:t>
      </w:r>
      <w:r>
        <w:t>nidades de empleo en las zonas rurales. Ello pone de manifiesto la necesidad de e</w:t>
      </w:r>
      <w:r>
        <w:t>s</w:t>
      </w:r>
      <w:r>
        <w:t>tablecer una asociación en el país de conformidad con la normativa vigente, bajo la forma de empresa privada con fines lucrativos, encargada de coordinar las activid</w:t>
      </w:r>
      <w:r>
        <w:t>a</w:t>
      </w:r>
      <w:r>
        <w:t>des al respecto, principalmente de resultas de la creciente participación de la mujer rural en esas actividades y en otras similares.</w:t>
      </w:r>
    </w:p>
    <w:p w:rsidR="00000000" w:rsidRDefault="00000000">
      <w:pPr>
        <w:pStyle w:val="SingleTxt"/>
        <w:rPr>
          <w:spacing w:val="2"/>
          <w:w w:val="101"/>
        </w:rPr>
      </w:pPr>
      <w:r>
        <w:tab/>
        <w:t>Las organizaciones no gubernamentales de mujeres desempeñan un papel fu</w:t>
      </w:r>
      <w:r>
        <w:t>n</w:t>
      </w:r>
      <w:r>
        <w:t>damental en pro de la mujer rural. En el seno de esas organizaciones se han const</w:t>
      </w:r>
      <w:r>
        <w:t>i</w:t>
      </w:r>
      <w:r>
        <w:t xml:space="preserve">tuido comités de mujeres de zonas rurales, así como de niños y adolescentes. En su </w:t>
      </w:r>
      <w:r>
        <w:rPr>
          <w:spacing w:val="2"/>
          <w:w w:val="101"/>
        </w:rPr>
        <w:t>marco se considera de suma importancia abordar los problemas de las mujeres rur</w:t>
      </w:r>
      <w:r>
        <w:rPr>
          <w:spacing w:val="2"/>
          <w:w w:val="101"/>
        </w:rPr>
        <w:t>a</w:t>
      </w:r>
      <w:r>
        <w:rPr>
          <w:spacing w:val="2"/>
          <w:w w:val="101"/>
        </w:rPr>
        <w:t>les.</w:t>
      </w:r>
    </w:p>
    <w:p w:rsidR="00000000" w:rsidRDefault="00000000">
      <w:pPr>
        <w:pStyle w:val="SingleTxt"/>
        <w:suppressAutoHyphens/>
      </w:pPr>
      <w:r>
        <w:tab/>
        <w:t>La necesidad de un aprendizaje permanente a fin de adquirir nuevos conoci-mientos teóricos y prácticos en función de las exigencias del mercado laboral reclama nuevas técnicas, aptitudes y conocimientos. En los últimos años las entidades y los organismos económicos y las asociaciones que capacitan a los asala-riados desde el punto de vista de la enseñanza no estructurada de adultos han inten-sificado sus actividades, entre las que figuran las siguientes: formación informática, estudio de idiomas y organización de cursos de formación profesional y de forma-ción especi</w:t>
      </w:r>
      <w:r>
        <w:t>a</w:t>
      </w:r>
      <w:r>
        <w:t>lizada.</w:t>
      </w:r>
    </w:p>
    <w:p w:rsidR="00000000" w:rsidRDefault="00000000">
      <w:pPr>
        <w:pStyle w:val="SingleTxt"/>
      </w:pPr>
      <w:r>
        <w:tab/>
        <w:t>En el cuadro que figura a continuación se facilitan datos sobre las personas se han cursado estudios de formación profesional y formación especializada.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Formación profesional</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Formación especializada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Curso académico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parte correspondiente a las mujeres en los cursos de por formación prof</w:t>
      </w:r>
      <w:r>
        <w:t>e</w:t>
      </w:r>
      <w:r>
        <w:t>sional fue muy elevada en 1999 y 2000 (el 80%) por comparación con el período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en general y en los asuntos civiles en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reconocerán a la mujer la igualdad con el hombre ante la ley.</w:t>
      </w:r>
    </w:p>
    <w:p w:rsidR="00000000" w:rsidRDefault="00000000">
      <w:pPr>
        <w:pStyle w:val="SingleTxt"/>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w:t>
      </w:r>
      <w:r>
        <w:rPr>
          <w:i/>
        </w:rPr>
        <w:t>a</w:t>
      </w:r>
      <w:r>
        <w:rPr>
          <w:i/>
        </w:rPr>
        <w:t>pas del procedimiento en las cortes de justicia y los tribunales.</w:t>
      </w:r>
    </w:p>
    <w:p w:rsidR="00000000" w:rsidRDefault="00000000">
      <w:pPr>
        <w:pStyle w:val="SingleTxt"/>
        <w:rPr>
          <w:i/>
        </w:rPr>
      </w:pPr>
      <w:r>
        <w:rPr>
          <w:i/>
        </w:rPr>
        <w:tab/>
        <w:t>3.</w:t>
      </w:r>
      <w:r>
        <w:rPr>
          <w:i/>
        </w:rPr>
        <w:tab/>
        <w:t>Los Estados Partes convienen en que todo contrato o cualquier otro in</w:t>
      </w:r>
      <w:r>
        <w:rPr>
          <w:i/>
        </w:rPr>
        <w:t>s</w:t>
      </w:r>
      <w:r>
        <w:rPr>
          <w:i/>
        </w:rPr>
        <w:t>trumento privado con efecto jurídico que tienda a limitar la capacidad jurídica de la mujer se considerará nulo.</w:t>
      </w:r>
    </w:p>
    <w:p w:rsidR="00000000" w:rsidRDefault="00000000">
      <w:pPr>
        <w:pStyle w:val="SingleTxt"/>
        <w:rPr>
          <w:i/>
        </w:rPr>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Igualdad ante la ley y los tribunales</w:t>
      </w:r>
    </w:p>
    <w:p w:rsidR="00000000" w:rsidRDefault="00000000">
      <w:pPr>
        <w:pStyle w:val="SingleTxt"/>
        <w:spacing w:after="0" w:line="120" w:lineRule="exact"/>
        <w:rPr>
          <w:sz w:val="10"/>
        </w:rPr>
      </w:pPr>
    </w:p>
    <w:p w:rsidR="00000000" w:rsidRDefault="00000000">
      <w:pPr>
        <w:pStyle w:val="SingleTxt"/>
      </w:pPr>
      <w:r>
        <w:tab/>
        <w:t>De conformidad con el párrafo 2 del artículo 9 de la Constitución, “Los ciud</w:t>
      </w:r>
      <w:r>
        <w:t>a</w:t>
      </w:r>
      <w:r>
        <w:t>danos son iguales ante la ley”. Así pues, la igualdad ante la ley, según la Constit</w:t>
      </w:r>
      <w:r>
        <w:t>u</w:t>
      </w:r>
      <w:r>
        <w:t>ción, es el punto de partida para la aplicación del principio de la igualdad entre el hombre y la mujer. Esa disposición entraña dos consecuencias: 1) todos los ciudad</w:t>
      </w:r>
      <w:r>
        <w:t>a</w:t>
      </w:r>
      <w:r>
        <w:t>nos tienen la misma consideración ante la ley, es decir, ésta tiene la misma validez para todos los ciudadanos (erga omnes tangit); y 2) la ley se aplica de igual manera a todos los ciudadanos por parte de los órganos del Estado, lo que entraña la prote</w:t>
      </w:r>
      <w:r>
        <w:t>c</w:t>
      </w:r>
      <w:r>
        <w:t>ción de los ciudadanos frente a todo tipo de discriminación en el ejercicio de sus d</w:t>
      </w:r>
      <w:r>
        <w:t>e</w:t>
      </w:r>
      <w:r>
        <w:t>rechos y en el cumplimiento de sus obligaciones.</w:t>
      </w:r>
    </w:p>
    <w:p w:rsidR="00000000" w:rsidRDefault="00000000">
      <w:pPr>
        <w:pStyle w:val="SingleTxt"/>
      </w:pPr>
      <w:r>
        <w:tab/>
        <w:t>Entre otras cosas, la Constitución establece la igualdad entre el hombre y la mujer respecto del ejercicio de sus derechos de acceso a los tribunales y a las actu</w:t>
      </w:r>
      <w:r>
        <w:t>a</w:t>
      </w:r>
      <w:r>
        <w:t>ciones judiciales. Así, de conformidad con el artículo 7 de la Constitución, “Todo ciudadano tiene igualdad de acceso a los tribunales en el marco de la protección de sus derechos y sus intereses legítimos. Todo ciudadano tiene derecho a un juicio justo, equitativo e imparcial de duración razonable. No se puede denegar a nadie el acceso a los tribunales por falta de recursos”.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Derecho al reconocimiento de la personalidad jurídica y derecho a firmar contratos</w:t>
      </w:r>
    </w:p>
    <w:p w:rsidR="00000000" w:rsidRDefault="00000000">
      <w:pPr>
        <w:pStyle w:val="SingleTxt"/>
        <w:spacing w:after="0" w:line="120" w:lineRule="exact"/>
        <w:rPr>
          <w:sz w:val="10"/>
        </w:rPr>
      </w:pPr>
    </w:p>
    <w:p w:rsidR="00000000" w:rsidRDefault="00000000">
      <w:pPr>
        <w:pStyle w:val="SingleTxt"/>
      </w:pPr>
      <w:r>
        <w:tab/>
        <w:t>Habida cuenta de que, con arreglo a la legislación nacional, los hombres y mujeres adquieren su personalidad jurídica del mismo modo y en las mismas cond</w:t>
      </w:r>
      <w:r>
        <w:t>i</w:t>
      </w:r>
      <w:r>
        <w:t>ciones, los ciudadanos de la República de Macedonia son absolutamente iguales en lo que respecta al derecho de firmar contratos. Así pues, la legislación de la Rep</w:t>
      </w:r>
      <w:r>
        <w:t>ú</w:t>
      </w:r>
      <w:r>
        <w:t>blica de Macedonia reconoce a toda persona física la capacidad de ejercitar derechos y contraer obligaciones de carácter jurídico. La capacidad jurídica se adquiere por el nacimiento y se pierde por la muerte o por la declaración de fallecimiento de una persona desaparecida con arreglo a un procedimiento que se sigue en el marco de la Ley de actuaciones extrajudiciales. En la Ley de sucesiones se establece una exce</w:t>
      </w:r>
      <w:r>
        <w:t>p</w:t>
      </w:r>
      <w:r>
        <w:t>ción a la norma de que únicamente una persona viva en el momento de ejecutarse el testamento puede ser un heredero legítimo. Esa excepción se aplica también al der</w:t>
      </w:r>
      <w:r>
        <w:t>e</w:t>
      </w:r>
      <w:r>
        <w:t>cho de adquirir la capacidad jurídica por el nacimiento. En otras palabras, en el p</w:t>
      </w:r>
      <w:r>
        <w:t>á</w:t>
      </w:r>
      <w:r>
        <w:t>rrafo 2 del artículo 122 de esa Ley se dispone que el hijo concebido en el momento de la ejecución del procedimiento de sucesión se considerará vivo si posteriormente nace vivo, con lo que se protegen los posibles derechos hereditarios del hijo conc</w:t>
      </w:r>
      <w:r>
        <w:t>e</w:t>
      </w:r>
      <w:r>
        <w:t>bido pero no nacido.</w:t>
      </w:r>
    </w:p>
    <w:p w:rsidR="00000000" w:rsidRDefault="00000000">
      <w:pPr>
        <w:pStyle w:val="SingleTxt"/>
      </w:pPr>
      <w:r>
        <w:tab/>
        <w:t>Junto a la capacidad jurídica, cabe mencionar la capacidad de obrar, es decir, la capacidad de una persona física de establecer relaciones jurídicas con otras ent</w:t>
      </w:r>
      <w:r>
        <w:t>i</w:t>
      </w:r>
      <w:r>
        <w:t>dades. Según la legislación de la República de Macedonia, una persona adquiere la capacidad de obrar cuando cumple la mayoría de edad. A tenor de lo dispuesto en la Ley de la familia, la mayoría de edad se cumple a los 18 años, fecha en la que los adultos adquieren la capacidad de obrar. Como excepción, se tiene derecho a trab</w:t>
      </w:r>
      <w:r>
        <w:t>a</w:t>
      </w:r>
      <w:r>
        <w:t>jar a la edad de 16 años si se contrae matrimonio.</w:t>
      </w:r>
    </w:p>
    <w:p w:rsidR="00000000" w:rsidRDefault="00000000">
      <w:pPr>
        <w:pStyle w:val="SingleTxt"/>
      </w:pPr>
      <w:r>
        <w:tab/>
        <w:t>Además, una persona física puede adquirir capacidad de obrar a la edad de 15 años si trabaja.</w:t>
      </w:r>
    </w:p>
    <w:p w:rsidR="00000000" w:rsidRDefault="00000000">
      <w:pPr>
        <w:pStyle w:val="SingleTxt"/>
      </w:pPr>
      <w:r>
        <w:tab/>
        <w:t>Los menores de 15 años de edad no tienen ninguna capacidad de obrar. Sus padres o tutores se encargan de cumplir sus obligaciones y de ejercitar sus derechos jurídicos. Los menores de entre 15 y 18 años de edad tienen una capacidad de obrar limitada. Las personas con capacidad de obrar limitada pueden, sin el previo co</w:t>
      </w:r>
      <w:r>
        <w:t>n</w:t>
      </w:r>
      <w:r>
        <w:t>sentimiento de sus representantes legales, firmar únicamente los contratos que les permita la legislación (párrafo 2 del artículo 56 de la Ley de obligaciones). A este respecto, pueden realizar por sí mismos todos los actos jurídicos que guarden rel</w:t>
      </w:r>
      <w:r>
        <w:t>a</w:t>
      </w:r>
      <w:r>
        <w:t>ción con sus ingresos. Pueden realizar los demás actos jurídicos únicamente con el consentimiento de sus representantes legales. El derecho a la herencia, que quieren los menores al cumplir los 15 años de edad en caso de que tengan capacidad mental para ello, constituye la excepción a esa regla (artículo 62 de la Ley de sucesiones).</w:t>
      </w:r>
    </w:p>
    <w:p w:rsidR="00000000" w:rsidRDefault="00000000">
      <w:pPr>
        <w:pStyle w:val="SingleTxt"/>
      </w:pPr>
      <w:r>
        <w:tab/>
        <w:t>Además de la edad, la salud mental es también una condición para que una persona tenga capacidad de obrar completa. Los mayores de edad que, como cons</w:t>
      </w:r>
      <w:r>
        <w:t>e</w:t>
      </w:r>
      <w:r>
        <w:t>cuencia de una enfermedad mental, no puedan hacerse cargo de su propia subsiste</w:t>
      </w:r>
      <w:r>
        <w:t>n</w:t>
      </w:r>
      <w:r>
        <w:t>cia ni hacer valer sus derechos e intereses pueden verse totalmente privados de su capacidad de obrar (en este sentido, se equiparan a los menores de 15 años) o pu</w:t>
      </w:r>
      <w:r>
        <w:t>e</w:t>
      </w:r>
      <w:r>
        <w:t>den tener una capacidad de obrar limitada. En este sentido, se equiparan a los may</w:t>
      </w:r>
      <w:r>
        <w:t>o</w:t>
      </w:r>
      <w:r>
        <w:t>res de 15 años.</w:t>
      </w:r>
    </w:p>
    <w:p w:rsidR="00000000" w:rsidRDefault="00000000">
      <w:pPr>
        <w:pStyle w:val="SingleTxt"/>
      </w:pPr>
      <w:r>
        <w:tab/>
        <w:t>Los tribunales resuelven si ha de privarse o limitarse la capacidad de obrar en un procedimiento extrajudicial. Se trata de un procedimiento extrajudicial especial regulado por la Ley de procedimientos extrajudiciales, en el que se decide si se pr</w:t>
      </w:r>
      <w:r>
        <w:t>i</w:t>
      </w:r>
      <w:r>
        <w:t>va total o parcialmente de la capacidad de obrar a una persona como consecuencia de una enfermedad mental, una discapacidad o la adicción al alcohol o a otras su</w:t>
      </w:r>
      <w:r>
        <w:t>s</w:t>
      </w:r>
      <w:r>
        <w:t>tancias alucinógenas que le impidan hacerse cargo de su propia subsistencia o velar por sus derechos e intereses.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3)</w:t>
      </w:r>
      <w:r>
        <w:tab/>
        <w:t>Derecho a la propiedad</w:t>
      </w:r>
    </w:p>
    <w:p w:rsidR="00000000" w:rsidRDefault="00000000">
      <w:pPr>
        <w:pStyle w:val="SingleTxt"/>
        <w:spacing w:after="0" w:line="120" w:lineRule="exact"/>
        <w:rPr>
          <w:sz w:val="10"/>
        </w:rPr>
      </w:pPr>
    </w:p>
    <w:p w:rsidR="00000000" w:rsidRDefault="00000000">
      <w:pPr>
        <w:pStyle w:val="SingleTxt"/>
      </w:pPr>
      <w:r>
        <w:tab/>
        <w:t>En el ordenamiento jurídico de la República de Macedonia el derecho a la pr</w:t>
      </w:r>
      <w:r>
        <w:t>o</w:t>
      </w:r>
      <w:r>
        <w:t>piedad está constitucionalmente garantizado en una disposición general (párrafo 1 del artículo 30 de la Constitución), en la que se reconoce el derecho a la propiedad privada. Teniendo en cuenta esa disposición, cabe considerar que todo ciudadano, es decir, toda persona física (hombre o mujer) y toda persona jurídica tiene, en virtud de la Constitución, el derecho a la propiedad privada en igualdad de condiciones. No puede extraerse ninguna conclusión acerca del alcance de este artículo de la Constitución mediante una interpretación aislada, sino que ha de procederse a una lectura conjunta de tal disposición y del apartado 6 del párrafo 1 del artículo 8 de la Constitución, en el que la “protección jurídica de la propiedad” figura entre los v</w:t>
      </w:r>
      <w:r>
        <w:t>a</w:t>
      </w:r>
      <w:r>
        <w:t>lores básicos del ordenamiento jurídico. El reconocimiento constitucional de la pr</w:t>
      </w:r>
      <w:r>
        <w:t>o</w:t>
      </w:r>
      <w:r>
        <w:t>piedad privada significa realmente que toda persona tiene derecho a esa propiedad, con independencia del género, tanto en la esfera privada de la vida como en el tr</w:t>
      </w:r>
      <w:r>
        <w:t>a</w:t>
      </w:r>
      <w:r>
        <w:t>bajo, teniendo en cuenta que ese derecho reconocido en el artículo 55 se compl</w:t>
      </w:r>
      <w:r>
        <w:t>e</w:t>
      </w:r>
      <w:r>
        <w:t>menta con el reconocimiento de la libertad de mercado y de empresa.</w:t>
      </w:r>
    </w:p>
    <w:p w:rsidR="00000000" w:rsidRDefault="00000000">
      <w:pPr>
        <w:pStyle w:val="SingleTxt"/>
      </w:pPr>
      <w:r>
        <w:tab/>
        <w:t>El reconocimiento del derecho a la propiedad privada no significa que dicho derecho sea totalmente inviolable; es decir, no queda protegido frente a las medidas legales adoptadas por las autoridades públicas a fin de atender a los intereses cole</w:t>
      </w:r>
      <w:r>
        <w:t>c</w:t>
      </w:r>
      <w:r>
        <w:t>tivos. Las personas son miembros de la sociedad y en ésta puede haber otros inter</w:t>
      </w:r>
      <w:r>
        <w:t>e</w:t>
      </w:r>
      <w:r>
        <w:t>ses superiores. La persona está obligada a contribuir al bien común, incluso cuando ello no redunde en su propio interés. Así pues, en la Constitución se dispone lo s</w:t>
      </w:r>
      <w:r>
        <w:t>i</w:t>
      </w:r>
      <w:r>
        <w:t>guiente: “La propiedad privada genera derechos y responsabilidades y, por ello, d</w:t>
      </w:r>
      <w:r>
        <w:t>e</w:t>
      </w:r>
      <w:r>
        <w:t>be se</w:t>
      </w:r>
      <w:r>
        <w:t>r</w:t>
      </w:r>
      <w:r>
        <w:t>vir al bien de la persona y de la comunidad”.</w:t>
      </w:r>
    </w:p>
    <w:p w:rsidR="00000000" w:rsidRDefault="00000000">
      <w:pPr>
        <w:pStyle w:val="SingleTxt"/>
      </w:pPr>
      <w:r>
        <w:tab/>
        <w:t>En relación con la necesidad inmediata de que la libertad de la persona se vea restringida por la libertad de todos los miembros de la sociedad, con independencia de su género, en los párrafos 3 y 4 del artículo 30 de la Constitución se dispone lo siguiente: “Ninguna persona puede verse privada de su propiedad y de los derechos que le hayan sido conferidos ni éstos pueden verse limitados, salvo que medie el interés público con arreglo a la ley. En caso de expropiación de bienes o de limit</w:t>
      </w:r>
      <w:r>
        <w:t>a</w:t>
      </w:r>
      <w:r>
        <w:t>ción del derecho de propiedad se garantiza una justa compensación que no puede ser i</w:t>
      </w:r>
      <w:r>
        <w:t>n</w:t>
      </w:r>
      <w:r>
        <w:t>ferior al valor de mercado”.</w:t>
      </w:r>
    </w:p>
    <w:p w:rsidR="00000000" w:rsidRDefault="00000000">
      <w:pPr>
        <w:pStyle w:val="SingleTxt"/>
      </w:pPr>
      <w:r>
        <w:tab/>
        <w:t>La Ley sobre el patrimonio y otros derechos sustantivos de la República de Macedonia regula con detalle los derechos patrimoniales de los cónyuges en una subdivisión titulada “Patrimonio de los cónyuges dentro y fuera del matrimonio”. En esa Ley se dispone que el patrimonio de los cónyuges puede ser común e indiv</w:t>
      </w:r>
      <w:r>
        <w:t>i</w:t>
      </w:r>
      <w:r>
        <w:t>dual. El patrimonio obtenido por los cónyuges durante su matrimonio se considera bienes gananciales. El patrimonio que pertenecía a uno de los cónyuges antes del matrimonio se considera patrimonio individual. El patrimonio que uno de los có</w:t>
      </w:r>
      <w:r>
        <w:t>n</w:t>
      </w:r>
      <w:r>
        <w:t>yuges adquiere por medio de herencia, legado o donación, así como los objetos a</w:t>
      </w:r>
      <w:r>
        <w:t>d</w:t>
      </w:r>
      <w:r>
        <w:t>quiridos durante el matrimonio que sirven exclusivamente para satisfacer las neces</w:t>
      </w:r>
      <w:r>
        <w:t>i</w:t>
      </w:r>
      <w:r>
        <w:t>dades personales de uno de los cónyuges y no tienen un valor considerable comp</w:t>
      </w:r>
      <w:r>
        <w:t>a</w:t>
      </w:r>
      <w:r>
        <w:t>rado con el valor de los bienes gananciales, se considera patrimonio individual. C</w:t>
      </w:r>
      <w:r>
        <w:t>a</w:t>
      </w:r>
      <w:r>
        <w:t>da uno de los cónyuges administra sus bienes propios y dispone de ellos libremente a menos que se acuerde otra cosa por escrito.</w:t>
      </w:r>
    </w:p>
    <w:p w:rsidR="00000000" w:rsidRDefault="00000000">
      <w:pPr>
        <w:pStyle w:val="SingleTxt"/>
      </w:pPr>
      <w:r>
        <w:tab/>
        <w:t>Los bienes raíces que adquieren los cónyuges, bienes que tienen la consider</w:t>
      </w:r>
      <w:r>
        <w:t>a</w:t>
      </w:r>
      <w:r>
        <w:t>ción de gananciales, se inscriben en el registro público como tales a nombre de a</w:t>
      </w:r>
      <w:r>
        <w:t>m</w:t>
      </w:r>
      <w:r>
        <w:t>bos cónyuges. Si se inscribe como propietario de los bienes gananciales a uno solo de los cónyuges, se considerará que la inscripción se ha hecho a nombre de ambos. Si ambos cónyuges figuran como copropietarios de determinadas partes en el regi</w:t>
      </w:r>
      <w:r>
        <w:t>s</w:t>
      </w:r>
      <w:r>
        <w:t>tro, se considerará que cada uno de ellos posee una determinada porción de los g</w:t>
      </w:r>
      <w:r>
        <w:t>a</w:t>
      </w:r>
      <w:r>
        <w:t>nanciales. Los cónyuges administran de manera recíproca y por consentimiento mutuo los gananciales y disponen de ellos de la misma manera. Ninguno de los có</w:t>
      </w:r>
      <w:r>
        <w:t>n</w:t>
      </w:r>
      <w:r>
        <w:t>yuges puede disponer de la parte que le corresponde de los gananciales ni entablar por sí mismo ninguna actuación antes que le haya sido adjudicada esa parte.</w:t>
      </w:r>
    </w:p>
    <w:p w:rsidR="00000000" w:rsidRDefault="00000000">
      <w:pPr>
        <w:pStyle w:val="SingleTxt"/>
      </w:pPr>
      <w:r>
        <w:tab/>
        <w:t>En caso de venta de una parte del patrimonio común que pertenezca a uno de los cónyuges, el otro puede ejercitar el derecho de tanteo y retracto. Los cónyuges pueden acordar por escrito que uno de ellos se encargará de la administración del patrimonio común o de parte de él. Ese acuerdo puede abarcar la administración y disposición totales del patrimonio o, únicamente la administración ordinaria de éste o la administración de determinadas partes. La administración incluye la enajen</w:t>
      </w:r>
      <w:r>
        <w:t>a</w:t>
      </w:r>
      <w:r>
        <w:t>ción del patrimonio dentro del marco de su gestión ordinaria, a menos que se ind</w:t>
      </w:r>
      <w:r>
        <w:t>i</w:t>
      </w:r>
      <w:r>
        <w:t>que otra cosa. Cada uno de los cónyuges puede rescindir el contrato de administr</w:t>
      </w:r>
      <w:r>
        <w:t>a</w:t>
      </w:r>
      <w:r>
        <w:t>ción y disposición del patrimonio común en cualquier momento, a menos que la re</w:t>
      </w:r>
      <w:r>
        <w:t>s</w:t>
      </w:r>
      <w:r>
        <w:t>cisión del contrato redunde en menoscabo del otro cónyuge.</w:t>
      </w:r>
    </w:p>
    <w:p w:rsidR="00000000" w:rsidRDefault="00000000">
      <w:pPr>
        <w:pStyle w:val="SingleTxt"/>
      </w:pPr>
      <w:r>
        <w:tab/>
        <w:t>Se necesita la autorización de uno de los cónyuges en la forma establecida en la legislación cuando las actividades del cónyuge encargado de la gestión sobrep</w:t>
      </w:r>
      <w:r>
        <w:t>a</w:t>
      </w:r>
      <w:r>
        <w:t>sen el marco de la administración y disposición. Si los cónyuges no se ponen de acuerdo acerca de la administración del patrimonio común o de una parte de éste y ninguno de ellos pide que se le asigne la parte del patrimonio común, los tribunales, a petición de cualquiera de los cónyuges, pueden decidir la adopción de las medidas necesarias a los efectos de la administración del patrimonio en el marco de un pr</w:t>
      </w:r>
      <w:r>
        <w:t>o</w:t>
      </w:r>
      <w:r>
        <w:t>cedimiento extrajudicial. Los cónyuges pueden separar el patrimonio común por acuerdo mutuo durante el matrimonio o después de éste. En caso de división del p</w:t>
      </w:r>
      <w:r>
        <w:t>a</w:t>
      </w:r>
      <w:r>
        <w:t>trimonio común entre los cónyuges, se aplican las normas del patrimonio individual. En caso de que no se llegue a un acuerdo, los tribunales, a petición de cualquiera de los cónyuges, procederán a dividir el patrimonio en el marco de un procedimiento extrajudicial. Al proceder a la división del patrimonio entre los cónyuges, el tribunal correspondiente entenderá que el patrimonio común se divide en dos partes iguales. A petición de cualquiera de los cónyuges, el tribunal podrá asignarle una proporción mayor del patrimonio común, únicamente si el cónyuge prueba que su aportación al patrimonio común es manifiesta y considerablemente superior a la del otro cónyuge. Cualquiera de los cónyuges podrá pedir, en el proceso de división del patrimonio común, que las partes de ese patrimonio que sirvan para la realización de su trabajo se incluyan primordialmente en la proporción que se le vaya a asignar. El patrim</w:t>
      </w:r>
      <w:r>
        <w:t>o</w:t>
      </w:r>
      <w:r>
        <w:t>nio que haya sido adquirido mediante el trabajo realizado durante el matrimonio, p</w:t>
      </w:r>
      <w:r>
        <w:t>e</w:t>
      </w:r>
      <w:r>
        <w:t>ro que esté destinado exclusivamente al uso individual de uno de los cónyuges, será separado del patrimonio común a petición de dicho cónyuge y asignado al cónyuge en cuestión, además de la parte que le corresponda. Si el valor de esos bienes (los que sean esenciales para el trabajo de uno de los cónyuges y los adquiridos mediante el trabajo durante el matrimonio, pero exclusivamente destinados a uso individual) es desproporcionadamente elevado por comparación con el valor de la totalidad del patrimonio común, dichos bienes también serán divididos, a menos que el cónyuge que haya de recibirlos pague el valor apropiado o entregue otros bienes a su cóny</w:t>
      </w:r>
      <w:r>
        <w:t>u</w:t>
      </w:r>
      <w:r>
        <w:t>ge con el consentimiento de éste último.</w:t>
      </w:r>
    </w:p>
    <w:p w:rsidR="00000000" w:rsidRDefault="00000000">
      <w:pPr>
        <w:pStyle w:val="SingleTxt"/>
        <w:keepNext/>
        <w:keepLines/>
      </w:pPr>
      <w:r>
        <w:tab/>
        <w:t>El cónyuge al que se asigne la custodia de los hijos comunes también tendrá asignados, aparte de la proporción del patrimonio que le corresponda, los bienes que sean necesarios para los hijos o que se utilicen para atender a sus necesidades inm</w:t>
      </w:r>
      <w:r>
        <w:t>e</w:t>
      </w:r>
      <w:r>
        <w:t>diatas. El cónyuge al que se asigne la custodia de los hijos comunes también tendrá asignados los bienes que normalmente se asignen al cónyuge encargado de la cust</w:t>
      </w:r>
      <w:r>
        <w:t>o</w:t>
      </w:r>
      <w:r>
        <w:t>dia de los hijos.</w:t>
      </w:r>
    </w:p>
    <w:p w:rsidR="00000000" w:rsidRDefault="00000000">
      <w:pPr>
        <w:pStyle w:val="SingleTxt"/>
      </w:pPr>
      <w:r>
        <w:tab/>
        <w:t>Si, al procederse a la división del patrimonio común, se asigna a uno de los cónyuges una parte considerablemente inferior a la del otro, a petición de uno de los cónyuges el tribunal podrá declarar que se pague una compensación financiera a ese cónyuge por la parte que no se le ha asignado. El cónyuge no es responsable del cumplimiento de las obligaciones que tuviera el otro cónyuge antes del matrimonio ni de las que contrajese después del matrimonio. Los cónyuges son responsables conjunta e individualmente de las obligaciones que haya contraído cada uno de ellos con un tercero a fin de atender a las necesidades del matrimonio, así como de las obligaciones que, de conformidad con la legislación general, se impongan a ambos cónyuges.</w:t>
      </w:r>
    </w:p>
    <w:p w:rsidR="00000000" w:rsidRDefault="00000000">
      <w:pPr>
        <w:pStyle w:val="SingleTxt"/>
      </w:pPr>
      <w:r>
        <w:tab/>
        <w:t>El cónyuge que haya cumplido las obligaciones comunes con cargo a su parte individual del patrimonio tiene derecho a pedir al otro cónyuge que pague la parte que le corresponda de esas obligaciones. Las donaciones realizadas entre los cóny</w:t>
      </w:r>
      <w:r>
        <w:t>u</w:t>
      </w:r>
      <w:r>
        <w:t>ges antes o durante el matrimonio no se restituyen. El patrimonio adquirido durante una unión no matrimonial por las partes se considera patrimonio común. Las disp</w:t>
      </w:r>
      <w:r>
        <w:t>o</w:t>
      </w:r>
      <w:r>
        <w:t>siciones de la Ley sobre el patrimonio y otros derechos sustantivos que abarcan al patrimonio común de los cónyuges también se aplican en el caso de la administr</w:t>
      </w:r>
      <w:r>
        <w:t>a</w:t>
      </w:r>
      <w:r>
        <w:t>ción, disposición y asignación de diferentes partes del patrimonio adquirido en el marco de una unión no matrimonial y a la división del patrimonio adquirido en el marco de ese tipo unión.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Derecho a la libertad de circulación y a fijar libremente el lugar de residencia</w:t>
      </w:r>
    </w:p>
    <w:p w:rsidR="00000000" w:rsidRDefault="00000000">
      <w:pPr>
        <w:pStyle w:val="SingleTxt"/>
        <w:spacing w:after="0" w:line="120" w:lineRule="exact"/>
        <w:rPr>
          <w:sz w:val="10"/>
        </w:rPr>
      </w:pPr>
    </w:p>
    <w:p w:rsidR="00000000" w:rsidRDefault="00000000">
      <w:pPr>
        <w:pStyle w:val="SingleTxt"/>
      </w:pPr>
      <w:r>
        <w:tab/>
        <w:t>De conformidad con el artículo 27 de la Constitución, “Todo ciudadano de la República de Macedonia tiene derecho a circular libremente por el territorio de la República de Macedonia y a elegir libremente su lugar de residencia. Todo ciudad</w:t>
      </w:r>
      <w:r>
        <w:t>a</w:t>
      </w:r>
      <w:r>
        <w:t>no tiene derecho a abandonar el territorio de la República y a regresar a él. La ley puede limitar el disfrute de esos derechos únicamente cuando ello sea necesario para la seguridad de la República, de resultas de una investigación criminal o con el fin de proteger la salud de los ciudadanos”. Ese derecho se desarrolla en varias leyes, en las que no se hace ninguna diferencia por razones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igualdad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rPr>
          <w:i/>
        </w:rPr>
      </w:pPr>
      <w:r>
        <w:rPr>
          <w:i/>
        </w:rPr>
        <w:tab/>
        <w:t>c)</w:t>
      </w:r>
      <w:r>
        <w:rPr>
          <w:i/>
        </w:rPr>
        <w:tab/>
        <w:t>Los mismos derechos y responsabilidades durante el matrimonio y con ocasión de su disolución;</w:t>
      </w: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w:t>
      </w:r>
      <w:r>
        <w:rPr>
          <w:i/>
        </w:rPr>
        <w:t>e</w:t>
      </w:r>
      <w:r>
        <w:rPr>
          <w:i/>
        </w:rPr>
        <w:t>reses de los hijos serán la consideración primordial;</w:t>
      </w: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w:t>
      </w:r>
      <w:r>
        <w:rPr>
          <w:i/>
        </w:rPr>
        <w:t>e</w:t>
      </w:r>
      <w:r>
        <w:rPr>
          <w:i/>
        </w:rPr>
        <w:t>rán la consideración primordial;</w:t>
      </w:r>
    </w:p>
    <w:p w:rsidR="00000000" w:rsidRDefault="00000000">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la República de Macedonia fue el punto de partida del pr</w:t>
      </w:r>
      <w:r>
        <w:t>o</w:t>
      </w:r>
      <w:r>
        <w:t>ceso de codificación del derecho de familia. De conformidad con la Constitución, la familia, en su calidad de institución de importancia fundamental, es objeto de esp</w:t>
      </w:r>
      <w:r>
        <w:t>e</w:t>
      </w:r>
      <w:r>
        <w:t>cial interés por parte del Estado, es decir, de todo su sistema jurídico e institucional. No obstante, la nueva concepción del derecho de familia no se aparta de las caract</w:t>
      </w:r>
      <w:r>
        <w:t>e</w:t>
      </w:r>
      <w:r>
        <w:t>rísticas familiares tradicionales de la región. Así pues, ya estaban sentadas las bases del nuevo derecho de familia.</w:t>
      </w:r>
    </w:p>
    <w:p w:rsidR="00000000" w:rsidRDefault="00000000">
      <w:pPr>
        <w:pStyle w:val="SingleTxt"/>
      </w:pPr>
      <w:r>
        <w:tab/>
        <w:t>La nueva Ley de la familia contiene disposiciones sobre todas las relaciones que se plantean en el matrimonio y la familia. Abarca cuatro ámbitos del derecho de familia: la institución del matrimonio, las relaciones paternofiliales, la adopción y la institución de la tutela, es decir, las cuestiones generales relacionadas con el derecho sustantivo de la familia.</w:t>
      </w:r>
    </w:p>
    <w:p w:rsidR="00000000" w:rsidRDefault="00000000">
      <w:pPr>
        <w:pStyle w:val="SingleTxt"/>
      </w:pPr>
      <w:r>
        <w:tab/>
        <w:t>De conformidad con la Constitución, la familia, que tiene una importante d</w:t>
      </w:r>
      <w:r>
        <w:t>i</w:t>
      </w:r>
      <w:r>
        <w:t>mensión pública y social, se estructura de la manera siguiente:</w:t>
      </w:r>
    </w:p>
    <w:p w:rsidR="00000000" w:rsidRDefault="00000000">
      <w:pPr>
        <w:pStyle w:val="SingleTxt"/>
      </w:pPr>
      <w:r>
        <w:tab/>
        <w:t>a)</w:t>
      </w:r>
      <w:r>
        <w:tab/>
        <w:t>La República pone especial cuidado en la atención y la protección de la familia;</w:t>
      </w:r>
    </w:p>
    <w:p w:rsidR="00000000" w:rsidRDefault="00000000">
      <w:pPr>
        <w:pStyle w:val="SingleTxt"/>
      </w:pPr>
      <w:r>
        <w:tab/>
        <w:t>b)</w:t>
      </w:r>
      <w:r>
        <w:tab/>
        <w:t>Las relaciones jurídicas del matrimonio, la familia y las uniones no m</w:t>
      </w:r>
      <w:r>
        <w:t>a</w:t>
      </w:r>
      <w:r>
        <w:t>trimoniales están definidas por la ley.</w:t>
      </w:r>
    </w:p>
    <w:p w:rsidR="00000000" w:rsidRDefault="00000000">
      <w:pPr>
        <w:pStyle w:val="SingleTxt"/>
      </w:pPr>
      <w:r>
        <w:tab/>
        <w:t>c)</w:t>
      </w:r>
      <w:r>
        <w:tab/>
        <w:t>Los padres tienen el derecho y el deber de atender y criar a sus hijos;</w:t>
      </w:r>
    </w:p>
    <w:p w:rsidR="00000000" w:rsidRDefault="00000000">
      <w:pPr>
        <w:pStyle w:val="SingleTxt"/>
        <w:rPr>
          <w:spacing w:val="2"/>
          <w:w w:val="101"/>
        </w:rPr>
      </w:pPr>
      <w:r>
        <w:rPr>
          <w:spacing w:val="2"/>
          <w:w w:val="101"/>
        </w:rPr>
        <w:tab/>
        <w:t>d)</w:t>
      </w:r>
      <w:r>
        <w:rPr>
          <w:spacing w:val="2"/>
          <w:w w:val="101"/>
        </w:rPr>
        <w:tab/>
        <w:t>Los hijos tienen la obligación de atender a sus padres ancianos o imped</w:t>
      </w:r>
      <w:r>
        <w:rPr>
          <w:spacing w:val="2"/>
          <w:w w:val="101"/>
        </w:rPr>
        <w:t>i</w:t>
      </w:r>
      <w:r>
        <w:rPr>
          <w:spacing w:val="2"/>
          <w:w w:val="101"/>
        </w:rPr>
        <w:t>dos;</w:t>
      </w:r>
    </w:p>
    <w:p w:rsidR="00000000" w:rsidRDefault="00000000">
      <w:pPr>
        <w:pStyle w:val="SingleTxt"/>
      </w:pPr>
      <w:r>
        <w:tab/>
        <w:t>e)</w:t>
      </w:r>
      <w:r>
        <w:tab/>
        <w:t>La República protege especialmente a los huérfanos o hijos que no cuentan con la asistencia de los padres.</w:t>
      </w:r>
    </w:p>
    <w:p w:rsidR="00000000" w:rsidRDefault="00000000">
      <w:pPr>
        <w:pStyle w:val="SingleTxt"/>
        <w:rPr>
          <w:spacing w:val="2"/>
          <w:w w:val="101"/>
        </w:rPr>
      </w:pPr>
      <w:r>
        <w:tab/>
        <w:t>Teniendo en cuenta las disposiciones de la Constitución y las leyes y las trad</w:t>
      </w:r>
      <w:r>
        <w:t>i</w:t>
      </w:r>
      <w:r>
        <w:t>ciones familiares, en la Ley de la familia se define a ésta como una unión entre los padres, los hijos y otros parientes que viven en el mismo hogar. El matrimonio pasa a ser una unión cuando nace o es adoptado el primer hijo. Desde el punto de vista biológico, el objetivo fundamental de la familia es criar y educar a los hijos y a las generaciones posteriores de manera humana y civilizada. No obstante la legislación acepta únicamente las uniones monógamas entre un hombre y una mujer, que con</w:t>
      </w:r>
      <w:r>
        <w:t>s</w:t>
      </w:r>
      <w:r>
        <w:t>tituyen la base de los hijos ulteriormente nacidos y de la familia. Esa definición de la familia abarca las nuevas tendencias del derecho de familia y las normas que r</w:t>
      </w:r>
      <w:r>
        <w:t>e</w:t>
      </w:r>
      <w:r>
        <w:t>gulan las relaciones familiares en los países desarrollados, así como las tradiciones que imperan en la región, razón por la que existe la obligación de atender a los p</w:t>
      </w:r>
      <w:r>
        <w:t>a</w:t>
      </w:r>
      <w:r>
        <w:t xml:space="preserve">dres y parientes ancianos, ya que tradicionalmente se consideran parte de la familia ampliada. La sociedad de la República de Macedonia aún no está familiarizada con la idea de que haya instituciones debidamente organizadas en las que se ingrese a los </w:t>
      </w:r>
      <w:r>
        <w:rPr>
          <w:spacing w:val="2"/>
          <w:w w:val="101"/>
        </w:rPr>
        <w:t>padres ancianos para que sean atendidos como alternativa a los cuidados de la fam</w:t>
      </w:r>
      <w:r>
        <w:rPr>
          <w:spacing w:val="2"/>
          <w:w w:val="101"/>
        </w:rPr>
        <w:t>i</w:t>
      </w:r>
      <w:r>
        <w:rPr>
          <w:spacing w:val="2"/>
          <w:w w:val="101"/>
        </w:rPr>
        <w:t>lia.</w:t>
      </w:r>
    </w:p>
    <w:p w:rsidR="00000000" w:rsidRDefault="00000000">
      <w:pPr>
        <w:pStyle w:val="SingleTxt"/>
      </w:pPr>
      <w:r>
        <w:tab/>
        <w:t>En lo concerniente a las uniones no matrimoniales, en el artículo 13 de la Ley de la familia se dispone que una unión de esa índole que haya durado por lo menos un año será considerada una unión matrimonial por lo que respecta al apoyo mutuo y a la división del patrimonio adquirido por esa unión.</w:t>
      </w:r>
    </w:p>
    <w:p w:rsidR="00000000" w:rsidRDefault="00000000">
      <w:pPr>
        <w:pStyle w:val="SingleTxt"/>
      </w:pPr>
      <w:r>
        <w:tab/>
        <w:t>En la legislación de la República de Macedonia se regula desde hace poco tiempo la cuestión de la imposibilidad de contraer matrimonio como consecuencia de una enfermedad o perturbación mental. En la ley se permite que las personas con ligeras perturbaciones mentales y con graves enfermedades hereditarias contraigan matrimonio si media un informe sobre la predisposición genética emitido por el In</w:t>
      </w:r>
      <w:r>
        <w:t>s</w:t>
      </w:r>
      <w:r>
        <w:t>tituto de atención mental a los niños y adolescentes.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Condición jurídica de la mujer en la nueva legislación sobre las relaciones familiares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libre procreación</w:t>
      </w:r>
    </w:p>
    <w:p w:rsidR="00000000" w:rsidRDefault="00000000">
      <w:pPr>
        <w:pStyle w:val="SingleTxt"/>
        <w:spacing w:after="0" w:line="120" w:lineRule="exact"/>
        <w:rPr>
          <w:sz w:val="10"/>
        </w:rPr>
      </w:pPr>
    </w:p>
    <w:p w:rsidR="00000000" w:rsidRDefault="00000000">
      <w:pPr>
        <w:pStyle w:val="SingleTxt"/>
      </w:pPr>
      <w:r>
        <w:tab/>
        <w:t>La igualdad entre ambos sexos que se establece en la Constitución se pone de manifiesto en un aspecto muy importante, a saber, la libertad que tiene tanto el hombre como la mujer de decidir libremente sobre la procreación.</w:t>
      </w:r>
    </w:p>
    <w:p w:rsidR="00000000" w:rsidRDefault="00000000">
      <w:pPr>
        <w:pStyle w:val="SingleTxt"/>
      </w:pPr>
      <w:r>
        <w:tab/>
        <w:t>La Ley de la familia contiene una disposición sobre la libre decisión de los cónyuges acerca del número y del espaciamiento de los hijos. El derecho a decidir libremente sobre la procreación es uno de los derechos humanos más íntimos y, s</w:t>
      </w:r>
      <w:r>
        <w:t>e</w:t>
      </w:r>
      <w:r>
        <w:t>gún la legislación de la República de Macedonia, debe basarse en la libre decisión conjunta de ambos cónyuges. Así, la República de Macedonia forma parte del m</w:t>
      </w:r>
      <w:r>
        <w:t>o</w:t>
      </w:r>
      <w:r>
        <w:t>vimiento mundial en pro de la planificación de la familia, que cuenta con el apoyo de las resoluciones y declaraciones de las Naciones Unidas, aprobadas como cons</w:t>
      </w:r>
      <w:r>
        <w:t>e</w:t>
      </w:r>
      <w:r>
        <w:t>cuencia de la creciente expansión demográfica del mundo. De esa manera, la tasa de nacimientos puede estar en consonancia con las posibilidades objetivas de atender, criar y educar a los hijos en las debidas condiciones.</w:t>
      </w:r>
    </w:p>
    <w:p w:rsidR="00000000" w:rsidRDefault="00000000">
      <w:pPr>
        <w:pStyle w:val="SingleTxt"/>
        <w:keepNext/>
        <w:keepLines/>
        <w:rPr>
          <w:spacing w:val="2"/>
          <w:w w:val="101"/>
        </w:rPr>
      </w:pPr>
      <w:r>
        <w:tab/>
        <w:t>La República de Macedonia aplica una política humana en relación con esta cuestión, es decir, no adopta ninguna medida represiva en lo tocante a la realización del derecho a la procreación. Los propios padres han de garantizar el bienestar ec</w:t>
      </w:r>
      <w:r>
        <w:t>o</w:t>
      </w:r>
      <w:r>
        <w:t xml:space="preserve">nómico y social de la familia, es decir, su responsabilidad fundamental estriba en </w:t>
      </w:r>
      <w:r>
        <w:rPr>
          <w:spacing w:val="2"/>
          <w:w w:val="101"/>
        </w:rPr>
        <w:t>establecer las condiciones óptimas para la crianza y el desarrollo saludables de sus h</w:t>
      </w:r>
      <w:r>
        <w:rPr>
          <w:spacing w:val="2"/>
          <w:w w:val="101"/>
        </w:rPr>
        <w:t>i</w:t>
      </w:r>
      <w:r>
        <w:rPr>
          <w:spacing w:val="2"/>
          <w:w w:val="101"/>
        </w:rPr>
        <w:t>jos. La educación es una obligación que corresponde a la familia antes que al E</w:t>
      </w:r>
      <w:r>
        <w:rPr>
          <w:spacing w:val="2"/>
          <w:w w:val="101"/>
        </w:rPr>
        <w:t>s</w:t>
      </w:r>
      <w:r>
        <w:rPr>
          <w:spacing w:val="2"/>
          <w:w w:val="101"/>
        </w:rPr>
        <w:t>tado.</w:t>
      </w:r>
    </w:p>
    <w:p w:rsidR="00000000" w:rsidRDefault="00000000">
      <w:pPr>
        <w:pStyle w:val="SingleTxt"/>
      </w:pPr>
      <w:r>
        <w:tab/>
        <w:t>Una característica importante del aspecto humano de esta política es la dete</w:t>
      </w:r>
      <w:r>
        <w:t>r</w:t>
      </w:r>
      <w:r>
        <w:t>minación de promover el papel de la mujer en todas las esferas de la vida social y eliminar la idea de que la mujer es únicamente madre, de que su función biológica consiste únicamente en parir y de que ha de ser un ama de casa, aislada en el hogar atendiendo sus hijos.</w:t>
      </w:r>
    </w:p>
    <w:p w:rsidR="00000000" w:rsidRDefault="00000000">
      <w:pPr>
        <w:pStyle w:val="SingleTxt"/>
      </w:pPr>
      <w:r>
        <w:tab/>
        <w:t>Las mujeres actuales gozan de un mayor nivel de instrucción y están más emancipadas y capacitadas para desempeñar un papel activo en la vida política ec</w:t>
      </w:r>
      <w:r>
        <w:t>o</w:t>
      </w:r>
      <w:r>
        <w:t>nómica. Así pues, la política humana en materia de población, por lo que respecta a las cuestiones de la mujer, tal como se dispone en diversos instrumentos de las N</w:t>
      </w:r>
      <w:r>
        <w:t>a</w:t>
      </w:r>
      <w:r>
        <w:t>ciones Unidas, no entraña ninguna discriminación de la mujer ni ningún menoscabo de sus características biológicas.</w:t>
      </w:r>
    </w:p>
    <w:p w:rsidR="00000000" w:rsidRDefault="00000000">
      <w:pPr>
        <w:pStyle w:val="SingleTxt"/>
      </w:pPr>
      <w:r>
        <w:tab/>
        <w:t>El componente humano de la política en materia de población también se apl</w:t>
      </w:r>
      <w:r>
        <w:t>i</w:t>
      </w:r>
      <w:r>
        <w:t>ca a los hombres, es decir, a los padres. El número excesivo de hijos impide que el padre se dedique a la educación de éstos en el hogar y a su desarrollo físico y esp</w:t>
      </w:r>
      <w:r>
        <w:t>i</w:t>
      </w:r>
      <w:r>
        <w:t>ritual. Además, el padre, en su calidad de persona que atiende a las necesidades de la familia, a veces con carácter exclusivo, no puede hacerse cargo de un gran núm</w:t>
      </w:r>
      <w:r>
        <w:t>e</w:t>
      </w:r>
      <w:r>
        <w:t>ro de hijos, proporcionándoles alimento y ropa y asegurándoles una vida adecuada en el hogar. Ese obstáculo objetivo genera traumas en la familia, al tiempo que la situación de pobreza incide en los hijos, que se ven forzados a trabajar a una edad temprana y subvenir a las necesidades de la familia, con lo que dejan de lado su propia educación y no llegan a tener infancia.</w:t>
      </w:r>
    </w:p>
    <w:p w:rsidR="00000000" w:rsidRDefault="00000000">
      <w:pPr>
        <w:pStyle w:val="SingleTxt"/>
      </w:pPr>
      <w:r>
        <w:tab/>
        <w:t>Hay numerosas organizaciones e instituciones de carácter humanitario que prestan apoyo a la aplicación de esta política humana en materia de población. Su aplicación consiste no sólo en una propaganda hueca, sino también en convencer de que tener un número racional de hijos es una condición sine qua non para que éstos se desarrollen adecuadamente, ya que el número excesivo de hijos resulta nocivo p</w:t>
      </w:r>
      <w:r>
        <w:t>a</w:t>
      </w:r>
      <w:r>
        <w:t>ra su propio desarrollo.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elegir el apellido</w:t>
      </w:r>
    </w:p>
    <w:p w:rsidR="00000000" w:rsidRDefault="00000000">
      <w:pPr>
        <w:pStyle w:val="SingleTxt"/>
        <w:spacing w:after="0" w:line="120" w:lineRule="exact"/>
        <w:rPr>
          <w:sz w:val="10"/>
        </w:rPr>
      </w:pPr>
    </w:p>
    <w:p w:rsidR="00000000" w:rsidRDefault="00000000">
      <w:pPr>
        <w:pStyle w:val="SingleTxt"/>
      </w:pPr>
      <w:r>
        <w:tab/>
        <w:t>La Ley de la familia contiene disposiciones que regulan la elección del apell</w:t>
      </w:r>
      <w:r>
        <w:t>i</w:t>
      </w:r>
      <w:r>
        <w:t>do. En esa Ley se dispone que la mujer tiene derecho a elegir libremente su apellido. Así, en el artículo 31 de la Ley se dispone lo siguiente: “Al contraer matrimonio, los cónyuges pueden acordar mantener cada uno su propio apellido, aceptar el de alg</w:t>
      </w:r>
      <w:r>
        <w:t>u</w:t>
      </w:r>
      <w:r>
        <w:t>no de ellos para los dos, agregar cada uno a su apellido el apellido del otro o aceptar uno de los cónyuges el apellido del otro para agregarlo al suyo”.</w:t>
      </w:r>
    </w:p>
    <w:p w:rsidR="00000000" w:rsidRDefault="00000000">
      <w:pPr>
        <w:pStyle w:val="SingleTxt"/>
      </w:pPr>
      <w:r>
        <w:tab/>
        <w:t>No obstante, la aplicación práctica de esta disposición pone de manifiesto que hay una fuerte influencia de la tradición familiar, especialmente de la religión de los cónyuges en relación con la cuestión de la elección del apellido.</w:t>
      </w:r>
    </w:p>
    <w:p w:rsidR="00000000" w:rsidRDefault="00000000">
      <w:pPr>
        <w:pStyle w:val="SingleTxt"/>
      </w:pPr>
      <w:r>
        <w:tab/>
        <w:t>En el período comprendido entre 1990 y el primer semestre de 1997, la mayor parte de las mujeres que contrajeron matrimonio decidieron aceptar el apellido del esposo (más del 90%).</w:t>
      </w:r>
    </w:p>
    <w:p w:rsidR="00000000" w:rsidRDefault="00000000">
      <w:pPr>
        <w:pStyle w:val="SingleTxt"/>
      </w:pPr>
      <w:r>
        <w:tab/>
        <w:t>Durante ese mismo período, aumentó ligeramente la tendencia de las recién casadas a aceptar el apellido del marido, tras del cual agregaban el suyo. Además, hubo casos en que el novio aceptó el apellido de la novia (un caso en 1991 y nueve en 1993, con tendencia al aumento). Sin embargo, al observar esos casos se pone de manifiesto que se trataba de matrimonios con extranjeras, cuyos apellidos se acept</w:t>
      </w:r>
      <w:r>
        <w:t>a</w:t>
      </w:r>
      <w:r>
        <w:t>ban para obtener la nacionalidad de éstas, o de extranjeras que adoptaban el apellido de su marido a fin de adaptarse más fácilmente. Así pues, los hombres de la Rep</w:t>
      </w:r>
      <w:r>
        <w:t>ú</w:t>
      </w:r>
      <w:r>
        <w:t>blica de Macedonia no han asumido el proceso de emancipación ni superado las ideas tradicionales acerca de los apellidos, sino que buscan más bien su propio ben</w:t>
      </w:r>
      <w:r>
        <w:t>e</w:t>
      </w:r>
      <w:r>
        <w:t>ficio y, en algunos casos, la obtención de privilegios económicos en el país donde van a v</w:t>
      </w:r>
      <w:r>
        <w:t>i</w:t>
      </w:r>
      <w:r>
        <w:t>vir los recién casados.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Edad promedia del hombre y de la mujer al contraer matrimonio por vez primera, 1993-2001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rPr>
          <w:tblHeader/>
        </w:trPr>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25,85</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26,06</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26,19</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26,32</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23,09</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y Política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y divorcios, 1990-2001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25"/>
        <w:gridCol w:w="625"/>
        <w:gridCol w:w="625"/>
        <w:gridCol w:w="625"/>
        <w:gridCol w:w="625"/>
        <w:gridCol w:w="626"/>
        <w:gridCol w:w="625"/>
        <w:gridCol w:w="625"/>
        <w:gridCol w:w="625"/>
        <w:gridCol w:w="625"/>
        <w:gridCol w:w="625"/>
        <w:gridCol w:w="626"/>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Matrimonios</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15 688</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15 311</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15 354</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15 080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15 736</w:t>
            </w:r>
          </w:p>
        </w:tc>
        <w:tc>
          <w:tcPr>
            <w:tcW w:w="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15 832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14 089</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14 072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13 993</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14 255</w:t>
            </w:r>
          </w:p>
        </w:tc>
        <w:tc>
          <w:tcPr>
            <w:tcW w:w="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13 267</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Divorcios</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6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1 021</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1 027</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1 325</w:t>
            </w:r>
          </w:p>
        </w:tc>
        <w:tc>
          <w:tcPr>
            <w:tcW w:w="6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y Política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insignificante el número de matrimonios en que el esposo agregó el apell</w:t>
      </w:r>
      <w:r>
        <w:t>i</w:t>
      </w:r>
      <w:r>
        <w:t>do de la esposo al suyo (en 1990, tres de los 2.340 matrimonios contraídos; en 1993 y 1994, uno de los 1.452 matrimonios contraídos; y en 1995 y 1996 ninguno).</w:t>
      </w:r>
    </w:p>
    <w:p w:rsidR="00000000" w:rsidRDefault="00000000">
      <w:pPr>
        <w:pStyle w:val="SingleTxt"/>
        <w:rPr>
          <w:spacing w:val="2"/>
          <w:w w:val="101"/>
        </w:rPr>
      </w:pPr>
      <w:r>
        <w:rPr>
          <w:spacing w:val="2"/>
          <w:w w:val="101"/>
        </w:rPr>
        <w:tab/>
        <w:t>A tenor de lo dispuesto en el párrafo 2 del artículo 3 de la Ley de los apellidos, los hijos llevan el apellido de uno o ambos padres, a menos que éstos decidan otra cosa. En las encuestas realizadas en Skopje en el período comprendido entre 1990 y 1997 se o</w:t>
      </w:r>
      <w:r>
        <w:rPr>
          <w:spacing w:val="2"/>
          <w:w w:val="101"/>
        </w:rPr>
        <w:t>b</w:t>
      </w:r>
      <w:r>
        <w:rPr>
          <w:spacing w:val="2"/>
          <w:w w:val="101"/>
        </w:rPr>
        <w:t>serva que, en 1990, nacieron 8.800 niños, de los que 22 se inscribieron con el apellido de la madre por decisión de ambos progenitores; en 1991, nacieron 8.438 niños, de los que el 29 fueron inscritos con el apellido la madre; en 1996, sólo se escribió con el ap</w:t>
      </w:r>
      <w:r>
        <w:rPr>
          <w:spacing w:val="2"/>
          <w:w w:val="101"/>
        </w:rPr>
        <w:t>e</w:t>
      </w:r>
      <w:r>
        <w:rPr>
          <w:spacing w:val="2"/>
          <w:w w:val="101"/>
        </w:rPr>
        <w:t>llido de la madre a 20 niños. En 1991, únicamente ocho parejas decidieron que sus hijos llevaran los apellidos de ambos padres. En 1992, el número se cifró en siete y en 1996 sólo se escribió con los apellidos de ambos progenitores a diez de los 8.989 nacidos. Así pues, se suele inscribir a los niños con el apellido del padre.</w:t>
      </w:r>
    </w:p>
    <w:p w:rsidR="00000000" w:rsidRDefault="00000000">
      <w:pPr>
        <w:pStyle w:val="SingleTxt"/>
      </w:pPr>
      <w:r>
        <w:tab/>
        <w:t>Además, en los cuestionarios sobre información personal se dispone de esp</w:t>
      </w:r>
      <w:r>
        <w:t>a</w:t>
      </w:r>
      <w:r>
        <w:t>cio únicamente para el apellido del padre, pero no para el de la madre. Los doc</w:t>
      </w:r>
      <w:r>
        <w:t>u</w:t>
      </w:r>
      <w:r>
        <w:t>mentos personales emitidos a petición de los ciudadanos (certificados de nacimie</w:t>
      </w:r>
      <w:r>
        <w:t>n</w:t>
      </w:r>
      <w:r>
        <w:t xml:space="preserve">to, certificados de matrimonio, certificados de nacionalidad, tarjetas de identidad, permisos </w:t>
      </w:r>
      <w:r>
        <w:br/>
      </w:r>
      <w:r>
        <w:br/>
        <w:t>de conducir y tarjetas de inscripción) contienen casillas para que se facilite inform</w:t>
      </w:r>
      <w:r>
        <w:t>a</w:t>
      </w:r>
      <w:r>
        <w:t>ción sobre ambos padres, si bien rara vez se indica el apellido de la madre. Por ejemplo, el Ministerio de Sanidad señala que hay un espacio para la información relativa a ambos padres en la tarjeta de identificación médica, espacio que suele ll</w:t>
      </w:r>
      <w:r>
        <w:t>e</w:t>
      </w:r>
      <w:r>
        <w:t>narse con información sobre el padre, lo que confirma de nuevo los valores tradici</w:t>
      </w:r>
      <w:r>
        <w:t>o</w:t>
      </w:r>
      <w:r>
        <w:t xml:space="preserve">nales de que el padre es el </w:t>
      </w:r>
      <w:r>
        <w:rPr>
          <w:i/>
        </w:rPr>
        <w:t>dominus litis</w:t>
      </w:r>
      <w:r>
        <w:t xml:space="preserve"> de la familia.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Confirmación y denegación/impugnación de la maternidad</w:t>
      </w:r>
    </w:p>
    <w:p w:rsidR="00000000" w:rsidRDefault="00000000">
      <w:pPr>
        <w:pStyle w:val="SingleTxt"/>
        <w:spacing w:after="0" w:line="120" w:lineRule="exact"/>
        <w:rPr>
          <w:sz w:val="10"/>
        </w:rPr>
      </w:pPr>
    </w:p>
    <w:p w:rsidR="00000000" w:rsidRDefault="00000000">
      <w:pPr>
        <w:pStyle w:val="SingleTxt"/>
      </w:pPr>
      <w:r>
        <w:tab/>
        <w:t>En la República de Macedonia la práctica judicial suele incluir procedimientos de confirmación de la paternidad. Con arreglo a la experiencia adquirida, cabe s</w:t>
      </w:r>
      <w:r>
        <w:t>e</w:t>
      </w:r>
      <w:r>
        <w:t>ñalar que son raros los casos de confirmación o denegación de la maternidad de un hijo nacido dentro del matrimonio o de una unión no matrimonial.</w:t>
      </w:r>
    </w:p>
    <w:p w:rsidR="00000000" w:rsidRDefault="00000000">
      <w:pPr>
        <w:pStyle w:val="SingleTxt"/>
      </w:pPr>
      <w:r>
        <w:tab/>
        <w:t>En la Ley de la familia se establece el mismo procedimiento para confirmar tanto la maternidad como la paternidad. No obstante hay disposiciones como el p</w:t>
      </w:r>
      <w:r>
        <w:t>á</w:t>
      </w:r>
      <w:r>
        <w:t>rrafo 1 del artículo 68, en el que se señala lo siguiente: “La mujer que, en el registro oficial de nacimientos, figure como madre del niño podrá denegar su maternidad si descubre que no es la madre biológica del niño”. Esa impugnación ha de formularse en el período comprendido entre los tres meses siguientes al momento en que la mujer descubrió que no era la madre del niño y la mayoría de edad de éste. La mujer que se considere la madre de un niño también puede impugnar la maternidad de otra que f</w:t>
      </w:r>
      <w:r>
        <w:t>i</w:t>
      </w:r>
      <w:r>
        <w:t>gure como madre del niño en cuestión.</w:t>
      </w:r>
    </w:p>
    <w:p w:rsidR="00000000" w:rsidRDefault="00000000">
      <w:pPr>
        <w:pStyle w:val="SingleTxt"/>
      </w:pPr>
      <w:r>
        <w:tab/>
        <w:t>Además, se permite que el hijo, hasta cumplir la mayoría de edad, impugne la maternidad de la mujer que figure inscrita como madre suya. Esta es una condición previa para impugnar la maternidad en caso de que una mujer se considere madre del niño en cuestión; es decir, debe pedirse la confirmación de la maternidad al mismo tiempo que se impugna la maternidad “controversial”.</w:t>
      </w:r>
    </w:p>
    <w:p w:rsidR="00000000" w:rsidRDefault="00000000">
      <w:pPr>
        <w:pStyle w:val="SingleTxt"/>
      </w:pPr>
      <w:r>
        <w:tab/>
        <w:t>La impugnación de la paternidad no se permite si la madre ha sido objeto de inseminación artificial con el consentimiento escrito de su cónyuge. La paternidad no pu</w:t>
      </w:r>
      <w:r>
        <w:t>e</w:t>
      </w:r>
      <w:r>
        <w:t>de impugnarse una vez que haya fallecido el hijo.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 subvenir a las necesidades de los hijos y de la esposa</w:t>
      </w:r>
    </w:p>
    <w:p w:rsidR="00000000" w:rsidRDefault="00000000">
      <w:pPr>
        <w:pStyle w:val="SingleTxt"/>
        <w:spacing w:after="0" w:line="120" w:lineRule="exact"/>
        <w:rPr>
          <w:sz w:val="10"/>
        </w:rPr>
      </w:pPr>
    </w:p>
    <w:p w:rsidR="00000000" w:rsidRDefault="00000000">
      <w:pPr>
        <w:pStyle w:val="SingleTxt"/>
      </w:pPr>
      <w:r>
        <w:tab/>
        <w:t>De conformidad con la Ley de la familia, puede determinarse que se proceda a subvenir a las necesidades de los menores o de las personas que cursan estudios, hasta la edad de 26 años, los trabajadores que sufran invalidez y las personas que carezcan de medios para subvenir a sus propias necesidades no por culpa de ellas, así como las personas con deficiencias físicas o con enfermedades mentales. La obligación jurídica de subvenir a las necesidades concretas se expresa en recursos financieros o en productos encaminados a atender a las necesidades mínimas de su</w:t>
      </w:r>
      <w:r>
        <w:t>b</w:t>
      </w:r>
      <w:r>
        <w:t>sistencia, reproducción, identidad cultural y espiritual y mejora de las condiciones o</w:t>
      </w:r>
      <w:r>
        <w:t>r</w:t>
      </w:r>
      <w:r>
        <w:t>dinarias de vida de la persona.</w:t>
      </w:r>
    </w:p>
    <w:p w:rsidR="00000000" w:rsidRDefault="00000000">
      <w:pPr>
        <w:pStyle w:val="SingleTxt"/>
      </w:pPr>
      <w:r>
        <w:tab/>
        <w:t>La legislación de la República de Macedonia prevé que se asignen alimentos al cónyuge que carezca de medios de subsistencia, no pueda trabajar o haya perdido su trabajo sin mediar culpa suya durante los cinco años siguientes al divorcio o a la anulación del matrimonio. Aunque los tribunales decreten el pago de alimentos a los hijos y a la esposa, resulta complicado hacer cumplir esa obligación. En la práctica judicial hay procedimientos ejecutivos muy prolongados y traumáticos para decretar el pago de alimentos después del divorcio. Desde el inicio del período de transición, resulta aún más difícil, ya que la obligación impuesta por los tribunales a los efectos del pago alimentos se expresa como un porcentaje y no como una cantidad monet</w:t>
      </w:r>
      <w:r>
        <w:t>a</w:t>
      </w:r>
      <w:r>
        <w:t>ria mínima. La dificultad surge en el momento en que debe calcularse la base del pago con arreglo al porcentaje determinado, ya que hay personas que tienen empr</w:t>
      </w:r>
      <w:r>
        <w:t>e</w:t>
      </w:r>
      <w:r>
        <w:t>sas privadas pero no declaran la base impositiva real a las autoridades del Estado. Así pues, no informan acerca de sus ingresos reales, con lo que eluden el pago de los alimentos. Es importante destacar que, por lo general, los hombres muestran d</w:t>
      </w:r>
      <w:r>
        <w:t>e</w:t>
      </w:r>
      <w:r>
        <w:t>sint</w:t>
      </w:r>
      <w:r>
        <w:t>e</w:t>
      </w:r>
      <w:r>
        <w:t>rés por los hijos después del divorcio.</w:t>
      </w:r>
    </w:p>
    <w:p w:rsidR="00000000" w:rsidRDefault="00000000">
      <w:pPr>
        <w:pStyle w:val="SingleTxt"/>
      </w:pPr>
      <w:r>
        <w:tab/>
        <w:t>Resulta aún más difícil decidir cuál de los padres tendrá la custodia los hijos. El hecho de que los hijos hayan de entregarse a uno de los cónyuges para que los atienda y eduque suele influir profundamente en la personalidad de los hijos, ci</w:t>
      </w:r>
      <w:r>
        <w:t>r</w:t>
      </w:r>
      <w:r>
        <w:t>cunstancia ésta que frecuentemente no se tiene en cuenta. Habida cuenta de tales problemas, es menester modernizar la legislación en este aspecto.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anexo 1 (Datos del Instituto Estatal de Estadística) y el anexo 2 (Relativo a las organizaciones no gubernamentales) se pondrá a disposición de los miembros del Comité en el idioma en que se recibió.</w:t>
      </w:r>
    </w:p>
    <w:p w:rsidR="00000000" w:rsidRDefault="00000000">
      <w:pPr>
        <w:pStyle w:val="SingleTxt"/>
        <w:spacing w:after="0" w:line="240" w:lineRule="auto"/>
      </w:pPr>
      <w:r>
        <w:rPr>
          <w:noProof/>
          <w:w w:val="100"/>
        </w:rPr>
        <w:pict>
          <v:line id="_x0000_s2056" style="position:absolute;left:0;text-align:left;z-index:3;mso-position-horizontal:absolute;mso-position-horizontal-relative:page;mso-position-vertical:absolute;mso-position-vertical-relative:text" from="280.8pt,24pt" to="352.8pt,24pt" o:allowincell="f" strokeweight=".25pt">
            <w10:wrap anchorx="page"/>
          </v:line>
        </w:pict>
      </w:r>
    </w:p>
    <w:sectPr w:rsidR="00000000">
      <w:headerReference w:type="even" r:id="rId36"/>
      <w:headerReference w:type="default" r:id="rId37"/>
      <w:footerReference w:type="even" r:id="rId38"/>
      <w:footerReference w:type="default" r:id="rId39"/>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NO&gt;&gt;N0446334S&lt;&lt;ODS JOB NO&gt;&gt;</w:t>
      </w:r>
    </w:p>
    <w:p w:rsidR="00000000" w:rsidRDefault="00000000">
      <w:pPr>
        <w:pStyle w:val="CommentText"/>
      </w:pPr>
      <w:r>
        <w:t>&lt;&lt;ODS DOC SYMBOL1&gt;&gt;CEDAW/C/MKD/1-3&lt;&lt;ODS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cedonian Tms">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04-46334 (S)    251004    171104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*0446334*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139</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la Constitución de la República de Macedonia se acepta el principio de la incorporación de los tratados internacionales al derecho interno.</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Este tipo de limitación guarda relación con las siguientes libertades y derechos: inviolabilidad de la libertad humana (artículo 12 de la Constitución); confidencialidad de la correspondencia (párrafo 1 del artículo 12 de la Constitución); libertad de asociación (artículo 20 de la Constitución); derecho de reunión pacífica (artículo 21 de la Constitución); inviolabilidad del hogar (artículo 26 de la Constitución); derecho a la libre circulación por el territorio de la República y libre elección del lugar de residencia (artículo 27 de la Constitución); derecho a la propiedad privada (artículo 30 de la Constitución); derecho a fundar sindicatos (artículo 37 de la Constitución); y derecho de a la huelga (artículo 38 de la Constitución).</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Consejo de radiodifusión y televisión fue establecido en 1997 y representa los intereses de los ciudadanos de la República de Macedonia en el ámbito de las comunicaciones por radio y televisión. Sus funciones consisten en proponer el otorgamiento y la denegación de concesiones, aplicar las disposiciones de la Ley de radiodifusión y televisión, otorgar contratos y promover normas de contenido para los programas de radio y televisión, así como normas sobre calidad técnica, etc.</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conformidad con el artículo 32 del Reglamento del Consejo de radiodifusión y televisión, si se determina que alguna organización de radiodifusión o televisión no observa las disposiciones de la legislación, el Consejo puede adoptar las medidas siguientes: amonestación por escrito (primera advertencia); amonestación por escrito, acompañada de la solicitud de que la amonestación sea transmitida por la emisora correspondiente (segunda advertencia); solicitud dirigida a los órganos de inspección para que adopten las medidas establecidas en el reglamento de supervisión y una propuesta para que se retire la concesión de conformidad con lo dispuesto en el artículo 19 de la Ley de radiodifusión y televisión. Reglamento del Consejo de radiodifusión y televisión, boletín No. 1 del Consejo, 1998.</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Información obtenida de la base de datos del Consejo de radiodifusión y televisión.</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Resolución sobre la discriminación de la mujer en la publicidad, EP A4-0258/1997.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86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r>
                  <w:rPr>
                    <w:b w:val="0"/>
                    <w:sz w:val="14"/>
                  </w:rPr>
                  <w:tab/>
                </w:r>
                <w:r>
                  <w:fldChar w:fldCharType="begin"/>
                </w:r>
                <w:r>
                  <w:instrText xml:space="preserve"> PAGE  \* MERGEFORMAT </w:instrText>
                </w:r>
                <w:r>
                  <w:fldChar w:fldCharType="separate"/>
                </w:r>
                <w:r>
                  <w:t>139</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139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xbxContent>
          </v:textbox>
        </v:shape>
      </w:pict>
    </w:r>
    <w:r>
      <w:pict>
        <v:shape id="_x0000_s1041" type="#_x0000_t202" style="position:absolute;margin-left:627.05pt;margin-top:60pt;width:62.85pt;height:491.75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ab/>
                </w:r>
                <w:r>
                  <w:fldChar w:fldCharType="begin"/>
                </w:r>
                <w:r>
                  <w:instrText xml:space="preserve"> PAGE  \* MERGEFORMAT </w:instrText>
                </w:r>
                <w:r>
                  <w:fldChar w:fldCharType="separate"/>
                </w:r>
                <w:r>
                  <w:t>97</w:t>
                </w:r>
                <w:r>
                  <w:fldChar w:fldCharType="end"/>
                </w:r>
              </w:p>
            </w:txbxContent>
          </v:textbox>
        </v:shape>
      </w:pict>
    </w:r>
    <w:r>
      <w:pict>
        <v:shape id="_x0000_s1039"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0" type="#_x0000_t202" style="position:absolute;margin-left:-29pt;margin-top:60pt;width:9.35pt;height:491.75pt;z-index:1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139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.doc</w:t>
                </w:r>
              </w:p>
            </w:txbxContent>
          </v:textbox>
        </v:shape>
      </w:pict>
    </w:r>
    <w:r>
      <w:pict>
        <v:shape id="_x0000_s1049" type="#_x0000_t202" style="position:absolute;margin-left:627.05pt;margin-top:60pt;width:62.85pt;height:491.75pt;z-index:1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8" type="#_x0000_t202" style="position:absolute;margin-left:-29pt;margin-top:60pt;width:9.35pt;height:491.75pt;z-index:1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0446334s.doc</w:t>
                </w:r>
                <w:r>
                  <w:rPr>
                    <w:b w:val="0"/>
                    <w:sz w:val="14"/>
                  </w:rPr>
                  <w:fldChar w:fldCharType="end"/>
                </w:r>
                <w:r>
                  <w:rPr>
                    <w:b w:val="0"/>
                    <w:sz w:val="14"/>
                  </w:rPr>
                  <w:tab/>
                </w:r>
                <w:r>
                  <w:fldChar w:fldCharType="begin"/>
                </w:r>
                <w:r>
                  <w:instrText xml:space="preserve"> PAGE  \* MERGEFORMAT </w:instrText>
                </w:r>
                <w:r>
                  <w:fldChar w:fldCharType="separate"/>
                </w:r>
                <w:r>
                  <w:t>99</w:t>
                </w:r>
                <w:r>
                  <w:fldChar w:fldCharType="end"/>
                </w:r>
              </w:p>
            </w:txbxContent>
          </v:textbox>
        </v:shape>
      </w:pict>
    </w:r>
    <w:r>
      <w:pict>
        <v:shape id="_x0000_s1047" type="#_x0000_t202" style="position:absolute;margin-left:627.05pt;margin-top:60pt;width:62.85pt;height:491.75pt;z-index:1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2" type="#_x0000_t202" style="position:absolute;margin-left:-5.75pt;margin-top:0;width:7in;height:50.4pt;z-index:2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047" w:type="dxa"/>
                      <w:vAlign w:val="bottom"/>
                    </w:tcPr>
                    <w:p w:rsidR="00000000" w:rsidRDefault="00000000">
                      <w:pPr>
                        <w:pStyle w:val="Header"/>
                      </w:pPr>
                    </w:p>
                  </w:tc>
                </w:tr>
              </w:tbl>
              <w:p w:rsidR="00000000" w:rsidRDefault="00000000"/>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1" type="#_x0000_t202" style="position:absolute;margin-left:-5.75pt;margin-top:0;width:7in;height:50.4pt;z-index:1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932851A"/>
    <w:lvl w:ilvl="0">
      <w:numFmt w:val="decimal"/>
      <w:lvlText w:val="*"/>
      <w:lvlJc w:val="left"/>
    </w:lvl>
  </w:abstractNum>
  <w:abstractNum w:abstractNumId="1">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2">
    <w:nsid w:val="006C6AAC"/>
    <w:multiLevelType w:val="multilevel"/>
    <w:tmpl w:val="5042676A"/>
    <w:lvl w:ilvl="0">
      <w:start w:val="1"/>
      <w:numFmt w:val="bullet"/>
      <w:lvlText w:val=""/>
      <w:lvlJc w:val="left"/>
      <w:pPr>
        <w:tabs>
          <w:tab w:val="num" w:pos="1320"/>
        </w:tabs>
        <w:ind w:left="13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0D16E7A"/>
    <w:multiLevelType w:val="multilevel"/>
    <w:tmpl w:val="FE884D7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nsid w:val="01D60BB0"/>
    <w:multiLevelType w:val="multilevel"/>
    <w:tmpl w:val="3BBCEF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2122080"/>
    <w:multiLevelType w:val="multilevel"/>
    <w:tmpl w:val="D06EB3AC"/>
    <w:lvl w:ilvl="0">
      <w:start w:val="3"/>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9">
    <w:nsid w:val="033F373B"/>
    <w:multiLevelType w:val="multilevel"/>
    <w:tmpl w:val="63B0BFAC"/>
    <w:lvl w:ilvl="0">
      <w:start w:val="2"/>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2">
    <w:nsid w:val="06533D15"/>
    <w:multiLevelType w:val="multilevel"/>
    <w:tmpl w:val="F55ED54E"/>
    <w:lvl w:ilvl="0">
      <w:start w:val="1"/>
      <w:numFmt w:val="bullet"/>
      <w:lvlText w:val="-"/>
      <w:lvlJc w:val="left"/>
      <w:pPr>
        <w:tabs>
          <w:tab w:val="num" w:pos="960"/>
        </w:tabs>
        <w:ind w:left="960" w:hanging="360"/>
      </w:pPr>
      <w:rPr>
        <w:rFonts w:ascii="Times New Roman" w:eastAsia="Times New Roman" w:hAnsi="Times New Roman" w:cs="Times New Roman" w:hint="default"/>
      </w:rPr>
    </w:lvl>
    <w:lvl w:ilvl="1" w:tentative="1">
      <w:start w:val="1"/>
      <w:numFmt w:val="bullet"/>
      <w:lvlText w:val="o"/>
      <w:lvlJc w:val="left"/>
      <w:pPr>
        <w:tabs>
          <w:tab w:val="num" w:pos="1680"/>
        </w:tabs>
        <w:ind w:left="1680" w:hanging="360"/>
      </w:pPr>
      <w:rPr>
        <w:rFonts w:ascii="Courier New" w:hAnsi="Courier New" w:cs="Macedonian Tms"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Macedonian Tms"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Macedonian Tms"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3">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4">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5">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0">
    <w:nsid w:val="0CC05670"/>
    <w:multiLevelType w:val="singleLevel"/>
    <w:tmpl w:val="79B2050C"/>
    <w:lvl w:ilvl="0">
      <w:start w:val="1"/>
      <w:numFmt w:val="decimal"/>
      <w:lvlText w:val="%1."/>
      <w:lvlJc w:val="left"/>
      <w:pPr>
        <w:tabs>
          <w:tab w:val="num" w:pos="360"/>
        </w:tabs>
        <w:ind w:left="0" w:firstLine="0"/>
      </w:pPr>
    </w:lvl>
  </w:abstractNum>
  <w:abstractNum w:abstractNumId="21">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3">
    <w:nsid w:val="0E94714A"/>
    <w:multiLevelType w:val="singleLevel"/>
    <w:tmpl w:val="C20C0094"/>
    <w:lvl w:ilvl="0">
      <w:numFmt w:val="bullet"/>
      <w:lvlText w:val="-"/>
      <w:lvlJc w:val="left"/>
      <w:pPr>
        <w:tabs>
          <w:tab w:val="num" w:pos="360"/>
        </w:tabs>
        <w:ind w:left="360" w:hanging="360"/>
      </w:pPr>
      <w:rPr>
        <w:rFonts w:hint="default"/>
      </w:rPr>
    </w:lvl>
  </w:abstractNum>
  <w:abstractNum w:abstractNumId="24">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25">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26">
    <w:nsid w:val="0EC97779"/>
    <w:multiLevelType w:val="multilevel"/>
    <w:tmpl w:val="7FFEC538"/>
    <w:lvl w:ilvl="0">
      <w:start w:val="1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
    <w:nsid w:val="0FC769F8"/>
    <w:multiLevelType w:val="singleLevel"/>
    <w:tmpl w:val="3724B4CC"/>
    <w:lvl w:ilvl="0">
      <w:numFmt w:val="bullet"/>
      <w:lvlText w:val="-"/>
      <w:lvlJc w:val="left"/>
      <w:pPr>
        <w:tabs>
          <w:tab w:val="num" w:pos="360"/>
        </w:tabs>
        <w:ind w:left="360" w:hanging="360"/>
      </w:pPr>
      <w:rPr>
        <w:rFonts w:hint="default"/>
      </w:rPr>
    </w:lvl>
  </w:abstractNum>
  <w:abstractNum w:abstractNumId="28">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117F61CA"/>
    <w:multiLevelType w:val="multilevel"/>
    <w:tmpl w:val="343A0E08"/>
    <w:lvl w:ilvl="0">
      <w:start w:val="1"/>
      <w:numFmt w:val="lowerLetter"/>
      <w:lvlText w:val="%1)"/>
      <w:lvlJc w:val="left"/>
      <w:pPr>
        <w:tabs>
          <w:tab w:val="num" w:pos="1800"/>
        </w:tabs>
        <w:ind w:left="1800" w:hanging="360"/>
      </w:pPr>
      <w:rPr>
        <w:rFonts w:hint="default"/>
      </w:rPr>
    </w:lvl>
    <w:lvl w:ilvl="1">
      <w:start w:val="1"/>
      <w:numFmt w:val="decimal"/>
      <w:lvlText w:val="%2."/>
      <w:lvlJc w:val="left"/>
      <w:pPr>
        <w:tabs>
          <w:tab w:val="num" w:pos="3480"/>
        </w:tabs>
        <w:ind w:left="3480" w:hanging="1320"/>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1">
    <w:nsid w:val="11DE2395"/>
    <w:multiLevelType w:val="multilevel"/>
    <w:tmpl w:val="8AD45ADA"/>
    <w:lvl w:ilvl="0">
      <w:start w:val="1"/>
      <w:numFmt w:val="lowerLetter"/>
      <w:lvlText w:val="%1)"/>
      <w:lvlJc w:val="left"/>
      <w:pPr>
        <w:tabs>
          <w:tab w:val="num" w:pos="1680"/>
        </w:tabs>
        <w:ind w:left="1680" w:hanging="9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2">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3">
    <w:nsid w:val="14BF2398"/>
    <w:multiLevelType w:val="singleLevel"/>
    <w:tmpl w:val="3724B4CC"/>
    <w:lvl w:ilvl="0">
      <w:numFmt w:val="bullet"/>
      <w:lvlText w:val="-"/>
      <w:lvlJc w:val="left"/>
      <w:pPr>
        <w:tabs>
          <w:tab w:val="num" w:pos="360"/>
        </w:tabs>
        <w:ind w:left="360" w:hanging="360"/>
      </w:pPr>
      <w:rPr>
        <w:rFonts w:hint="default"/>
      </w:rPr>
    </w:lvl>
  </w:abstractNum>
  <w:abstractNum w:abstractNumId="34">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5">
    <w:nsid w:val="158C6120"/>
    <w:multiLevelType w:val="multilevel"/>
    <w:tmpl w:val="4A2ABDDE"/>
    <w:lvl w:ilvl="0">
      <w:start w:val="2"/>
      <w:numFmt w:val="decimal"/>
      <w:lvlText w:val="%1."/>
      <w:lvlJc w:val="left"/>
      <w:pPr>
        <w:tabs>
          <w:tab w:val="num" w:pos="4770"/>
        </w:tabs>
        <w:ind w:left="4770" w:hanging="189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36">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7">
    <w:nsid w:val="17F828A5"/>
    <w:multiLevelType w:val="multilevel"/>
    <w:tmpl w:val="DF7C2E4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8">
    <w:nsid w:val="18325A82"/>
    <w:multiLevelType w:val="multilevel"/>
    <w:tmpl w:val="9184FFA4"/>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9">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40">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A7B268E"/>
    <w:multiLevelType w:val="singleLevel"/>
    <w:tmpl w:val="0C09000F"/>
    <w:lvl w:ilvl="0">
      <w:start w:val="1"/>
      <w:numFmt w:val="decimal"/>
      <w:lvlText w:val="%1."/>
      <w:lvlJc w:val="left"/>
      <w:pPr>
        <w:tabs>
          <w:tab w:val="num" w:pos="360"/>
        </w:tabs>
        <w:ind w:left="360" w:hanging="360"/>
      </w:pPr>
    </w:lvl>
  </w:abstractNum>
  <w:abstractNum w:abstractNumId="42">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43">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44">
    <w:nsid w:val="1BEA17EC"/>
    <w:multiLevelType w:val="multilevel"/>
    <w:tmpl w:val="0360F2D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46">
    <w:nsid w:val="1C731AF1"/>
    <w:multiLevelType w:val="multilevel"/>
    <w:tmpl w:val="828A5DB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7">
    <w:nsid w:val="1E236D16"/>
    <w:multiLevelType w:val="multilevel"/>
    <w:tmpl w:val="90F0B416"/>
    <w:lvl w:ilvl="0">
      <w:start w:val="16"/>
      <w:numFmt w:val="bullet"/>
      <w:lvlText w:val="-"/>
      <w:lvlJc w:val="left"/>
      <w:pPr>
        <w:tabs>
          <w:tab w:val="num" w:pos="961"/>
        </w:tabs>
        <w:ind w:left="961" w:hanging="360"/>
      </w:pPr>
      <w:rPr>
        <w:rFonts w:ascii="Times New Roman" w:eastAsia="Times New Roman" w:hAnsi="Times New Roman" w:cs="Times New Roman" w:hint="default"/>
      </w:rPr>
    </w:lvl>
    <w:lvl w:ilvl="1" w:tentative="1">
      <w:start w:val="1"/>
      <w:numFmt w:val="bullet"/>
      <w:lvlText w:val="o"/>
      <w:lvlJc w:val="left"/>
      <w:pPr>
        <w:tabs>
          <w:tab w:val="num" w:pos="1681"/>
        </w:tabs>
        <w:ind w:left="1681" w:hanging="360"/>
      </w:pPr>
      <w:rPr>
        <w:rFonts w:ascii="Courier New" w:hAnsi="Courier New" w:cs="Macedonian Tms" w:hint="default"/>
      </w:rPr>
    </w:lvl>
    <w:lvl w:ilvl="2" w:tentative="1">
      <w:start w:val="1"/>
      <w:numFmt w:val="bullet"/>
      <w:lvlText w:val=""/>
      <w:lvlJc w:val="left"/>
      <w:pPr>
        <w:tabs>
          <w:tab w:val="num" w:pos="2401"/>
        </w:tabs>
        <w:ind w:left="2401" w:hanging="360"/>
      </w:pPr>
      <w:rPr>
        <w:rFonts w:ascii="Wingdings" w:hAnsi="Wingdings" w:hint="default"/>
      </w:rPr>
    </w:lvl>
    <w:lvl w:ilvl="3" w:tentative="1">
      <w:start w:val="1"/>
      <w:numFmt w:val="bullet"/>
      <w:lvlText w:val=""/>
      <w:lvlJc w:val="left"/>
      <w:pPr>
        <w:tabs>
          <w:tab w:val="num" w:pos="3121"/>
        </w:tabs>
        <w:ind w:left="3121" w:hanging="360"/>
      </w:pPr>
      <w:rPr>
        <w:rFonts w:ascii="Symbol" w:hAnsi="Symbol" w:hint="default"/>
      </w:rPr>
    </w:lvl>
    <w:lvl w:ilvl="4" w:tentative="1">
      <w:start w:val="1"/>
      <w:numFmt w:val="bullet"/>
      <w:lvlText w:val="o"/>
      <w:lvlJc w:val="left"/>
      <w:pPr>
        <w:tabs>
          <w:tab w:val="num" w:pos="3841"/>
        </w:tabs>
        <w:ind w:left="3841" w:hanging="360"/>
      </w:pPr>
      <w:rPr>
        <w:rFonts w:ascii="Courier New" w:hAnsi="Courier New" w:cs="Macedonian Tms" w:hint="default"/>
      </w:rPr>
    </w:lvl>
    <w:lvl w:ilvl="5" w:tentative="1">
      <w:start w:val="1"/>
      <w:numFmt w:val="bullet"/>
      <w:lvlText w:val=""/>
      <w:lvlJc w:val="left"/>
      <w:pPr>
        <w:tabs>
          <w:tab w:val="num" w:pos="4561"/>
        </w:tabs>
        <w:ind w:left="4561" w:hanging="360"/>
      </w:pPr>
      <w:rPr>
        <w:rFonts w:ascii="Wingdings" w:hAnsi="Wingdings" w:hint="default"/>
      </w:rPr>
    </w:lvl>
    <w:lvl w:ilvl="6" w:tentative="1">
      <w:start w:val="1"/>
      <w:numFmt w:val="bullet"/>
      <w:lvlText w:val=""/>
      <w:lvlJc w:val="left"/>
      <w:pPr>
        <w:tabs>
          <w:tab w:val="num" w:pos="5281"/>
        </w:tabs>
        <w:ind w:left="5281" w:hanging="360"/>
      </w:pPr>
      <w:rPr>
        <w:rFonts w:ascii="Symbol" w:hAnsi="Symbol" w:hint="default"/>
      </w:rPr>
    </w:lvl>
    <w:lvl w:ilvl="7" w:tentative="1">
      <w:start w:val="1"/>
      <w:numFmt w:val="bullet"/>
      <w:lvlText w:val="o"/>
      <w:lvlJc w:val="left"/>
      <w:pPr>
        <w:tabs>
          <w:tab w:val="num" w:pos="6001"/>
        </w:tabs>
        <w:ind w:left="6001" w:hanging="360"/>
      </w:pPr>
      <w:rPr>
        <w:rFonts w:ascii="Courier New" w:hAnsi="Courier New" w:cs="Macedonian Tms" w:hint="default"/>
      </w:rPr>
    </w:lvl>
    <w:lvl w:ilvl="8" w:tentative="1">
      <w:start w:val="1"/>
      <w:numFmt w:val="bullet"/>
      <w:lvlText w:val=""/>
      <w:lvlJc w:val="left"/>
      <w:pPr>
        <w:tabs>
          <w:tab w:val="num" w:pos="6721"/>
        </w:tabs>
        <w:ind w:left="6721" w:hanging="360"/>
      </w:pPr>
      <w:rPr>
        <w:rFonts w:ascii="Wingdings" w:hAnsi="Wingdings" w:hint="default"/>
      </w:rPr>
    </w:lvl>
  </w:abstractNum>
  <w:abstractNum w:abstractNumId="48">
    <w:nsid w:val="1F5F4791"/>
    <w:multiLevelType w:val="singleLevel"/>
    <w:tmpl w:val="0C09000F"/>
    <w:lvl w:ilvl="0">
      <w:start w:val="1"/>
      <w:numFmt w:val="decimal"/>
      <w:lvlText w:val="%1."/>
      <w:lvlJc w:val="left"/>
      <w:pPr>
        <w:tabs>
          <w:tab w:val="num" w:pos="360"/>
        </w:tabs>
        <w:ind w:left="360" w:hanging="360"/>
      </w:pPr>
    </w:lvl>
  </w:abstractNum>
  <w:abstractNum w:abstractNumId="49">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50">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51">
    <w:nsid w:val="22111B73"/>
    <w:multiLevelType w:val="multilevel"/>
    <w:tmpl w:val="882EF390"/>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Macedonian T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Macedonian T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Macedonian T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2">
    <w:nsid w:val="22695412"/>
    <w:multiLevelType w:val="multilevel"/>
    <w:tmpl w:val="B0263ACA"/>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234414E1"/>
    <w:multiLevelType w:val="multilevel"/>
    <w:tmpl w:val="F7307684"/>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5">
    <w:nsid w:val="234C4FA1"/>
    <w:multiLevelType w:val="multilevel"/>
    <w:tmpl w:val="51E2D8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23E40A51"/>
    <w:multiLevelType w:val="multilevel"/>
    <w:tmpl w:val="65D29D9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58">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59">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0">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61">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62">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nsid w:val="2DA00FC2"/>
    <w:multiLevelType w:val="multilevel"/>
    <w:tmpl w:val="8214C41E"/>
    <w:lvl w:ilvl="0">
      <w:start w:val="1"/>
      <w:numFmt w:val="decimal"/>
      <w:lvlText w:val="%1)"/>
      <w:lvlJc w:val="left"/>
      <w:pPr>
        <w:tabs>
          <w:tab w:val="num" w:pos="2130"/>
        </w:tabs>
        <w:ind w:left="2130" w:hanging="141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6">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67">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68">
    <w:nsid w:val="2FC30A41"/>
    <w:multiLevelType w:val="multilevel"/>
    <w:tmpl w:val="81B8FC70"/>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30DD58E3"/>
    <w:multiLevelType w:val="multilevel"/>
    <w:tmpl w:val="B6E898D2"/>
    <w:lvl w:ilvl="0">
      <w:start w:val="2"/>
      <w:numFmt w:val="decimal"/>
      <w:lvlText w:val="%1)"/>
      <w:lvlJc w:val="left"/>
      <w:pPr>
        <w:tabs>
          <w:tab w:val="num" w:pos="2040"/>
        </w:tabs>
        <w:ind w:left="2040" w:hanging="120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70">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1">
    <w:nsid w:val="310547A7"/>
    <w:multiLevelType w:val="multilevel"/>
    <w:tmpl w:val="CEB69236"/>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2">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4">
    <w:nsid w:val="34F438A4"/>
    <w:multiLevelType w:val="multilevel"/>
    <w:tmpl w:val="3256638C"/>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76">
    <w:nsid w:val="370501F2"/>
    <w:multiLevelType w:val="multilevel"/>
    <w:tmpl w:val="A5CE7642"/>
    <w:lvl w:ilvl="0">
      <w:start w:val="1"/>
      <w:numFmt w:val="lowerLetter"/>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7">
    <w:nsid w:val="38E72F4A"/>
    <w:multiLevelType w:val="multilevel"/>
    <w:tmpl w:val="E3A846DC"/>
    <w:lvl w:ilvl="0">
      <w:start w:val="1"/>
      <w:numFmt w:val="bullet"/>
      <w:lvlText w:val=""/>
      <w:lvlJc w:val="left"/>
      <w:pPr>
        <w:tabs>
          <w:tab w:val="num" w:pos="1320"/>
        </w:tabs>
        <w:ind w:left="1320" w:hanging="360"/>
      </w:pPr>
      <w:rPr>
        <w:rFonts w:ascii="Symbol" w:hAnsi="Symbol" w:hint="default"/>
      </w:rPr>
    </w:lvl>
    <w:lvl w:ilvl="1" w:tentative="1">
      <w:start w:val="1"/>
      <w:numFmt w:val="bullet"/>
      <w:lvlText w:val="o"/>
      <w:lvlJc w:val="left"/>
      <w:pPr>
        <w:tabs>
          <w:tab w:val="num" w:pos="2040"/>
        </w:tabs>
        <w:ind w:left="2040" w:hanging="360"/>
      </w:pPr>
      <w:rPr>
        <w:rFonts w:ascii="Courier New" w:hAnsi="Courier New" w:cs="Macedonian Tms" w:hint="default"/>
      </w:rPr>
    </w:lvl>
    <w:lvl w:ilvl="2" w:tentative="1">
      <w:start w:val="1"/>
      <w:numFmt w:val="bullet"/>
      <w:lvlText w:val=""/>
      <w:lvlJc w:val="left"/>
      <w:pPr>
        <w:tabs>
          <w:tab w:val="num" w:pos="2760"/>
        </w:tabs>
        <w:ind w:left="2760" w:hanging="360"/>
      </w:pPr>
      <w:rPr>
        <w:rFonts w:ascii="Wingdings" w:hAnsi="Wingdings" w:hint="default"/>
      </w:rPr>
    </w:lvl>
    <w:lvl w:ilvl="3" w:tentative="1">
      <w:start w:val="1"/>
      <w:numFmt w:val="bullet"/>
      <w:lvlText w:val=""/>
      <w:lvlJc w:val="left"/>
      <w:pPr>
        <w:tabs>
          <w:tab w:val="num" w:pos="3480"/>
        </w:tabs>
        <w:ind w:left="3480" w:hanging="360"/>
      </w:pPr>
      <w:rPr>
        <w:rFonts w:ascii="Symbol" w:hAnsi="Symbol" w:hint="default"/>
      </w:rPr>
    </w:lvl>
    <w:lvl w:ilvl="4" w:tentative="1">
      <w:start w:val="1"/>
      <w:numFmt w:val="bullet"/>
      <w:lvlText w:val="o"/>
      <w:lvlJc w:val="left"/>
      <w:pPr>
        <w:tabs>
          <w:tab w:val="num" w:pos="4200"/>
        </w:tabs>
        <w:ind w:left="4200" w:hanging="360"/>
      </w:pPr>
      <w:rPr>
        <w:rFonts w:ascii="Courier New" w:hAnsi="Courier New" w:cs="Macedonian Tms" w:hint="default"/>
      </w:rPr>
    </w:lvl>
    <w:lvl w:ilvl="5" w:tentative="1">
      <w:start w:val="1"/>
      <w:numFmt w:val="bullet"/>
      <w:lvlText w:val=""/>
      <w:lvlJc w:val="left"/>
      <w:pPr>
        <w:tabs>
          <w:tab w:val="num" w:pos="4920"/>
        </w:tabs>
        <w:ind w:left="4920" w:hanging="360"/>
      </w:pPr>
      <w:rPr>
        <w:rFonts w:ascii="Wingdings" w:hAnsi="Wingdings" w:hint="default"/>
      </w:rPr>
    </w:lvl>
    <w:lvl w:ilvl="6" w:tentative="1">
      <w:start w:val="1"/>
      <w:numFmt w:val="bullet"/>
      <w:lvlText w:val=""/>
      <w:lvlJc w:val="left"/>
      <w:pPr>
        <w:tabs>
          <w:tab w:val="num" w:pos="5640"/>
        </w:tabs>
        <w:ind w:left="5640" w:hanging="360"/>
      </w:pPr>
      <w:rPr>
        <w:rFonts w:ascii="Symbol" w:hAnsi="Symbol" w:hint="default"/>
      </w:rPr>
    </w:lvl>
    <w:lvl w:ilvl="7" w:tentative="1">
      <w:start w:val="1"/>
      <w:numFmt w:val="bullet"/>
      <w:lvlText w:val="o"/>
      <w:lvlJc w:val="left"/>
      <w:pPr>
        <w:tabs>
          <w:tab w:val="num" w:pos="6360"/>
        </w:tabs>
        <w:ind w:left="6360" w:hanging="360"/>
      </w:pPr>
      <w:rPr>
        <w:rFonts w:ascii="Courier New" w:hAnsi="Courier New" w:cs="Macedonian Tms" w:hint="default"/>
      </w:rPr>
    </w:lvl>
    <w:lvl w:ilvl="8" w:tentative="1">
      <w:start w:val="1"/>
      <w:numFmt w:val="bullet"/>
      <w:lvlText w:val=""/>
      <w:lvlJc w:val="left"/>
      <w:pPr>
        <w:tabs>
          <w:tab w:val="num" w:pos="7080"/>
        </w:tabs>
        <w:ind w:left="7080" w:hanging="360"/>
      </w:pPr>
      <w:rPr>
        <w:rFonts w:ascii="Wingdings" w:hAnsi="Wingdings" w:hint="default"/>
      </w:rPr>
    </w:lvl>
  </w:abstractNum>
  <w:abstractNum w:abstractNumId="78">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79">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80">
    <w:nsid w:val="3D56593C"/>
    <w:multiLevelType w:val="multilevel"/>
    <w:tmpl w:val="5BE6133E"/>
    <w:lvl w:ilvl="0">
      <w:start w:val="1"/>
      <w:numFmt w:val="bullet"/>
      <w:lvlText w:val=""/>
      <w:lvlJc w:val="left"/>
      <w:pPr>
        <w:tabs>
          <w:tab w:val="num" w:pos="1320"/>
        </w:tabs>
        <w:ind w:left="1320" w:hanging="360"/>
      </w:pPr>
      <w:rPr>
        <w:rFonts w:ascii="Symbol" w:hAnsi="Symbol" w:hint="default"/>
      </w:rPr>
    </w:lvl>
    <w:lvl w:ilvl="1" w:tentative="1">
      <w:start w:val="1"/>
      <w:numFmt w:val="bullet"/>
      <w:lvlText w:val="o"/>
      <w:lvlJc w:val="left"/>
      <w:pPr>
        <w:tabs>
          <w:tab w:val="num" w:pos="2040"/>
        </w:tabs>
        <w:ind w:left="2040" w:hanging="360"/>
      </w:pPr>
      <w:rPr>
        <w:rFonts w:ascii="Courier New" w:hAnsi="Courier New" w:cs="Macedonian Tms" w:hint="default"/>
      </w:rPr>
    </w:lvl>
    <w:lvl w:ilvl="2" w:tentative="1">
      <w:start w:val="1"/>
      <w:numFmt w:val="bullet"/>
      <w:lvlText w:val=""/>
      <w:lvlJc w:val="left"/>
      <w:pPr>
        <w:tabs>
          <w:tab w:val="num" w:pos="2760"/>
        </w:tabs>
        <w:ind w:left="2760" w:hanging="360"/>
      </w:pPr>
      <w:rPr>
        <w:rFonts w:ascii="Wingdings" w:hAnsi="Wingdings" w:hint="default"/>
      </w:rPr>
    </w:lvl>
    <w:lvl w:ilvl="3" w:tentative="1">
      <w:start w:val="1"/>
      <w:numFmt w:val="bullet"/>
      <w:lvlText w:val=""/>
      <w:lvlJc w:val="left"/>
      <w:pPr>
        <w:tabs>
          <w:tab w:val="num" w:pos="3480"/>
        </w:tabs>
        <w:ind w:left="3480" w:hanging="360"/>
      </w:pPr>
      <w:rPr>
        <w:rFonts w:ascii="Symbol" w:hAnsi="Symbol" w:hint="default"/>
      </w:rPr>
    </w:lvl>
    <w:lvl w:ilvl="4" w:tentative="1">
      <w:start w:val="1"/>
      <w:numFmt w:val="bullet"/>
      <w:lvlText w:val="o"/>
      <w:lvlJc w:val="left"/>
      <w:pPr>
        <w:tabs>
          <w:tab w:val="num" w:pos="4200"/>
        </w:tabs>
        <w:ind w:left="4200" w:hanging="360"/>
      </w:pPr>
      <w:rPr>
        <w:rFonts w:ascii="Courier New" w:hAnsi="Courier New" w:cs="Macedonian Tms" w:hint="default"/>
      </w:rPr>
    </w:lvl>
    <w:lvl w:ilvl="5" w:tentative="1">
      <w:start w:val="1"/>
      <w:numFmt w:val="bullet"/>
      <w:lvlText w:val=""/>
      <w:lvlJc w:val="left"/>
      <w:pPr>
        <w:tabs>
          <w:tab w:val="num" w:pos="4920"/>
        </w:tabs>
        <w:ind w:left="4920" w:hanging="360"/>
      </w:pPr>
      <w:rPr>
        <w:rFonts w:ascii="Wingdings" w:hAnsi="Wingdings" w:hint="default"/>
      </w:rPr>
    </w:lvl>
    <w:lvl w:ilvl="6" w:tentative="1">
      <w:start w:val="1"/>
      <w:numFmt w:val="bullet"/>
      <w:lvlText w:val=""/>
      <w:lvlJc w:val="left"/>
      <w:pPr>
        <w:tabs>
          <w:tab w:val="num" w:pos="5640"/>
        </w:tabs>
        <w:ind w:left="5640" w:hanging="360"/>
      </w:pPr>
      <w:rPr>
        <w:rFonts w:ascii="Symbol" w:hAnsi="Symbol" w:hint="default"/>
      </w:rPr>
    </w:lvl>
    <w:lvl w:ilvl="7" w:tentative="1">
      <w:start w:val="1"/>
      <w:numFmt w:val="bullet"/>
      <w:lvlText w:val="o"/>
      <w:lvlJc w:val="left"/>
      <w:pPr>
        <w:tabs>
          <w:tab w:val="num" w:pos="6360"/>
        </w:tabs>
        <w:ind w:left="6360" w:hanging="360"/>
      </w:pPr>
      <w:rPr>
        <w:rFonts w:ascii="Courier New" w:hAnsi="Courier New" w:cs="Macedonian Tms" w:hint="default"/>
      </w:rPr>
    </w:lvl>
    <w:lvl w:ilvl="8" w:tentative="1">
      <w:start w:val="1"/>
      <w:numFmt w:val="bullet"/>
      <w:lvlText w:val=""/>
      <w:lvlJc w:val="left"/>
      <w:pPr>
        <w:tabs>
          <w:tab w:val="num" w:pos="7080"/>
        </w:tabs>
        <w:ind w:left="7080" w:hanging="360"/>
      </w:pPr>
      <w:rPr>
        <w:rFonts w:ascii="Wingdings" w:hAnsi="Wingdings" w:hint="default"/>
      </w:rPr>
    </w:lvl>
  </w:abstractNum>
  <w:abstractNum w:abstractNumId="81">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82">
    <w:nsid w:val="3FAC6E34"/>
    <w:multiLevelType w:val="multilevel"/>
    <w:tmpl w:val="836A0422"/>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42CC52C7"/>
    <w:multiLevelType w:val="multilevel"/>
    <w:tmpl w:val="018A63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85">
    <w:nsid w:val="439C6D9D"/>
    <w:multiLevelType w:val="multilevel"/>
    <w:tmpl w:val="0E24F5DA"/>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87">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88">
    <w:nsid w:val="47C047F8"/>
    <w:multiLevelType w:val="singleLevel"/>
    <w:tmpl w:val="0409000F"/>
    <w:lvl w:ilvl="0">
      <w:start w:val="1"/>
      <w:numFmt w:val="decimal"/>
      <w:lvlText w:val="%1."/>
      <w:lvlJc w:val="left"/>
      <w:pPr>
        <w:tabs>
          <w:tab w:val="num" w:pos="360"/>
        </w:tabs>
        <w:ind w:left="360" w:hanging="360"/>
      </w:pPr>
    </w:lvl>
  </w:abstractNum>
  <w:abstractNum w:abstractNumId="89">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0">
    <w:nsid w:val="486F0B4F"/>
    <w:multiLevelType w:val="multilevel"/>
    <w:tmpl w:val="A6BAB444"/>
    <w:lvl w:ilvl="0">
      <w:start w:val="1"/>
      <w:numFmt w:val="decimal"/>
      <w:lvlText w:val="%1."/>
      <w:lvlJc w:val="left"/>
      <w:pPr>
        <w:tabs>
          <w:tab w:val="num" w:pos="1080"/>
        </w:tabs>
        <w:ind w:left="1080" w:hanging="360"/>
      </w:pPr>
      <w:rPr>
        <w:rFonts w:ascii="Times New Roman" w:hAnsi="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1">
    <w:nsid w:val="49447FA5"/>
    <w:multiLevelType w:val="multilevel"/>
    <w:tmpl w:val="560C94F2"/>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4B5E28C6"/>
    <w:multiLevelType w:val="multilevel"/>
    <w:tmpl w:val="79486364"/>
    <w:lvl w:ilvl="0">
      <w:start w:val="5"/>
      <w:numFmt w:val="bullet"/>
      <w:lvlText w:val="-"/>
      <w:lvlJc w:val="left"/>
      <w:pPr>
        <w:tabs>
          <w:tab w:val="num" w:pos="1800"/>
        </w:tabs>
        <w:ind w:left="1800" w:hanging="360"/>
      </w:pPr>
      <w:rPr>
        <w:rFonts w:ascii="Macedonian Tms" w:eastAsia="Times New Roman" w:hAnsi="Macedonian Tms" w:cs="Times New Roman" w:hint="default"/>
      </w:rPr>
    </w:lvl>
    <w:lvl w:ilvl="1" w:tentative="1">
      <w:start w:val="1"/>
      <w:numFmt w:val="bullet"/>
      <w:lvlText w:val="o"/>
      <w:lvlJc w:val="left"/>
      <w:pPr>
        <w:tabs>
          <w:tab w:val="num" w:pos="2520"/>
        </w:tabs>
        <w:ind w:left="2520" w:hanging="360"/>
      </w:pPr>
      <w:rPr>
        <w:rFonts w:ascii="Courier New" w:hAnsi="Courier New" w:cs="Macedonian Tm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Macedonian Tm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Macedonian Tm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3">
    <w:nsid w:val="4C3F5086"/>
    <w:multiLevelType w:val="multilevel"/>
    <w:tmpl w:val="169246F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4D5B7168"/>
    <w:multiLevelType w:val="multilevel"/>
    <w:tmpl w:val="D3B8DE78"/>
    <w:lvl w:ilvl="0">
      <w:start w:val="1"/>
      <w:numFmt w:val="decimal"/>
      <w:lvlText w:val="%1."/>
      <w:lvlJc w:val="left"/>
      <w:pPr>
        <w:tabs>
          <w:tab w:val="num" w:pos="1137"/>
        </w:tabs>
        <w:ind w:left="1137" w:hanging="570"/>
      </w:pPr>
      <w:rPr>
        <w:rFonts w:hint="default"/>
      </w:rPr>
    </w:lvl>
    <w:lvl w:ilvl="1">
      <w:start w:val="1"/>
      <w:numFmt w:val="decimal"/>
      <w:isLgl/>
      <w:lvlText w:val="%1.%2."/>
      <w:lvlJc w:val="left"/>
      <w:pPr>
        <w:tabs>
          <w:tab w:val="num" w:pos="1122"/>
        </w:tabs>
        <w:ind w:left="1122" w:hanging="555"/>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95">
    <w:nsid w:val="4FA95CA7"/>
    <w:multiLevelType w:val="multilevel"/>
    <w:tmpl w:val="A7FE69DE"/>
    <w:lvl w:ilvl="0">
      <w:start w:val="1"/>
      <w:numFmt w:val="lowerLetter"/>
      <w:lvlText w:val="%1)"/>
      <w:lvlJc w:val="left"/>
      <w:pPr>
        <w:tabs>
          <w:tab w:val="num" w:pos="1080"/>
        </w:tabs>
        <w:ind w:left="1080" w:hanging="36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6">
    <w:nsid w:val="51073AAE"/>
    <w:multiLevelType w:val="multilevel"/>
    <w:tmpl w:val="0E2CF4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53AF2D03"/>
    <w:multiLevelType w:val="singleLevel"/>
    <w:tmpl w:val="0409000F"/>
    <w:lvl w:ilvl="0">
      <w:start w:val="1"/>
      <w:numFmt w:val="decimal"/>
      <w:lvlText w:val="%1."/>
      <w:lvlJc w:val="left"/>
      <w:pPr>
        <w:tabs>
          <w:tab w:val="num" w:pos="360"/>
        </w:tabs>
        <w:ind w:left="360" w:hanging="360"/>
      </w:pPr>
    </w:lvl>
  </w:abstractNum>
  <w:abstractNum w:abstractNumId="98">
    <w:nsid w:val="53FE7F8A"/>
    <w:multiLevelType w:val="multilevel"/>
    <w:tmpl w:val="3D4048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100">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101">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102">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58C84440"/>
    <w:multiLevelType w:val="multilevel"/>
    <w:tmpl w:val="0CA4524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105">
    <w:nsid w:val="596B182A"/>
    <w:multiLevelType w:val="multilevel"/>
    <w:tmpl w:val="E1F870BE"/>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6">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107">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108">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109">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10">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11">
    <w:nsid w:val="5EC31D90"/>
    <w:multiLevelType w:val="multilevel"/>
    <w:tmpl w:val="27B82EA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5ED54B6F"/>
    <w:multiLevelType w:val="multilevel"/>
    <w:tmpl w:val="27A8B0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114">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60A73065"/>
    <w:multiLevelType w:val="singleLevel"/>
    <w:tmpl w:val="0C09000F"/>
    <w:lvl w:ilvl="0">
      <w:start w:val="1"/>
      <w:numFmt w:val="decimal"/>
      <w:lvlText w:val="%1."/>
      <w:lvlJc w:val="left"/>
      <w:pPr>
        <w:tabs>
          <w:tab w:val="num" w:pos="360"/>
        </w:tabs>
        <w:ind w:left="360" w:hanging="360"/>
      </w:pPr>
    </w:lvl>
  </w:abstractNum>
  <w:abstractNum w:abstractNumId="116">
    <w:nsid w:val="61250DD6"/>
    <w:multiLevelType w:val="multilevel"/>
    <w:tmpl w:val="950449E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61BB149D"/>
    <w:multiLevelType w:val="multilevel"/>
    <w:tmpl w:val="F9C82B08"/>
    <w:lvl w:ilvl="0">
      <w:start w:val="3"/>
      <w:numFmt w:val="bullet"/>
      <w:lvlText w:val="-"/>
      <w:lvlJc w:val="left"/>
      <w:pPr>
        <w:tabs>
          <w:tab w:val="num" w:pos="1065"/>
        </w:tabs>
        <w:ind w:left="1065" w:hanging="70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119">
    <w:nsid w:val="6266331E"/>
    <w:multiLevelType w:val="multilevel"/>
    <w:tmpl w:val="78EA09F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0">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121">
    <w:nsid w:val="63352E35"/>
    <w:multiLevelType w:val="multilevel"/>
    <w:tmpl w:val="4018356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2">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23">
    <w:nsid w:val="65647041"/>
    <w:multiLevelType w:val="multilevel"/>
    <w:tmpl w:val="21F4E0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66616AF4"/>
    <w:multiLevelType w:val="multilevel"/>
    <w:tmpl w:val="E96A4218"/>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5">
    <w:nsid w:val="67AC0F9C"/>
    <w:multiLevelType w:val="multilevel"/>
    <w:tmpl w:val="F90A7B66"/>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6">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27">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28">
    <w:nsid w:val="695649AF"/>
    <w:multiLevelType w:val="multilevel"/>
    <w:tmpl w:val="ED244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30">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31">
    <w:nsid w:val="6AC83E8A"/>
    <w:multiLevelType w:val="multilevel"/>
    <w:tmpl w:val="016E4E88"/>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3">
    <w:nsid w:val="6FD17899"/>
    <w:multiLevelType w:val="multilevel"/>
    <w:tmpl w:val="B05E9696"/>
    <w:lvl w:ilvl="0">
      <w:start w:val="2"/>
      <w:numFmt w:val="bullet"/>
      <w:lvlText w:val="-"/>
      <w:lvlJc w:val="left"/>
      <w:pPr>
        <w:tabs>
          <w:tab w:val="num" w:pos="961"/>
        </w:tabs>
        <w:ind w:left="961" w:hanging="360"/>
      </w:pPr>
      <w:rPr>
        <w:rFonts w:ascii="Times New Roman" w:eastAsia="Times New Roman" w:hAnsi="Times New Roman" w:cs="Times New Roman" w:hint="default"/>
      </w:rPr>
    </w:lvl>
    <w:lvl w:ilvl="1" w:tentative="1">
      <w:start w:val="1"/>
      <w:numFmt w:val="bullet"/>
      <w:lvlText w:val="o"/>
      <w:lvlJc w:val="left"/>
      <w:pPr>
        <w:tabs>
          <w:tab w:val="num" w:pos="1681"/>
        </w:tabs>
        <w:ind w:left="1681" w:hanging="360"/>
      </w:pPr>
      <w:rPr>
        <w:rFonts w:ascii="Courier New" w:hAnsi="Courier New" w:cs="Macedonian Tms" w:hint="default"/>
      </w:rPr>
    </w:lvl>
    <w:lvl w:ilvl="2" w:tentative="1">
      <w:start w:val="1"/>
      <w:numFmt w:val="bullet"/>
      <w:lvlText w:val=""/>
      <w:lvlJc w:val="left"/>
      <w:pPr>
        <w:tabs>
          <w:tab w:val="num" w:pos="2401"/>
        </w:tabs>
        <w:ind w:left="2401" w:hanging="360"/>
      </w:pPr>
      <w:rPr>
        <w:rFonts w:ascii="Wingdings" w:hAnsi="Wingdings" w:hint="default"/>
      </w:rPr>
    </w:lvl>
    <w:lvl w:ilvl="3" w:tentative="1">
      <w:start w:val="1"/>
      <w:numFmt w:val="bullet"/>
      <w:lvlText w:val=""/>
      <w:lvlJc w:val="left"/>
      <w:pPr>
        <w:tabs>
          <w:tab w:val="num" w:pos="3121"/>
        </w:tabs>
        <w:ind w:left="3121" w:hanging="360"/>
      </w:pPr>
      <w:rPr>
        <w:rFonts w:ascii="Symbol" w:hAnsi="Symbol" w:hint="default"/>
      </w:rPr>
    </w:lvl>
    <w:lvl w:ilvl="4" w:tentative="1">
      <w:start w:val="1"/>
      <w:numFmt w:val="bullet"/>
      <w:lvlText w:val="o"/>
      <w:lvlJc w:val="left"/>
      <w:pPr>
        <w:tabs>
          <w:tab w:val="num" w:pos="3841"/>
        </w:tabs>
        <w:ind w:left="3841" w:hanging="360"/>
      </w:pPr>
      <w:rPr>
        <w:rFonts w:ascii="Courier New" w:hAnsi="Courier New" w:cs="Macedonian Tms" w:hint="default"/>
      </w:rPr>
    </w:lvl>
    <w:lvl w:ilvl="5" w:tentative="1">
      <w:start w:val="1"/>
      <w:numFmt w:val="bullet"/>
      <w:lvlText w:val=""/>
      <w:lvlJc w:val="left"/>
      <w:pPr>
        <w:tabs>
          <w:tab w:val="num" w:pos="4561"/>
        </w:tabs>
        <w:ind w:left="4561" w:hanging="360"/>
      </w:pPr>
      <w:rPr>
        <w:rFonts w:ascii="Wingdings" w:hAnsi="Wingdings" w:hint="default"/>
      </w:rPr>
    </w:lvl>
    <w:lvl w:ilvl="6" w:tentative="1">
      <w:start w:val="1"/>
      <w:numFmt w:val="bullet"/>
      <w:lvlText w:val=""/>
      <w:lvlJc w:val="left"/>
      <w:pPr>
        <w:tabs>
          <w:tab w:val="num" w:pos="5281"/>
        </w:tabs>
        <w:ind w:left="5281" w:hanging="360"/>
      </w:pPr>
      <w:rPr>
        <w:rFonts w:ascii="Symbol" w:hAnsi="Symbol" w:hint="default"/>
      </w:rPr>
    </w:lvl>
    <w:lvl w:ilvl="7" w:tentative="1">
      <w:start w:val="1"/>
      <w:numFmt w:val="bullet"/>
      <w:lvlText w:val="o"/>
      <w:lvlJc w:val="left"/>
      <w:pPr>
        <w:tabs>
          <w:tab w:val="num" w:pos="6001"/>
        </w:tabs>
        <w:ind w:left="6001" w:hanging="360"/>
      </w:pPr>
      <w:rPr>
        <w:rFonts w:ascii="Courier New" w:hAnsi="Courier New" w:cs="Macedonian Tms" w:hint="default"/>
      </w:rPr>
    </w:lvl>
    <w:lvl w:ilvl="8" w:tentative="1">
      <w:start w:val="1"/>
      <w:numFmt w:val="bullet"/>
      <w:lvlText w:val=""/>
      <w:lvlJc w:val="left"/>
      <w:pPr>
        <w:tabs>
          <w:tab w:val="num" w:pos="6721"/>
        </w:tabs>
        <w:ind w:left="6721" w:hanging="360"/>
      </w:pPr>
      <w:rPr>
        <w:rFonts w:ascii="Wingdings" w:hAnsi="Wingdings" w:hint="default"/>
      </w:rPr>
    </w:lvl>
  </w:abstractNum>
  <w:abstractNum w:abstractNumId="134">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35">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36">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7">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38">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39">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40">
    <w:nsid w:val="784C540C"/>
    <w:multiLevelType w:val="multilevel"/>
    <w:tmpl w:val="1C54443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2">
    <w:nsid w:val="79D94102"/>
    <w:multiLevelType w:val="multilevel"/>
    <w:tmpl w:val="28EC448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3">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44">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145">
    <w:nsid w:val="7C41125D"/>
    <w:multiLevelType w:val="multilevel"/>
    <w:tmpl w:val="AD1694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7D631CF7"/>
    <w:multiLevelType w:val="multilevel"/>
    <w:tmpl w:val="A0A0BDB6"/>
    <w:lvl w:ilvl="0">
      <w:start w:val="1"/>
      <w:numFmt w:val="lowerLetter"/>
      <w:lvlText w:val="%1)"/>
      <w:lvlJc w:val="left"/>
      <w:pPr>
        <w:tabs>
          <w:tab w:val="num" w:pos="1440"/>
        </w:tabs>
        <w:ind w:left="1440" w:hanging="840"/>
      </w:pPr>
      <w:rPr>
        <w:rFonts w:hint="default"/>
      </w:rPr>
    </w:lvl>
    <w:lvl w:ilvl="1" w:tentative="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147">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7E5719CF"/>
    <w:multiLevelType w:val="multilevel"/>
    <w:tmpl w:val="94367F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50">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51">
    <w:nsid w:val="7E8622DC"/>
    <w:multiLevelType w:val="multilevel"/>
    <w:tmpl w:val="8214C41E"/>
    <w:lvl w:ilvl="0">
      <w:start w:val="1"/>
      <w:numFmt w:val="decimal"/>
      <w:lvlText w:val="%1)"/>
      <w:lvlJc w:val="left"/>
      <w:pPr>
        <w:tabs>
          <w:tab w:val="num" w:pos="2130"/>
        </w:tabs>
        <w:ind w:left="2130" w:hanging="141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2">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53">
    <w:nsid w:val="7F842F8D"/>
    <w:multiLevelType w:val="singleLevel"/>
    <w:tmpl w:val="C4185F76"/>
    <w:lvl w:ilvl="0">
      <w:start w:val="1"/>
      <w:numFmt w:val="decimal"/>
      <w:lvlText w:val="%1."/>
      <w:lvlJc w:val="left"/>
      <w:pPr>
        <w:tabs>
          <w:tab w:val="num" w:pos="1110"/>
        </w:tabs>
        <w:ind w:left="1110" w:hanging="390"/>
      </w:pPr>
      <w:rPr>
        <w:rFonts w:hint="default"/>
      </w:rPr>
    </w:lvl>
  </w:abstractNum>
  <w:num w:numId="1">
    <w:abstractNumId w:val="3"/>
  </w:num>
  <w:num w:numId="2">
    <w:abstractNumId w:val="144"/>
  </w:num>
  <w:num w:numId="3">
    <w:abstractNumId w:val="94"/>
  </w:num>
  <w:num w:numId="4">
    <w:abstractNumId w:val="82"/>
  </w:num>
  <w:num w:numId="5">
    <w:abstractNumId w:val="119"/>
  </w:num>
  <w:num w:numId="6">
    <w:abstractNumId w:val="145"/>
  </w:num>
  <w:num w:numId="7">
    <w:abstractNumId w:val="105"/>
  </w:num>
  <w:num w:numId="8">
    <w:abstractNumId w:val="65"/>
  </w:num>
  <w:num w:numId="9">
    <w:abstractNumId w:val="69"/>
  </w:num>
  <w:num w:numId="10">
    <w:abstractNumId w:val="142"/>
  </w:num>
  <w:num w:numId="11">
    <w:abstractNumId w:val="117"/>
  </w:num>
  <w:num w:numId="12">
    <w:abstractNumId w:val="9"/>
  </w:num>
  <w:num w:numId="13">
    <w:abstractNumId w:val="133"/>
  </w:num>
  <w:num w:numId="14">
    <w:abstractNumId w:val="47"/>
  </w:num>
  <w:num w:numId="15">
    <w:abstractNumId w:val="77"/>
  </w:num>
  <w:num w:numId="16">
    <w:abstractNumId w:val="12"/>
  </w:num>
  <w:num w:numId="17">
    <w:abstractNumId w:val="80"/>
  </w:num>
  <w:num w:numId="18">
    <w:abstractNumId w:val="146"/>
  </w:num>
  <w:num w:numId="19">
    <w:abstractNumId w:val="2"/>
  </w:num>
  <w:num w:numId="20">
    <w:abstractNumId w:val="93"/>
  </w:num>
  <w:num w:numId="21">
    <w:abstractNumId w:val="74"/>
  </w:num>
  <w:num w:numId="22">
    <w:abstractNumId w:val="123"/>
  </w:num>
  <w:num w:numId="23">
    <w:abstractNumId w:val="103"/>
  </w:num>
  <w:num w:numId="24">
    <w:abstractNumId w:val="91"/>
  </w:num>
  <w:num w:numId="25">
    <w:abstractNumId w:val="116"/>
  </w:num>
  <w:num w:numId="26">
    <w:abstractNumId w:val="55"/>
  </w:num>
  <w:num w:numId="27">
    <w:abstractNumId w:val="52"/>
  </w:num>
  <w:num w:numId="28">
    <w:abstractNumId w:val="151"/>
  </w:num>
  <w:num w:numId="29">
    <w:abstractNumId w:val="7"/>
  </w:num>
  <w:num w:numId="30">
    <w:abstractNumId w:val="71"/>
  </w:num>
  <w:num w:numId="31">
    <w:abstractNumId w:val="124"/>
  </w:num>
  <w:num w:numId="32">
    <w:abstractNumId w:val="54"/>
  </w:num>
  <w:num w:numId="33">
    <w:abstractNumId w:val="38"/>
  </w:num>
  <w:num w:numId="34">
    <w:abstractNumId w:val="56"/>
  </w:num>
  <w:num w:numId="35">
    <w:abstractNumId w:val="127"/>
  </w:num>
  <w:num w:numId="36">
    <w:abstractNumId w:val="111"/>
  </w:num>
  <w:num w:numId="37">
    <w:abstractNumId w:val="112"/>
  </w:num>
  <w:num w:numId="38">
    <w:abstractNumId w:val="95"/>
  </w:num>
  <w:num w:numId="39">
    <w:abstractNumId w:val="125"/>
  </w:num>
  <w:num w:numId="40">
    <w:abstractNumId w:val="76"/>
  </w:num>
  <w:num w:numId="41">
    <w:abstractNumId w:val="37"/>
  </w:num>
  <w:num w:numId="42">
    <w:abstractNumId w:val="121"/>
  </w:num>
  <w:num w:numId="43">
    <w:abstractNumId w:val="26"/>
  </w:num>
  <w:num w:numId="44">
    <w:abstractNumId w:val="62"/>
  </w:num>
  <w:num w:numId="45">
    <w:abstractNumId w:val="23"/>
  </w:num>
  <w:num w:numId="46">
    <w:abstractNumId w:val="97"/>
  </w:num>
  <w:num w:numId="47">
    <w:abstractNumId w:val="30"/>
  </w:num>
  <w:num w:numId="48">
    <w:abstractNumId w:val="35"/>
  </w:num>
  <w:num w:numId="49">
    <w:abstractNumId w:val="92"/>
  </w:num>
  <w:num w:numId="50">
    <w:abstractNumId w:val="98"/>
  </w:num>
  <w:num w:numId="51">
    <w:abstractNumId w:val="6"/>
  </w:num>
  <w:num w:numId="52">
    <w:abstractNumId w:val="44"/>
  </w:num>
  <w:num w:numId="53">
    <w:abstractNumId w:val="148"/>
  </w:num>
  <w:num w:numId="54">
    <w:abstractNumId w:val="85"/>
  </w:num>
  <w:num w:numId="55">
    <w:abstractNumId w:val="68"/>
  </w:num>
  <w:num w:numId="56">
    <w:abstractNumId w:val="147"/>
  </w:num>
  <w:num w:numId="57">
    <w:abstractNumId w:val="42"/>
  </w:num>
  <w:num w:numId="58">
    <w:abstractNumId w:val="29"/>
  </w:num>
  <w:num w:numId="59">
    <w:abstractNumId w:val="88"/>
  </w:num>
  <w:num w:numId="60">
    <w:abstractNumId w:val="140"/>
  </w:num>
  <w:num w:numId="61">
    <w:abstractNumId w:val="118"/>
  </w:num>
  <w:num w:numId="62">
    <w:abstractNumId w:val="41"/>
  </w:num>
  <w:num w:numId="63">
    <w:abstractNumId w:val="115"/>
  </w:num>
  <w:num w:numId="64">
    <w:abstractNumId w:val="99"/>
  </w:num>
  <w:num w:numId="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66">
    <w:abstractNumId w:val="106"/>
  </w:num>
  <w:num w:numId="67">
    <w:abstractNumId w:val="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68">
    <w:abstractNumId w:val="10"/>
  </w:num>
  <w:num w:numId="69">
    <w:abstractNumId w:val="70"/>
  </w:num>
  <w:num w:numId="70">
    <w:abstractNumId w:val="89"/>
  </w:num>
  <w:num w:numId="71">
    <w:abstractNumId w:val="28"/>
  </w:num>
  <w:num w:numId="72">
    <w:abstractNumId w:val="136"/>
  </w:num>
  <w:num w:numId="73">
    <w:abstractNumId w:val="72"/>
  </w:num>
  <w:num w:numId="74">
    <w:abstractNumId w:val="17"/>
  </w:num>
  <w:num w:numId="75">
    <w:abstractNumId w:val="132"/>
  </w:num>
  <w:num w:numId="76">
    <w:abstractNumId w:val="122"/>
  </w:num>
  <w:num w:numId="77">
    <w:abstractNumId w:val="149"/>
  </w:num>
  <w:num w:numId="78">
    <w:abstractNumId w:val="114"/>
  </w:num>
  <w:num w:numId="79">
    <w:abstractNumId w:val="63"/>
  </w:num>
  <w:num w:numId="80">
    <w:abstractNumId w:val="79"/>
  </w:num>
  <w:num w:numId="81">
    <w:abstractNumId w:val="78"/>
  </w:num>
  <w:num w:numId="82">
    <w:abstractNumId w:val="1"/>
  </w:num>
  <w:num w:numId="83">
    <w:abstractNumId w:val="14"/>
  </w:num>
  <w:num w:numId="84">
    <w:abstractNumId w:val="53"/>
  </w:num>
  <w:num w:numId="85">
    <w:abstractNumId w:val="13"/>
  </w:num>
  <w:num w:numId="86">
    <w:abstractNumId w:val="16"/>
  </w:num>
  <w:num w:numId="87">
    <w:abstractNumId w:val="102"/>
  </w:num>
  <w:num w:numId="88">
    <w:abstractNumId w:val="40"/>
  </w:num>
  <w:num w:numId="89">
    <w:abstractNumId w:val="34"/>
  </w:num>
  <w:num w:numId="90">
    <w:abstractNumId w:val="73"/>
  </w:num>
  <w:num w:numId="91">
    <w:abstractNumId w:val="21"/>
  </w:num>
  <w:num w:numId="92">
    <w:abstractNumId w:val="27"/>
  </w:num>
  <w:num w:numId="93">
    <w:abstractNumId w:val="33"/>
  </w:num>
  <w:num w:numId="94">
    <w:abstractNumId w:val="86"/>
  </w:num>
  <w:num w:numId="95">
    <w:abstractNumId w:val="130"/>
  </w:num>
  <w:num w:numId="96">
    <w:abstractNumId w:val="120"/>
  </w:num>
  <w:num w:numId="97">
    <w:abstractNumId w:val="139"/>
  </w:num>
  <w:num w:numId="98">
    <w:abstractNumId w:val="113"/>
  </w:num>
  <w:num w:numId="99">
    <w:abstractNumId w:val="110"/>
  </w:num>
  <w:num w:numId="100">
    <w:abstractNumId w:val="60"/>
  </w:num>
  <w:num w:numId="101">
    <w:abstractNumId w:val="43"/>
  </w:num>
  <w:num w:numId="102">
    <w:abstractNumId w:val="100"/>
  </w:num>
  <w:num w:numId="103">
    <w:abstractNumId w:val="36"/>
  </w:num>
  <w:num w:numId="104">
    <w:abstractNumId w:val="67"/>
  </w:num>
  <w:num w:numId="105">
    <w:abstractNumId w:val="61"/>
  </w:num>
  <w:num w:numId="106">
    <w:abstractNumId w:val="150"/>
  </w:num>
  <w:num w:numId="107">
    <w:abstractNumId w:val="104"/>
  </w:num>
  <w:num w:numId="108">
    <w:abstractNumId w:val="143"/>
  </w:num>
  <w:num w:numId="109">
    <w:abstractNumId w:val="49"/>
  </w:num>
  <w:num w:numId="110">
    <w:abstractNumId w:val="32"/>
  </w:num>
  <w:num w:numId="111">
    <w:abstractNumId w:val="39"/>
  </w:num>
  <w:num w:numId="112">
    <w:abstractNumId w:val="18"/>
  </w:num>
  <w:num w:numId="113">
    <w:abstractNumId w:val="4"/>
  </w:num>
  <w:num w:numId="114">
    <w:abstractNumId w:val="22"/>
  </w:num>
  <w:num w:numId="115">
    <w:abstractNumId w:val="19"/>
  </w:num>
  <w:num w:numId="116">
    <w:abstractNumId w:val="101"/>
  </w:num>
  <w:num w:numId="117">
    <w:abstractNumId w:val="152"/>
  </w:num>
  <w:num w:numId="118">
    <w:abstractNumId w:val="75"/>
  </w:num>
  <w:num w:numId="119">
    <w:abstractNumId w:val="109"/>
  </w:num>
  <w:num w:numId="120">
    <w:abstractNumId w:val="129"/>
  </w:num>
  <w:num w:numId="121">
    <w:abstractNumId w:val="58"/>
  </w:num>
  <w:num w:numId="122">
    <w:abstractNumId w:val="5"/>
  </w:num>
  <w:num w:numId="123">
    <w:abstractNumId w:val="64"/>
  </w:num>
  <w:num w:numId="124">
    <w:abstractNumId w:val="81"/>
  </w:num>
  <w:num w:numId="125">
    <w:abstractNumId w:val="24"/>
  </w:num>
  <w:num w:numId="126">
    <w:abstractNumId w:val="138"/>
  </w:num>
  <w:num w:numId="127">
    <w:abstractNumId w:val="57"/>
  </w:num>
  <w:num w:numId="128">
    <w:abstractNumId w:val="87"/>
  </w:num>
  <w:num w:numId="129">
    <w:abstractNumId w:val="126"/>
  </w:num>
  <w:num w:numId="130">
    <w:abstractNumId w:val="15"/>
  </w:num>
  <w:num w:numId="131">
    <w:abstractNumId w:val="25"/>
  </w:num>
  <w:num w:numId="132">
    <w:abstractNumId w:val="153"/>
  </w:num>
  <w:num w:numId="133">
    <w:abstractNumId w:val="0"/>
    <w:lvlOverride w:ilvl="0">
      <w:lvl w:ilvl="0">
        <w:start w:val="1"/>
        <w:numFmt w:val="bullet"/>
        <w:lvlText w:val="–"/>
        <w:legacy w:legacy="1" w:legacySpace="0" w:legacyIndent="284"/>
        <w:lvlJc w:val="left"/>
        <w:rPr>
          <w:rFonts w:ascii="Times New Roman" w:hAnsi="Times New Roman" w:hint="default"/>
        </w:rPr>
      </w:lvl>
    </w:lvlOverride>
  </w:num>
  <w:num w:numId="134">
    <w:abstractNumId w:val="108"/>
  </w:num>
  <w:num w:numId="135">
    <w:abstractNumId w:val="8"/>
  </w:num>
  <w:num w:numId="136">
    <w:abstractNumId w:val="66"/>
  </w:num>
  <w:num w:numId="137">
    <w:abstractNumId w:val="134"/>
  </w:num>
  <w:num w:numId="138">
    <w:abstractNumId w:val="45"/>
    <w:lvlOverride w:ilvl="0">
      <w:startOverride w:val="1"/>
    </w:lvlOverride>
  </w:num>
  <w:num w:numId="139">
    <w:abstractNumId w:val="135"/>
    <w:lvlOverride w:ilvl="0"/>
  </w:num>
  <w:num w:numId="140">
    <w:abstractNumId w:val="50"/>
    <w:lvlOverride w:ilvl="0"/>
  </w:num>
  <w:num w:numId="141">
    <w:abstractNumId w:val="48"/>
    <w:lvlOverride w:ilvl="0">
      <w:startOverride w:val="1"/>
    </w:lvlOverride>
  </w:num>
  <w:num w:numId="142">
    <w:abstractNumId w:val="11"/>
    <w:lvlOverride w:ilvl="0"/>
  </w:num>
  <w:num w:numId="143">
    <w:abstractNumId w:val="137"/>
    <w:lvlOverride w:ilvl="0"/>
  </w:num>
  <w:num w:numId="144">
    <w:abstractNumId w:val="141"/>
  </w:num>
  <w:num w:numId="145">
    <w:abstractNumId w:val="84"/>
  </w:num>
  <w:num w:numId="146">
    <w:abstractNumId w:val="107"/>
  </w:num>
  <w:num w:numId="147">
    <w:abstractNumId w:val="20"/>
  </w:num>
  <w:num w:numId="148">
    <w:abstractNumId w:val="128"/>
  </w:num>
  <w:num w:numId="149">
    <w:abstractNumId w:val="90"/>
  </w:num>
  <w:num w:numId="150">
    <w:abstractNumId w:val="59"/>
  </w:num>
  <w:num w:numId="151">
    <w:abstractNumId w:val="83"/>
  </w:num>
  <w:num w:numId="152">
    <w:abstractNumId w:val="131"/>
  </w:num>
  <w:num w:numId="153">
    <w:abstractNumId w:val="96"/>
  </w:num>
  <w:num w:numId="154">
    <w:abstractNumId w:val="51"/>
  </w:num>
  <w:num w:numId="155">
    <w:abstractNumId w:val="46"/>
  </w:num>
  <w:num w:numId="156">
    <w:abstractNumId w:val="31"/>
  </w:num>
  <w:num w:numId="15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n-US" w:vendorID="8" w:dllVersion="513"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10/04 12:37:50"/>
    <w:docVar w:name="DocCategory" w:val="Doc"/>
    <w:docVar w:name="DocType" w:val="Final"/>
    <w:docVar w:name="JobNo" w:val="0446334S"/>
    <w:docVar w:name="OandT" w:val=" "/>
    <w:docVar w:name="Symbol1" w:val="CEDAW/C/MKD/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image" Target="media/image2.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header" Target="header14.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oleObject" Target="embeddings/Microsoft_Excel_97-2003_Worksheet1.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139</Pages>
  <Words>55602</Words>
  <Characters>316936</Characters>
  <Application>Microsoft Office Word</Application>
  <DocSecurity>4</DocSecurity>
  <Lines>2641</Lines>
  <Paragraphs>633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389219</CharactersWithSpaces>
  <SharedDoc>false</SharedDoc>
  <HLinks>
    <vt:vector size="6" baseType="variant">
      <vt:variant>
        <vt:i4>4522087</vt:i4>
      </vt:variant>
      <vt:variant>
        <vt:i4>388004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FALLA, Bertha</cp:lastModifiedBy>
  <cp:revision>10</cp:revision>
  <cp:lastPrinted>2004-11-17T13:05:00Z</cp:lastPrinted>
  <dcterms:created xsi:type="dcterms:W3CDTF">2004-11-17T12:22:00Z</dcterms:created>
  <dcterms:modified xsi:type="dcterms:W3CDTF">2004-11-17T13:48:00Z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0446334</vt:lpwstr>
  </property>
  <property fmtid="{D5CDD505-2E9C-101B-9397-08002B2CF9AE}" pid="3" name="Symbol1">
    <vt:lpwstr>CEDAW/C/MKD/1-3</vt:lpwstr>
  </property>
  <property fmtid="{D5CDD505-2E9C-101B-9397-08002B2CF9AE}" pid="4" name="Symbol2">
    <vt:lpwstr/>
  </property>
  <property fmtid="{D5CDD505-2E9C-101B-9397-08002B2CF9AE}" pid="5" name="Translator">
    <vt:lpwstr/>
  </property>
  <property fmtid="{D5CDD505-2E9C-101B-9397-08002B2CF9AE}" pid="6" name="Comment">
    <vt:lpwstr>Número de páginas en el índice no coincidían, se arregló.Se volvió a imprimir porque se repaginó por que había una página en blanco.</vt:lpwstr>
  </property>
  <property fmtid="{D5CDD505-2E9C-101B-9397-08002B2CF9AE}" pid="7" name="DraftPages">
    <vt:lpwstr> </vt:lpwstr>
  </property>
  <property fmtid="{D5CDD505-2E9C-101B-9397-08002B2CF9AE}" pid="8" name="Operator">
    <vt:lpwstr>bf</vt:lpwstr>
  </property>
</Properties>
</file>