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125A74" w14:textId="7B48F0F9" w:rsidR="00F16571" w:rsidRDefault="00F656FE">
      <w:pPr>
        <w:spacing w:line="240" w:lineRule="auto"/>
        <w:rPr>
          <w:sz w:val="2"/>
          <w:szCs w:val="2"/>
          <w:lang w:val="es-ES"/>
        </w:rPr>
      </w:pPr>
      <w:r>
        <w:rPr>
          <w:rStyle w:val="CommentReference"/>
          <w:rFonts w:eastAsia="SimSun"/>
        </w:rPr>
        <w:commentReference w:id="0"/>
      </w:r>
    </w:p>
    <w:p w14:paraId="385180CF" w14:textId="77777777" w:rsidR="00F656FE" w:rsidRPr="00F656FE" w:rsidRDefault="00F656FE" w:rsidP="00F656FE">
      <w:pPr>
        <w:spacing w:line="20" w:lineRule="exact"/>
        <w:rPr>
          <w:sz w:val="2"/>
          <w:szCs w:val="2"/>
          <w:lang w:val="es-ES"/>
        </w:rPr>
        <w:sectPr w:rsidR="00F656FE" w:rsidRPr="00F656FE" w:rsidSect="00B11E0C">
          <w:headerReference w:type="even" r:id="rId10"/>
          <w:headerReference w:type="default" r:id="rId11"/>
          <w:footerReference w:type="even" r:id="rId12"/>
          <w:footerReference w:type="default" r:id="rId13"/>
          <w:headerReference w:type="first" r:id="rId14"/>
          <w:footerReference w:type="first" r:id="rId15"/>
          <w:endnotePr>
            <w:numFmt w:val="decimal"/>
          </w:endnotePr>
          <w:type w:val="continuous"/>
          <w:pgSz w:w="12240" w:h="15840" w:code="1"/>
          <w:pgMar w:top="1440" w:right="1195" w:bottom="1152" w:left="1195" w:header="432" w:footer="504" w:gutter="0"/>
          <w:pgNumType w:start="1"/>
          <w:cols w:space="720"/>
          <w:noEndnote/>
          <w:titlePg/>
          <w:docGrid w:linePitch="278"/>
        </w:sectPr>
      </w:pPr>
    </w:p>
    <w:p w14:paraId="7D24C24B" w14:textId="77777777" w:rsidR="00F16571" w:rsidRPr="00FD2859" w:rsidRDefault="00F16571" w:rsidP="00361B06">
      <w:pPr>
        <w:pStyle w:val="TitleH1"/>
        <w:tabs>
          <w:tab w:val="clear" w:pos="4622"/>
        </w:tabs>
        <w:ind w:left="0" w:right="4450" w:firstLine="0"/>
        <w:rPr>
          <w:lang w:val="es-ES" w:eastAsia="en-US"/>
        </w:rPr>
      </w:pPr>
      <w:r w:rsidRPr="00FD2859">
        <w:rPr>
          <w:lang w:val="es-ES" w:eastAsia="en-US"/>
        </w:rPr>
        <w:t>Comité para la Eliminación de la Discriminación</w:t>
      </w:r>
      <w:r w:rsidR="00503E52" w:rsidRPr="00FD2859">
        <w:rPr>
          <w:lang w:val="es-ES" w:eastAsia="en-US"/>
        </w:rPr>
        <w:t xml:space="preserve"> </w:t>
      </w:r>
      <w:r w:rsidRPr="00FD2859">
        <w:rPr>
          <w:lang w:val="es-ES" w:eastAsia="en-US"/>
        </w:rPr>
        <w:t>contra la Mujer</w:t>
      </w:r>
    </w:p>
    <w:p w14:paraId="063EB342" w14:textId="77777777" w:rsidR="00F16571" w:rsidRPr="00FD2859" w:rsidRDefault="00F16571">
      <w:pPr>
        <w:pStyle w:val="SingleTxt"/>
        <w:spacing w:after="0" w:line="120" w:lineRule="exact"/>
        <w:rPr>
          <w:sz w:val="10"/>
          <w:szCs w:val="10"/>
          <w:lang w:val="es-ES"/>
        </w:rPr>
      </w:pPr>
    </w:p>
    <w:p w14:paraId="2E6F8FC5" w14:textId="77777777" w:rsidR="00F16571" w:rsidRPr="00FD2859" w:rsidRDefault="00F16571">
      <w:pPr>
        <w:pStyle w:val="SingleTxt"/>
        <w:spacing w:after="0" w:line="120" w:lineRule="exact"/>
        <w:rPr>
          <w:sz w:val="10"/>
          <w:szCs w:val="10"/>
          <w:lang w:val="es-ES"/>
        </w:rPr>
      </w:pPr>
    </w:p>
    <w:p w14:paraId="08EB332A" w14:textId="77777777" w:rsidR="00352A6C" w:rsidRPr="00FD2859" w:rsidRDefault="00352A6C">
      <w:pPr>
        <w:pStyle w:val="SingleTxt"/>
        <w:spacing w:after="0" w:line="120" w:lineRule="exact"/>
        <w:rPr>
          <w:sz w:val="10"/>
          <w:szCs w:val="10"/>
          <w:lang w:val="es-ES"/>
        </w:rPr>
      </w:pPr>
    </w:p>
    <w:p w14:paraId="42168762" w14:textId="77777777" w:rsidR="00181342" w:rsidRPr="00FD2859" w:rsidRDefault="00181342" w:rsidP="00361B06">
      <w:pPr>
        <w:pStyle w:val="TitleHCH"/>
        <w:ind w:right="1260"/>
        <w:rPr>
          <w:lang w:val="es-ES" w:eastAsia="en-US"/>
        </w:rPr>
      </w:pPr>
      <w:r w:rsidRPr="00FD2859">
        <w:rPr>
          <w:lang w:val="es-ES" w:eastAsia="en-US"/>
        </w:rPr>
        <w:tab/>
      </w:r>
      <w:r w:rsidRPr="00FD2859">
        <w:rPr>
          <w:lang w:val="es-ES" w:eastAsia="en-US"/>
        </w:rPr>
        <w:tab/>
      </w:r>
      <w:r w:rsidR="00397092" w:rsidRPr="00FD2859">
        <w:rPr>
          <w:lang w:val="es-ES" w:eastAsia="en-US"/>
        </w:rPr>
        <w:t>Observaciones finales sobre el séptimo informe periódico de Burkina Faso</w:t>
      </w:r>
      <w:r w:rsidRPr="00FD2859">
        <w:rPr>
          <w:sz w:val="20"/>
          <w:lang w:val="es-ES" w:eastAsia="en-US"/>
        </w:rPr>
        <w:t>*</w:t>
      </w:r>
    </w:p>
    <w:p w14:paraId="75548C1F" w14:textId="77777777" w:rsidR="00181342" w:rsidRPr="00FD2859" w:rsidRDefault="00181342" w:rsidP="009979B6">
      <w:pPr>
        <w:pStyle w:val="SingleTxt"/>
        <w:spacing w:after="0" w:line="120" w:lineRule="exact"/>
        <w:rPr>
          <w:sz w:val="10"/>
          <w:szCs w:val="10"/>
          <w:lang w:val="es-ES"/>
        </w:rPr>
      </w:pPr>
    </w:p>
    <w:p w14:paraId="47907314" w14:textId="77777777" w:rsidR="00181342" w:rsidRPr="00FD2859" w:rsidRDefault="00181342" w:rsidP="009979B6">
      <w:pPr>
        <w:pStyle w:val="SingleTxt"/>
        <w:spacing w:after="0" w:line="120" w:lineRule="exact"/>
        <w:rPr>
          <w:sz w:val="10"/>
          <w:szCs w:val="10"/>
          <w:lang w:val="es-ES"/>
        </w:rPr>
      </w:pPr>
    </w:p>
    <w:p w14:paraId="0B9B9CD0" w14:textId="77777777" w:rsidR="009B4B38" w:rsidRPr="00FD2859" w:rsidRDefault="009B4B38" w:rsidP="009B4B38">
      <w:pPr>
        <w:framePr w:w="9792" w:h="432" w:hSpace="180" w:wrap="around" w:vAnchor="page" w:hAnchor="page" w:x="1210" w:y="14041"/>
        <w:spacing w:line="240" w:lineRule="auto"/>
        <w:rPr>
          <w:sz w:val="10"/>
          <w:lang w:val="es-ES"/>
        </w:rPr>
      </w:pPr>
    </w:p>
    <w:p w14:paraId="6BDB832B" w14:textId="490918AD" w:rsidR="009B4B38" w:rsidRPr="00FD2859" w:rsidRDefault="009B4B38" w:rsidP="009B4B38">
      <w:pPr>
        <w:framePr w:w="9792" w:h="432" w:hSpace="180" w:wrap="around" w:vAnchor="page" w:hAnchor="page" w:x="1210" w:y="14041"/>
        <w:spacing w:line="240" w:lineRule="auto"/>
        <w:rPr>
          <w:sz w:val="6"/>
          <w:lang w:val="es-ES"/>
        </w:rPr>
      </w:pPr>
    </w:p>
    <w:p w14:paraId="5F43FDE2" w14:textId="77777777" w:rsidR="009B4B38" w:rsidRPr="00FD2859" w:rsidRDefault="009B4B38" w:rsidP="008F5D1B">
      <w:pPr>
        <w:framePr w:w="9792" w:h="432" w:hSpace="180" w:wrap="around" w:vAnchor="page" w:hAnchor="page" w:x="1210" w:y="14041"/>
        <w:tabs>
          <w:tab w:val="right" w:pos="1195"/>
          <w:tab w:val="left" w:pos="1260"/>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lang w:val="es-ES" w:eastAsia="en-US"/>
        </w:rPr>
      </w:pPr>
      <w:r w:rsidRPr="00FD2859">
        <w:rPr>
          <w:sz w:val="17"/>
          <w:lang w:val="es-ES" w:eastAsia="en-US"/>
        </w:rPr>
        <w:tab/>
        <w:t>*</w:t>
      </w:r>
      <w:r w:rsidRPr="00FD2859">
        <w:rPr>
          <w:sz w:val="17"/>
          <w:lang w:val="es-ES" w:eastAsia="en-US"/>
        </w:rPr>
        <w:tab/>
      </w:r>
      <w:r w:rsidR="002A1B3E" w:rsidRPr="00FD2859">
        <w:rPr>
          <w:sz w:val="17"/>
          <w:lang w:val="es-ES" w:eastAsia="en-US"/>
        </w:rPr>
        <w:t>Aprobadas por el Comité en su 68º período de sesiones (23 de octubre a 17 de noviembre de 2017).</w:t>
      </w:r>
    </w:p>
    <w:p w14:paraId="4E6FAB48" w14:textId="77777777" w:rsidR="005E4AC4" w:rsidRPr="00FD2859" w:rsidRDefault="00397092" w:rsidP="005E4AC4">
      <w:pPr>
        <w:pStyle w:val="SingleTxt"/>
        <w:numPr>
          <w:ilvl w:val="0"/>
          <w:numId w:val="31"/>
        </w:numPr>
        <w:tabs>
          <w:tab w:val="num" w:pos="1742"/>
        </w:tabs>
        <w:ind w:left="1267" w:firstLine="0"/>
        <w:rPr>
          <w:szCs w:val="22"/>
          <w:lang w:val="es-ES" w:eastAsia="en-US"/>
        </w:rPr>
      </w:pPr>
      <w:r w:rsidRPr="00FD2859">
        <w:rPr>
          <w:szCs w:val="22"/>
          <w:lang w:val="es-ES" w:eastAsia="en-US"/>
        </w:rPr>
        <w:t>El Comité examinó el séptimo informe periódico de Burkina Faso (</w:t>
      </w:r>
      <w:hyperlink r:id="rId16" w:history="1">
        <w:r w:rsidRPr="00FD2859">
          <w:rPr>
            <w:color w:val="0000FF"/>
            <w:szCs w:val="22"/>
            <w:lang w:val="es-ES" w:eastAsia="en-US"/>
          </w:rPr>
          <w:t>CEDAW/C/BFA/7</w:t>
        </w:r>
      </w:hyperlink>
      <w:r w:rsidRPr="00FD2859">
        <w:rPr>
          <w:szCs w:val="22"/>
          <w:lang w:val="es-ES" w:eastAsia="en-US"/>
        </w:rPr>
        <w:t xml:space="preserve">) en sus reuniones 1532ª y 1533ª (véanse los documentos </w:t>
      </w:r>
      <w:hyperlink r:id="rId17" w:history="1">
        <w:r w:rsidRPr="00FD2859">
          <w:rPr>
            <w:color w:val="0000FF"/>
            <w:szCs w:val="22"/>
            <w:lang w:val="es-ES" w:eastAsia="en-US"/>
          </w:rPr>
          <w:t>CEDAW/C/SR.1532</w:t>
        </w:r>
      </w:hyperlink>
      <w:r w:rsidRPr="00FD2859">
        <w:rPr>
          <w:szCs w:val="22"/>
          <w:lang w:val="es-ES" w:eastAsia="en-US"/>
        </w:rPr>
        <w:t xml:space="preserve"> y 1533), celebradas el 24 de octubre de 2017. La lista de cuestiones y preguntas del Comité figura en el documento </w:t>
      </w:r>
      <w:hyperlink r:id="rId18" w:history="1">
        <w:r w:rsidRPr="00FD2859">
          <w:rPr>
            <w:color w:val="0000FF"/>
            <w:szCs w:val="22"/>
            <w:lang w:val="es-ES" w:eastAsia="en-US"/>
          </w:rPr>
          <w:t>CEDAW/C/BFA/Q/7</w:t>
        </w:r>
      </w:hyperlink>
      <w:r w:rsidRPr="00FD2859">
        <w:rPr>
          <w:szCs w:val="22"/>
          <w:lang w:val="es-ES" w:eastAsia="en-US"/>
        </w:rPr>
        <w:t xml:space="preserve"> y las respuestas de Burkina Faso, en el documento </w:t>
      </w:r>
      <w:hyperlink r:id="rId19" w:history="1">
        <w:r w:rsidRPr="00FD2859">
          <w:rPr>
            <w:color w:val="0000FF"/>
            <w:szCs w:val="22"/>
            <w:lang w:val="es-ES" w:eastAsia="en-US"/>
          </w:rPr>
          <w:t>CEDAW/C/BFA/Q/7/Add.1</w:t>
        </w:r>
      </w:hyperlink>
      <w:r w:rsidRPr="00FD2859">
        <w:rPr>
          <w:szCs w:val="22"/>
          <w:lang w:val="es-ES" w:eastAsia="en-US"/>
        </w:rPr>
        <w:t>.</w:t>
      </w:r>
    </w:p>
    <w:p w14:paraId="2D0ABD61" w14:textId="77777777" w:rsidR="00505055" w:rsidRPr="00FD2859" w:rsidRDefault="00505055" w:rsidP="00505055">
      <w:pPr>
        <w:pStyle w:val="SingleTxt"/>
        <w:spacing w:after="0" w:line="120" w:lineRule="exact"/>
        <w:rPr>
          <w:sz w:val="10"/>
          <w:szCs w:val="10"/>
          <w:lang w:val="es-ES"/>
        </w:rPr>
      </w:pPr>
      <w:bookmarkStart w:id="1" w:name="bookmark_14"/>
    </w:p>
    <w:p w14:paraId="100FEC03" w14:textId="77777777" w:rsidR="00505055" w:rsidRPr="00FD2859" w:rsidRDefault="00505055" w:rsidP="00505055">
      <w:pPr>
        <w:pStyle w:val="SingleTxt"/>
        <w:spacing w:after="0" w:line="120" w:lineRule="exact"/>
        <w:rPr>
          <w:sz w:val="10"/>
          <w:szCs w:val="10"/>
          <w:lang w:val="es-ES"/>
        </w:rPr>
      </w:pPr>
    </w:p>
    <w:p w14:paraId="4DDDE44A" w14:textId="77777777" w:rsidR="005E4AC4" w:rsidRPr="00FD2859" w:rsidRDefault="00505055" w:rsidP="00505055">
      <w:pPr>
        <w:pStyle w:val="H1"/>
        <w:ind w:right="1260"/>
        <w:rPr>
          <w:bCs w:val="0"/>
          <w:szCs w:val="20"/>
          <w:lang w:val="es-ES" w:eastAsia="en-US"/>
        </w:rPr>
      </w:pPr>
      <w:r w:rsidRPr="00FD2859">
        <w:rPr>
          <w:bCs w:val="0"/>
          <w:szCs w:val="20"/>
          <w:lang w:val="es-ES" w:eastAsia="en-US"/>
        </w:rPr>
        <w:tab/>
      </w:r>
      <w:r w:rsidR="005E4AC4" w:rsidRPr="00FD2859">
        <w:rPr>
          <w:bCs w:val="0"/>
          <w:szCs w:val="20"/>
          <w:lang w:val="es-ES" w:eastAsia="en-US"/>
        </w:rPr>
        <w:t>A.</w:t>
      </w:r>
      <w:r w:rsidR="005E4AC4" w:rsidRPr="00FD2859">
        <w:rPr>
          <w:bCs w:val="0"/>
          <w:szCs w:val="20"/>
          <w:lang w:val="es-ES" w:eastAsia="en-US"/>
        </w:rPr>
        <w:tab/>
        <w:t>Introducción</w:t>
      </w:r>
      <w:bookmarkEnd w:id="1"/>
    </w:p>
    <w:p w14:paraId="548BC35F" w14:textId="77777777" w:rsidR="00505055" w:rsidRPr="00FD2859" w:rsidRDefault="00505055" w:rsidP="00505055">
      <w:pPr>
        <w:pStyle w:val="SingleTxt"/>
        <w:spacing w:after="0" w:line="120" w:lineRule="exact"/>
        <w:rPr>
          <w:sz w:val="10"/>
          <w:szCs w:val="10"/>
          <w:lang w:val="es-ES"/>
        </w:rPr>
      </w:pPr>
    </w:p>
    <w:p w14:paraId="10D30136" w14:textId="77777777" w:rsidR="00505055" w:rsidRPr="00FD2859" w:rsidRDefault="00505055" w:rsidP="007A2DB3">
      <w:pPr>
        <w:pStyle w:val="SingleTxt"/>
        <w:spacing w:after="0" w:line="120" w:lineRule="exact"/>
        <w:rPr>
          <w:sz w:val="10"/>
          <w:szCs w:val="10"/>
          <w:lang w:val="es-ES"/>
        </w:rPr>
      </w:pPr>
    </w:p>
    <w:p w14:paraId="09E22519" w14:textId="77777777" w:rsidR="008C7C13" w:rsidRPr="00FD2859" w:rsidRDefault="008C7C13" w:rsidP="007A2DB3">
      <w:pPr>
        <w:pStyle w:val="SingleTxt"/>
        <w:numPr>
          <w:ilvl w:val="0"/>
          <w:numId w:val="31"/>
        </w:numPr>
        <w:tabs>
          <w:tab w:val="num" w:pos="1742"/>
        </w:tabs>
        <w:ind w:left="1267" w:firstLine="0"/>
        <w:rPr>
          <w:szCs w:val="22"/>
          <w:lang w:val="es-ES" w:eastAsia="en-US"/>
        </w:rPr>
      </w:pPr>
      <w:bookmarkStart w:id="2" w:name="bookmark_15"/>
      <w:r w:rsidRPr="00FD2859">
        <w:rPr>
          <w:szCs w:val="22"/>
          <w:lang w:val="es-ES" w:eastAsia="en-US"/>
        </w:rPr>
        <w:t>El Comité expresa su agradecimiento al Estado parte por la presentación de su séptimo informe periódico. Agradece también el informe de seguimiento del Estado parte (</w:t>
      </w:r>
      <w:hyperlink r:id="rId20" w:history="1">
        <w:r w:rsidRPr="00FD2859">
          <w:rPr>
            <w:color w:val="0000FF"/>
            <w:szCs w:val="22"/>
            <w:lang w:val="es-ES" w:eastAsia="en-US"/>
          </w:rPr>
          <w:t>CEDAW/C/BFA/CO/6/Add.1</w:t>
        </w:r>
      </w:hyperlink>
      <w:r w:rsidRPr="00FD2859">
        <w:rPr>
          <w:szCs w:val="22"/>
          <w:lang w:val="es-ES" w:eastAsia="en-US"/>
        </w:rPr>
        <w:t>) y sus respuestas escritas a la lista de cuestiones y preguntas planteadas por el grupo de trabajo anterior al período de sesiones, así como la presentación oral realizada por la delegación y sus aclaraciones posteriores en respuesta a las preguntas formuladas oralmente por el Comité durante el diálogo.</w:t>
      </w:r>
    </w:p>
    <w:p w14:paraId="43B5F790" w14:textId="77777777" w:rsidR="008C7C13" w:rsidRPr="00FD2859" w:rsidRDefault="008C7C13" w:rsidP="007A2DB3">
      <w:pPr>
        <w:pStyle w:val="SingleTxt"/>
        <w:numPr>
          <w:ilvl w:val="0"/>
          <w:numId w:val="31"/>
        </w:numPr>
        <w:tabs>
          <w:tab w:val="num" w:pos="1742"/>
        </w:tabs>
        <w:ind w:left="1267" w:firstLine="0"/>
        <w:rPr>
          <w:szCs w:val="22"/>
          <w:lang w:val="es-ES" w:eastAsia="en-US"/>
        </w:rPr>
      </w:pPr>
      <w:bookmarkStart w:id="3" w:name="bookmark_16"/>
      <w:r w:rsidRPr="00FD2859">
        <w:rPr>
          <w:szCs w:val="22"/>
          <w:lang w:val="es-ES" w:eastAsia="en-US"/>
        </w:rPr>
        <w:t>El Comité encomia al Estado parte por su delegación de alto nivel, encabezada</w:t>
      </w:r>
      <w:r w:rsidR="00011027" w:rsidRPr="00FD2859">
        <w:rPr>
          <w:szCs w:val="22"/>
          <w:lang w:val="es-ES" w:eastAsia="en-US"/>
        </w:rPr>
        <w:t> </w:t>
      </w:r>
      <w:r w:rsidRPr="00FD2859">
        <w:rPr>
          <w:szCs w:val="22"/>
          <w:lang w:val="es-ES" w:eastAsia="en-US"/>
        </w:rPr>
        <w:t xml:space="preserve">por la Ministra de la Mujer, de la Solidaridad Nacional y de la Familia, </w:t>
      </w:r>
      <w:r w:rsidR="006E616E" w:rsidRPr="00FD2859">
        <w:rPr>
          <w:szCs w:val="22"/>
          <w:lang w:val="es-ES" w:eastAsia="en-US"/>
        </w:rPr>
        <w:br/>
      </w:r>
      <w:r w:rsidRPr="00FD2859">
        <w:rPr>
          <w:szCs w:val="22"/>
          <w:lang w:val="es-ES" w:eastAsia="en-US"/>
        </w:rPr>
        <w:t>Laure</w:t>
      </w:r>
      <w:r w:rsidR="006E616E" w:rsidRPr="00FD2859">
        <w:rPr>
          <w:szCs w:val="22"/>
          <w:lang w:val="es-ES" w:eastAsia="en-US"/>
        </w:rPr>
        <w:t xml:space="preserve"> </w:t>
      </w:r>
      <w:r w:rsidRPr="00FD2859">
        <w:rPr>
          <w:szCs w:val="22"/>
          <w:lang w:val="es-ES" w:eastAsia="en-US"/>
        </w:rPr>
        <w:t>Zongo</w:t>
      </w:r>
      <w:r w:rsidR="006E616E" w:rsidRPr="00FD2859">
        <w:rPr>
          <w:szCs w:val="22"/>
          <w:lang w:val="es-ES" w:eastAsia="en-US"/>
        </w:rPr>
        <w:t xml:space="preserve"> </w:t>
      </w:r>
      <w:r w:rsidRPr="00FD2859">
        <w:rPr>
          <w:szCs w:val="22"/>
          <w:lang w:val="es-ES" w:eastAsia="en-US"/>
        </w:rPr>
        <w:t>Hien, e integrada por representantes del Ministerio de Justicia, Derechos Humanos y Promoción Cívica, el Ministerio de Salud, el Ministerio de</w:t>
      </w:r>
      <w:r w:rsidR="00CD22FE" w:rsidRPr="00FD2859">
        <w:rPr>
          <w:szCs w:val="22"/>
          <w:lang w:val="es-ES" w:eastAsia="en-US"/>
        </w:rPr>
        <w:t> </w:t>
      </w:r>
      <w:r w:rsidRPr="00FD2859">
        <w:rPr>
          <w:szCs w:val="22"/>
          <w:lang w:val="es-ES" w:eastAsia="en-US"/>
        </w:rPr>
        <w:t>la</w:t>
      </w:r>
      <w:r w:rsidR="00FD41F9" w:rsidRPr="00FD2859">
        <w:rPr>
          <w:szCs w:val="22"/>
          <w:lang w:val="es-ES" w:eastAsia="en-US"/>
        </w:rPr>
        <w:t> </w:t>
      </w:r>
      <w:r w:rsidRPr="00FD2859">
        <w:rPr>
          <w:szCs w:val="22"/>
          <w:lang w:val="es-ES" w:eastAsia="en-US"/>
        </w:rPr>
        <w:t>Administración Pública, el Empleo y la Protección Social, el Ministerio de</w:t>
      </w:r>
      <w:r w:rsidR="00604B5D" w:rsidRPr="00FD2859">
        <w:rPr>
          <w:szCs w:val="22"/>
          <w:lang w:val="es-ES" w:eastAsia="en-US"/>
        </w:rPr>
        <w:t> </w:t>
      </w:r>
      <w:r w:rsidRPr="00FD2859">
        <w:rPr>
          <w:szCs w:val="22"/>
          <w:lang w:val="es-ES" w:eastAsia="en-US"/>
        </w:rPr>
        <w:t>Educación Nacional y Alfabetización, el Ministerio de Economía, Finanzas y Desarrollo, el Ministerio de Defensa Nacional y Veteranos, el Ministerio de Agricultura e Instalaciones Hidráulicas, la Misión Permanente de Burkina Faso ante las Naciones Unidas y otras organizaciones internacionales en Ginebra.</w:t>
      </w:r>
      <w:bookmarkEnd w:id="3"/>
    </w:p>
    <w:p w14:paraId="36E73418" w14:textId="77777777" w:rsidR="005465B4" w:rsidRPr="00FD2859" w:rsidRDefault="005465B4" w:rsidP="005465B4">
      <w:pPr>
        <w:pStyle w:val="SingleTxt"/>
        <w:spacing w:after="0" w:line="120" w:lineRule="exact"/>
        <w:rPr>
          <w:sz w:val="10"/>
          <w:szCs w:val="10"/>
          <w:lang w:val="es-ES"/>
        </w:rPr>
      </w:pPr>
      <w:bookmarkStart w:id="4" w:name="bookmark_17"/>
    </w:p>
    <w:p w14:paraId="5EC63BF5" w14:textId="7D048B62" w:rsidR="00E467FA" w:rsidRPr="00FD2859" w:rsidRDefault="00E01F22">
      <w:pPr>
        <w:suppressAutoHyphens w:val="0"/>
        <w:spacing w:line="240" w:lineRule="auto"/>
        <w:rPr>
          <w:b/>
          <w:sz w:val="24"/>
          <w:lang w:val="es-ES" w:eastAsia="en-US"/>
        </w:rPr>
      </w:pPr>
      <w:r w:rsidRPr="00FD2859">
        <w:rPr>
          <w:noProof/>
          <w:w w:val="100"/>
          <w:lang w:val="es-ES" w:eastAsia="en-US"/>
        </w:rPr>
        <mc:AlternateContent>
          <mc:Choice Requires="wps">
            <w:drawing>
              <wp:anchor distT="4294967291" distB="4294967291" distL="114300" distR="114300" simplePos="0" relativeHeight="251663872" behindDoc="0" locked="0" layoutInCell="1" allowOverlap="1" wp14:anchorId="492B754C" wp14:editId="67D4BDBA">
                <wp:simplePos x="0" y="0"/>
                <wp:positionH relativeFrom="page">
                  <wp:posOffset>1395730</wp:posOffset>
                </wp:positionH>
                <wp:positionV relativeFrom="paragraph">
                  <wp:posOffset>1326820</wp:posOffset>
                </wp:positionV>
                <wp:extent cx="914400" cy="0"/>
                <wp:effectExtent l="0" t="0" r="0" b="0"/>
                <wp:wrapNone/>
                <wp:docPr id="7"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187B563E" id="Straight Connector 6" o:spid="_x0000_s1026" style="position:absolute;z-index:251663872;visibility:visible;mso-wrap-style:square;mso-width-percent:0;mso-height-percent:0;mso-wrap-distance-left:9pt;mso-wrap-distance-top:-1e-4mm;mso-wrap-distance-right:9pt;mso-wrap-distance-bottom:-1e-4mm;mso-position-horizontal:absolute;mso-position-horizontal-relative:page;mso-position-vertical:absolute;mso-position-vertical-relative:text;mso-width-percent:0;mso-height-percent:0;mso-width-relative:page;mso-height-relative:page" from="109.9pt,104.45pt" to="181.9pt,10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5/TE5gEAACgEAAAOAAAAZHJzL2Uyb0RvYy54bWysU9tu1DAQfUfiHyy/s0lKaSHabB+2Ki8V&#10;rNjyAV7HTixsj2WbTfbvGTsXykVCIPJgxZ4zZ+Ycj7d3o9HkLHxQYBtabUpKhOXQKts19PPTw6u3&#10;lITIbMs0WNHQiwj0bvfyxXZwtbiCHnQrPEESG+rBNbSP0dVFEXgvDAsbcMJiUII3LOLWd0Xr2YDs&#10;RhdXZXlTDOBb54GLEPD0fgrSXeaXUvD4UcogItENxd5iXn1eT2ktdltWd565XvG5DfYPXRimLBZd&#10;qe5ZZOSrV79QGcU9BJBxw8EUIKXiImtANVX5k5pjz5zIWtCc4Fabwv+j5R/OB09U29BbSiwzeEXH&#10;6Jnq+kj2YC0aCJ7cJJ8GF2qE7+3BJ6V8tEf3CPxLwFjxQzBtgptgo/QmwVEqGbPvl9V3MUbC8fBd&#10;dX1d4u3wJVSweslzPsT3AgxJPw3VyiZHWM3OjyGmyqxeIOlYWzI09HV1+yajAmjVPiitUyz47rTX&#10;npxZGoaqxC/pQoZnMNxpOwuaNGQ18aLFxP9JSPQLu66mCmlSxUrLOBc2VjOvtohOaRJbWBPLPyfO&#10;+JQq8hT/TfKakSuDjWuyURb876rHcWlZTvjFgUl3suAE7eXgl7vGcczOzU8nzfvzfU7//sB33wAA&#10;AP//AwBQSwMEFAAGAAgAAAAhAOQS9aTgAAAACwEAAA8AAABkcnMvZG93bnJldi54bWxMj0FrwkAQ&#10;he8F/8MyQm91o0JY02ykKBakJ22l9LZmxyQ0Oxuyq6b++k6h0N5m3nu8+SZfDq4VF+xD40nDdJKA&#10;QCq9bajS8Pa6eVAgQjRkTesJNXxhgGUxustNZv2VdnjZx0pwCYXMaKhj7DIpQ1mjM2HiOyT2Tr53&#10;JvLaV9L25srlrpWzJEmlMw3xhdp0uKqx/NyfnQZ1e7frrX1R6+Fwer516iPdHbZa34+Hp0cQEYf4&#10;F4YffEaHgpmO/kw2iFbDbLpg9MhDohYgODFP56wcfxVZ5PL/D8U3AAAA//8DAFBLAQItABQABgAI&#10;AAAAIQC2gziS/gAAAOEBAAATAAAAAAAAAAAAAAAAAAAAAABbQ29udGVudF9UeXBlc10ueG1sUEsB&#10;Ai0AFAAGAAgAAAAhADj9If/WAAAAlAEAAAsAAAAAAAAAAAAAAAAALwEAAF9yZWxzLy5yZWxzUEsB&#10;Ai0AFAAGAAgAAAAhAAbn9MTmAQAAKAQAAA4AAAAAAAAAAAAAAAAALgIAAGRycy9lMm9Eb2MueG1s&#10;UEsBAi0AFAAGAAgAAAAhAOQS9aTgAAAACwEAAA8AAAAAAAAAAAAAAAAAQAQAAGRycy9kb3ducmV2&#10;LnhtbFBLBQYAAAAABAAEAPMAAABNBQAAAAA=&#10;" strokecolor="#010000" strokeweight=".25pt">
                <o:lock v:ext="edit" shapetype="f"/>
                <w10:wrap anchorx="page"/>
              </v:line>
            </w:pict>
          </mc:Fallback>
        </mc:AlternateContent>
      </w:r>
      <w:r w:rsidR="00E467FA" w:rsidRPr="00FD2859">
        <w:rPr>
          <w:bCs/>
          <w:lang w:val="es-ES" w:eastAsia="en-US"/>
        </w:rPr>
        <w:br w:type="page"/>
      </w:r>
      <w:bookmarkStart w:id="5" w:name="_GoBack"/>
      <w:bookmarkEnd w:id="5"/>
    </w:p>
    <w:p w14:paraId="75F70B87" w14:textId="77777777" w:rsidR="008C7C13" w:rsidRPr="00FD2859" w:rsidRDefault="005465B4" w:rsidP="00F63AC4">
      <w:pPr>
        <w:pStyle w:val="H1"/>
        <w:ind w:right="1260"/>
        <w:rPr>
          <w:bCs w:val="0"/>
          <w:szCs w:val="20"/>
          <w:lang w:val="es-ES" w:eastAsia="en-US"/>
        </w:rPr>
      </w:pPr>
      <w:r w:rsidRPr="00FD2859">
        <w:rPr>
          <w:bCs w:val="0"/>
          <w:szCs w:val="20"/>
          <w:lang w:val="es-ES" w:eastAsia="en-US"/>
        </w:rPr>
        <w:lastRenderedPageBreak/>
        <w:tab/>
      </w:r>
      <w:r w:rsidR="008C7C13" w:rsidRPr="00FD2859">
        <w:rPr>
          <w:bCs w:val="0"/>
          <w:szCs w:val="20"/>
          <w:lang w:val="es-ES" w:eastAsia="en-US"/>
        </w:rPr>
        <w:t>B.</w:t>
      </w:r>
      <w:r w:rsidR="008C7C13" w:rsidRPr="00FD2859">
        <w:rPr>
          <w:bCs w:val="0"/>
          <w:szCs w:val="20"/>
          <w:lang w:val="es-ES" w:eastAsia="en-US"/>
        </w:rPr>
        <w:tab/>
        <w:t xml:space="preserve">Aspectos positivos </w:t>
      </w:r>
      <w:bookmarkEnd w:id="4"/>
    </w:p>
    <w:p w14:paraId="21823EF8" w14:textId="77777777" w:rsidR="005465B4" w:rsidRPr="00FD2859" w:rsidRDefault="005465B4" w:rsidP="005465B4">
      <w:pPr>
        <w:pStyle w:val="SingleTxt"/>
        <w:spacing w:after="0" w:line="120" w:lineRule="exact"/>
        <w:rPr>
          <w:sz w:val="10"/>
          <w:szCs w:val="10"/>
          <w:lang w:val="es-ES"/>
        </w:rPr>
      </w:pPr>
    </w:p>
    <w:p w14:paraId="1CB66C90" w14:textId="77777777" w:rsidR="005465B4" w:rsidRPr="00FD2859" w:rsidRDefault="005465B4" w:rsidP="005465B4">
      <w:pPr>
        <w:pStyle w:val="SingleTxt"/>
        <w:spacing w:after="0" w:line="120" w:lineRule="exact"/>
        <w:rPr>
          <w:sz w:val="10"/>
          <w:szCs w:val="10"/>
          <w:lang w:val="es-ES"/>
        </w:rPr>
      </w:pPr>
    </w:p>
    <w:p w14:paraId="1D6F9A32" w14:textId="77777777" w:rsidR="008C7C13" w:rsidRPr="00FD2859" w:rsidRDefault="008C7C13" w:rsidP="0099298B">
      <w:pPr>
        <w:pStyle w:val="SingleTxt"/>
        <w:numPr>
          <w:ilvl w:val="0"/>
          <w:numId w:val="31"/>
        </w:numPr>
        <w:tabs>
          <w:tab w:val="num" w:pos="1742"/>
        </w:tabs>
        <w:ind w:left="1267" w:firstLine="0"/>
        <w:rPr>
          <w:szCs w:val="22"/>
          <w:lang w:val="es-ES" w:eastAsia="en-US"/>
        </w:rPr>
      </w:pPr>
      <w:bookmarkStart w:id="6" w:name="bookmark_18"/>
      <w:r w:rsidRPr="00FD2859">
        <w:rPr>
          <w:szCs w:val="22"/>
          <w:lang w:val="es-ES" w:eastAsia="en-US"/>
        </w:rPr>
        <w:t>El Comité acoge con beneplácito los progresos logrados desde el examen, en</w:t>
      </w:r>
      <w:r w:rsidR="00C847B0" w:rsidRPr="00FD2859">
        <w:rPr>
          <w:szCs w:val="22"/>
          <w:lang w:val="es-ES" w:eastAsia="en-US"/>
        </w:rPr>
        <w:t> </w:t>
      </w:r>
      <w:r w:rsidRPr="00FD2859">
        <w:rPr>
          <w:szCs w:val="22"/>
          <w:lang w:val="es-ES" w:eastAsia="en-US"/>
        </w:rPr>
        <w:t>2010, del anterior informe periódico del Estado parte (</w:t>
      </w:r>
      <w:hyperlink r:id="rId21" w:history="1">
        <w:r w:rsidRPr="00FD2859">
          <w:rPr>
            <w:color w:val="0000FF"/>
            <w:szCs w:val="22"/>
            <w:lang w:val="es-ES" w:eastAsia="en-US"/>
          </w:rPr>
          <w:t>CEDAW/C/BFA/6</w:t>
        </w:r>
      </w:hyperlink>
      <w:r w:rsidRPr="00FD2859">
        <w:rPr>
          <w:szCs w:val="22"/>
          <w:lang w:val="es-ES" w:eastAsia="en-US"/>
        </w:rPr>
        <w:t xml:space="preserve">) con respecto a la aprobación de reformas legislativas, en particular las siguientes: </w:t>
      </w:r>
      <w:bookmarkEnd w:id="6"/>
    </w:p>
    <w:p w14:paraId="5D7B2762" w14:textId="77777777" w:rsidR="008C7C13" w:rsidRPr="00FD2859" w:rsidRDefault="00346D6F" w:rsidP="00346D6F">
      <w:pPr>
        <w:pStyle w:val="SingleTxt"/>
        <w:rPr>
          <w:lang w:val="es-ES" w:eastAsia="en-US"/>
        </w:rPr>
      </w:pPr>
      <w:bookmarkStart w:id="7" w:name="bookmark_19"/>
      <w:r w:rsidRPr="00FD2859">
        <w:rPr>
          <w:lang w:val="es-ES" w:eastAsia="en-US"/>
        </w:rPr>
        <w:tab/>
      </w:r>
      <w:r w:rsidR="008C7C13" w:rsidRPr="00FD2859">
        <w:rPr>
          <w:lang w:val="es-ES" w:eastAsia="en-US"/>
        </w:rPr>
        <w:t>a)</w:t>
      </w:r>
      <w:r w:rsidR="008C7C13" w:rsidRPr="00FD2859">
        <w:rPr>
          <w:lang w:val="es-ES" w:eastAsia="en-US"/>
        </w:rPr>
        <w:tab/>
        <w:t>Ley núm. 039-2017/AN, de 27 de junio de 2017, sobre la protección de los defensores de los derechos humanos;</w:t>
      </w:r>
      <w:bookmarkEnd w:id="7"/>
    </w:p>
    <w:p w14:paraId="58A2D5C8" w14:textId="77777777" w:rsidR="008C7C13" w:rsidRPr="00FD2859" w:rsidRDefault="00346D6F" w:rsidP="00346D6F">
      <w:pPr>
        <w:pStyle w:val="SingleTxt"/>
        <w:rPr>
          <w:lang w:val="es-ES" w:eastAsia="en-US"/>
        </w:rPr>
      </w:pPr>
      <w:bookmarkStart w:id="8" w:name="bookmark_20"/>
      <w:r w:rsidRPr="00FD2859">
        <w:rPr>
          <w:lang w:val="es-ES" w:eastAsia="en-US"/>
        </w:rPr>
        <w:tab/>
      </w:r>
      <w:r w:rsidR="008C7C13" w:rsidRPr="00FD2859">
        <w:rPr>
          <w:lang w:val="es-ES" w:eastAsia="en-US"/>
        </w:rPr>
        <w:t>b)</w:t>
      </w:r>
      <w:r w:rsidR="008C7C13" w:rsidRPr="00FD2859">
        <w:rPr>
          <w:lang w:val="es-ES" w:eastAsia="en-US"/>
        </w:rPr>
        <w:tab/>
        <w:t xml:space="preserve">Ley núm. 061-2015/CNT, de 6 de septiembre de 2015, sobre la prevención y las penas relativas a la violencia contra la mujer y la niña, y la reparación y el cuidado de las víctimas; </w:t>
      </w:r>
      <w:bookmarkEnd w:id="8"/>
    </w:p>
    <w:p w14:paraId="79F04B2B" w14:textId="77777777" w:rsidR="008C7C13" w:rsidRPr="00FD2859" w:rsidRDefault="00346D6F" w:rsidP="00346D6F">
      <w:pPr>
        <w:pStyle w:val="SingleTxt"/>
        <w:rPr>
          <w:lang w:val="es-ES" w:eastAsia="en-US"/>
        </w:rPr>
      </w:pPr>
      <w:bookmarkStart w:id="9" w:name="bookmark_21"/>
      <w:r w:rsidRPr="00FD2859">
        <w:rPr>
          <w:lang w:val="es-ES" w:eastAsia="en-US"/>
        </w:rPr>
        <w:tab/>
      </w:r>
      <w:r w:rsidR="008C7C13" w:rsidRPr="00FD2859">
        <w:rPr>
          <w:lang w:val="es-ES" w:eastAsia="en-US"/>
        </w:rPr>
        <w:t>c)</w:t>
      </w:r>
      <w:r w:rsidR="008C7C13" w:rsidRPr="00FD2859">
        <w:rPr>
          <w:lang w:val="es-ES" w:eastAsia="en-US"/>
        </w:rPr>
        <w:tab/>
        <w:t>Ley núm. 033-2012/AN, de 11 de junio de 2012, por la que se modifica la Constitución y se consagra la promoción de la igualdad de género en su</w:t>
      </w:r>
      <w:r w:rsidR="00C847B0" w:rsidRPr="00FD2859">
        <w:rPr>
          <w:lang w:val="es-ES" w:eastAsia="en-US"/>
        </w:rPr>
        <w:t> </w:t>
      </w:r>
      <w:r w:rsidR="008C7C13" w:rsidRPr="00FD2859">
        <w:rPr>
          <w:lang w:val="es-ES" w:eastAsia="en-US"/>
        </w:rPr>
        <w:t>artículo</w:t>
      </w:r>
      <w:r w:rsidRPr="00FD2859">
        <w:rPr>
          <w:lang w:val="es-ES" w:eastAsia="en-US"/>
        </w:rPr>
        <w:t> </w:t>
      </w:r>
      <w:r w:rsidR="008C7C13" w:rsidRPr="00FD2859">
        <w:rPr>
          <w:lang w:val="es-ES" w:eastAsia="en-US"/>
        </w:rPr>
        <w:t>101.</w:t>
      </w:r>
      <w:bookmarkEnd w:id="9"/>
    </w:p>
    <w:p w14:paraId="1280B7F2" w14:textId="77777777" w:rsidR="008C7C13" w:rsidRPr="00FD2859" w:rsidRDefault="008C7C13" w:rsidP="0099298B">
      <w:pPr>
        <w:pStyle w:val="SingleTxt"/>
        <w:numPr>
          <w:ilvl w:val="0"/>
          <w:numId w:val="31"/>
        </w:numPr>
        <w:tabs>
          <w:tab w:val="num" w:pos="1742"/>
        </w:tabs>
        <w:ind w:left="1267" w:firstLine="0"/>
        <w:rPr>
          <w:szCs w:val="22"/>
          <w:lang w:val="es-ES" w:eastAsia="en-US"/>
        </w:rPr>
      </w:pPr>
      <w:bookmarkStart w:id="10" w:name="bookmark_22"/>
      <w:r w:rsidRPr="00FD2859">
        <w:rPr>
          <w:szCs w:val="22"/>
          <w:lang w:val="es-ES" w:eastAsia="en-US"/>
        </w:rPr>
        <w:t>El Comité acoge con beneplácito también las iniciativas que ha emprendido el Estado parte para mejorar su marco institucional y normativo con el fin de acelerar la eliminación de la discriminación contra la mujer y promover la igualdad de género, tales como:</w:t>
      </w:r>
      <w:bookmarkEnd w:id="10"/>
    </w:p>
    <w:p w14:paraId="6F1D742F" w14:textId="77777777" w:rsidR="008C7C13" w:rsidRPr="00FD2859" w:rsidRDefault="00346D6F" w:rsidP="00346D6F">
      <w:pPr>
        <w:pStyle w:val="SingleTxt"/>
        <w:rPr>
          <w:lang w:val="es-ES" w:eastAsia="en-US"/>
        </w:rPr>
      </w:pPr>
      <w:bookmarkStart w:id="11" w:name="bookmark_23"/>
      <w:r w:rsidRPr="00FD2859">
        <w:rPr>
          <w:lang w:val="es-ES" w:eastAsia="en-US"/>
        </w:rPr>
        <w:tab/>
      </w:r>
      <w:r w:rsidR="008C7C13" w:rsidRPr="00FD2859">
        <w:rPr>
          <w:lang w:val="es-ES" w:eastAsia="en-US"/>
        </w:rPr>
        <w:t>a)</w:t>
      </w:r>
      <w:r w:rsidR="008C7C13" w:rsidRPr="00FD2859">
        <w:rPr>
          <w:lang w:val="es-ES" w:eastAsia="en-US"/>
        </w:rPr>
        <w:tab/>
        <w:t xml:space="preserve">El fortalecimiento de la Comisión Nacional de Derechos Humanos de conformidad con los principios relativos al estatuto de las instituciones nacionales de promoción y protección de los derechos humanos (Principios de París), mediante la Ley núm. 2016-01, de 24 de marzo de 2016, en la que se establece un mandato de promoción y protección de los derechos de la mujer; </w:t>
      </w:r>
      <w:bookmarkEnd w:id="11"/>
    </w:p>
    <w:p w14:paraId="57FF34E5" w14:textId="2991FA72" w:rsidR="008C7C13" w:rsidRPr="00FD2859" w:rsidRDefault="00346D6F" w:rsidP="00346D6F">
      <w:pPr>
        <w:pStyle w:val="SingleTxt"/>
        <w:rPr>
          <w:lang w:val="es-ES" w:eastAsia="en-US"/>
        </w:rPr>
      </w:pPr>
      <w:bookmarkStart w:id="12" w:name="bookmark_24"/>
      <w:r w:rsidRPr="00FD2859">
        <w:rPr>
          <w:lang w:val="es-ES" w:eastAsia="en-US"/>
        </w:rPr>
        <w:tab/>
      </w:r>
      <w:r w:rsidR="008C7C13" w:rsidRPr="00FD2859">
        <w:rPr>
          <w:lang w:val="es-ES" w:eastAsia="en-US"/>
        </w:rPr>
        <w:t>b)</w:t>
      </w:r>
      <w:r w:rsidR="008C7C13" w:rsidRPr="00FD2859">
        <w:rPr>
          <w:lang w:val="es-ES" w:eastAsia="en-US"/>
        </w:rPr>
        <w:tab/>
        <w:t>La creación de la Comisión Constitucional por el Decreto núm. 2016-216/PRES, de 14 de abril de 2016, para revisar la Constitución nacional, con el fin de incluir disposiciones para combatir la violencia contra la mujer y la niña, y promover la igualdad de género y la salud reproductiva;</w:t>
      </w:r>
      <w:bookmarkEnd w:id="12"/>
    </w:p>
    <w:p w14:paraId="749D1EEA" w14:textId="77777777" w:rsidR="008C7C13" w:rsidRPr="00FD2859" w:rsidRDefault="00346D6F" w:rsidP="00346D6F">
      <w:pPr>
        <w:pStyle w:val="SingleTxt"/>
        <w:rPr>
          <w:lang w:val="es-ES" w:eastAsia="en-US"/>
        </w:rPr>
      </w:pPr>
      <w:bookmarkStart w:id="13" w:name="bookmark_25"/>
      <w:r w:rsidRPr="00FD2859">
        <w:rPr>
          <w:lang w:val="es-ES" w:eastAsia="en-US"/>
        </w:rPr>
        <w:tab/>
      </w:r>
      <w:r w:rsidR="008C7C13" w:rsidRPr="00FD2859">
        <w:rPr>
          <w:lang w:val="es-ES" w:eastAsia="en-US"/>
        </w:rPr>
        <w:t>c)</w:t>
      </w:r>
      <w:r w:rsidR="008C7C13" w:rsidRPr="00FD2859">
        <w:rPr>
          <w:lang w:val="es-ES" w:eastAsia="en-US"/>
        </w:rPr>
        <w:tab/>
        <w:t>La aprobación, por parte del Consejo de Ministros, de un nuevo plan de acción nacional que abarca el período 2017–2019 para aplicar la política nacional de</w:t>
      </w:r>
      <w:r w:rsidR="00F96A35" w:rsidRPr="00FD2859">
        <w:rPr>
          <w:lang w:val="es-ES" w:eastAsia="en-US"/>
        </w:rPr>
        <w:t> </w:t>
      </w:r>
      <w:r w:rsidR="008C7C13" w:rsidRPr="00FD2859">
        <w:rPr>
          <w:lang w:val="es-ES" w:eastAsia="en-US"/>
        </w:rPr>
        <w:t>género (2009).</w:t>
      </w:r>
      <w:bookmarkEnd w:id="13"/>
    </w:p>
    <w:p w14:paraId="4AB7DC29" w14:textId="77777777" w:rsidR="008C7C13" w:rsidRPr="00FD2859" w:rsidRDefault="008C7C13" w:rsidP="0099298B">
      <w:pPr>
        <w:pStyle w:val="SingleTxt"/>
        <w:numPr>
          <w:ilvl w:val="0"/>
          <w:numId w:val="31"/>
        </w:numPr>
        <w:tabs>
          <w:tab w:val="num" w:pos="1742"/>
        </w:tabs>
        <w:ind w:left="1267" w:firstLine="0"/>
        <w:rPr>
          <w:szCs w:val="22"/>
          <w:lang w:val="es-ES" w:eastAsia="en-US"/>
        </w:rPr>
      </w:pPr>
      <w:bookmarkStart w:id="14" w:name="bookmark_26"/>
      <w:r w:rsidRPr="00FD2859">
        <w:rPr>
          <w:szCs w:val="22"/>
          <w:lang w:val="es-ES" w:eastAsia="en-US"/>
        </w:rPr>
        <w:t>El Comité celebra que, en el período transcurrido desde el examen del informe anterior, el Estado parte haya ratificado los siguientes instrumentos internacionales y regionales o se haya adherido a ellos:</w:t>
      </w:r>
      <w:bookmarkEnd w:id="14"/>
    </w:p>
    <w:p w14:paraId="0A85F321" w14:textId="77777777" w:rsidR="008C7C13" w:rsidRPr="00FD2859" w:rsidRDefault="00346D6F" w:rsidP="00346D6F">
      <w:pPr>
        <w:pStyle w:val="SingleTxt"/>
        <w:rPr>
          <w:lang w:val="es-ES" w:eastAsia="en-US"/>
        </w:rPr>
      </w:pPr>
      <w:bookmarkStart w:id="15" w:name="bookmark_27"/>
      <w:r w:rsidRPr="00FD2859">
        <w:rPr>
          <w:lang w:val="es-ES" w:eastAsia="en-US"/>
        </w:rPr>
        <w:tab/>
      </w:r>
      <w:r w:rsidR="008C7C13" w:rsidRPr="00FD2859">
        <w:rPr>
          <w:lang w:val="es-ES" w:eastAsia="en-US"/>
        </w:rPr>
        <w:t>a)</w:t>
      </w:r>
      <w:r w:rsidR="008C7C13" w:rsidRPr="00FD2859">
        <w:rPr>
          <w:lang w:val="es-ES" w:eastAsia="en-US"/>
        </w:rPr>
        <w:tab/>
        <w:t>La Convención sobre el Estatuto de los Apátridas de 1954 y la Convención para Reducir los Casos de Apatridia de 1961, en 2012 y 2017 respectivamente;</w:t>
      </w:r>
      <w:bookmarkEnd w:id="15"/>
    </w:p>
    <w:p w14:paraId="4FCCF17C" w14:textId="77777777" w:rsidR="008C7C13" w:rsidRPr="00FD2859" w:rsidRDefault="00346D6F" w:rsidP="00346D6F">
      <w:pPr>
        <w:pStyle w:val="SingleTxt"/>
        <w:rPr>
          <w:lang w:val="es-ES" w:eastAsia="en-US"/>
        </w:rPr>
      </w:pPr>
      <w:bookmarkStart w:id="16" w:name="bookmark_28"/>
      <w:r w:rsidRPr="00FD2859">
        <w:rPr>
          <w:lang w:val="es-ES" w:eastAsia="en-US"/>
        </w:rPr>
        <w:tab/>
      </w:r>
      <w:r w:rsidR="008C7C13" w:rsidRPr="00FD2859">
        <w:rPr>
          <w:lang w:val="es-ES" w:eastAsia="en-US"/>
        </w:rPr>
        <w:t>b)</w:t>
      </w:r>
      <w:r w:rsidR="008C7C13" w:rsidRPr="00FD2859">
        <w:rPr>
          <w:lang w:val="es-ES" w:eastAsia="en-US"/>
        </w:rPr>
        <w:tab/>
        <w:t>La Convención relativa a la Lucha contra las Discriminaciones en la Esfera de la Enseñanza, en 2012;</w:t>
      </w:r>
      <w:bookmarkEnd w:id="16"/>
    </w:p>
    <w:p w14:paraId="0458FA3E" w14:textId="77777777" w:rsidR="008C7C13" w:rsidRPr="00FD2859" w:rsidRDefault="008C7C13" w:rsidP="00346D6F">
      <w:pPr>
        <w:pStyle w:val="SingleTxt"/>
        <w:rPr>
          <w:lang w:val="es-ES" w:eastAsia="en-US"/>
        </w:rPr>
      </w:pPr>
      <w:bookmarkStart w:id="17" w:name="bookmark_29"/>
      <w:r w:rsidRPr="00FD2859">
        <w:rPr>
          <w:lang w:val="es-ES" w:eastAsia="en-US"/>
        </w:rPr>
        <w:tab/>
        <w:t>c)</w:t>
      </w:r>
      <w:r w:rsidRPr="00FD2859">
        <w:rPr>
          <w:lang w:val="es-ES" w:eastAsia="en-US"/>
        </w:rPr>
        <w:tab/>
        <w:t>La Convención de la Unión Africana para la Protección y Asistencia a los Desplazados Internos en África, en 2012.</w:t>
      </w:r>
      <w:bookmarkEnd w:id="17"/>
    </w:p>
    <w:p w14:paraId="6484C7FB" w14:textId="77777777" w:rsidR="005465B4" w:rsidRPr="00FD2859" w:rsidRDefault="005465B4" w:rsidP="005465B4">
      <w:pPr>
        <w:pStyle w:val="SingleTxt"/>
        <w:spacing w:after="0" w:line="120" w:lineRule="exact"/>
        <w:rPr>
          <w:sz w:val="10"/>
          <w:szCs w:val="10"/>
          <w:lang w:val="es-ES"/>
        </w:rPr>
      </w:pPr>
      <w:bookmarkStart w:id="18" w:name="bookmark_30"/>
    </w:p>
    <w:p w14:paraId="54F8CF82" w14:textId="77777777" w:rsidR="005465B4" w:rsidRPr="00FD2859" w:rsidRDefault="005465B4" w:rsidP="005465B4">
      <w:pPr>
        <w:pStyle w:val="SingleTxt"/>
        <w:spacing w:after="0" w:line="120" w:lineRule="exact"/>
        <w:rPr>
          <w:sz w:val="10"/>
          <w:szCs w:val="10"/>
          <w:lang w:val="es-ES"/>
        </w:rPr>
      </w:pPr>
    </w:p>
    <w:p w14:paraId="683D9A92" w14:textId="77777777" w:rsidR="000E38C0" w:rsidRPr="00FD2859" w:rsidRDefault="000E38C0">
      <w:pPr>
        <w:suppressAutoHyphens w:val="0"/>
        <w:spacing w:line="240" w:lineRule="auto"/>
        <w:rPr>
          <w:b/>
          <w:sz w:val="24"/>
          <w:lang w:val="es-ES" w:eastAsia="en-US"/>
        </w:rPr>
      </w:pPr>
      <w:r w:rsidRPr="00FD2859">
        <w:rPr>
          <w:bCs/>
          <w:lang w:val="es-ES" w:eastAsia="en-US"/>
        </w:rPr>
        <w:br w:type="page"/>
      </w:r>
    </w:p>
    <w:p w14:paraId="1E5FC5E8" w14:textId="77777777" w:rsidR="008C7C13" w:rsidRPr="00FD2859" w:rsidRDefault="005465B4" w:rsidP="00F63AC4">
      <w:pPr>
        <w:pStyle w:val="H1"/>
        <w:ind w:right="1260"/>
        <w:rPr>
          <w:bCs w:val="0"/>
          <w:szCs w:val="20"/>
          <w:lang w:val="es-ES" w:eastAsia="en-US"/>
        </w:rPr>
      </w:pPr>
      <w:r w:rsidRPr="00FD2859">
        <w:rPr>
          <w:bCs w:val="0"/>
          <w:szCs w:val="20"/>
          <w:lang w:val="es-ES" w:eastAsia="en-US"/>
        </w:rPr>
        <w:lastRenderedPageBreak/>
        <w:tab/>
      </w:r>
      <w:r w:rsidR="008C7C13" w:rsidRPr="00FD2859">
        <w:rPr>
          <w:bCs w:val="0"/>
          <w:szCs w:val="20"/>
          <w:lang w:val="es-ES" w:eastAsia="en-US"/>
        </w:rPr>
        <w:t>C.</w:t>
      </w:r>
      <w:r w:rsidR="008C7C13" w:rsidRPr="00FD2859">
        <w:rPr>
          <w:bCs w:val="0"/>
          <w:szCs w:val="20"/>
          <w:lang w:val="es-ES" w:eastAsia="en-US"/>
        </w:rPr>
        <w:tab/>
        <w:t>El Parlamento</w:t>
      </w:r>
      <w:bookmarkEnd w:id="18"/>
    </w:p>
    <w:p w14:paraId="5B381A37" w14:textId="77777777" w:rsidR="005465B4" w:rsidRPr="00FD2859" w:rsidRDefault="005465B4" w:rsidP="005465B4">
      <w:pPr>
        <w:pStyle w:val="SingleTxt"/>
        <w:spacing w:after="0" w:line="120" w:lineRule="exact"/>
        <w:rPr>
          <w:sz w:val="10"/>
          <w:szCs w:val="10"/>
          <w:lang w:val="es-ES"/>
        </w:rPr>
      </w:pPr>
    </w:p>
    <w:p w14:paraId="12528E05" w14:textId="77777777" w:rsidR="005465B4" w:rsidRPr="00FD2859" w:rsidRDefault="005465B4" w:rsidP="005465B4">
      <w:pPr>
        <w:pStyle w:val="SingleTxt"/>
        <w:spacing w:after="0" w:line="120" w:lineRule="exact"/>
        <w:rPr>
          <w:sz w:val="10"/>
          <w:szCs w:val="10"/>
          <w:lang w:val="es-ES"/>
        </w:rPr>
      </w:pPr>
    </w:p>
    <w:p w14:paraId="041F07B9" w14:textId="77777777" w:rsidR="008C7C13" w:rsidRPr="00FD2859" w:rsidRDefault="008C7C13" w:rsidP="0099298B">
      <w:pPr>
        <w:pStyle w:val="SingleTxt"/>
        <w:numPr>
          <w:ilvl w:val="0"/>
          <w:numId w:val="31"/>
        </w:numPr>
        <w:tabs>
          <w:tab w:val="num" w:pos="1742"/>
        </w:tabs>
        <w:ind w:left="1267" w:firstLine="0"/>
        <w:rPr>
          <w:b/>
          <w:szCs w:val="22"/>
          <w:lang w:val="es-ES" w:eastAsia="en-US"/>
        </w:rPr>
      </w:pPr>
      <w:bookmarkStart w:id="19" w:name="bookmark_31"/>
      <w:r w:rsidRPr="00FD2859">
        <w:rPr>
          <w:b/>
          <w:szCs w:val="22"/>
          <w:lang w:val="es-ES" w:eastAsia="en-US"/>
        </w:rPr>
        <w:t>El Comité destaca el papel fundamental que desempeña el poder legislativo a la hora de garantizar la plena aplicación de la Convención (véase la declaración del Comité sobre su relación con los parlamentarios, aprobada en el 45º período de sesiones, en 2010). El Comité invita al Parlamento a que, de conformidad con su mandato, adopte las medidas necesarias con respecto a la aplicación de las presentes observaciones finales desde el momento actual hasta el próximo período sobre el que se informe con arreglo a la Convención.</w:t>
      </w:r>
      <w:bookmarkEnd w:id="19"/>
    </w:p>
    <w:p w14:paraId="3577F6A2" w14:textId="77777777" w:rsidR="005465B4" w:rsidRPr="00FD2859" w:rsidRDefault="005465B4" w:rsidP="005465B4">
      <w:pPr>
        <w:pStyle w:val="SingleTxt"/>
        <w:spacing w:after="0" w:line="120" w:lineRule="exact"/>
        <w:rPr>
          <w:sz w:val="10"/>
          <w:szCs w:val="10"/>
          <w:lang w:val="es-ES"/>
        </w:rPr>
      </w:pPr>
      <w:bookmarkStart w:id="20" w:name="bookmark_32"/>
    </w:p>
    <w:p w14:paraId="563D880E" w14:textId="77777777" w:rsidR="005465B4" w:rsidRPr="00FD2859" w:rsidRDefault="005465B4" w:rsidP="005465B4">
      <w:pPr>
        <w:pStyle w:val="SingleTxt"/>
        <w:spacing w:after="0" w:line="120" w:lineRule="exact"/>
        <w:rPr>
          <w:sz w:val="10"/>
          <w:szCs w:val="10"/>
          <w:lang w:val="es-ES"/>
        </w:rPr>
      </w:pPr>
    </w:p>
    <w:p w14:paraId="11996DCF" w14:textId="77777777" w:rsidR="008C7C13" w:rsidRPr="00FD2859" w:rsidRDefault="005465B4" w:rsidP="00F63AC4">
      <w:pPr>
        <w:pStyle w:val="H1"/>
        <w:ind w:right="1260"/>
        <w:rPr>
          <w:bCs w:val="0"/>
          <w:szCs w:val="20"/>
          <w:lang w:val="es-ES" w:eastAsia="en-US"/>
        </w:rPr>
      </w:pPr>
      <w:r w:rsidRPr="00FD2859">
        <w:rPr>
          <w:bCs w:val="0"/>
          <w:szCs w:val="20"/>
          <w:lang w:val="es-ES" w:eastAsia="en-US"/>
        </w:rPr>
        <w:tab/>
      </w:r>
      <w:r w:rsidR="008C7C13" w:rsidRPr="00FD2859">
        <w:rPr>
          <w:bCs w:val="0"/>
          <w:szCs w:val="20"/>
          <w:lang w:val="es-ES" w:eastAsia="en-US"/>
        </w:rPr>
        <w:t>D.</w:t>
      </w:r>
      <w:r w:rsidR="008C7C13" w:rsidRPr="00FD2859">
        <w:rPr>
          <w:bCs w:val="0"/>
          <w:szCs w:val="20"/>
          <w:lang w:val="es-ES" w:eastAsia="en-US"/>
        </w:rPr>
        <w:tab/>
        <w:t>Principales esferas de preocupación y recomendaciones</w:t>
      </w:r>
      <w:bookmarkEnd w:id="20"/>
    </w:p>
    <w:p w14:paraId="4616672E" w14:textId="77777777" w:rsidR="005465B4" w:rsidRPr="00FD2859" w:rsidRDefault="005465B4" w:rsidP="005465B4">
      <w:pPr>
        <w:pStyle w:val="SingleTxt"/>
        <w:spacing w:after="0" w:line="120" w:lineRule="exact"/>
        <w:rPr>
          <w:sz w:val="10"/>
          <w:szCs w:val="10"/>
          <w:lang w:val="es-ES"/>
        </w:rPr>
      </w:pPr>
    </w:p>
    <w:p w14:paraId="64812667" w14:textId="77777777" w:rsidR="005465B4" w:rsidRPr="00FD2859" w:rsidRDefault="005465B4" w:rsidP="005465B4">
      <w:pPr>
        <w:pStyle w:val="SingleTxt"/>
        <w:spacing w:after="0" w:line="120" w:lineRule="exact"/>
        <w:rPr>
          <w:sz w:val="10"/>
          <w:szCs w:val="10"/>
          <w:lang w:val="es-ES"/>
        </w:rPr>
      </w:pPr>
    </w:p>
    <w:p w14:paraId="49AB1D53" w14:textId="77777777" w:rsidR="008C7C13" w:rsidRPr="00FD2859" w:rsidRDefault="008C7C13" w:rsidP="00722419">
      <w:pPr>
        <w:pStyle w:val="H23"/>
        <w:ind w:right="1260"/>
        <w:rPr>
          <w:bCs w:val="0"/>
          <w:lang w:val="es-ES" w:eastAsia="en-US"/>
        </w:rPr>
      </w:pPr>
      <w:bookmarkStart w:id="21" w:name="bookmark_33"/>
      <w:r w:rsidRPr="00FD2859">
        <w:rPr>
          <w:bCs w:val="0"/>
          <w:lang w:val="es-ES" w:eastAsia="en-US"/>
        </w:rPr>
        <w:tab/>
      </w:r>
      <w:r w:rsidRPr="00FD2859">
        <w:rPr>
          <w:bCs w:val="0"/>
          <w:lang w:val="es-ES" w:eastAsia="en-US"/>
        </w:rPr>
        <w:tab/>
        <w:t xml:space="preserve">Marco constitucional y leyes discriminatorias </w:t>
      </w:r>
      <w:bookmarkEnd w:id="21"/>
    </w:p>
    <w:p w14:paraId="4490E62C" w14:textId="77777777" w:rsidR="005465B4" w:rsidRPr="00FD2859" w:rsidRDefault="005465B4" w:rsidP="005465B4">
      <w:pPr>
        <w:pStyle w:val="SingleTxt"/>
        <w:spacing w:after="0" w:line="120" w:lineRule="exact"/>
        <w:rPr>
          <w:sz w:val="10"/>
          <w:szCs w:val="10"/>
          <w:lang w:val="es-ES"/>
        </w:rPr>
      </w:pPr>
    </w:p>
    <w:p w14:paraId="05DB0AD7" w14:textId="77777777" w:rsidR="008C7C13" w:rsidRPr="00FD2859" w:rsidRDefault="008C7C13" w:rsidP="0099298B">
      <w:pPr>
        <w:pStyle w:val="SingleTxt"/>
        <w:numPr>
          <w:ilvl w:val="0"/>
          <w:numId w:val="31"/>
        </w:numPr>
        <w:tabs>
          <w:tab w:val="num" w:pos="1742"/>
        </w:tabs>
        <w:ind w:left="1267" w:firstLine="0"/>
        <w:rPr>
          <w:szCs w:val="22"/>
          <w:lang w:val="es-ES" w:eastAsia="en-US"/>
        </w:rPr>
      </w:pPr>
      <w:bookmarkStart w:id="22" w:name="bookmark_34"/>
      <w:r w:rsidRPr="00FD2859">
        <w:rPr>
          <w:szCs w:val="22"/>
          <w:lang w:val="es-ES" w:eastAsia="en-US"/>
        </w:rPr>
        <w:t>El Comité toma conocimiento de que el Estado parte está revisando actualmente el marco constitucional y legislativo, así como las enmiendas previstas de la Constitución, el Código Penal y el Código de las Personas y de la Familia, para promover la igualdad de género y eliminar las disposiciones que discriminan a las mujeres. Sin embargo, le preocupa el ritmo extremadamente lento de la reforma jurídica, la ausencia de un cronograma para la aprobación de los textos y el hecho de que los textos de los proyectos puedan modificarse ulteriormente sin consulta pública. También observa con preocupación la escasa representación de las mujeres en la Comisión Constitucional (11 de 90 miembros).</w:t>
      </w:r>
      <w:bookmarkEnd w:id="22"/>
    </w:p>
    <w:p w14:paraId="3F3BA050" w14:textId="77777777" w:rsidR="008C7C13" w:rsidRPr="00FD2859" w:rsidRDefault="008C7C13" w:rsidP="0099298B">
      <w:pPr>
        <w:pStyle w:val="SingleTxt"/>
        <w:numPr>
          <w:ilvl w:val="0"/>
          <w:numId w:val="31"/>
        </w:numPr>
        <w:tabs>
          <w:tab w:val="num" w:pos="1742"/>
        </w:tabs>
        <w:ind w:left="1267" w:firstLine="0"/>
        <w:rPr>
          <w:b/>
          <w:szCs w:val="22"/>
          <w:lang w:val="es-ES" w:eastAsia="en-US"/>
        </w:rPr>
      </w:pPr>
      <w:bookmarkStart w:id="23" w:name="bookmark_35"/>
      <w:r w:rsidRPr="00FD2859">
        <w:rPr>
          <w:b/>
          <w:szCs w:val="22"/>
          <w:lang w:val="es-ES" w:eastAsia="en-US"/>
        </w:rPr>
        <w:t>Con referencia a su recomendación general núm. 28 (2010) sobre las obligaciones básicas de los Estados partes con arreglo al artículo 2 de la Convención, el Comité recomienda que el Estado parte otorgue prioridad a su proceso de reforma legislativa, teniendo en cuenta los vínculos que existen entre los artículos 1 y 2 de la Convención y la meta 5.1 de los Objetivos de Desarrollo Sostenible, que pide que se ponga fin a todas las formas de discriminación contra todas las mujeres y niñas en todo el mundo, dentro de un plazo establecido para:</w:t>
      </w:r>
      <w:bookmarkEnd w:id="23"/>
    </w:p>
    <w:p w14:paraId="6D81FE78" w14:textId="77777777" w:rsidR="008C7C13" w:rsidRPr="00FD2859" w:rsidRDefault="00C94CB5" w:rsidP="00C94CB5">
      <w:pPr>
        <w:pStyle w:val="SingleTxt"/>
        <w:rPr>
          <w:lang w:val="es-ES" w:eastAsia="en-US"/>
        </w:rPr>
      </w:pPr>
      <w:bookmarkStart w:id="24" w:name="bookmark_36"/>
      <w:r w:rsidRPr="00FD2859">
        <w:rPr>
          <w:lang w:val="es-ES" w:eastAsia="en-US"/>
        </w:rPr>
        <w:tab/>
      </w:r>
      <w:r w:rsidR="008C7C13" w:rsidRPr="00FD2859">
        <w:rPr>
          <w:lang w:val="es-ES" w:eastAsia="en-US"/>
        </w:rPr>
        <w:t>a)</w:t>
      </w:r>
      <w:r w:rsidR="008C7C13" w:rsidRPr="00FD2859">
        <w:rPr>
          <w:lang w:val="es-ES" w:eastAsia="en-US"/>
        </w:rPr>
        <w:tab/>
      </w:r>
      <w:r w:rsidR="008C7C13" w:rsidRPr="00FD2859">
        <w:rPr>
          <w:b/>
          <w:lang w:val="es-ES" w:eastAsia="en-US"/>
        </w:rPr>
        <w:t>Ultimar y aprobar las enmiendas a la Constitución, el Código Penal y el Código de las Personas y de la Familia en favor de los derechos de la mujer;</w:t>
      </w:r>
      <w:r w:rsidR="008C7C13" w:rsidRPr="00FD2859">
        <w:rPr>
          <w:lang w:val="es-ES" w:eastAsia="en-US"/>
        </w:rPr>
        <w:t xml:space="preserve"> </w:t>
      </w:r>
      <w:bookmarkEnd w:id="24"/>
    </w:p>
    <w:p w14:paraId="2F0C2087" w14:textId="77777777" w:rsidR="008C7C13" w:rsidRPr="00FD2859" w:rsidRDefault="00C94CB5" w:rsidP="00C94CB5">
      <w:pPr>
        <w:pStyle w:val="SingleTxt"/>
        <w:rPr>
          <w:lang w:val="es-ES" w:eastAsia="en-US"/>
        </w:rPr>
      </w:pPr>
      <w:bookmarkStart w:id="25" w:name="bookmark_37"/>
      <w:r w:rsidRPr="00FD2859">
        <w:rPr>
          <w:lang w:val="es-ES" w:eastAsia="en-US"/>
        </w:rPr>
        <w:tab/>
      </w:r>
      <w:r w:rsidR="008C7C13" w:rsidRPr="00FD2859">
        <w:rPr>
          <w:lang w:val="es-ES" w:eastAsia="en-US"/>
        </w:rPr>
        <w:t>b)</w:t>
      </w:r>
      <w:r w:rsidR="008C7C13" w:rsidRPr="00FD2859">
        <w:rPr>
          <w:lang w:val="es-ES" w:eastAsia="en-US"/>
        </w:rPr>
        <w:tab/>
      </w:r>
      <w:r w:rsidR="008C7C13" w:rsidRPr="00FD2859">
        <w:rPr>
          <w:b/>
          <w:lang w:val="es-ES" w:eastAsia="en-US"/>
        </w:rPr>
        <w:t>Aumentar la representación de las mujeres en la Comisión Constitucional con miras a lograr la paridad entre los géneros;</w:t>
      </w:r>
      <w:bookmarkEnd w:id="25"/>
    </w:p>
    <w:p w14:paraId="7F48BA46" w14:textId="77777777" w:rsidR="008C7C13" w:rsidRPr="00FD2859" w:rsidRDefault="008C7C13" w:rsidP="00C94CB5">
      <w:pPr>
        <w:pStyle w:val="SingleTxt"/>
        <w:rPr>
          <w:lang w:val="es-ES" w:eastAsia="en-US"/>
        </w:rPr>
      </w:pPr>
      <w:bookmarkStart w:id="26" w:name="bookmark_38"/>
      <w:r w:rsidRPr="00FD2859">
        <w:rPr>
          <w:lang w:val="es-ES" w:eastAsia="en-US"/>
        </w:rPr>
        <w:tab/>
        <w:t>c)</w:t>
      </w:r>
      <w:r w:rsidRPr="00FD2859">
        <w:rPr>
          <w:lang w:val="es-ES" w:eastAsia="en-US"/>
        </w:rPr>
        <w:tab/>
      </w:r>
      <w:r w:rsidRPr="00FD2859">
        <w:rPr>
          <w:b/>
          <w:lang w:val="es-ES" w:eastAsia="en-US"/>
        </w:rPr>
        <w:t>Iniciar debates públicos abiertos e inclusivos sobre la diversidad de opinión e interpretación con respecto a las leyes y prácticas religiosas y consuetudinarias relativas a las personas y, con la participación de las organizaciones de la sociedad civil integradas por mujeres, sensibilizar a los parlamentarios, a los líderes tradicionales y religiosos y a la población en general acerca de la importancia de una reforma jurídica exhaustiva para lograr la igualdad sustantiva entre mujeres y hombres, y crear un consenso que permita aprobar leyes que promuevan los derechos de las mujeres.</w:t>
      </w:r>
      <w:bookmarkEnd w:id="26"/>
    </w:p>
    <w:p w14:paraId="241F0A77" w14:textId="77777777" w:rsidR="005465B4" w:rsidRPr="00FD2859" w:rsidRDefault="005465B4" w:rsidP="005465B4">
      <w:pPr>
        <w:pStyle w:val="SingleTxt"/>
        <w:spacing w:after="0" w:line="120" w:lineRule="exact"/>
        <w:rPr>
          <w:sz w:val="10"/>
          <w:szCs w:val="10"/>
          <w:lang w:val="es-ES"/>
        </w:rPr>
      </w:pPr>
      <w:bookmarkStart w:id="27" w:name="bookmark_39"/>
    </w:p>
    <w:p w14:paraId="55E13499" w14:textId="77777777" w:rsidR="008C7C13" w:rsidRPr="00FD2859" w:rsidRDefault="008C7C13" w:rsidP="00722419">
      <w:pPr>
        <w:pStyle w:val="H23"/>
        <w:ind w:right="1260"/>
        <w:rPr>
          <w:bCs w:val="0"/>
          <w:lang w:val="es-ES" w:eastAsia="en-US"/>
        </w:rPr>
      </w:pPr>
      <w:r w:rsidRPr="00FD2859">
        <w:rPr>
          <w:bCs w:val="0"/>
          <w:lang w:val="es-ES" w:eastAsia="en-US"/>
        </w:rPr>
        <w:tab/>
      </w:r>
      <w:r w:rsidRPr="00FD2859">
        <w:rPr>
          <w:bCs w:val="0"/>
          <w:lang w:val="es-ES" w:eastAsia="en-US"/>
        </w:rPr>
        <w:tab/>
        <w:t>Definición jurídica de discriminación</w:t>
      </w:r>
      <w:bookmarkEnd w:id="27"/>
    </w:p>
    <w:p w14:paraId="3BABA25B" w14:textId="77777777" w:rsidR="005465B4" w:rsidRPr="00FD2859" w:rsidRDefault="005465B4" w:rsidP="005465B4">
      <w:pPr>
        <w:pStyle w:val="SingleTxt"/>
        <w:spacing w:after="0" w:line="120" w:lineRule="exact"/>
        <w:rPr>
          <w:sz w:val="10"/>
          <w:szCs w:val="10"/>
          <w:lang w:val="es-ES"/>
        </w:rPr>
      </w:pPr>
      <w:bookmarkStart w:id="28" w:name="bookmark_40"/>
    </w:p>
    <w:p w14:paraId="42804F8E" w14:textId="77777777" w:rsidR="008C7C13" w:rsidRPr="00FD2859" w:rsidRDefault="008C7C13" w:rsidP="0099298B">
      <w:pPr>
        <w:pStyle w:val="SingleTxt"/>
        <w:numPr>
          <w:ilvl w:val="0"/>
          <w:numId w:val="31"/>
        </w:numPr>
        <w:tabs>
          <w:tab w:val="num" w:pos="1742"/>
        </w:tabs>
        <w:ind w:left="1267" w:firstLine="0"/>
        <w:rPr>
          <w:szCs w:val="22"/>
          <w:lang w:val="es-ES" w:eastAsia="en-US"/>
        </w:rPr>
      </w:pPr>
      <w:r w:rsidRPr="00FD2859">
        <w:rPr>
          <w:szCs w:val="22"/>
          <w:lang w:val="es-ES" w:eastAsia="en-US"/>
        </w:rPr>
        <w:t xml:space="preserve">El Comité celebra el reconocimiento de la igualdad de género y la prohibición de la discriminación por razón de género en la Constitución. Sin embargo, le preocupa que, aunque el artículo 151 de la Constitución afirma la superioridad de los tratados internacionales sobre la legislación nacional, la definición de la discriminación contra la mujer de conformidad con el artículo 1 de la Convención no parece aplicarse en la legislación nacional. </w:t>
      </w:r>
      <w:bookmarkEnd w:id="28"/>
    </w:p>
    <w:p w14:paraId="4F78D3E6" w14:textId="6ECD27CC" w:rsidR="008C7C13" w:rsidRPr="00FD2859" w:rsidRDefault="008C7C13" w:rsidP="0099298B">
      <w:pPr>
        <w:pStyle w:val="SingleTxt"/>
        <w:numPr>
          <w:ilvl w:val="0"/>
          <w:numId w:val="31"/>
        </w:numPr>
        <w:tabs>
          <w:tab w:val="num" w:pos="1742"/>
        </w:tabs>
        <w:ind w:left="1267" w:firstLine="0"/>
        <w:rPr>
          <w:b/>
          <w:szCs w:val="22"/>
          <w:lang w:val="es-ES" w:eastAsia="en-US"/>
        </w:rPr>
      </w:pPr>
      <w:bookmarkStart w:id="29" w:name="bookmark_41"/>
      <w:r w:rsidRPr="00FD2859">
        <w:rPr>
          <w:b/>
          <w:szCs w:val="22"/>
          <w:lang w:val="es-ES" w:eastAsia="en-US"/>
        </w:rPr>
        <w:lastRenderedPageBreak/>
        <w:t>El Comité reitera su recomendación anterior de que el Estado parte refuerce la igualdad sustantiva entre las mujeres y los hombres mediante el uso de la definición de discriminación que figura en el artículo 1 de la Convención, abarcando así la discriminación directa e indirecta en los ámbitos público y privado, y reconociendo las formas concomitantes de discriminación (véase</w:t>
      </w:r>
      <w:r w:rsidR="000E38C0" w:rsidRPr="00FD2859">
        <w:rPr>
          <w:b/>
          <w:szCs w:val="22"/>
          <w:lang w:val="es-ES" w:eastAsia="en-US"/>
        </w:rPr>
        <w:t> </w:t>
      </w:r>
      <w:hyperlink r:id="rId22" w:history="1">
        <w:r w:rsidRPr="00FD2859">
          <w:rPr>
            <w:b/>
            <w:color w:val="0000FF"/>
            <w:szCs w:val="22"/>
            <w:lang w:val="es-ES" w:eastAsia="en-US"/>
          </w:rPr>
          <w:t>CEDAW/C/BFA/CO/6</w:t>
        </w:r>
      </w:hyperlink>
      <w:r w:rsidRPr="00FD2859">
        <w:rPr>
          <w:b/>
          <w:szCs w:val="22"/>
          <w:lang w:val="es-ES" w:eastAsia="en-US"/>
        </w:rPr>
        <w:t>, párr. 10).</w:t>
      </w:r>
      <w:bookmarkEnd w:id="29"/>
    </w:p>
    <w:p w14:paraId="69660C2C" w14:textId="77777777" w:rsidR="005465B4" w:rsidRPr="00FD2859" w:rsidRDefault="005465B4" w:rsidP="005465B4">
      <w:pPr>
        <w:pStyle w:val="SingleTxt"/>
        <w:spacing w:after="0" w:line="120" w:lineRule="exact"/>
        <w:rPr>
          <w:sz w:val="10"/>
          <w:szCs w:val="10"/>
          <w:lang w:val="es-ES"/>
        </w:rPr>
      </w:pPr>
      <w:bookmarkStart w:id="30" w:name="bookmark_42"/>
    </w:p>
    <w:p w14:paraId="0AEDEA3A" w14:textId="77777777" w:rsidR="008C7C13" w:rsidRPr="00FD2859" w:rsidRDefault="008C7C13" w:rsidP="00722419">
      <w:pPr>
        <w:pStyle w:val="H23"/>
        <w:ind w:right="1260"/>
        <w:rPr>
          <w:bCs w:val="0"/>
          <w:lang w:val="es-ES" w:eastAsia="en-US"/>
        </w:rPr>
      </w:pPr>
      <w:r w:rsidRPr="00FD2859">
        <w:rPr>
          <w:bCs w:val="0"/>
          <w:lang w:val="es-ES" w:eastAsia="en-US"/>
        </w:rPr>
        <w:tab/>
      </w:r>
      <w:r w:rsidRPr="00FD2859">
        <w:rPr>
          <w:bCs w:val="0"/>
          <w:lang w:val="es-ES" w:eastAsia="en-US"/>
        </w:rPr>
        <w:tab/>
        <w:t>Acceso a la justicia</w:t>
      </w:r>
      <w:bookmarkEnd w:id="30"/>
    </w:p>
    <w:p w14:paraId="643F584F" w14:textId="77777777" w:rsidR="005465B4" w:rsidRPr="00FD2859" w:rsidRDefault="005465B4" w:rsidP="005465B4">
      <w:pPr>
        <w:pStyle w:val="SingleTxt"/>
        <w:spacing w:after="0" w:line="120" w:lineRule="exact"/>
        <w:rPr>
          <w:sz w:val="10"/>
          <w:szCs w:val="10"/>
          <w:lang w:val="es-ES"/>
        </w:rPr>
      </w:pPr>
      <w:bookmarkStart w:id="31" w:name="bookmark_43"/>
    </w:p>
    <w:p w14:paraId="6D2BB31A" w14:textId="77777777" w:rsidR="008C7C13" w:rsidRPr="00FD2859" w:rsidRDefault="008C7C13" w:rsidP="0099298B">
      <w:pPr>
        <w:pStyle w:val="SingleTxt"/>
        <w:numPr>
          <w:ilvl w:val="0"/>
          <w:numId w:val="31"/>
        </w:numPr>
        <w:tabs>
          <w:tab w:val="num" w:pos="1742"/>
        </w:tabs>
        <w:ind w:left="1267" w:firstLine="0"/>
        <w:rPr>
          <w:szCs w:val="22"/>
          <w:lang w:val="es-ES" w:eastAsia="en-US"/>
        </w:rPr>
      </w:pPr>
      <w:r w:rsidRPr="00FD2859">
        <w:rPr>
          <w:szCs w:val="22"/>
          <w:lang w:val="es-ES" w:eastAsia="en-US"/>
        </w:rPr>
        <w:t>El Comité acoge con beneplácito el aumento del número de tribunales de primera instancia, y la revisión del plan de asistencia jurídica en 2016, dirigido a las mujeres indigentes. Asimismo, celebra la declaración realizada por el Estado parte durante el diálogo de que dejará de deducir los gastos de los procesos judiciales de las indemnizaciones monetarias otorgadas a las demandantes. No obstante, al Comité le sigue inquietando el limitado acceso de las mujeres a la justicia, lo que se debe principalmente a:</w:t>
      </w:r>
      <w:bookmarkEnd w:id="31"/>
    </w:p>
    <w:p w14:paraId="4082D592" w14:textId="77777777" w:rsidR="008C7C13" w:rsidRPr="00FD2859" w:rsidRDefault="008C7C13" w:rsidP="00242605">
      <w:pPr>
        <w:pStyle w:val="SingleTxt"/>
        <w:rPr>
          <w:lang w:val="es-ES" w:eastAsia="en-US"/>
        </w:rPr>
      </w:pPr>
      <w:bookmarkStart w:id="32" w:name="bookmark_44"/>
      <w:r w:rsidRPr="00FD2859">
        <w:rPr>
          <w:lang w:val="es-ES" w:eastAsia="en-US"/>
        </w:rPr>
        <w:tab/>
        <w:t>a)</w:t>
      </w:r>
      <w:r w:rsidRPr="00FD2859">
        <w:rPr>
          <w:lang w:val="es-ES" w:eastAsia="en-US"/>
        </w:rPr>
        <w:tab/>
        <w:t xml:space="preserve">El bajo nivel de concienciación de las mujeres sobre sus derechos y la forma de hacerlos valer, habida cuenta de las altas tasas de pobreza y analfabetismo de las mujeres en el Estado parte; </w:t>
      </w:r>
      <w:bookmarkEnd w:id="32"/>
    </w:p>
    <w:p w14:paraId="764815E1" w14:textId="77777777" w:rsidR="008C7C13" w:rsidRPr="00FD2859" w:rsidRDefault="008C7C13" w:rsidP="00242605">
      <w:pPr>
        <w:pStyle w:val="SingleTxt"/>
        <w:rPr>
          <w:lang w:val="es-ES" w:eastAsia="en-US"/>
        </w:rPr>
      </w:pPr>
      <w:bookmarkStart w:id="33" w:name="bookmark_45"/>
      <w:r w:rsidRPr="00FD2859">
        <w:rPr>
          <w:lang w:val="es-ES" w:eastAsia="en-US"/>
        </w:rPr>
        <w:tab/>
        <w:t>b)</w:t>
      </w:r>
      <w:r w:rsidRPr="00FD2859">
        <w:rPr>
          <w:lang w:val="es-ES" w:eastAsia="en-US"/>
        </w:rPr>
        <w:tab/>
        <w:t>El limitado acceso geográfico que tienen las mujeres a los tribunales y la escasa disponibilidad de asistencia jurídica en las zonas rurales;</w:t>
      </w:r>
      <w:bookmarkEnd w:id="33"/>
    </w:p>
    <w:p w14:paraId="467C62C2" w14:textId="77777777" w:rsidR="008C7C13" w:rsidRPr="00FD2859" w:rsidRDefault="008C7C13" w:rsidP="00242605">
      <w:pPr>
        <w:pStyle w:val="SingleTxt"/>
        <w:rPr>
          <w:lang w:val="es-ES" w:eastAsia="en-US"/>
        </w:rPr>
      </w:pPr>
      <w:bookmarkStart w:id="34" w:name="bookmark_46"/>
      <w:r w:rsidRPr="00FD2859">
        <w:rPr>
          <w:lang w:val="es-ES" w:eastAsia="en-US"/>
        </w:rPr>
        <w:tab/>
        <w:t>c)</w:t>
      </w:r>
      <w:r w:rsidRPr="00FD2859">
        <w:rPr>
          <w:lang w:val="es-ES" w:eastAsia="en-US"/>
        </w:rPr>
        <w:tab/>
        <w:t>La desconfianza de las mujeres hacia el poder judicial debido a los elevados niveles de corrupción, la falta de sensibilidad a las cuestiones de género y el limitado conocimiento de los derechos de la mujer entre los jueces, abogados y funcionarios encargados de hacer cumplir la ley;</w:t>
      </w:r>
      <w:bookmarkEnd w:id="34"/>
    </w:p>
    <w:p w14:paraId="2CE5766F" w14:textId="082B24B7" w:rsidR="008C7C13" w:rsidRPr="00FD2859" w:rsidRDefault="008C7C13" w:rsidP="00242605">
      <w:pPr>
        <w:pStyle w:val="SingleTxt"/>
        <w:rPr>
          <w:lang w:val="es-ES" w:eastAsia="en-US"/>
        </w:rPr>
      </w:pPr>
      <w:bookmarkStart w:id="35" w:name="bookmark_47"/>
      <w:r w:rsidRPr="00FD2859">
        <w:rPr>
          <w:lang w:val="es-ES" w:eastAsia="en-US"/>
        </w:rPr>
        <w:tab/>
        <w:t>d)</w:t>
      </w:r>
      <w:r w:rsidRPr="00FD2859">
        <w:rPr>
          <w:lang w:val="es-ES" w:eastAsia="en-US"/>
        </w:rPr>
        <w:tab/>
        <w:t xml:space="preserve">El hecho de </w:t>
      </w:r>
      <w:r w:rsidR="00E564E5" w:rsidRPr="00FD2859">
        <w:rPr>
          <w:lang w:val="es-ES" w:eastAsia="en-US"/>
        </w:rPr>
        <w:t>que,</w:t>
      </w:r>
      <w:r w:rsidRPr="00FD2859">
        <w:rPr>
          <w:lang w:val="es-ES" w:eastAsia="en-US"/>
        </w:rPr>
        <w:t xml:space="preserve"> para la mayoría de las mujeres, las cuestiones de derecho de las personas y de la familia se rijan por el derecho religioso y consuetudinario, pues se ha determinado que sus principios contravienen la Convención.</w:t>
      </w:r>
      <w:bookmarkEnd w:id="35"/>
    </w:p>
    <w:p w14:paraId="79FD3E83" w14:textId="77777777" w:rsidR="008C7C13" w:rsidRPr="00FD2859" w:rsidRDefault="008C7C13" w:rsidP="0099298B">
      <w:pPr>
        <w:pStyle w:val="SingleTxt"/>
        <w:numPr>
          <w:ilvl w:val="0"/>
          <w:numId w:val="31"/>
        </w:numPr>
        <w:tabs>
          <w:tab w:val="num" w:pos="1742"/>
        </w:tabs>
        <w:ind w:left="1267" w:firstLine="0"/>
        <w:rPr>
          <w:b/>
          <w:szCs w:val="22"/>
          <w:lang w:val="es-ES" w:eastAsia="en-US"/>
        </w:rPr>
      </w:pPr>
      <w:bookmarkStart w:id="36" w:name="bookmark_48"/>
      <w:r w:rsidRPr="00FD2859">
        <w:rPr>
          <w:b/>
          <w:szCs w:val="22"/>
          <w:lang w:val="es-ES" w:eastAsia="en-US"/>
        </w:rPr>
        <w:t xml:space="preserve">Con referencia a su recomendación general núm. 33 (2015) sobre el acceso de las mujeres a la justicia, el Comité recuerda al Estado parte su obligación de velar por que se protejan los derechos de las mujeres contra las violaciones cometidas por todos los componentes de los sistemas de justicia plural, y recomienda además que el Estado parte: </w:t>
      </w:r>
      <w:bookmarkEnd w:id="36"/>
    </w:p>
    <w:p w14:paraId="03541EA8" w14:textId="77777777" w:rsidR="008C7C13" w:rsidRPr="00FD2859" w:rsidRDefault="008C7C13" w:rsidP="00242605">
      <w:pPr>
        <w:pStyle w:val="SingleTxt"/>
        <w:rPr>
          <w:lang w:val="es-ES" w:eastAsia="en-US"/>
        </w:rPr>
      </w:pPr>
      <w:bookmarkStart w:id="37" w:name="bookmark_49"/>
      <w:r w:rsidRPr="00FD2859">
        <w:rPr>
          <w:lang w:val="es-ES" w:eastAsia="en-US"/>
        </w:rPr>
        <w:tab/>
        <w:t>a)</w:t>
      </w:r>
      <w:r w:rsidRPr="00FD2859">
        <w:rPr>
          <w:lang w:val="es-ES" w:eastAsia="en-US"/>
        </w:rPr>
        <w:tab/>
      </w:r>
      <w:r w:rsidRPr="00FD2859">
        <w:rPr>
          <w:b/>
          <w:lang w:val="es-ES" w:eastAsia="en-US"/>
        </w:rPr>
        <w:t>Siga desarrollando el sistema judicial con el fin de establecer un tribunal de primera instancia en todas las regiones;</w:t>
      </w:r>
      <w:bookmarkEnd w:id="37"/>
    </w:p>
    <w:p w14:paraId="4D28B845" w14:textId="77777777" w:rsidR="008C7C13" w:rsidRPr="00FD2859" w:rsidRDefault="008C7C13" w:rsidP="00242605">
      <w:pPr>
        <w:pStyle w:val="SingleTxt"/>
        <w:rPr>
          <w:lang w:val="es-ES" w:eastAsia="en-US"/>
        </w:rPr>
      </w:pPr>
      <w:bookmarkStart w:id="38" w:name="bookmark_50"/>
      <w:r w:rsidRPr="00FD2859">
        <w:rPr>
          <w:lang w:val="es-ES" w:eastAsia="en-US"/>
        </w:rPr>
        <w:tab/>
        <w:t>b)</w:t>
      </w:r>
      <w:r w:rsidRPr="00FD2859">
        <w:rPr>
          <w:lang w:val="es-ES" w:eastAsia="en-US"/>
        </w:rPr>
        <w:tab/>
      </w:r>
      <w:r w:rsidRPr="00FD2859">
        <w:rPr>
          <w:b/>
          <w:lang w:val="es-ES" w:eastAsia="en-US"/>
        </w:rPr>
        <w:t>Procure que las mujeres cobren mayor conciencia de sus derechos y de los medios para hacerlos efectivos, entre otras formas, intensificando la cooperación con las organizaciones de la sociedad civil;</w:t>
      </w:r>
      <w:bookmarkEnd w:id="38"/>
    </w:p>
    <w:p w14:paraId="2E321379" w14:textId="77777777" w:rsidR="008C7C13" w:rsidRPr="00FD2859" w:rsidRDefault="00242605" w:rsidP="00242605">
      <w:pPr>
        <w:pStyle w:val="SingleTxt"/>
        <w:rPr>
          <w:lang w:val="es-ES" w:eastAsia="en-US"/>
        </w:rPr>
      </w:pPr>
      <w:bookmarkStart w:id="39" w:name="bookmark_51"/>
      <w:r w:rsidRPr="00FD2859">
        <w:rPr>
          <w:lang w:val="es-ES" w:eastAsia="en-US"/>
        </w:rPr>
        <w:tab/>
      </w:r>
      <w:r w:rsidR="008C7C13" w:rsidRPr="00FD2859">
        <w:rPr>
          <w:lang w:val="es-ES" w:eastAsia="en-US"/>
        </w:rPr>
        <w:t>c)</w:t>
      </w:r>
      <w:r w:rsidR="008C7C13" w:rsidRPr="00FD2859">
        <w:rPr>
          <w:lang w:val="es-ES" w:eastAsia="en-US"/>
        </w:rPr>
        <w:tab/>
      </w:r>
      <w:r w:rsidR="008C7C13" w:rsidRPr="00FD2859">
        <w:rPr>
          <w:b/>
          <w:lang w:val="es-ES" w:eastAsia="en-US"/>
        </w:rPr>
        <w:t>Amplíe el alcance geográfico de los servicios de asistencia jurídica y del sistema judicial, en particular aumentando los recursos humanos, técnicos y</w:t>
      </w:r>
      <w:r w:rsidR="002A3417" w:rsidRPr="00FD2859">
        <w:rPr>
          <w:b/>
          <w:lang w:val="es-ES" w:eastAsia="en-US"/>
        </w:rPr>
        <w:t> </w:t>
      </w:r>
      <w:r w:rsidR="008C7C13" w:rsidRPr="00FD2859">
        <w:rPr>
          <w:b/>
          <w:lang w:val="es-ES" w:eastAsia="en-US"/>
        </w:rPr>
        <w:t xml:space="preserve">financieros dedicados a las unidades de audiencia móviles; </w:t>
      </w:r>
      <w:bookmarkEnd w:id="39"/>
    </w:p>
    <w:p w14:paraId="5221E2B8" w14:textId="77777777" w:rsidR="008C7C13" w:rsidRPr="00FD2859" w:rsidRDefault="008C7C13" w:rsidP="00242605">
      <w:pPr>
        <w:pStyle w:val="SingleTxt"/>
        <w:rPr>
          <w:lang w:val="es-ES" w:eastAsia="en-US"/>
        </w:rPr>
      </w:pPr>
      <w:bookmarkStart w:id="40" w:name="bookmark_52"/>
      <w:r w:rsidRPr="00FD2859">
        <w:rPr>
          <w:lang w:val="es-ES" w:eastAsia="en-US"/>
        </w:rPr>
        <w:tab/>
        <w:t>d)</w:t>
      </w:r>
      <w:r w:rsidRPr="00FD2859">
        <w:rPr>
          <w:lang w:val="es-ES" w:eastAsia="en-US"/>
        </w:rPr>
        <w:tab/>
      </w:r>
      <w:r w:rsidRPr="00FD2859">
        <w:rPr>
          <w:b/>
          <w:lang w:val="es-ES" w:eastAsia="en-US"/>
        </w:rPr>
        <w:t>Investigue y enjuicie todos los casos de corrupción de funcionarios de justicia y castigue a los autores de manera adecuada;</w:t>
      </w:r>
      <w:r w:rsidRPr="00FD2859">
        <w:rPr>
          <w:lang w:val="es-ES" w:eastAsia="en-US"/>
        </w:rPr>
        <w:t xml:space="preserve"> </w:t>
      </w:r>
      <w:bookmarkEnd w:id="40"/>
    </w:p>
    <w:p w14:paraId="79039DE8" w14:textId="77777777" w:rsidR="008C7C13" w:rsidRPr="00FD2859" w:rsidRDefault="00242605" w:rsidP="00242605">
      <w:pPr>
        <w:pStyle w:val="SingleTxt"/>
        <w:rPr>
          <w:lang w:val="es-ES" w:eastAsia="en-US"/>
        </w:rPr>
      </w:pPr>
      <w:bookmarkStart w:id="41" w:name="bookmark_53"/>
      <w:r w:rsidRPr="00FD2859">
        <w:rPr>
          <w:lang w:val="es-ES" w:eastAsia="en-US"/>
        </w:rPr>
        <w:tab/>
      </w:r>
      <w:r w:rsidR="008C7C13" w:rsidRPr="00FD2859">
        <w:rPr>
          <w:lang w:val="es-ES" w:eastAsia="en-US"/>
        </w:rPr>
        <w:t>e)</w:t>
      </w:r>
      <w:r w:rsidR="008C7C13" w:rsidRPr="00FD2859">
        <w:rPr>
          <w:lang w:val="es-ES" w:eastAsia="en-US"/>
        </w:rPr>
        <w:tab/>
      </w:r>
      <w:r w:rsidR="008C7C13" w:rsidRPr="00FD2859">
        <w:rPr>
          <w:b/>
          <w:lang w:val="es-ES" w:eastAsia="en-US"/>
        </w:rPr>
        <w:t>Fomente el desarrollo de la capacidad de los jueces, abogados y funcionarios encargados de hacer cumplir la ley en relación con la Convención y los derechos de la mujer a fin de garantizar que armonicen sus prácticas con la Convención, y para crear mayor conciencia y eliminar los estereotipos discriminatorios y la estigmatización a los que se enfrentan las mujeres que reclaman sus derechos;</w:t>
      </w:r>
      <w:bookmarkEnd w:id="41"/>
    </w:p>
    <w:p w14:paraId="1ACDD128" w14:textId="77777777" w:rsidR="008C7C13" w:rsidRPr="00FD2859" w:rsidRDefault="00242605" w:rsidP="00242605">
      <w:pPr>
        <w:pStyle w:val="SingleTxt"/>
        <w:rPr>
          <w:lang w:val="es-ES" w:eastAsia="en-US"/>
        </w:rPr>
      </w:pPr>
      <w:bookmarkStart w:id="42" w:name="bookmark_54"/>
      <w:r w:rsidRPr="00FD2859">
        <w:rPr>
          <w:lang w:val="es-ES" w:eastAsia="en-US"/>
        </w:rPr>
        <w:lastRenderedPageBreak/>
        <w:tab/>
      </w:r>
      <w:r w:rsidR="008C7C13" w:rsidRPr="00FD2859">
        <w:rPr>
          <w:lang w:val="es-ES" w:eastAsia="en-US"/>
        </w:rPr>
        <w:t>f)</w:t>
      </w:r>
      <w:r w:rsidR="008C7C13" w:rsidRPr="00FD2859">
        <w:rPr>
          <w:lang w:val="es-ES" w:eastAsia="en-US"/>
        </w:rPr>
        <w:tab/>
      </w:r>
      <w:r w:rsidR="008C7C13" w:rsidRPr="00FD2859">
        <w:rPr>
          <w:b/>
          <w:lang w:val="es-ES" w:eastAsia="en-US"/>
        </w:rPr>
        <w:t>Amplíe la jurisdicción de los tribunales ordinarios para abarcar las decisiones sobre asuntos relacionados con el Código de la Persona y la Familia, que hasta ahora se regía por los tribunales religiosos y consuetudinarios.</w:t>
      </w:r>
      <w:bookmarkEnd w:id="42"/>
    </w:p>
    <w:p w14:paraId="64DDB961" w14:textId="77777777" w:rsidR="005465B4" w:rsidRPr="00FD2859" w:rsidRDefault="005465B4" w:rsidP="005465B4">
      <w:pPr>
        <w:pStyle w:val="SingleTxt"/>
        <w:spacing w:after="0" w:line="120" w:lineRule="exact"/>
        <w:rPr>
          <w:sz w:val="10"/>
          <w:szCs w:val="10"/>
          <w:lang w:val="es-ES"/>
        </w:rPr>
      </w:pPr>
      <w:bookmarkStart w:id="43" w:name="bookmark_55"/>
    </w:p>
    <w:p w14:paraId="291DB3E1" w14:textId="77777777" w:rsidR="008C7C13" w:rsidRPr="00FD2859" w:rsidRDefault="008C7C13" w:rsidP="00722419">
      <w:pPr>
        <w:pStyle w:val="H23"/>
        <w:ind w:right="1260"/>
        <w:rPr>
          <w:bCs w:val="0"/>
          <w:lang w:val="es-ES" w:eastAsia="en-US"/>
        </w:rPr>
      </w:pPr>
      <w:r w:rsidRPr="00FD2859">
        <w:rPr>
          <w:bCs w:val="0"/>
          <w:lang w:val="es-ES" w:eastAsia="en-US"/>
        </w:rPr>
        <w:tab/>
      </w:r>
      <w:r w:rsidRPr="00FD2859">
        <w:rPr>
          <w:bCs w:val="0"/>
          <w:lang w:val="es-ES" w:eastAsia="en-US"/>
        </w:rPr>
        <w:tab/>
        <w:t>Las mujeres y la paz y la seguridad</w:t>
      </w:r>
      <w:bookmarkEnd w:id="43"/>
    </w:p>
    <w:p w14:paraId="738A78F4" w14:textId="77777777" w:rsidR="005465B4" w:rsidRPr="00FD2859" w:rsidRDefault="005465B4" w:rsidP="005465B4">
      <w:pPr>
        <w:pStyle w:val="SingleTxt"/>
        <w:spacing w:after="0" w:line="120" w:lineRule="exact"/>
        <w:rPr>
          <w:sz w:val="10"/>
          <w:szCs w:val="10"/>
          <w:lang w:val="es-ES"/>
        </w:rPr>
      </w:pPr>
    </w:p>
    <w:p w14:paraId="224F2E04" w14:textId="77777777" w:rsidR="008C7C13" w:rsidRPr="00FD2859" w:rsidRDefault="008C7C13" w:rsidP="0099298B">
      <w:pPr>
        <w:pStyle w:val="SingleTxt"/>
        <w:numPr>
          <w:ilvl w:val="0"/>
          <w:numId w:val="31"/>
        </w:numPr>
        <w:tabs>
          <w:tab w:val="num" w:pos="1742"/>
        </w:tabs>
        <w:ind w:left="1267" w:firstLine="0"/>
        <w:rPr>
          <w:szCs w:val="22"/>
          <w:lang w:val="es-ES" w:eastAsia="en-US"/>
        </w:rPr>
      </w:pPr>
      <w:bookmarkStart w:id="44" w:name="bookmark_56"/>
      <w:r w:rsidRPr="00FD2859">
        <w:rPr>
          <w:szCs w:val="22"/>
          <w:lang w:val="es-ES" w:eastAsia="en-US"/>
        </w:rPr>
        <w:t>El Comité toma conocimiento de la situación de mayor inseguridad en el Estado parte a raíz de la transición política desde 2014, caracterizada por los ataques perpetrados por agentes no estatales, y una importante afluencia de refugiados procedentes de Malí, de los cuales alrededor de 32.000, según la Oficina del Alto Comisionado de las Naciones Unidas para los Refugiados, se encontraban todavía en el Estado parte al 31 de diciembre de 2016. Al Comité le preocupa que:</w:t>
      </w:r>
      <w:bookmarkEnd w:id="44"/>
    </w:p>
    <w:p w14:paraId="52A50F37" w14:textId="77777777" w:rsidR="008C7C13" w:rsidRPr="00FD2859" w:rsidRDefault="00B378EF" w:rsidP="00B378EF">
      <w:pPr>
        <w:pStyle w:val="SingleTxt"/>
        <w:rPr>
          <w:lang w:val="es-ES" w:eastAsia="en-US"/>
        </w:rPr>
      </w:pPr>
      <w:bookmarkStart w:id="45" w:name="bookmark_57"/>
      <w:r w:rsidRPr="00FD2859">
        <w:rPr>
          <w:lang w:val="es-ES" w:eastAsia="en-US"/>
        </w:rPr>
        <w:tab/>
      </w:r>
      <w:r w:rsidR="008C7C13" w:rsidRPr="00FD2859">
        <w:rPr>
          <w:lang w:val="es-ES" w:eastAsia="en-US"/>
        </w:rPr>
        <w:t>a)</w:t>
      </w:r>
      <w:r w:rsidR="008C7C13" w:rsidRPr="00FD2859">
        <w:rPr>
          <w:lang w:val="es-ES" w:eastAsia="en-US"/>
        </w:rPr>
        <w:tab/>
        <w:t>Las mujeres y las niñas refugiadas en el Estado parte corran un mayor riesgo de violencia sexual y por razón de género, así como de matrimonio precoz y forzado, de trata de personas y de prostitución forzada;</w:t>
      </w:r>
      <w:bookmarkEnd w:id="45"/>
    </w:p>
    <w:p w14:paraId="2145A0ED" w14:textId="77777777" w:rsidR="008C7C13" w:rsidRPr="00FD2859" w:rsidRDefault="00B378EF" w:rsidP="00B378EF">
      <w:pPr>
        <w:pStyle w:val="SingleTxt"/>
        <w:rPr>
          <w:lang w:val="es-ES" w:eastAsia="en-US"/>
        </w:rPr>
      </w:pPr>
      <w:bookmarkStart w:id="46" w:name="bookmark_58"/>
      <w:r w:rsidRPr="00FD2859">
        <w:rPr>
          <w:lang w:val="es-ES" w:eastAsia="en-US"/>
        </w:rPr>
        <w:tab/>
      </w:r>
      <w:r w:rsidR="008C7C13" w:rsidRPr="00FD2859">
        <w:rPr>
          <w:lang w:val="es-ES" w:eastAsia="en-US"/>
        </w:rPr>
        <w:t>b)</w:t>
      </w:r>
      <w:r w:rsidR="008C7C13" w:rsidRPr="00FD2859">
        <w:rPr>
          <w:lang w:val="es-ES" w:eastAsia="en-US"/>
        </w:rPr>
        <w:tab/>
        <w:t>El Consejo Superior para la Reconciliación y la Unidad Nacional no esté plenamente en funcionamiento, lo que dio lugar a retrasos en la investigación de las</w:t>
      </w:r>
      <w:r w:rsidR="002A3417" w:rsidRPr="00FD2859">
        <w:rPr>
          <w:lang w:val="es-ES" w:eastAsia="en-US"/>
        </w:rPr>
        <w:t> </w:t>
      </w:r>
      <w:r w:rsidR="008C7C13" w:rsidRPr="00FD2859">
        <w:rPr>
          <w:lang w:val="es-ES" w:eastAsia="en-US"/>
        </w:rPr>
        <w:t>acusaciones de violencia de género contra las mujeres y las niñas por parte de las fuerzas de seguridad y los grupos terroristas;</w:t>
      </w:r>
      <w:bookmarkEnd w:id="46"/>
    </w:p>
    <w:p w14:paraId="073B65D0" w14:textId="77777777" w:rsidR="008C7C13" w:rsidRPr="00FD2859" w:rsidRDefault="00B378EF" w:rsidP="00B378EF">
      <w:pPr>
        <w:pStyle w:val="SingleTxt"/>
        <w:rPr>
          <w:lang w:val="es-ES" w:eastAsia="en-US"/>
        </w:rPr>
      </w:pPr>
      <w:bookmarkStart w:id="47" w:name="bookmark_59"/>
      <w:r w:rsidRPr="00FD2859">
        <w:rPr>
          <w:lang w:val="es-ES" w:eastAsia="en-US"/>
        </w:rPr>
        <w:tab/>
      </w:r>
      <w:r w:rsidR="008C7C13" w:rsidRPr="00FD2859">
        <w:rPr>
          <w:lang w:val="es-ES" w:eastAsia="en-US"/>
        </w:rPr>
        <w:t>c)</w:t>
      </w:r>
      <w:r w:rsidR="008C7C13" w:rsidRPr="00FD2859">
        <w:rPr>
          <w:lang w:val="es-ES" w:eastAsia="en-US"/>
        </w:rPr>
        <w:tab/>
        <w:t xml:space="preserve">El plan de acción nacional sobre las resoluciones del Consejo de Seguridad </w:t>
      </w:r>
      <w:hyperlink r:id="rId23" w:history="1">
        <w:r w:rsidR="008C7C13" w:rsidRPr="00FD2859">
          <w:rPr>
            <w:color w:val="0000FF"/>
            <w:lang w:val="es-ES" w:eastAsia="en-US"/>
          </w:rPr>
          <w:t>1325 (2000)</w:t>
        </w:r>
      </w:hyperlink>
      <w:r w:rsidR="008C7C13" w:rsidRPr="00FD2859">
        <w:rPr>
          <w:lang w:val="es-ES" w:eastAsia="en-US"/>
        </w:rPr>
        <w:t xml:space="preserve"> y </w:t>
      </w:r>
      <w:hyperlink r:id="rId24" w:history="1">
        <w:r w:rsidR="008C7C13" w:rsidRPr="00FD2859">
          <w:rPr>
            <w:color w:val="0000FF"/>
            <w:lang w:val="es-ES" w:eastAsia="en-US"/>
          </w:rPr>
          <w:t>1820 (2008)</w:t>
        </w:r>
      </w:hyperlink>
      <w:r w:rsidR="008C7C13" w:rsidRPr="00FD2859">
        <w:rPr>
          <w:lang w:val="es-ES" w:eastAsia="en-US"/>
        </w:rPr>
        <w:t xml:space="preserve"> no se haya aplicado de manera efectiva.</w:t>
      </w:r>
      <w:bookmarkEnd w:id="47"/>
    </w:p>
    <w:p w14:paraId="0CBD9B81" w14:textId="77777777" w:rsidR="008C7C13" w:rsidRPr="00FD2859" w:rsidRDefault="008C7C13" w:rsidP="0099298B">
      <w:pPr>
        <w:pStyle w:val="SingleTxt"/>
        <w:numPr>
          <w:ilvl w:val="0"/>
          <w:numId w:val="31"/>
        </w:numPr>
        <w:tabs>
          <w:tab w:val="num" w:pos="1742"/>
        </w:tabs>
        <w:ind w:left="1267" w:firstLine="0"/>
        <w:rPr>
          <w:b/>
          <w:szCs w:val="22"/>
          <w:lang w:val="es-ES" w:eastAsia="en-US"/>
        </w:rPr>
      </w:pPr>
      <w:bookmarkStart w:id="48" w:name="bookmark_60"/>
      <w:r w:rsidRPr="00FD2859">
        <w:rPr>
          <w:b/>
          <w:szCs w:val="22"/>
          <w:lang w:val="es-ES" w:eastAsia="en-US"/>
        </w:rPr>
        <w:t>De conformidad con su recomendación general núm. 30 (2013) sobre las mujeres en la prevención de conflictos y en situaciones de conflicto y posteriores a conflictos, el Comité recomienda al Estado parte que:</w:t>
      </w:r>
      <w:bookmarkEnd w:id="48"/>
    </w:p>
    <w:p w14:paraId="61036D84" w14:textId="77777777" w:rsidR="008C7C13" w:rsidRPr="00FD2859" w:rsidRDefault="008C7C13" w:rsidP="00B378EF">
      <w:pPr>
        <w:pStyle w:val="SingleTxt"/>
        <w:rPr>
          <w:lang w:val="es-ES" w:eastAsia="en-US"/>
        </w:rPr>
      </w:pPr>
      <w:bookmarkStart w:id="49" w:name="bookmark_61"/>
      <w:r w:rsidRPr="00FD2859">
        <w:rPr>
          <w:lang w:val="es-ES" w:eastAsia="en-US"/>
        </w:rPr>
        <w:tab/>
        <w:t>a)</w:t>
      </w:r>
      <w:r w:rsidRPr="00FD2859">
        <w:rPr>
          <w:lang w:val="es-ES" w:eastAsia="en-US"/>
        </w:rPr>
        <w:tab/>
      </w:r>
      <w:r w:rsidRPr="00FD2859">
        <w:rPr>
          <w:b/>
          <w:lang w:val="es-ES" w:eastAsia="en-US"/>
        </w:rPr>
        <w:t>Recopile datos sobre los incidentes de violencia de género contra mujeres y niñas, en particular de violencia sexual, casos de matrimonio infantil y forzado, trata de personas, prostitución forzada y secuestro por parte de grupos terroristas en el Estado parte;</w:t>
      </w:r>
      <w:bookmarkEnd w:id="49"/>
    </w:p>
    <w:p w14:paraId="5B8D4FFF" w14:textId="77777777" w:rsidR="008C7C13" w:rsidRPr="00FD2859" w:rsidRDefault="008C7C13" w:rsidP="00B378EF">
      <w:pPr>
        <w:pStyle w:val="SingleTxt"/>
        <w:rPr>
          <w:lang w:val="es-ES" w:eastAsia="en-US"/>
        </w:rPr>
      </w:pPr>
      <w:bookmarkStart w:id="50" w:name="bookmark_62"/>
      <w:r w:rsidRPr="00FD2859">
        <w:rPr>
          <w:lang w:val="es-ES" w:eastAsia="en-US"/>
        </w:rPr>
        <w:tab/>
        <w:t>b)</w:t>
      </w:r>
      <w:r w:rsidRPr="00FD2859">
        <w:rPr>
          <w:lang w:val="es-ES" w:eastAsia="en-US"/>
        </w:rPr>
        <w:tab/>
      </w:r>
      <w:r w:rsidRPr="00FD2859">
        <w:rPr>
          <w:b/>
          <w:lang w:val="es-ES" w:eastAsia="en-US"/>
        </w:rPr>
        <w:t>Dote al Consejo Superior para la Reconciliación y la Unidad Nacional de plena operatividad para que pueda investigar las acusaciones de violaciones de los derechos humanos por parte de las fuerzas de seguridad y los grupos terroristas, prestando particular atención a la violencia de género contra las mujeres y las niñas, llevar a los autores ante la justicia y garantizar la indemnización y la rehabilitación de las víctimas;</w:t>
      </w:r>
      <w:bookmarkEnd w:id="50"/>
    </w:p>
    <w:p w14:paraId="5742CAD1" w14:textId="77777777" w:rsidR="008C7C13" w:rsidRPr="00FD2859" w:rsidRDefault="008C7C13" w:rsidP="00B378EF">
      <w:pPr>
        <w:pStyle w:val="SingleTxt"/>
        <w:rPr>
          <w:lang w:val="es-ES" w:eastAsia="en-US"/>
        </w:rPr>
      </w:pPr>
      <w:bookmarkStart w:id="51" w:name="bookmark_63"/>
      <w:r w:rsidRPr="00FD2859">
        <w:rPr>
          <w:lang w:val="es-ES" w:eastAsia="en-US"/>
        </w:rPr>
        <w:tab/>
        <w:t>c)</w:t>
      </w:r>
      <w:r w:rsidRPr="00FD2859">
        <w:rPr>
          <w:lang w:val="es-ES" w:eastAsia="en-US"/>
        </w:rPr>
        <w:tab/>
      </w:r>
      <w:r w:rsidRPr="00FD2859">
        <w:rPr>
          <w:b/>
          <w:lang w:val="es-ES" w:eastAsia="en-US"/>
        </w:rPr>
        <w:t xml:space="preserve">Aproveche la asistencia financiera y técnica internacional, según proceda, para garantizar la inclusión y la participación de la mujer en todas las etapas del proceso de establecimiento de la paz, de la estabilización y la reconstrucción, en particular mediante la aplicación efectiva de su plan de acción nacional sobre las resoluciones del Consejo de Seguridad </w:t>
      </w:r>
      <w:hyperlink r:id="rId25" w:history="1">
        <w:r w:rsidRPr="00FD2859">
          <w:rPr>
            <w:b/>
            <w:color w:val="0000FF"/>
            <w:lang w:val="es-ES" w:eastAsia="en-US"/>
          </w:rPr>
          <w:t>1325 (2000)</w:t>
        </w:r>
      </w:hyperlink>
      <w:r w:rsidRPr="00FD2859">
        <w:rPr>
          <w:b/>
          <w:lang w:val="es-ES" w:eastAsia="en-US"/>
        </w:rPr>
        <w:t xml:space="preserve"> y </w:t>
      </w:r>
      <w:hyperlink r:id="rId26" w:history="1">
        <w:r w:rsidRPr="00FD2859">
          <w:rPr>
            <w:b/>
            <w:color w:val="0000FF"/>
            <w:lang w:val="es-ES" w:eastAsia="en-US"/>
          </w:rPr>
          <w:t>1820 (2008)</w:t>
        </w:r>
      </w:hyperlink>
      <w:r w:rsidRPr="00FD2859">
        <w:rPr>
          <w:b/>
          <w:lang w:val="es-ES" w:eastAsia="en-US"/>
        </w:rPr>
        <w:t xml:space="preserve"> sobre las mujeres y la paz y la seguridad.</w:t>
      </w:r>
      <w:bookmarkEnd w:id="51"/>
    </w:p>
    <w:p w14:paraId="386BA452" w14:textId="77777777" w:rsidR="005465B4" w:rsidRPr="00FD2859" w:rsidRDefault="005465B4" w:rsidP="005465B4">
      <w:pPr>
        <w:pStyle w:val="SingleTxt"/>
        <w:spacing w:after="0" w:line="120" w:lineRule="exact"/>
        <w:rPr>
          <w:sz w:val="10"/>
          <w:szCs w:val="10"/>
          <w:lang w:val="es-ES"/>
        </w:rPr>
      </w:pPr>
      <w:bookmarkStart w:id="52" w:name="bookmark_64"/>
    </w:p>
    <w:p w14:paraId="148BA2F3" w14:textId="77777777" w:rsidR="008C7C13" w:rsidRPr="00FD2859" w:rsidRDefault="005465B4" w:rsidP="00722419">
      <w:pPr>
        <w:pStyle w:val="H23"/>
        <w:ind w:right="1260"/>
        <w:rPr>
          <w:bCs w:val="0"/>
          <w:lang w:val="es-ES" w:eastAsia="en-US"/>
        </w:rPr>
      </w:pPr>
      <w:r w:rsidRPr="00FD2859">
        <w:rPr>
          <w:bCs w:val="0"/>
          <w:lang w:val="es-ES" w:eastAsia="en-US"/>
        </w:rPr>
        <w:tab/>
      </w:r>
      <w:r w:rsidRPr="00FD2859">
        <w:rPr>
          <w:bCs w:val="0"/>
          <w:lang w:val="es-ES" w:eastAsia="en-US"/>
        </w:rPr>
        <w:tab/>
      </w:r>
      <w:r w:rsidR="008C7C13" w:rsidRPr="00FD2859">
        <w:rPr>
          <w:bCs w:val="0"/>
          <w:lang w:val="es-ES" w:eastAsia="en-US"/>
        </w:rPr>
        <w:t>Mecanismos nacionales encargados del adelanto de la mujer</w:t>
      </w:r>
      <w:bookmarkEnd w:id="52"/>
    </w:p>
    <w:p w14:paraId="4BF710DB" w14:textId="77777777" w:rsidR="005465B4" w:rsidRPr="00FD2859" w:rsidRDefault="005465B4" w:rsidP="005465B4">
      <w:pPr>
        <w:pStyle w:val="SingleTxt"/>
        <w:spacing w:after="0" w:line="120" w:lineRule="exact"/>
        <w:rPr>
          <w:sz w:val="10"/>
          <w:szCs w:val="10"/>
          <w:lang w:val="es-ES"/>
        </w:rPr>
      </w:pPr>
    </w:p>
    <w:p w14:paraId="604E6D76" w14:textId="77777777" w:rsidR="008C7C13" w:rsidRPr="00FD2859" w:rsidRDefault="008C7C13" w:rsidP="0099298B">
      <w:pPr>
        <w:pStyle w:val="SingleTxt"/>
        <w:numPr>
          <w:ilvl w:val="0"/>
          <w:numId w:val="31"/>
        </w:numPr>
        <w:tabs>
          <w:tab w:val="num" w:pos="1742"/>
        </w:tabs>
        <w:ind w:left="1267" w:firstLine="0"/>
        <w:rPr>
          <w:szCs w:val="22"/>
          <w:lang w:val="es-ES" w:eastAsia="en-US"/>
        </w:rPr>
      </w:pPr>
      <w:bookmarkStart w:id="53" w:name="bookmark_65"/>
      <w:r w:rsidRPr="00FD2859">
        <w:rPr>
          <w:szCs w:val="22"/>
          <w:lang w:val="es-ES" w:eastAsia="en-US"/>
        </w:rPr>
        <w:t>Al Comité le preocupa que la reciente reestructuración del Ministerio de la Mujer, de la Solidaridad Nacional y de la Familia haya dado lugar a la ampliación de su mandato sin la asignación de recursos suficientes para garantizar la aplicación de su responsabilidad de promover la condición jurídica y social de la mujer. Le</w:t>
      </w:r>
      <w:r w:rsidR="000E38C0" w:rsidRPr="00FD2859">
        <w:rPr>
          <w:szCs w:val="22"/>
          <w:lang w:val="es-ES" w:eastAsia="en-US"/>
        </w:rPr>
        <w:t> </w:t>
      </w:r>
      <w:r w:rsidRPr="00FD2859">
        <w:rPr>
          <w:szCs w:val="22"/>
          <w:lang w:val="es-ES" w:eastAsia="en-US"/>
        </w:rPr>
        <w:t>preocupa asimismo la falta de coordinación entre el Ministerio, la secretaría permanente del Consejo Nacional de Promoción de la Mujer y los coordinadores ministeriales de las cuestiones de género.</w:t>
      </w:r>
      <w:bookmarkEnd w:id="53"/>
    </w:p>
    <w:p w14:paraId="3BCA21C8" w14:textId="77777777" w:rsidR="008C7C13" w:rsidRPr="00FD2859" w:rsidRDefault="008C7C13" w:rsidP="0099298B">
      <w:pPr>
        <w:pStyle w:val="SingleTxt"/>
        <w:numPr>
          <w:ilvl w:val="0"/>
          <w:numId w:val="31"/>
        </w:numPr>
        <w:tabs>
          <w:tab w:val="num" w:pos="1742"/>
        </w:tabs>
        <w:ind w:left="1267" w:firstLine="0"/>
        <w:rPr>
          <w:b/>
          <w:szCs w:val="22"/>
          <w:lang w:val="es-ES" w:eastAsia="en-US"/>
        </w:rPr>
      </w:pPr>
      <w:bookmarkStart w:id="54" w:name="bookmark_66"/>
      <w:r w:rsidRPr="00FD2859">
        <w:rPr>
          <w:b/>
          <w:szCs w:val="22"/>
          <w:lang w:val="es-ES" w:eastAsia="en-US"/>
        </w:rPr>
        <w:lastRenderedPageBreak/>
        <w:t>Recordando la orientación que se ofrece en la Plataforma de Acción de Beijing, en particular en lo que concierne a las condiciones necesarias para el funcionamiento eficaz de los mecanismos nacionales, el Comité recomienda al Estado parte que:</w:t>
      </w:r>
      <w:bookmarkEnd w:id="54"/>
    </w:p>
    <w:p w14:paraId="547ECE4C" w14:textId="77777777" w:rsidR="008C7C13" w:rsidRPr="00FD2859" w:rsidRDefault="008C7C13" w:rsidP="00D76B8D">
      <w:pPr>
        <w:pStyle w:val="SingleTxt"/>
        <w:rPr>
          <w:lang w:val="es-ES" w:eastAsia="en-US"/>
        </w:rPr>
      </w:pPr>
      <w:bookmarkStart w:id="55" w:name="bookmark_67"/>
      <w:r w:rsidRPr="00FD2859">
        <w:rPr>
          <w:lang w:val="es-ES" w:eastAsia="en-US"/>
        </w:rPr>
        <w:tab/>
        <w:t>a)</w:t>
      </w:r>
      <w:r w:rsidRPr="00FD2859">
        <w:rPr>
          <w:lang w:val="es-ES" w:eastAsia="en-US"/>
        </w:rPr>
        <w:tab/>
      </w:r>
      <w:r w:rsidRPr="00FD2859">
        <w:rPr>
          <w:b/>
          <w:lang w:val="es-ES" w:eastAsia="en-US"/>
        </w:rPr>
        <w:t>Adopte una estrategia clara para consolidar y reforzar la capacidad de los mecanismos nacionales para el adelanto de la mujer y que se asegure de que disponen del suficiente poder de adopción de decisiones y de los recursos humanos y financieros necesarios para aplicar de forma efectiva la Convención, y de que funcione de manera coordinada en aras de la promoción de los derechos humanos de la mujer a todos los niveles;</w:t>
      </w:r>
      <w:bookmarkEnd w:id="55"/>
    </w:p>
    <w:p w14:paraId="1FBD0EE1" w14:textId="77777777" w:rsidR="008C7C13" w:rsidRPr="00FD2859" w:rsidRDefault="00D76B8D" w:rsidP="00D76B8D">
      <w:pPr>
        <w:pStyle w:val="SingleTxt"/>
        <w:rPr>
          <w:lang w:val="es-ES" w:eastAsia="en-US"/>
        </w:rPr>
      </w:pPr>
      <w:bookmarkStart w:id="56" w:name="bookmark_68"/>
      <w:r w:rsidRPr="00FD2859">
        <w:rPr>
          <w:lang w:val="es-ES" w:eastAsia="en-US"/>
        </w:rPr>
        <w:tab/>
      </w:r>
      <w:r w:rsidR="008C7C13" w:rsidRPr="00FD2859">
        <w:rPr>
          <w:lang w:val="es-ES" w:eastAsia="en-US"/>
        </w:rPr>
        <w:t>b)</w:t>
      </w:r>
      <w:r w:rsidR="008C7C13" w:rsidRPr="00FD2859">
        <w:rPr>
          <w:lang w:val="es-ES" w:eastAsia="en-US"/>
        </w:rPr>
        <w:tab/>
      </w:r>
      <w:r w:rsidR="008C7C13" w:rsidRPr="00FD2859">
        <w:rPr>
          <w:b/>
          <w:lang w:val="es-ES" w:eastAsia="en-US"/>
        </w:rPr>
        <w:t xml:space="preserve">Se asegure de que sus mecanismos nacionales diseñan políticas y programas encaminados a lograr la igualdad de género dentro de un marco de derechos humanos, y que mejore la reunión de datos, desglosados por sexo y otros factores pertinentes, necesarios para evaluar la repercusión y la eficacia de dichas políticas y programas. </w:t>
      </w:r>
      <w:bookmarkEnd w:id="56"/>
    </w:p>
    <w:p w14:paraId="32F09C57" w14:textId="77777777" w:rsidR="005465B4" w:rsidRPr="00FD2859" w:rsidRDefault="005465B4" w:rsidP="005465B4">
      <w:pPr>
        <w:pStyle w:val="SingleTxt"/>
        <w:spacing w:after="0" w:line="120" w:lineRule="exact"/>
        <w:rPr>
          <w:sz w:val="10"/>
          <w:szCs w:val="10"/>
          <w:lang w:val="es-ES"/>
        </w:rPr>
      </w:pPr>
      <w:bookmarkStart w:id="57" w:name="bookmark_69"/>
    </w:p>
    <w:p w14:paraId="53AA7DD6" w14:textId="77777777" w:rsidR="008C7C13" w:rsidRPr="00FD2859" w:rsidRDefault="008C7C13" w:rsidP="00722419">
      <w:pPr>
        <w:pStyle w:val="H23"/>
        <w:ind w:right="1260"/>
        <w:rPr>
          <w:bCs w:val="0"/>
          <w:lang w:val="es-ES" w:eastAsia="en-US"/>
        </w:rPr>
      </w:pPr>
      <w:r w:rsidRPr="00FD2859">
        <w:rPr>
          <w:bCs w:val="0"/>
          <w:lang w:val="es-ES" w:eastAsia="en-US"/>
        </w:rPr>
        <w:tab/>
      </w:r>
      <w:r w:rsidRPr="00FD2859">
        <w:rPr>
          <w:bCs w:val="0"/>
          <w:lang w:val="es-ES" w:eastAsia="en-US"/>
        </w:rPr>
        <w:tab/>
        <w:t>Institución nacional de derechos humanos</w:t>
      </w:r>
      <w:bookmarkEnd w:id="57"/>
    </w:p>
    <w:p w14:paraId="4EAA587A" w14:textId="77777777" w:rsidR="005465B4" w:rsidRPr="00FD2859" w:rsidRDefault="005465B4" w:rsidP="005465B4">
      <w:pPr>
        <w:pStyle w:val="SingleTxt"/>
        <w:spacing w:after="0" w:line="120" w:lineRule="exact"/>
        <w:rPr>
          <w:sz w:val="10"/>
          <w:szCs w:val="10"/>
          <w:lang w:val="es-ES"/>
        </w:rPr>
      </w:pPr>
    </w:p>
    <w:p w14:paraId="78112313" w14:textId="77777777" w:rsidR="008C7C13" w:rsidRPr="00FD2859" w:rsidRDefault="008C7C13" w:rsidP="0099298B">
      <w:pPr>
        <w:pStyle w:val="SingleTxt"/>
        <w:numPr>
          <w:ilvl w:val="0"/>
          <w:numId w:val="31"/>
        </w:numPr>
        <w:tabs>
          <w:tab w:val="num" w:pos="1742"/>
        </w:tabs>
        <w:ind w:left="1267" w:firstLine="0"/>
        <w:rPr>
          <w:szCs w:val="22"/>
          <w:lang w:val="es-ES" w:eastAsia="en-US"/>
        </w:rPr>
      </w:pPr>
      <w:bookmarkStart w:id="58" w:name="bookmark_70"/>
      <w:r w:rsidRPr="00FD2859">
        <w:rPr>
          <w:szCs w:val="22"/>
          <w:lang w:val="es-ES" w:eastAsia="en-US"/>
        </w:rPr>
        <w:t>El Comité acoge con beneplácito el fortalecimiento de la Comisión Nacional de Derechos Humanos, incluida la ampliación de su mandato para promover y proteger los derechos de la mujer mediante la sensibilización, la tramitación de denuncias, la asistencia jurídica y la prestación de servicios de remisión para las</w:t>
      </w:r>
      <w:r w:rsidR="000E38C0" w:rsidRPr="00FD2859">
        <w:rPr>
          <w:szCs w:val="22"/>
          <w:lang w:val="es-ES" w:eastAsia="en-US"/>
        </w:rPr>
        <w:t> </w:t>
      </w:r>
      <w:r w:rsidRPr="00FD2859">
        <w:rPr>
          <w:szCs w:val="22"/>
          <w:lang w:val="es-ES" w:eastAsia="en-US"/>
        </w:rPr>
        <w:t>víctimas. Sin embargo, observa con preocupación que la Comisión no esté</w:t>
      </w:r>
      <w:r w:rsidR="000E38C0" w:rsidRPr="00FD2859">
        <w:rPr>
          <w:szCs w:val="22"/>
          <w:lang w:val="es-ES" w:eastAsia="en-US"/>
        </w:rPr>
        <w:t> </w:t>
      </w:r>
      <w:r w:rsidRPr="00FD2859">
        <w:rPr>
          <w:szCs w:val="22"/>
          <w:lang w:val="es-ES" w:eastAsia="en-US"/>
        </w:rPr>
        <w:t xml:space="preserve">operativa. </w:t>
      </w:r>
      <w:bookmarkEnd w:id="58"/>
    </w:p>
    <w:p w14:paraId="447B792D" w14:textId="7E04F74B" w:rsidR="008C7C13" w:rsidRPr="00FD2859" w:rsidRDefault="008C7C13" w:rsidP="0099298B">
      <w:pPr>
        <w:pStyle w:val="SingleTxt"/>
        <w:numPr>
          <w:ilvl w:val="0"/>
          <w:numId w:val="31"/>
        </w:numPr>
        <w:tabs>
          <w:tab w:val="num" w:pos="1742"/>
        </w:tabs>
        <w:ind w:left="1267" w:firstLine="0"/>
        <w:rPr>
          <w:b/>
          <w:szCs w:val="22"/>
          <w:lang w:val="es-ES" w:eastAsia="en-US"/>
        </w:rPr>
      </w:pPr>
      <w:bookmarkStart w:id="59" w:name="bookmark_71"/>
      <w:r w:rsidRPr="00FD2859">
        <w:rPr>
          <w:b/>
          <w:szCs w:val="22"/>
          <w:lang w:val="es-ES" w:eastAsia="en-US"/>
        </w:rPr>
        <w:t>El Comité recomienda al Estado parte que dote a la Comisión Nacional de Derechos Humanos de recursos humanos, técnicos y financieros suficientes para desempeñar su mandato de promover y proteger los derechos de la mujer. Alienta a la Comisión a que, una vez que esté en funcionamiento, solicite a la Alianza Global de Instituciones Nacionales de Derechos Humanos la acreditación de conformidad con los Principios de París.</w:t>
      </w:r>
      <w:bookmarkEnd w:id="59"/>
    </w:p>
    <w:p w14:paraId="4FE49521" w14:textId="77777777" w:rsidR="005465B4" w:rsidRPr="00FD2859" w:rsidRDefault="005465B4" w:rsidP="005465B4">
      <w:pPr>
        <w:pStyle w:val="SingleTxt"/>
        <w:spacing w:after="0" w:line="120" w:lineRule="exact"/>
        <w:rPr>
          <w:sz w:val="10"/>
          <w:szCs w:val="10"/>
          <w:lang w:val="es-ES"/>
        </w:rPr>
      </w:pPr>
      <w:bookmarkStart w:id="60" w:name="bookmark_72"/>
    </w:p>
    <w:p w14:paraId="0F39EE67" w14:textId="77777777" w:rsidR="008C7C13" w:rsidRPr="00FD2859" w:rsidRDefault="008C7C13" w:rsidP="00722419">
      <w:pPr>
        <w:pStyle w:val="H23"/>
        <w:ind w:right="1260"/>
        <w:rPr>
          <w:bCs w:val="0"/>
          <w:lang w:val="es-ES" w:eastAsia="en-US"/>
        </w:rPr>
      </w:pPr>
      <w:r w:rsidRPr="00FD2859">
        <w:rPr>
          <w:bCs w:val="0"/>
          <w:lang w:val="es-ES" w:eastAsia="en-US"/>
        </w:rPr>
        <w:tab/>
      </w:r>
      <w:r w:rsidRPr="00FD2859">
        <w:rPr>
          <w:bCs w:val="0"/>
          <w:lang w:val="es-ES" w:eastAsia="en-US"/>
        </w:rPr>
        <w:tab/>
        <w:t>Medidas especiales de carácter temporal</w:t>
      </w:r>
      <w:bookmarkEnd w:id="60"/>
    </w:p>
    <w:p w14:paraId="3C7BAFF9" w14:textId="77777777" w:rsidR="005465B4" w:rsidRPr="00FD2859" w:rsidRDefault="005465B4" w:rsidP="005465B4">
      <w:pPr>
        <w:pStyle w:val="SingleTxt"/>
        <w:spacing w:after="0" w:line="120" w:lineRule="exact"/>
        <w:rPr>
          <w:sz w:val="10"/>
          <w:szCs w:val="10"/>
          <w:lang w:val="es-ES"/>
        </w:rPr>
      </w:pPr>
      <w:bookmarkStart w:id="61" w:name="bookmark_73"/>
    </w:p>
    <w:p w14:paraId="701AB307" w14:textId="77777777" w:rsidR="008C7C13" w:rsidRPr="00FD2859" w:rsidRDefault="008C7C13" w:rsidP="00D537FB">
      <w:pPr>
        <w:pStyle w:val="SingleTxt"/>
        <w:numPr>
          <w:ilvl w:val="0"/>
          <w:numId w:val="31"/>
        </w:numPr>
        <w:tabs>
          <w:tab w:val="num" w:pos="1742"/>
        </w:tabs>
        <w:ind w:left="1267" w:firstLine="0"/>
        <w:rPr>
          <w:szCs w:val="22"/>
          <w:lang w:val="es-ES" w:eastAsia="en-US"/>
        </w:rPr>
      </w:pPr>
      <w:r w:rsidRPr="00FD2859">
        <w:rPr>
          <w:szCs w:val="22"/>
          <w:lang w:val="es-ES" w:eastAsia="en-US"/>
        </w:rPr>
        <w:t xml:space="preserve">El Comité reitera su preocupación anterior de que no se apliquen de manera suficiente las medidas especiales de carácter temporal como estrategia necesaria para acelerar el logro de la igualdad sustantiva entre hombres y mujeres en todos los ámbitos abarcados por la Convención, prestando especial atención a promover la representación de las mujeres en el nivel de adopción de decisiones, tanto en el sector privado como en el público. </w:t>
      </w:r>
      <w:bookmarkEnd w:id="61"/>
    </w:p>
    <w:p w14:paraId="4B531000" w14:textId="77777777" w:rsidR="008C7C13" w:rsidRPr="00FD2859" w:rsidRDefault="008C7C13" w:rsidP="002000B3">
      <w:pPr>
        <w:pStyle w:val="SingleTxt"/>
        <w:numPr>
          <w:ilvl w:val="0"/>
          <w:numId w:val="31"/>
        </w:numPr>
        <w:tabs>
          <w:tab w:val="num" w:pos="1742"/>
        </w:tabs>
        <w:ind w:left="1267" w:firstLine="0"/>
        <w:rPr>
          <w:b/>
          <w:szCs w:val="22"/>
          <w:lang w:val="es-ES" w:eastAsia="en-US"/>
        </w:rPr>
      </w:pPr>
      <w:bookmarkStart w:id="62" w:name="bookmark_74"/>
      <w:r w:rsidRPr="00FD2859">
        <w:rPr>
          <w:b/>
          <w:szCs w:val="22"/>
          <w:lang w:val="es-ES" w:eastAsia="en-US"/>
        </w:rPr>
        <w:t>De conformidad con el párrafo 1 del artículo 4 de la Convención y la recomendación general núm. 25 (2004) del Comité (2004) sobre las medidas especiales de carácter temporal, el Comité recomienda al Estado parte que establezca objetivos con plazos determinados y que asigne recursos suficientes para la aplicación de medidas especiales de carácter temporal, como el establecimiento de cuotas y otras medidas proactivas, acompañadas de sanciones por incumplimiento, con miras a lograr la igualdad sustantiva entre</w:t>
      </w:r>
      <w:r w:rsidR="00825ED6" w:rsidRPr="00FD2859">
        <w:rPr>
          <w:b/>
          <w:szCs w:val="22"/>
          <w:lang w:val="es-ES" w:eastAsia="en-US"/>
        </w:rPr>
        <w:t> </w:t>
      </w:r>
      <w:r w:rsidRPr="00FD2859">
        <w:rPr>
          <w:b/>
          <w:szCs w:val="22"/>
          <w:lang w:val="es-ES" w:eastAsia="en-US"/>
        </w:rPr>
        <w:t>mujeres y hombres en todos los ámbitos que abarca la Convención en los que las mujeres estén insuficientemente representadas o en situación de desventaja, como la salud, la educación, el empleo y el acceso a las prestaciones sociales y</w:t>
      </w:r>
      <w:r w:rsidR="00825ED6" w:rsidRPr="00FD2859">
        <w:rPr>
          <w:b/>
          <w:szCs w:val="22"/>
          <w:lang w:val="es-ES" w:eastAsia="en-US"/>
        </w:rPr>
        <w:t xml:space="preserve"> </w:t>
      </w:r>
      <w:r w:rsidRPr="00FD2859">
        <w:rPr>
          <w:b/>
          <w:szCs w:val="22"/>
          <w:lang w:val="es-ES" w:eastAsia="en-US"/>
        </w:rPr>
        <w:t>económicas.</w:t>
      </w:r>
      <w:bookmarkEnd w:id="62"/>
    </w:p>
    <w:p w14:paraId="4C999E99" w14:textId="77777777" w:rsidR="005465B4" w:rsidRPr="00FD2859" w:rsidRDefault="005465B4" w:rsidP="005465B4">
      <w:pPr>
        <w:pStyle w:val="SingleTxt"/>
        <w:spacing w:after="0" w:line="120" w:lineRule="exact"/>
        <w:rPr>
          <w:sz w:val="10"/>
          <w:szCs w:val="10"/>
          <w:lang w:val="es-ES"/>
        </w:rPr>
      </w:pPr>
      <w:bookmarkStart w:id="63" w:name="bookmark_75"/>
    </w:p>
    <w:p w14:paraId="3C66422D" w14:textId="77777777" w:rsidR="002000B3" w:rsidRPr="00FD2859" w:rsidRDefault="002000B3">
      <w:pPr>
        <w:suppressAutoHyphens w:val="0"/>
        <w:spacing w:line="240" w:lineRule="auto"/>
        <w:rPr>
          <w:b/>
          <w:spacing w:val="2"/>
          <w:lang w:val="es-ES" w:eastAsia="en-US"/>
        </w:rPr>
      </w:pPr>
      <w:r w:rsidRPr="00FD2859">
        <w:rPr>
          <w:bCs/>
          <w:lang w:val="es-ES" w:eastAsia="en-US"/>
        </w:rPr>
        <w:br w:type="page"/>
      </w:r>
    </w:p>
    <w:p w14:paraId="3A059615" w14:textId="77777777" w:rsidR="008C7C13" w:rsidRPr="00FD2859" w:rsidRDefault="008C7C13" w:rsidP="00722419">
      <w:pPr>
        <w:pStyle w:val="H23"/>
        <w:ind w:right="1260"/>
        <w:rPr>
          <w:bCs w:val="0"/>
          <w:lang w:val="es-ES" w:eastAsia="en-US"/>
        </w:rPr>
      </w:pPr>
      <w:r w:rsidRPr="00FD2859">
        <w:rPr>
          <w:bCs w:val="0"/>
          <w:lang w:val="es-ES" w:eastAsia="en-US"/>
        </w:rPr>
        <w:lastRenderedPageBreak/>
        <w:tab/>
      </w:r>
      <w:r w:rsidRPr="00FD2859">
        <w:rPr>
          <w:bCs w:val="0"/>
          <w:lang w:val="es-ES" w:eastAsia="en-US"/>
        </w:rPr>
        <w:tab/>
        <w:t xml:space="preserve">Estereotipos y violencia por razón de género contra la mujer </w:t>
      </w:r>
      <w:bookmarkEnd w:id="63"/>
    </w:p>
    <w:p w14:paraId="035B8663" w14:textId="77777777" w:rsidR="005465B4" w:rsidRPr="00FD2859" w:rsidRDefault="005465B4" w:rsidP="005465B4">
      <w:pPr>
        <w:pStyle w:val="SingleTxt"/>
        <w:spacing w:after="0" w:line="120" w:lineRule="exact"/>
        <w:rPr>
          <w:sz w:val="10"/>
          <w:szCs w:val="10"/>
          <w:lang w:val="es-ES"/>
        </w:rPr>
      </w:pPr>
    </w:p>
    <w:p w14:paraId="693F46E0" w14:textId="77777777" w:rsidR="008C7C13" w:rsidRPr="00FD2859" w:rsidRDefault="008C7C13" w:rsidP="00D537FB">
      <w:pPr>
        <w:pStyle w:val="SingleTxt"/>
        <w:numPr>
          <w:ilvl w:val="0"/>
          <w:numId w:val="31"/>
        </w:numPr>
        <w:tabs>
          <w:tab w:val="num" w:pos="1742"/>
        </w:tabs>
        <w:ind w:left="1267" w:firstLine="0"/>
        <w:rPr>
          <w:szCs w:val="22"/>
          <w:lang w:val="es-ES" w:eastAsia="en-US"/>
        </w:rPr>
      </w:pPr>
      <w:bookmarkStart w:id="64" w:name="bookmark_76"/>
      <w:r w:rsidRPr="00FD2859">
        <w:rPr>
          <w:szCs w:val="22"/>
          <w:lang w:val="es-ES" w:eastAsia="en-US"/>
        </w:rPr>
        <w:t>El Comité está preocupado por la persistencia de estereotipos que discriminan a la mujer en el Estado parte, como se refleja mediante la adopción de decisiones exclusivamente por parte de los hombres en las esferas pública y privada, y la relegación de la mujer a una función reproductiva. El Comité señala a la atención el vínculo existente entre la precaria situación de las mujeres en la familia y en la sociedad, su menor nivel educativo y las mayores tasas de pobreza, así como los elevados niveles de violencia de género cometidos en su contra, en particular la violencia sexual y la violencia doméstica. Le sigue preocupando que dicha violencia por razón de género parezca estar legitimada por la sociedad y vaya acompañada de una cultura de silencio e impunidad, y que las víctimas cuenten con medios limitados de asistencia, protección o reparación. También preocupa al Comité que la Ley núm. 061-2015/CNT no esté en pleno funcionamiento y que no exista un cronograma para:</w:t>
      </w:r>
      <w:bookmarkEnd w:id="64"/>
    </w:p>
    <w:p w14:paraId="3B8EE115" w14:textId="77777777" w:rsidR="008C7C13" w:rsidRPr="00FD2859" w:rsidRDefault="00AD3438" w:rsidP="00AD3438">
      <w:pPr>
        <w:pStyle w:val="SingleTxt"/>
        <w:rPr>
          <w:lang w:val="es-ES" w:eastAsia="en-US"/>
        </w:rPr>
      </w:pPr>
      <w:bookmarkStart w:id="65" w:name="bookmark_77"/>
      <w:r w:rsidRPr="00FD2859">
        <w:rPr>
          <w:lang w:val="es-ES" w:eastAsia="en-US"/>
        </w:rPr>
        <w:tab/>
      </w:r>
      <w:r w:rsidR="008C7C13" w:rsidRPr="00FD2859">
        <w:rPr>
          <w:lang w:val="es-ES" w:eastAsia="en-US"/>
        </w:rPr>
        <w:t>a)</w:t>
      </w:r>
      <w:r w:rsidR="008C7C13" w:rsidRPr="00FD2859">
        <w:rPr>
          <w:lang w:val="es-ES" w:eastAsia="en-US"/>
        </w:rPr>
        <w:tab/>
        <w:t>La enmienda del artículo 14, párrafo 2, de la Ley núm. 061-2015/CNT, que no tipifica la violación conyugal como delito, a menos que se cometa reiteradamente o que uno de los cónyuges esté físicamente incapacitado para mantener relaciones sexuales, y solo se sanciona con el pago de una multa;</w:t>
      </w:r>
      <w:bookmarkEnd w:id="65"/>
    </w:p>
    <w:p w14:paraId="735DB712" w14:textId="77777777" w:rsidR="008C7C13" w:rsidRPr="00FD2859" w:rsidRDefault="008C7C13" w:rsidP="00AD3438">
      <w:pPr>
        <w:pStyle w:val="SingleTxt"/>
        <w:rPr>
          <w:lang w:val="es-ES" w:eastAsia="en-US"/>
        </w:rPr>
      </w:pPr>
      <w:bookmarkStart w:id="66" w:name="bookmark_78"/>
      <w:r w:rsidRPr="00FD2859">
        <w:rPr>
          <w:lang w:val="es-ES" w:eastAsia="en-US"/>
        </w:rPr>
        <w:tab/>
        <w:t>b)</w:t>
      </w:r>
      <w:r w:rsidRPr="00FD2859">
        <w:rPr>
          <w:lang w:val="es-ES" w:eastAsia="en-US"/>
        </w:rPr>
        <w:tab/>
        <w:t>La armonización del Código Penal con la Ley núm. 061-2015/CNT.</w:t>
      </w:r>
      <w:bookmarkEnd w:id="66"/>
    </w:p>
    <w:p w14:paraId="6D452293" w14:textId="77777777" w:rsidR="008C7C13" w:rsidRPr="00FD2859" w:rsidRDefault="008C7C13" w:rsidP="00D537FB">
      <w:pPr>
        <w:pStyle w:val="SingleTxt"/>
        <w:numPr>
          <w:ilvl w:val="0"/>
          <w:numId w:val="31"/>
        </w:numPr>
        <w:tabs>
          <w:tab w:val="num" w:pos="1742"/>
        </w:tabs>
        <w:ind w:left="1267" w:firstLine="0"/>
        <w:rPr>
          <w:b/>
          <w:szCs w:val="22"/>
          <w:lang w:val="es-ES" w:eastAsia="en-US"/>
        </w:rPr>
      </w:pPr>
      <w:bookmarkStart w:id="67" w:name="bookmark_79"/>
      <w:r w:rsidRPr="00FD2859">
        <w:rPr>
          <w:b/>
          <w:szCs w:val="22"/>
          <w:lang w:val="es-ES" w:eastAsia="en-US"/>
        </w:rPr>
        <w:t>El Comité, recordando su recomendación general núm. 35 (2017) sobre la</w:t>
      </w:r>
      <w:r w:rsidR="002A3417" w:rsidRPr="00FD2859">
        <w:rPr>
          <w:b/>
          <w:szCs w:val="22"/>
          <w:lang w:val="es-ES" w:eastAsia="en-US"/>
        </w:rPr>
        <w:t> </w:t>
      </w:r>
      <w:r w:rsidRPr="00FD2859">
        <w:rPr>
          <w:b/>
          <w:szCs w:val="22"/>
          <w:lang w:val="es-ES" w:eastAsia="en-US"/>
        </w:rPr>
        <w:t>violencia por razón de género contra la mujer, por la que se actualiza la recomendación general núm. 19, recomienda al Estado parte que:</w:t>
      </w:r>
      <w:bookmarkEnd w:id="67"/>
    </w:p>
    <w:p w14:paraId="104C571E" w14:textId="77777777" w:rsidR="008C7C13" w:rsidRPr="00FD2859" w:rsidRDefault="008C7C13" w:rsidP="00AD3438">
      <w:pPr>
        <w:pStyle w:val="SingleTxt"/>
        <w:rPr>
          <w:lang w:val="es-ES" w:eastAsia="en-US"/>
        </w:rPr>
      </w:pPr>
      <w:bookmarkStart w:id="68" w:name="bookmark_80"/>
      <w:r w:rsidRPr="00FD2859">
        <w:rPr>
          <w:lang w:val="es-ES" w:eastAsia="en-US"/>
        </w:rPr>
        <w:tab/>
        <w:t>a)</w:t>
      </w:r>
      <w:r w:rsidRPr="00FD2859">
        <w:rPr>
          <w:lang w:val="es-ES" w:eastAsia="en-US"/>
        </w:rPr>
        <w:tab/>
      </w:r>
      <w:r w:rsidRPr="00FD2859">
        <w:rPr>
          <w:b/>
          <w:lang w:val="es-ES" w:eastAsia="en-US"/>
        </w:rPr>
        <w:t>Elabore una estrategia amplia, que incluya un cronograma y objetivos claros, para modificar los estereotipos discriminatorios que afectan a las mujeres;</w:t>
      </w:r>
      <w:bookmarkEnd w:id="68"/>
    </w:p>
    <w:p w14:paraId="5BB6DB29" w14:textId="423C2F51" w:rsidR="008C7C13" w:rsidRPr="00FD2859" w:rsidRDefault="008C7C13" w:rsidP="00AD3438">
      <w:pPr>
        <w:pStyle w:val="SingleTxt"/>
        <w:rPr>
          <w:lang w:val="es-ES" w:eastAsia="en-US"/>
        </w:rPr>
      </w:pPr>
      <w:bookmarkStart w:id="69" w:name="bookmark_81"/>
      <w:r w:rsidRPr="00FD2859">
        <w:rPr>
          <w:lang w:val="es-ES" w:eastAsia="en-US"/>
        </w:rPr>
        <w:tab/>
        <w:t>b)</w:t>
      </w:r>
      <w:r w:rsidRPr="00FD2859">
        <w:rPr>
          <w:lang w:val="es-ES" w:eastAsia="en-US"/>
        </w:rPr>
        <w:tab/>
      </w:r>
      <w:r w:rsidRPr="00FD2859">
        <w:rPr>
          <w:b/>
          <w:lang w:val="es-ES" w:eastAsia="en-US"/>
        </w:rPr>
        <w:t>Acelere la revisión del artículo 14, párrafo 2, de la Ley núm. 061-2015/CNT para tipificar como delito la violación conyugal;</w:t>
      </w:r>
      <w:bookmarkEnd w:id="69"/>
    </w:p>
    <w:p w14:paraId="110295C1" w14:textId="77777777" w:rsidR="008C7C13" w:rsidRPr="00FD2859" w:rsidRDefault="008C7C13" w:rsidP="00AD3438">
      <w:pPr>
        <w:pStyle w:val="SingleTxt"/>
        <w:rPr>
          <w:lang w:val="es-ES" w:eastAsia="en-US"/>
        </w:rPr>
      </w:pPr>
      <w:bookmarkStart w:id="70" w:name="bookmark_82"/>
      <w:r w:rsidRPr="00FD2859">
        <w:rPr>
          <w:lang w:val="es-ES" w:eastAsia="en-US"/>
        </w:rPr>
        <w:tab/>
        <w:t>c)</w:t>
      </w:r>
      <w:r w:rsidRPr="00FD2859">
        <w:rPr>
          <w:lang w:val="es-ES" w:eastAsia="en-US"/>
        </w:rPr>
        <w:tab/>
      </w:r>
      <w:r w:rsidRPr="00FD2859">
        <w:rPr>
          <w:b/>
          <w:lang w:val="es-ES" w:eastAsia="en-US"/>
        </w:rPr>
        <w:t>Acelere la revisión del Código Penal para armonizar sus disposiciones con la Ley núm. 061-2015/CNT, asegurando así que se tipifique como delito la violencia en el hogar, el rechazo familiar de las niñas por motivos de embarazo extramatrimonial o por negarse a contraer un matrimonio forzado, y el acoso sexual;</w:t>
      </w:r>
      <w:bookmarkEnd w:id="70"/>
    </w:p>
    <w:p w14:paraId="2B37C922" w14:textId="77777777" w:rsidR="008C7C13" w:rsidRPr="00FD2859" w:rsidRDefault="008C7C13" w:rsidP="00AD3438">
      <w:pPr>
        <w:pStyle w:val="SingleTxt"/>
        <w:rPr>
          <w:lang w:val="es-ES" w:eastAsia="en-US"/>
        </w:rPr>
      </w:pPr>
      <w:bookmarkStart w:id="71" w:name="bookmark_83"/>
      <w:r w:rsidRPr="00FD2859">
        <w:rPr>
          <w:lang w:val="es-ES" w:eastAsia="en-US"/>
        </w:rPr>
        <w:tab/>
        <w:t>d)</w:t>
      </w:r>
      <w:r w:rsidRPr="00FD2859">
        <w:rPr>
          <w:lang w:val="es-ES" w:eastAsia="en-US"/>
        </w:rPr>
        <w:tab/>
      </w:r>
      <w:r w:rsidRPr="00FD2859">
        <w:rPr>
          <w:b/>
          <w:lang w:val="es-ES" w:eastAsia="en-US"/>
        </w:rPr>
        <w:t>Vele por la aplicación efectiva de la Ley núm. 061-2015/CNT y, por consiguiente, que todas las acusaciones de violencia de género contra la mujer, también las de violencia doméstica, se investiguen y enjuicien de forma efectiva, que se castigue de manera adecuada a los autores y que las víctimas tengan acceso a una reparación apropiada, que incluya una compensación;</w:t>
      </w:r>
      <w:bookmarkEnd w:id="71"/>
    </w:p>
    <w:p w14:paraId="162BE3C9" w14:textId="77777777" w:rsidR="008C7C13" w:rsidRPr="00FD2859" w:rsidRDefault="008C7C13" w:rsidP="00AD3438">
      <w:pPr>
        <w:pStyle w:val="SingleTxt"/>
        <w:rPr>
          <w:lang w:val="es-ES" w:eastAsia="en-US"/>
        </w:rPr>
      </w:pPr>
      <w:bookmarkStart w:id="72" w:name="bookmark_84"/>
      <w:r w:rsidRPr="00FD2859">
        <w:rPr>
          <w:lang w:val="es-ES" w:eastAsia="en-US"/>
        </w:rPr>
        <w:tab/>
        <w:t>e)</w:t>
      </w:r>
      <w:r w:rsidRPr="00FD2859">
        <w:rPr>
          <w:lang w:val="es-ES" w:eastAsia="en-US"/>
        </w:rPr>
        <w:tab/>
      </w:r>
      <w:r w:rsidRPr="00FD2859">
        <w:rPr>
          <w:b/>
          <w:lang w:val="es-ES" w:eastAsia="en-US"/>
        </w:rPr>
        <w:t>Ofrezca programas de desarrollo de la capacidad para jueces, fiscales, agentes de policía y otros funcionarios encargados de hacer cumplir la ley, profesionales del derecho y líderes comunitarios sobre la forma de prevenir la violencia de género e investigar las acusaciones de violencia de una forma que tenga en cuenta las cuestiones de género;</w:t>
      </w:r>
      <w:bookmarkEnd w:id="72"/>
    </w:p>
    <w:p w14:paraId="2CCE65F8" w14:textId="77777777" w:rsidR="002000B3" w:rsidRPr="00FD2859" w:rsidRDefault="002000B3">
      <w:pPr>
        <w:suppressAutoHyphens w:val="0"/>
        <w:spacing w:line="240" w:lineRule="auto"/>
        <w:rPr>
          <w:lang w:val="es-ES" w:eastAsia="en-US"/>
        </w:rPr>
      </w:pPr>
      <w:bookmarkStart w:id="73" w:name="bookmark_85"/>
      <w:r w:rsidRPr="00FD2859">
        <w:rPr>
          <w:lang w:val="es-ES" w:eastAsia="en-US"/>
        </w:rPr>
        <w:br w:type="page"/>
      </w:r>
    </w:p>
    <w:p w14:paraId="052AADAB" w14:textId="77777777" w:rsidR="008C7C13" w:rsidRPr="00FD2859" w:rsidRDefault="008C7C13" w:rsidP="00AD3438">
      <w:pPr>
        <w:pStyle w:val="SingleTxt"/>
        <w:rPr>
          <w:lang w:val="es-ES" w:eastAsia="en-US"/>
        </w:rPr>
      </w:pPr>
      <w:r w:rsidRPr="00FD2859">
        <w:rPr>
          <w:lang w:val="es-ES" w:eastAsia="en-US"/>
        </w:rPr>
        <w:lastRenderedPageBreak/>
        <w:tab/>
        <w:t>f)</w:t>
      </w:r>
      <w:r w:rsidRPr="00FD2859">
        <w:rPr>
          <w:lang w:val="es-ES" w:eastAsia="en-US"/>
        </w:rPr>
        <w:tab/>
      </w:r>
      <w:r w:rsidRPr="00FD2859">
        <w:rPr>
          <w:b/>
          <w:lang w:val="es-ES" w:eastAsia="en-US"/>
        </w:rPr>
        <w:t>Aumente el número y la cobertura de los refugios, especialmente en las zonas rurales, y ofrezca programas de tratamiento médico, rehabilitación psicosocial y reintegración, así como asistencia jurídica, a las víctimas de la violencia de género;</w:t>
      </w:r>
      <w:bookmarkEnd w:id="73"/>
    </w:p>
    <w:p w14:paraId="5155330A" w14:textId="77777777" w:rsidR="008C7C13" w:rsidRPr="00FD2859" w:rsidRDefault="008C7C13" w:rsidP="002000B3">
      <w:pPr>
        <w:pStyle w:val="SingleTxt"/>
        <w:rPr>
          <w:lang w:val="es-ES" w:eastAsia="en-US"/>
        </w:rPr>
      </w:pPr>
      <w:bookmarkStart w:id="74" w:name="bookmark_86"/>
      <w:r w:rsidRPr="00FD2859">
        <w:rPr>
          <w:lang w:val="es-ES" w:eastAsia="en-US"/>
        </w:rPr>
        <w:tab/>
        <w:t>g)</w:t>
      </w:r>
      <w:r w:rsidRPr="00FD2859">
        <w:rPr>
          <w:lang w:val="es-ES" w:eastAsia="en-US"/>
        </w:rPr>
        <w:tab/>
      </w:r>
      <w:r w:rsidRPr="00FD2859">
        <w:rPr>
          <w:b/>
          <w:lang w:val="es-ES" w:eastAsia="en-US"/>
        </w:rPr>
        <w:t xml:space="preserve">Reúna y analice datos de forma sistemática sobre todas las formas de violencia de género contra la mujer, desglosados por edad, región y relación entre </w:t>
      </w:r>
      <w:r w:rsidR="00EE6AC5" w:rsidRPr="00FD2859">
        <w:rPr>
          <w:b/>
          <w:lang w:val="es-ES" w:eastAsia="en-US"/>
        </w:rPr>
        <w:t>la víctima</w:t>
      </w:r>
      <w:r w:rsidRPr="00FD2859">
        <w:rPr>
          <w:b/>
          <w:lang w:val="es-ES" w:eastAsia="en-US"/>
        </w:rPr>
        <w:t xml:space="preserve"> y el autor, así como sobre las órdenes de alejamiento, el número de enjuiciamientos y las condenas impuestas a los autores.</w:t>
      </w:r>
      <w:bookmarkEnd w:id="74"/>
    </w:p>
    <w:p w14:paraId="4C93F022" w14:textId="77777777" w:rsidR="005465B4" w:rsidRPr="00FD2859" w:rsidRDefault="005465B4" w:rsidP="005465B4">
      <w:pPr>
        <w:pStyle w:val="SingleTxt"/>
        <w:spacing w:after="0" w:line="120" w:lineRule="exact"/>
        <w:rPr>
          <w:sz w:val="10"/>
          <w:szCs w:val="10"/>
          <w:lang w:val="es-ES"/>
        </w:rPr>
      </w:pPr>
      <w:bookmarkStart w:id="75" w:name="bookmark_87"/>
    </w:p>
    <w:p w14:paraId="62701899" w14:textId="77777777" w:rsidR="008C7C13" w:rsidRPr="00FD2859" w:rsidRDefault="008C7C13" w:rsidP="00722419">
      <w:pPr>
        <w:pStyle w:val="H23"/>
        <w:ind w:right="1260"/>
        <w:rPr>
          <w:bCs w:val="0"/>
          <w:lang w:val="es-ES" w:eastAsia="en-US"/>
        </w:rPr>
      </w:pPr>
      <w:r w:rsidRPr="00FD2859">
        <w:rPr>
          <w:bCs w:val="0"/>
          <w:lang w:val="es-ES" w:eastAsia="en-US"/>
        </w:rPr>
        <w:tab/>
      </w:r>
      <w:r w:rsidRPr="00FD2859">
        <w:rPr>
          <w:bCs w:val="0"/>
          <w:lang w:val="es-ES" w:eastAsia="en-US"/>
        </w:rPr>
        <w:tab/>
        <w:t>Prácticas tradicionales nocivas</w:t>
      </w:r>
      <w:bookmarkEnd w:id="75"/>
    </w:p>
    <w:p w14:paraId="016C9408" w14:textId="77777777" w:rsidR="005465B4" w:rsidRPr="00FD2859" w:rsidRDefault="005465B4" w:rsidP="005465B4">
      <w:pPr>
        <w:pStyle w:val="SingleTxt"/>
        <w:spacing w:after="0" w:line="120" w:lineRule="exact"/>
        <w:rPr>
          <w:sz w:val="10"/>
          <w:szCs w:val="10"/>
          <w:lang w:val="es-ES"/>
        </w:rPr>
      </w:pPr>
    </w:p>
    <w:p w14:paraId="3D77A058" w14:textId="77777777" w:rsidR="008C7C13" w:rsidRPr="00FD2859" w:rsidRDefault="008C7C13" w:rsidP="00D537FB">
      <w:pPr>
        <w:pStyle w:val="SingleTxt"/>
        <w:numPr>
          <w:ilvl w:val="0"/>
          <w:numId w:val="31"/>
        </w:numPr>
        <w:tabs>
          <w:tab w:val="num" w:pos="1742"/>
        </w:tabs>
        <w:ind w:left="1267" w:firstLine="0"/>
        <w:rPr>
          <w:szCs w:val="22"/>
          <w:lang w:val="es-ES" w:eastAsia="en-US"/>
        </w:rPr>
      </w:pPr>
      <w:bookmarkStart w:id="76" w:name="bookmark_88"/>
      <w:r w:rsidRPr="00FD2859">
        <w:rPr>
          <w:szCs w:val="22"/>
          <w:lang w:val="es-ES" w:eastAsia="en-US"/>
        </w:rPr>
        <w:t>El Comité acoge con beneplácito la aprobación del plan estratégico nacional para eliminar la práctica de la mutilación genital femenina, que abarca el período 2016–2020, y la estrategia nacional para prevenir y eliminar el matrimonio infantil, que comprende el período 2016–2025. Sin embargo, observa con preocupación:</w:t>
      </w:r>
      <w:bookmarkEnd w:id="76"/>
    </w:p>
    <w:p w14:paraId="314F149B" w14:textId="77777777" w:rsidR="008C7C13" w:rsidRPr="00FD2859" w:rsidRDefault="00E21B88" w:rsidP="00E21B88">
      <w:pPr>
        <w:pStyle w:val="SingleTxt"/>
        <w:rPr>
          <w:lang w:val="es-ES" w:eastAsia="en-US"/>
        </w:rPr>
      </w:pPr>
      <w:bookmarkStart w:id="77" w:name="bookmark_89"/>
      <w:r w:rsidRPr="00FD2859">
        <w:rPr>
          <w:lang w:val="es-ES" w:eastAsia="en-US"/>
        </w:rPr>
        <w:tab/>
      </w:r>
      <w:r w:rsidR="008C7C13" w:rsidRPr="00FD2859">
        <w:rPr>
          <w:lang w:val="es-ES" w:eastAsia="en-US"/>
        </w:rPr>
        <w:t>a)</w:t>
      </w:r>
      <w:r w:rsidR="008C7C13" w:rsidRPr="00FD2859">
        <w:rPr>
          <w:lang w:val="es-ES" w:eastAsia="en-US"/>
        </w:rPr>
        <w:tab/>
        <w:t xml:space="preserve">La práctica persistente de la mutilación genital femenina y la indulgencia de la política de imposición de penas en el Estado parte, así como el hecho de que no se aplique sistemáticamente la pena mínima de seis meses de prisión a los autores y el uso excesivo de la imposición de condenas condicionales; </w:t>
      </w:r>
      <w:bookmarkEnd w:id="77"/>
    </w:p>
    <w:p w14:paraId="41D64BEF" w14:textId="77777777" w:rsidR="008C7C13" w:rsidRPr="00FD2859" w:rsidRDefault="00E21B88" w:rsidP="00E21B88">
      <w:pPr>
        <w:pStyle w:val="SingleTxt"/>
        <w:rPr>
          <w:lang w:val="es-ES" w:eastAsia="en-US"/>
        </w:rPr>
      </w:pPr>
      <w:bookmarkStart w:id="78" w:name="bookmark_90"/>
      <w:r w:rsidRPr="00FD2859">
        <w:rPr>
          <w:lang w:val="es-ES" w:eastAsia="en-US"/>
        </w:rPr>
        <w:tab/>
      </w:r>
      <w:r w:rsidR="008C7C13" w:rsidRPr="00FD2859">
        <w:rPr>
          <w:lang w:val="es-ES" w:eastAsia="en-US"/>
        </w:rPr>
        <w:t>b)</w:t>
      </w:r>
      <w:r w:rsidR="008C7C13" w:rsidRPr="00FD2859">
        <w:rPr>
          <w:lang w:val="es-ES" w:eastAsia="en-US"/>
        </w:rPr>
        <w:tab/>
        <w:t xml:space="preserve">La tasa extremadamente alta de matrimonio infantil; el 92% de las niñas de las zonas rurales se casan antes de alcanzar los 18 años de edad. Además, el ámbito de aplicación del artículo 376 del Código Penal, que prohíbe el matrimonio infantil y el matrimonio forzado, se limita a los matrimonios civiles y no abarca los que se contraen con arreglo al derecho tradicional o religioso, en virtud de los cuales se administran la mayoría de los matrimonios infantiles y forzados. </w:t>
      </w:r>
      <w:bookmarkEnd w:id="78"/>
    </w:p>
    <w:p w14:paraId="552BF08E" w14:textId="77777777" w:rsidR="008C7C13" w:rsidRPr="00FD2859" w:rsidRDefault="008C7C13" w:rsidP="00D537FB">
      <w:pPr>
        <w:pStyle w:val="SingleTxt"/>
        <w:numPr>
          <w:ilvl w:val="0"/>
          <w:numId w:val="31"/>
        </w:numPr>
        <w:tabs>
          <w:tab w:val="num" w:pos="1742"/>
        </w:tabs>
        <w:ind w:left="1267" w:firstLine="0"/>
        <w:rPr>
          <w:b/>
          <w:szCs w:val="22"/>
          <w:lang w:val="es-ES" w:eastAsia="en-US"/>
        </w:rPr>
      </w:pPr>
      <w:bookmarkStart w:id="79" w:name="bookmark_91"/>
      <w:r w:rsidRPr="00FD2859">
        <w:rPr>
          <w:b/>
          <w:szCs w:val="22"/>
          <w:lang w:val="es-ES" w:eastAsia="en-US"/>
        </w:rPr>
        <w:t xml:space="preserve">El Comité, en consonancia con la meta 5.3 de los Objetivos de Desarrollo Sostenible, que pide que se eliminen todas las prácticas nocivas, como el matrimonio infantil y forzado y la mutilación genital femenina, recomienda que el Estado parte: </w:t>
      </w:r>
      <w:bookmarkEnd w:id="79"/>
    </w:p>
    <w:p w14:paraId="11B86489" w14:textId="77777777" w:rsidR="008C7C13" w:rsidRPr="00FD2859" w:rsidRDefault="008C7C13" w:rsidP="00A42314">
      <w:pPr>
        <w:pStyle w:val="SingleTxt"/>
        <w:rPr>
          <w:lang w:val="es-ES" w:eastAsia="en-US"/>
        </w:rPr>
      </w:pPr>
      <w:bookmarkStart w:id="80" w:name="bookmark_92"/>
      <w:r w:rsidRPr="00FD2859">
        <w:rPr>
          <w:lang w:val="es-ES" w:eastAsia="en-US"/>
        </w:rPr>
        <w:tab/>
        <w:t>a)</w:t>
      </w:r>
      <w:r w:rsidRPr="00FD2859">
        <w:rPr>
          <w:lang w:val="es-ES" w:eastAsia="en-US"/>
        </w:rPr>
        <w:tab/>
      </w:r>
      <w:r w:rsidRPr="00FD2859">
        <w:rPr>
          <w:b/>
          <w:lang w:val="es-ES" w:eastAsia="en-US"/>
        </w:rPr>
        <w:t>Asigne recursos suficientes para la aplicación de los planes y estrategias nacionales para combatir la mutilación genital femenina y el matrimonio infantil, que prevea campañas estratégicas en los medios de comunicación y programas educativos para sensibilizar a los líderes tradicionales y religiosos, a los trabajadores sanitarios y sociales, y a la población en general acerca de los efectos negativos de dichas prácticas tradicionales nocivas sobre las mujeres y las niñas;</w:t>
      </w:r>
      <w:bookmarkEnd w:id="80"/>
    </w:p>
    <w:p w14:paraId="69F5934A" w14:textId="77777777" w:rsidR="008C7C13" w:rsidRPr="00FD2859" w:rsidRDefault="00A42314" w:rsidP="00A42314">
      <w:pPr>
        <w:pStyle w:val="SingleTxt"/>
        <w:rPr>
          <w:lang w:val="es-ES" w:eastAsia="en-US"/>
        </w:rPr>
      </w:pPr>
      <w:bookmarkStart w:id="81" w:name="bookmark_93"/>
      <w:r w:rsidRPr="00FD2859">
        <w:rPr>
          <w:lang w:val="es-ES" w:eastAsia="en-US"/>
        </w:rPr>
        <w:tab/>
      </w:r>
      <w:r w:rsidR="008C7C13" w:rsidRPr="00FD2859">
        <w:rPr>
          <w:lang w:val="es-ES" w:eastAsia="en-US"/>
        </w:rPr>
        <w:t>b)</w:t>
      </w:r>
      <w:r w:rsidR="008C7C13" w:rsidRPr="00FD2859">
        <w:rPr>
          <w:lang w:val="es-ES" w:eastAsia="en-US"/>
        </w:rPr>
        <w:tab/>
      </w:r>
      <w:r w:rsidR="008C7C13" w:rsidRPr="00FD2859">
        <w:rPr>
          <w:b/>
          <w:lang w:val="es-ES" w:eastAsia="en-US"/>
        </w:rPr>
        <w:t>Establezca mecanismos para vigilar y evaluar sistemáticamente la aplicación de dichos planes, con miras a mejorar constantemente su eficacia;</w:t>
      </w:r>
      <w:r w:rsidR="008C7C13" w:rsidRPr="00FD2859">
        <w:rPr>
          <w:lang w:val="es-ES" w:eastAsia="en-US"/>
        </w:rPr>
        <w:t xml:space="preserve"> </w:t>
      </w:r>
      <w:bookmarkEnd w:id="81"/>
    </w:p>
    <w:p w14:paraId="0D206E94" w14:textId="77777777" w:rsidR="008C7C13" w:rsidRPr="00FD2859" w:rsidRDefault="00A42314" w:rsidP="00A42314">
      <w:pPr>
        <w:pStyle w:val="SingleTxt"/>
        <w:rPr>
          <w:lang w:val="es-ES" w:eastAsia="en-US"/>
        </w:rPr>
      </w:pPr>
      <w:bookmarkStart w:id="82" w:name="bookmark_94"/>
      <w:r w:rsidRPr="00FD2859">
        <w:rPr>
          <w:lang w:val="es-ES" w:eastAsia="en-US"/>
        </w:rPr>
        <w:tab/>
      </w:r>
      <w:r w:rsidR="008C7C13" w:rsidRPr="00FD2859">
        <w:rPr>
          <w:lang w:val="es-ES" w:eastAsia="en-US"/>
        </w:rPr>
        <w:t>c)</w:t>
      </w:r>
      <w:r w:rsidR="008C7C13" w:rsidRPr="00FD2859">
        <w:rPr>
          <w:lang w:val="es-ES" w:eastAsia="en-US"/>
        </w:rPr>
        <w:tab/>
      </w:r>
      <w:r w:rsidR="008C7C13" w:rsidRPr="00FD2859">
        <w:rPr>
          <w:b/>
          <w:lang w:val="es-ES" w:eastAsia="en-US"/>
        </w:rPr>
        <w:t>Aplique estrictamente los artículos 380–382 del Código Penal que prohíben la mutilación genital femenina, y suspenda la imposición de condenas condicionales;</w:t>
      </w:r>
      <w:bookmarkEnd w:id="82"/>
    </w:p>
    <w:p w14:paraId="303EDE70" w14:textId="77777777" w:rsidR="008C7C13" w:rsidRPr="00FD2859" w:rsidRDefault="008C7C13" w:rsidP="00A42314">
      <w:pPr>
        <w:pStyle w:val="SingleTxt"/>
        <w:rPr>
          <w:lang w:val="es-ES" w:eastAsia="en-US"/>
        </w:rPr>
      </w:pPr>
      <w:bookmarkStart w:id="83" w:name="bookmark_95"/>
      <w:r w:rsidRPr="00FD2859">
        <w:rPr>
          <w:lang w:val="es-ES" w:eastAsia="en-US"/>
        </w:rPr>
        <w:tab/>
        <w:t>d)</w:t>
      </w:r>
      <w:r w:rsidRPr="00FD2859">
        <w:rPr>
          <w:lang w:val="es-ES" w:eastAsia="en-US"/>
        </w:rPr>
        <w:tab/>
      </w:r>
      <w:r w:rsidRPr="00FD2859">
        <w:rPr>
          <w:b/>
          <w:lang w:val="es-ES" w:eastAsia="en-US"/>
        </w:rPr>
        <w:t>Amplíe la definición de matrimonio forzado en el artículo 376 del Código Penal para incluir las uniones conyugales forzadas que se celebran en las prácticas tradicionales o religiosas.</w:t>
      </w:r>
      <w:bookmarkEnd w:id="83"/>
    </w:p>
    <w:p w14:paraId="76E82AC7" w14:textId="77777777" w:rsidR="005465B4" w:rsidRPr="00FD2859" w:rsidRDefault="005465B4" w:rsidP="005465B4">
      <w:pPr>
        <w:pStyle w:val="SingleTxt"/>
        <w:spacing w:after="0" w:line="120" w:lineRule="exact"/>
        <w:rPr>
          <w:sz w:val="10"/>
          <w:szCs w:val="10"/>
          <w:lang w:val="es-ES"/>
        </w:rPr>
      </w:pPr>
      <w:bookmarkStart w:id="84" w:name="bookmark_96"/>
    </w:p>
    <w:p w14:paraId="43BE080F" w14:textId="77777777" w:rsidR="002000B3" w:rsidRPr="00FD2859" w:rsidRDefault="002000B3">
      <w:pPr>
        <w:suppressAutoHyphens w:val="0"/>
        <w:spacing w:line="240" w:lineRule="auto"/>
        <w:rPr>
          <w:b/>
          <w:spacing w:val="2"/>
          <w:lang w:val="es-ES" w:eastAsia="en-US"/>
        </w:rPr>
      </w:pPr>
      <w:r w:rsidRPr="00FD2859">
        <w:rPr>
          <w:bCs/>
          <w:lang w:val="es-ES" w:eastAsia="en-US"/>
        </w:rPr>
        <w:br w:type="page"/>
      </w:r>
    </w:p>
    <w:p w14:paraId="6C47F359" w14:textId="77777777" w:rsidR="008C7C13" w:rsidRPr="00FD2859" w:rsidRDefault="008C7C13" w:rsidP="00722419">
      <w:pPr>
        <w:pStyle w:val="H23"/>
        <w:ind w:right="1260"/>
        <w:rPr>
          <w:bCs w:val="0"/>
          <w:lang w:val="es-ES" w:eastAsia="en-US"/>
        </w:rPr>
      </w:pPr>
      <w:r w:rsidRPr="00FD2859">
        <w:rPr>
          <w:bCs w:val="0"/>
          <w:lang w:val="es-ES" w:eastAsia="en-US"/>
        </w:rPr>
        <w:lastRenderedPageBreak/>
        <w:tab/>
      </w:r>
      <w:r w:rsidRPr="00FD2859">
        <w:rPr>
          <w:bCs w:val="0"/>
          <w:lang w:val="es-ES" w:eastAsia="en-US"/>
        </w:rPr>
        <w:tab/>
        <w:t xml:space="preserve">Trata y explotación de la prostitución </w:t>
      </w:r>
      <w:bookmarkEnd w:id="84"/>
    </w:p>
    <w:p w14:paraId="1F4F9D9D" w14:textId="77777777" w:rsidR="005465B4" w:rsidRPr="00FD2859" w:rsidRDefault="005465B4" w:rsidP="005465B4">
      <w:pPr>
        <w:pStyle w:val="SingleTxt"/>
        <w:spacing w:after="0" w:line="120" w:lineRule="exact"/>
        <w:rPr>
          <w:sz w:val="10"/>
          <w:szCs w:val="10"/>
          <w:lang w:val="es-ES"/>
        </w:rPr>
      </w:pPr>
    </w:p>
    <w:p w14:paraId="4C5E4250" w14:textId="77777777" w:rsidR="008C7C13" w:rsidRPr="00FD2859" w:rsidRDefault="008C7C13" w:rsidP="00D537FB">
      <w:pPr>
        <w:pStyle w:val="SingleTxt"/>
        <w:numPr>
          <w:ilvl w:val="0"/>
          <w:numId w:val="31"/>
        </w:numPr>
        <w:tabs>
          <w:tab w:val="num" w:pos="1742"/>
        </w:tabs>
        <w:ind w:left="1267" w:firstLine="0"/>
        <w:rPr>
          <w:szCs w:val="22"/>
          <w:lang w:val="es-ES" w:eastAsia="en-US"/>
        </w:rPr>
      </w:pPr>
      <w:bookmarkStart w:id="85" w:name="bookmark_97"/>
      <w:r w:rsidRPr="00FD2859">
        <w:rPr>
          <w:szCs w:val="22"/>
          <w:lang w:val="es-ES" w:eastAsia="en-US"/>
        </w:rPr>
        <w:t>El Comité acoge con beneplácito la creación de un Comité Nacional de Vigilancia y Supervisión, con el mandato de coordinar la aplicación de la legislación contra la trata. Señala que el Estado parte es país de origen, tránsito y destino de la trata de personas y observa con preocupación la falta de información sobre:</w:t>
      </w:r>
      <w:bookmarkEnd w:id="85"/>
    </w:p>
    <w:p w14:paraId="5722CC54" w14:textId="77777777" w:rsidR="008C7C13" w:rsidRPr="00FD2859" w:rsidRDefault="00A42314" w:rsidP="002000B3">
      <w:pPr>
        <w:pStyle w:val="SingleTxt"/>
        <w:rPr>
          <w:lang w:val="es-ES" w:eastAsia="en-US"/>
        </w:rPr>
      </w:pPr>
      <w:bookmarkStart w:id="86" w:name="bookmark_98"/>
      <w:r w:rsidRPr="00FD2859">
        <w:rPr>
          <w:lang w:val="es-ES" w:eastAsia="en-US"/>
        </w:rPr>
        <w:tab/>
      </w:r>
      <w:r w:rsidR="008C7C13" w:rsidRPr="00FD2859">
        <w:rPr>
          <w:lang w:val="es-ES" w:eastAsia="en-US"/>
        </w:rPr>
        <w:t>a)</w:t>
      </w:r>
      <w:r w:rsidR="008C7C13" w:rsidRPr="00FD2859">
        <w:rPr>
          <w:lang w:val="es-ES" w:eastAsia="en-US"/>
        </w:rPr>
        <w:tab/>
        <w:t>Los resultados del estudio de 2013 sobre la trata de personas realizado por el entonces Ministerio de Acción Social y Solidaridad Nacional, que es fundamental para establecer una estrategia eficaz de lucha contra la trata que velaría por el enjuiciamiento y el castigo de los perpetradores y mejoraría la asistencia jurídica y psicosocial disponible para las mujeres y las niñas que son víctimas, y su</w:t>
      </w:r>
      <w:r w:rsidR="00AC64EA" w:rsidRPr="00FD2859">
        <w:rPr>
          <w:lang w:val="es-ES" w:eastAsia="en-US"/>
        </w:rPr>
        <w:t> </w:t>
      </w:r>
      <w:r w:rsidR="008C7C13" w:rsidRPr="00FD2859">
        <w:rPr>
          <w:lang w:val="es-ES" w:eastAsia="en-US"/>
        </w:rPr>
        <w:t>reintegración;</w:t>
      </w:r>
      <w:bookmarkEnd w:id="86"/>
    </w:p>
    <w:p w14:paraId="6D05A77A" w14:textId="77777777" w:rsidR="008C7C13" w:rsidRPr="00FD2859" w:rsidRDefault="00A42314" w:rsidP="00A42314">
      <w:pPr>
        <w:pStyle w:val="SingleTxt"/>
        <w:rPr>
          <w:lang w:val="es-ES" w:eastAsia="en-US"/>
        </w:rPr>
      </w:pPr>
      <w:bookmarkStart w:id="87" w:name="bookmark_99"/>
      <w:r w:rsidRPr="00FD2859">
        <w:rPr>
          <w:lang w:val="es-ES" w:eastAsia="en-US"/>
        </w:rPr>
        <w:tab/>
      </w:r>
      <w:r w:rsidR="008C7C13" w:rsidRPr="00FD2859">
        <w:rPr>
          <w:lang w:val="es-ES" w:eastAsia="en-US"/>
        </w:rPr>
        <w:t>b)</w:t>
      </w:r>
      <w:r w:rsidR="008C7C13" w:rsidRPr="00FD2859">
        <w:rPr>
          <w:lang w:val="es-ES" w:eastAsia="en-US"/>
        </w:rPr>
        <w:tab/>
        <w:t>El número de investigaciones y enjuiciamientos, y las condenas impuestas a los autores de la trata de mujeres y niñas, así como sobre las medidas encaminadas a proteger a las víctimas y concederles reparación;</w:t>
      </w:r>
      <w:bookmarkEnd w:id="87"/>
    </w:p>
    <w:p w14:paraId="0CF6E1EB" w14:textId="14010484" w:rsidR="008C7C13" w:rsidRPr="00FD2859" w:rsidRDefault="00A42314" w:rsidP="00A42314">
      <w:pPr>
        <w:pStyle w:val="SingleTxt"/>
        <w:rPr>
          <w:lang w:val="es-ES" w:eastAsia="en-US"/>
        </w:rPr>
      </w:pPr>
      <w:bookmarkStart w:id="88" w:name="bookmark_100"/>
      <w:r w:rsidRPr="00FD2859">
        <w:rPr>
          <w:lang w:val="es-ES" w:eastAsia="en-US"/>
        </w:rPr>
        <w:tab/>
      </w:r>
      <w:r w:rsidR="008C7C13" w:rsidRPr="00FD2859">
        <w:rPr>
          <w:lang w:val="es-ES" w:eastAsia="en-US"/>
        </w:rPr>
        <w:t>c)</w:t>
      </w:r>
      <w:r w:rsidR="008C7C13" w:rsidRPr="00FD2859">
        <w:rPr>
          <w:lang w:val="es-ES" w:eastAsia="en-US"/>
        </w:rPr>
        <w:tab/>
        <w:t xml:space="preserve">Los servicios sociales y de protección disponibles para las mujeres que se dedican a la prostitución, </w:t>
      </w:r>
      <w:r w:rsidR="00EC6D2F" w:rsidRPr="00FD2859">
        <w:rPr>
          <w:lang w:val="es-ES" w:eastAsia="en-US"/>
        </w:rPr>
        <w:t xml:space="preserve">y </w:t>
      </w:r>
      <w:r w:rsidR="008C7C13" w:rsidRPr="00FD2859">
        <w:rPr>
          <w:lang w:val="es-ES" w:eastAsia="en-US"/>
        </w:rPr>
        <w:t>también sobre los programas para las mujeres que desean abandonar la prostitución.</w:t>
      </w:r>
      <w:bookmarkEnd w:id="88"/>
    </w:p>
    <w:p w14:paraId="7645ABBD" w14:textId="77777777" w:rsidR="008C7C13" w:rsidRPr="00FD2859" w:rsidRDefault="008C7C13" w:rsidP="00D537FB">
      <w:pPr>
        <w:pStyle w:val="SingleTxt"/>
        <w:numPr>
          <w:ilvl w:val="0"/>
          <w:numId w:val="31"/>
        </w:numPr>
        <w:tabs>
          <w:tab w:val="num" w:pos="1742"/>
        </w:tabs>
        <w:ind w:left="1267" w:firstLine="0"/>
        <w:rPr>
          <w:b/>
          <w:szCs w:val="22"/>
          <w:lang w:val="es-ES" w:eastAsia="en-US"/>
        </w:rPr>
      </w:pPr>
      <w:bookmarkStart w:id="89" w:name="bookmark_101"/>
      <w:r w:rsidRPr="00FD2859">
        <w:rPr>
          <w:b/>
          <w:szCs w:val="22"/>
          <w:lang w:val="es-ES" w:eastAsia="en-US"/>
        </w:rPr>
        <w:t>El Comité señala a la atención la meta 5.2 de los Objetivos de Desarrollo Sostenible, que pide que se eliminen todas las formas de violencia contra todas</w:t>
      </w:r>
      <w:r w:rsidR="00AC64EA" w:rsidRPr="00FD2859">
        <w:rPr>
          <w:b/>
          <w:szCs w:val="22"/>
          <w:lang w:val="es-ES" w:eastAsia="en-US"/>
        </w:rPr>
        <w:t> </w:t>
      </w:r>
      <w:r w:rsidRPr="00FD2859">
        <w:rPr>
          <w:b/>
          <w:szCs w:val="22"/>
          <w:lang w:val="es-ES" w:eastAsia="en-US"/>
        </w:rPr>
        <w:t>las mujeres y las niñas en los ámbitos público y privado, incluidas la trata y la explotación sexual y de otros tipos de explotación, y recomienda que el</w:t>
      </w:r>
      <w:r w:rsidR="00AC64EA" w:rsidRPr="00FD2859">
        <w:rPr>
          <w:b/>
          <w:szCs w:val="22"/>
          <w:lang w:val="es-ES" w:eastAsia="en-US"/>
        </w:rPr>
        <w:t> </w:t>
      </w:r>
      <w:r w:rsidRPr="00FD2859">
        <w:rPr>
          <w:b/>
          <w:szCs w:val="22"/>
          <w:lang w:val="es-ES" w:eastAsia="en-US"/>
        </w:rPr>
        <w:t>Estado parte:</w:t>
      </w:r>
      <w:bookmarkEnd w:id="89"/>
    </w:p>
    <w:p w14:paraId="69DA7AC7" w14:textId="77777777" w:rsidR="008C7C13" w:rsidRPr="00FD2859" w:rsidRDefault="008C7C13" w:rsidP="00A42314">
      <w:pPr>
        <w:pStyle w:val="SingleTxt"/>
        <w:rPr>
          <w:lang w:val="es-ES" w:eastAsia="en-US"/>
        </w:rPr>
      </w:pPr>
      <w:bookmarkStart w:id="90" w:name="bookmark_102"/>
      <w:r w:rsidRPr="00FD2859">
        <w:rPr>
          <w:lang w:val="es-ES" w:eastAsia="en-US"/>
        </w:rPr>
        <w:tab/>
        <w:t>a)</w:t>
      </w:r>
      <w:r w:rsidRPr="00FD2859">
        <w:rPr>
          <w:lang w:val="es-ES" w:eastAsia="en-US"/>
        </w:rPr>
        <w:tab/>
      </w:r>
      <w:r w:rsidRPr="00FD2859">
        <w:rPr>
          <w:b/>
          <w:lang w:val="es-ES" w:eastAsia="en-US"/>
        </w:rPr>
        <w:t xml:space="preserve">Desarrolle y aplique una estrategia contra la trata que contemple un desarrollo de la capacidad obligatorio para los funcionarios encargados de hacer cumplir la ley sobre la identificación temprana de las víctimas de la trata y su remisión a los servicios apropiados para proporcionarles asistencia y rehabilitación, y que lleve a cabo campañas de educación y sensibilización sobre los riesgos y la naturaleza delictiva de la trata; </w:t>
      </w:r>
      <w:bookmarkEnd w:id="90"/>
    </w:p>
    <w:p w14:paraId="7DA50DB7" w14:textId="77777777" w:rsidR="008C7C13" w:rsidRPr="00FD2859" w:rsidRDefault="00A42314" w:rsidP="00A42314">
      <w:pPr>
        <w:pStyle w:val="SingleTxt"/>
        <w:rPr>
          <w:lang w:val="es-ES" w:eastAsia="en-US"/>
        </w:rPr>
      </w:pPr>
      <w:bookmarkStart w:id="91" w:name="bookmark_103"/>
      <w:r w:rsidRPr="00FD2859">
        <w:rPr>
          <w:lang w:val="es-ES" w:eastAsia="en-US"/>
        </w:rPr>
        <w:tab/>
      </w:r>
      <w:r w:rsidR="008C7C13" w:rsidRPr="00FD2859">
        <w:rPr>
          <w:lang w:val="es-ES" w:eastAsia="en-US"/>
        </w:rPr>
        <w:t>b)</w:t>
      </w:r>
      <w:r w:rsidR="008C7C13" w:rsidRPr="00FD2859">
        <w:rPr>
          <w:lang w:val="es-ES" w:eastAsia="en-US"/>
        </w:rPr>
        <w:tab/>
      </w:r>
      <w:r w:rsidR="008C7C13" w:rsidRPr="00FD2859">
        <w:rPr>
          <w:b/>
          <w:lang w:val="es-ES" w:eastAsia="en-US"/>
        </w:rPr>
        <w:t>Investigue, enjuicie y castigue debidamente a los autores de la trata de personas, especialmente de mujeres y niñas, y que vele por que las víctimas de la trata y la prostitución queden exentas de toda responsabilidad penal y reciban protección y reparación, así como acceso a servicios de orientación, a tratamiento médico, a apoyo psicológico, a rehabilitación y a indemnización;</w:t>
      </w:r>
      <w:bookmarkEnd w:id="91"/>
    </w:p>
    <w:p w14:paraId="400C1520" w14:textId="5B87A4A8" w:rsidR="008C7C13" w:rsidRPr="00FD2859" w:rsidRDefault="008C7C13" w:rsidP="00A42314">
      <w:pPr>
        <w:pStyle w:val="SingleTxt"/>
        <w:rPr>
          <w:lang w:val="es-ES" w:eastAsia="en-US"/>
        </w:rPr>
      </w:pPr>
      <w:bookmarkStart w:id="92" w:name="bookmark_104"/>
      <w:r w:rsidRPr="00FD2859">
        <w:rPr>
          <w:lang w:val="es-ES" w:eastAsia="en-US"/>
        </w:rPr>
        <w:tab/>
        <w:t>c)</w:t>
      </w:r>
      <w:r w:rsidRPr="00FD2859">
        <w:rPr>
          <w:lang w:val="es-ES" w:eastAsia="en-US"/>
        </w:rPr>
        <w:tab/>
      </w:r>
      <w:r w:rsidRPr="00FD2859">
        <w:rPr>
          <w:b/>
          <w:lang w:val="es-ES" w:eastAsia="en-US"/>
        </w:rPr>
        <w:t xml:space="preserve">Afronte las causas fundamentales de la trata y la explotación de las mujeres y niñas </w:t>
      </w:r>
      <w:r w:rsidR="00EC6D2F" w:rsidRPr="00FD2859">
        <w:rPr>
          <w:b/>
          <w:lang w:val="es-ES" w:eastAsia="en-US"/>
        </w:rPr>
        <w:t xml:space="preserve">ofreciendo </w:t>
      </w:r>
      <w:r w:rsidRPr="00FD2859">
        <w:rPr>
          <w:b/>
          <w:lang w:val="es-ES" w:eastAsia="en-US"/>
        </w:rPr>
        <w:t>oportunidades de educación y de ingresos alternativos a las mujeres que corran el riesgo de ser objeto de trata o de explotación en la prostitución, así como programas de ayuda para las mujeres que deseen abandonar la prostitución, incluidas estrategias de reintegración social y profesional.</w:t>
      </w:r>
      <w:bookmarkEnd w:id="92"/>
    </w:p>
    <w:p w14:paraId="2A9338FB" w14:textId="77777777" w:rsidR="005465B4" w:rsidRPr="00FD2859" w:rsidRDefault="005465B4" w:rsidP="005465B4">
      <w:pPr>
        <w:pStyle w:val="SingleTxt"/>
        <w:spacing w:after="0" w:line="120" w:lineRule="exact"/>
        <w:rPr>
          <w:sz w:val="10"/>
          <w:szCs w:val="10"/>
          <w:lang w:val="es-ES"/>
        </w:rPr>
      </w:pPr>
      <w:bookmarkStart w:id="93" w:name="bookmark_105"/>
    </w:p>
    <w:p w14:paraId="6CFDAC2E" w14:textId="77777777" w:rsidR="002000B3" w:rsidRPr="00FD2859" w:rsidRDefault="002000B3">
      <w:pPr>
        <w:suppressAutoHyphens w:val="0"/>
        <w:spacing w:line="240" w:lineRule="auto"/>
        <w:rPr>
          <w:b/>
          <w:spacing w:val="2"/>
          <w:lang w:val="es-ES" w:eastAsia="en-US"/>
        </w:rPr>
      </w:pPr>
      <w:r w:rsidRPr="00FD2859">
        <w:rPr>
          <w:bCs/>
          <w:lang w:val="es-ES" w:eastAsia="en-US"/>
        </w:rPr>
        <w:br w:type="page"/>
      </w:r>
    </w:p>
    <w:p w14:paraId="5AC346FD" w14:textId="77777777" w:rsidR="008C7C13" w:rsidRPr="00FD2859" w:rsidRDefault="005465B4" w:rsidP="00722419">
      <w:pPr>
        <w:pStyle w:val="H23"/>
        <w:ind w:right="1260"/>
        <w:rPr>
          <w:bCs w:val="0"/>
          <w:lang w:val="es-ES" w:eastAsia="en-US"/>
        </w:rPr>
      </w:pPr>
      <w:r w:rsidRPr="00FD2859">
        <w:rPr>
          <w:bCs w:val="0"/>
          <w:lang w:val="es-ES" w:eastAsia="en-US"/>
        </w:rPr>
        <w:lastRenderedPageBreak/>
        <w:tab/>
      </w:r>
      <w:r w:rsidRPr="00FD2859">
        <w:rPr>
          <w:bCs w:val="0"/>
          <w:lang w:val="es-ES" w:eastAsia="en-US"/>
        </w:rPr>
        <w:tab/>
      </w:r>
      <w:r w:rsidR="008C7C13" w:rsidRPr="00FD2859">
        <w:rPr>
          <w:bCs w:val="0"/>
          <w:lang w:val="es-ES" w:eastAsia="en-US"/>
        </w:rPr>
        <w:t>Participación en la vida política y pública</w:t>
      </w:r>
      <w:bookmarkEnd w:id="93"/>
    </w:p>
    <w:p w14:paraId="10872F81" w14:textId="77777777" w:rsidR="005465B4" w:rsidRPr="00FD2859" w:rsidRDefault="005465B4" w:rsidP="005465B4">
      <w:pPr>
        <w:pStyle w:val="SingleTxt"/>
        <w:spacing w:after="0" w:line="120" w:lineRule="exact"/>
        <w:rPr>
          <w:sz w:val="10"/>
          <w:szCs w:val="10"/>
          <w:lang w:val="es-ES"/>
        </w:rPr>
      </w:pPr>
    </w:p>
    <w:p w14:paraId="2D36284E" w14:textId="7DC4AD39" w:rsidR="008C7C13" w:rsidRPr="00FD2859" w:rsidRDefault="008C7C13" w:rsidP="000B6DDB">
      <w:pPr>
        <w:pStyle w:val="SingleTxt"/>
        <w:numPr>
          <w:ilvl w:val="0"/>
          <w:numId w:val="31"/>
        </w:numPr>
        <w:tabs>
          <w:tab w:val="num" w:pos="1742"/>
        </w:tabs>
        <w:ind w:left="1267" w:firstLine="0"/>
        <w:rPr>
          <w:szCs w:val="22"/>
          <w:lang w:val="es-ES" w:eastAsia="en-US"/>
        </w:rPr>
      </w:pPr>
      <w:bookmarkStart w:id="94" w:name="bookmark_106"/>
      <w:r w:rsidRPr="00FD2859">
        <w:rPr>
          <w:szCs w:val="22"/>
          <w:lang w:val="es-ES" w:eastAsia="en-US"/>
        </w:rPr>
        <w:t xml:space="preserve">El Comité celebra la revisión de la Ley núm. 010-2009, de 16 de abril de 2009, relativa a las cuotas electorales para aumentar la representación de cualquiera de los sexos en las listas de candidatos para las elecciones legislativas y municipales del 30% al 50% y el rechazo de cualquier lista que no respete esa cuota. También acoge con beneplácito la revisión del Código Electoral (Ley núm. 005-2015/CNT de 7 de abril de 2015) para armonizar sus disposiciones con las de la Ley núm. 010-2009. Sin embargo, al Comité le preocupa que, a pesar de la cuota mínima del 30% que estaba en vigor cuando se celebraron las últimas elecciones, el número de mujeres elegidas para el Parlamento nacional </w:t>
      </w:r>
      <w:r w:rsidR="00EC6D2F" w:rsidRPr="00FD2859">
        <w:rPr>
          <w:szCs w:val="22"/>
          <w:lang w:val="es-ES" w:eastAsia="en-US"/>
        </w:rPr>
        <w:t xml:space="preserve">siga </w:t>
      </w:r>
      <w:r w:rsidRPr="00FD2859">
        <w:rPr>
          <w:szCs w:val="22"/>
          <w:lang w:val="es-ES" w:eastAsia="en-US"/>
        </w:rPr>
        <w:t>siendo extremadamente bajo (15 de 127</w:t>
      </w:r>
      <w:r w:rsidR="004E7935" w:rsidRPr="00FD2859">
        <w:rPr>
          <w:szCs w:val="22"/>
          <w:lang w:val="es-ES" w:eastAsia="en-US"/>
        </w:rPr>
        <w:t> </w:t>
      </w:r>
      <w:r w:rsidRPr="00FD2859">
        <w:rPr>
          <w:szCs w:val="22"/>
          <w:lang w:val="es-ES" w:eastAsia="en-US"/>
        </w:rPr>
        <w:t>parlamentarios). También observa el escaso número de mujeres designadas para cargos ministeriales (7 de 29) y como embajadoras (7 de 32).</w:t>
      </w:r>
      <w:bookmarkEnd w:id="94"/>
    </w:p>
    <w:p w14:paraId="11B4F3E8" w14:textId="77777777" w:rsidR="008C7C13" w:rsidRPr="00FD2859" w:rsidRDefault="008C7C13" w:rsidP="000B6DDB">
      <w:pPr>
        <w:pStyle w:val="SingleTxt"/>
        <w:numPr>
          <w:ilvl w:val="0"/>
          <w:numId w:val="31"/>
        </w:numPr>
        <w:tabs>
          <w:tab w:val="num" w:pos="1742"/>
        </w:tabs>
        <w:ind w:left="1267" w:firstLine="0"/>
        <w:rPr>
          <w:b/>
          <w:szCs w:val="22"/>
          <w:lang w:val="es-ES" w:eastAsia="en-US"/>
        </w:rPr>
      </w:pPr>
      <w:bookmarkStart w:id="95" w:name="bookmark_107"/>
      <w:r w:rsidRPr="00FD2859">
        <w:rPr>
          <w:b/>
          <w:szCs w:val="22"/>
          <w:lang w:val="es-ES" w:eastAsia="en-US"/>
        </w:rPr>
        <w:t>De conformidad con su recomendación general núm. 23 (1997) sobre la mujer en la vida política y pública, el Comité recomienda al Estado parte que:</w:t>
      </w:r>
      <w:bookmarkEnd w:id="95"/>
    </w:p>
    <w:p w14:paraId="65FDCE44" w14:textId="77777777" w:rsidR="008C7C13" w:rsidRPr="00FD2859" w:rsidRDefault="008C7C13" w:rsidP="001B49E2">
      <w:pPr>
        <w:pStyle w:val="SingleTxt"/>
        <w:rPr>
          <w:lang w:val="es-ES" w:eastAsia="en-US"/>
        </w:rPr>
      </w:pPr>
      <w:bookmarkStart w:id="96" w:name="bookmark_108"/>
      <w:r w:rsidRPr="00FD2859">
        <w:rPr>
          <w:lang w:val="es-ES" w:eastAsia="en-US"/>
        </w:rPr>
        <w:tab/>
        <w:t>a)</w:t>
      </w:r>
      <w:r w:rsidRPr="00FD2859">
        <w:rPr>
          <w:lang w:val="es-ES" w:eastAsia="en-US"/>
        </w:rPr>
        <w:tab/>
      </w:r>
      <w:r w:rsidRPr="00FD2859">
        <w:rPr>
          <w:b/>
          <w:lang w:val="es-ES" w:eastAsia="en-US"/>
        </w:rPr>
        <w:t xml:space="preserve">Dentro de un plazo establecido, ultime y apruebe el proyecto de ley para revisar la Ley núm. 010-2009 con el fin de aumentar la representación de ambos sexos en las listas de candidatos para las elecciones legislativas y municipales del 30% al 50%, que rechace las listas de candidatos que no respeten esa cuota, que adopte el </w:t>
      </w:r>
      <w:r w:rsidR="004D4248" w:rsidRPr="00FD2859">
        <w:rPr>
          <w:b/>
          <w:lang w:val="es-ES" w:eastAsia="en-US"/>
        </w:rPr>
        <w:t>“</w:t>
      </w:r>
      <w:r w:rsidRPr="00FD2859">
        <w:rPr>
          <w:b/>
          <w:lang w:val="es-ES" w:eastAsia="en-US"/>
        </w:rPr>
        <w:t>principio cebra</w:t>
      </w:r>
      <w:r w:rsidR="004D4248" w:rsidRPr="00FD2859">
        <w:rPr>
          <w:b/>
          <w:lang w:val="es-ES" w:eastAsia="en-US"/>
        </w:rPr>
        <w:t>”</w:t>
      </w:r>
      <w:r w:rsidRPr="00FD2859">
        <w:rPr>
          <w:b/>
          <w:lang w:val="es-ES" w:eastAsia="en-US"/>
        </w:rPr>
        <w:t xml:space="preserve"> de incluir en la lista a una mujer por cada dos filas de las listas electorales y que aplique las sanciones por incumplimiento de la legislación de forma estricta;</w:t>
      </w:r>
      <w:bookmarkEnd w:id="96"/>
    </w:p>
    <w:p w14:paraId="54DEEF61" w14:textId="77777777" w:rsidR="008C7C13" w:rsidRPr="00FD2859" w:rsidRDefault="008C7C13" w:rsidP="001B49E2">
      <w:pPr>
        <w:pStyle w:val="SingleTxt"/>
        <w:rPr>
          <w:lang w:val="es-ES" w:eastAsia="en-US"/>
        </w:rPr>
      </w:pPr>
      <w:bookmarkStart w:id="97" w:name="bookmark_109"/>
      <w:r w:rsidRPr="00FD2859">
        <w:rPr>
          <w:lang w:val="es-ES" w:eastAsia="en-US"/>
        </w:rPr>
        <w:tab/>
        <w:t>b)</w:t>
      </w:r>
      <w:r w:rsidRPr="00FD2859">
        <w:rPr>
          <w:lang w:val="es-ES" w:eastAsia="en-US"/>
        </w:rPr>
        <w:tab/>
      </w:r>
      <w:r w:rsidRPr="00FD2859">
        <w:rPr>
          <w:b/>
          <w:lang w:val="es-ES" w:eastAsia="en-US"/>
        </w:rPr>
        <w:t>También dentro de un plazo establecido, ultime y apruebe las enmiendas del Código Electoral para armonizar sus disposiciones con las de la legislación revisada sobre las cuotas;</w:t>
      </w:r>
      <w:bookmarkEnd w:id="97"/>
    </w:p>
    <w:p w14:paraId="07922C91" w14:textId="77777777" w:rsidR="008C7C13" w:rsidRPr="00FD2859" w:rsidRDefault="001B49E2" w:rsidP="001B49E2">
      <w:pPr>
        <w:pStyle w:val="SingleTxt"/>
        <w:rPr>
          <w:lang w:val="es-ES" w:eastAsia="en-US"/>
        </w:rPr>
      </w:pPr>
      <w:bookmarkStart w:id="98" w:name="bookmark_110"/>
      <w:r w:rsidRPr="00FD2859">
        <w:rPr>
          <w:lang w:val="es-ES" w:eastAsia="en-US"/>
        </w:rPr>
        <w:tab/>
      </w:r>
      <w:r w:rsidR="008C7C13" w:rsidRPr="00FD2859">
        <w:rPr>
          <w:lang w:val="es-ES" w:eastAsia="en-US"/>
        </w:rPr>
        <w:t>c)</w:t>
      </w:r>
      <w:r w:rsidR="008C7C13" w:rsidRPr="00FD2859">
        <w:rPr>
          <w:lang w:val="es-ES" w:eastAsia="en-US"/>
        </w:rPr>
        <w:tab/>
      </w:r>
      <w:r w:rsidR="008C7C13" w:rsidRPr="00FD2859">
        <w:rPr>
          <w:b/>
          <w:lang w:val="es-ES" w:eastAsia="en-US"/>
        </w:rPr>
        <w:t>Aplique medidas especiales de carácter temporal para garantizar la paridad de género en el nombramiento de mujeres en puestos de adopción de decisiones en el Gobierno y en el servicio diplomático;</w:t>
      </w:r>
      <w:bookmarkEnd w:id="98"/>
    </w:p>
    <w:p w14:paraId="0DC45F5E" w14:textId="77777777" w:rsidR="008C7C13" w:rsidRPr="00FD2859" w:rsidRDefault="001B49E2" w:rsidP="001B49E2">
      <w:pPr>
        <w:pStyle w:val="SingleTxt"/>
        <w:rPr>
          <w:lang w:val="es-ES" w:eastAsia="en-US"/>
        </w:rPr>
      </w:pPr>
      <w:bookmarkStart w:id="99" w:name="bookmark_111"/>
      <w:r w:rsidRPr="00FD2859">
        <w:rPr>
          <w:lang w:val="es-ES" w:eastAsia="en-US"/>
        </w:rPr>
        <w:tab/>
      </w:r>
      <w:r w:rsidR="008C7C13" w:rsidRPr="00FD2859">
        <w:rPr>
          <w:lang w:val="es-ES" w:eastAsia="en-US"/>
        </w:rPr>
        <w:t>d)</w:t>
      </w:r>
      <w:r w:rsidR="008C7C13" w:rsidRPr="00FD2859">
        <w:rPr>
          <w:lang w:val="es-ES" w:eastAsia="en-US"/>
        </w:rPr>
        <w:tab/>
      </w:r>
      <w:r w:rsidR="008C7C13" w:rsidRPr="00FD2859">
        <w:rPr>
          <w:b/>
          <w:lang w:val="es-ES" w:eastAsia="en-US"/>
        </w:rPr>
        <w:t>Aumente la disponibilidad de programas de formación y desarrollo de la capacidad para las mujeres que deseen entrar en la vida política o desempeñar cargos públicos y continúe alentando a los medios de comunicación a que informen por igual sobre las mujeres y los hombres que son candidatos o representantes elegidos, sobre todo durante los períodos electorales;</w:t>
      </w:r>
      <w:bookmarkEnd w:id="99"/>
    </w:p>
    <w:p w14:paraId="418B3E77" w14:textId="77777777" w:rsidR="008C7C13" w:rsidRPr="00FD2859" w:rsidRDefault="001B49E2" w:rsidP="001B49E2">
      <w:pPr>
        <w:pStyle w:val="SingleTxt"/>
        <w:rPr>
          <w:lang w:val="es-ES" w:eastAsia="en-US"/>
        </w:rPr>
      </w:pPr>
      <w:bookmarkStart w:id="100" w:name="bookmark_112"/>
      <w:r w:rsidRPr="00FD2859">
        <w:rPr>
          <w:lang w:val="es-ES" w:eastAsia="en-US"/>
        </w:rPr>
        <w:tab/>
      </w:r>
      <w:r w:rsidR="008C7C13" w:rsidRPr="00FD2859">
        <w:rPr>
          <w:lang w:val="es-ES" w:eastAsia="en-US"/>
        </w:rPr>
        <w:t>e)</w:t>
      </w:r>
      <w:r w:rsidR="008C7C13" w:rsidRPr="00FD2859">
        <w:rPr>
          <w:lang w:val="es-ES" w:eastAsia="en-US"/>
        </w:rPr>
        <w:tab/>
      </w:r>
      <w:r w:rsidR="008C7C13" w:rsidRPr="00FD2859">
        <w:rPr>
          <w:b/>
          <w:lang w:val="es-ES" w:eastAsia="en-US"/>
        </w:rPr>
        <w:t>Sensibilice a los políticos, a los medios de comunicación, a los dirigentes tradicionales y a la población en general en cuanto a que la participación plena, igual, libre y democrática de la mujer en la vida política y pública en condiciones de igualdad con el hombre es un requisito para la aplicación efectiva de la Convención y para la estabilidad política y el desarrollo económico del país.</w:t>
      </w:r>
      <w:bookmarkEnd w:id="100"/>
    </w:p>
    <w:p w14:paraId="15E8203E" w14:textId="77777777" w:rsidR="005465B4" w:rsidRPr="00FD2859" w:rsidRDefault="005465B4" w:rsidP="005465B4">
      <w:pPr>
        <w:pStyle w:val="SingleTxt"/>
        <w:spacing w:after="0" w:line="120" w:lineRule="exact"/>
        <w:rPr>
          <w:sz w:val="10"/>
          <w:szCs w:val="10"/>
          <w:lang w:val="es-ES"/>
        </w:rPr>
      </w:pPr>
    </w:p>
    <w:p w14:paraId="0529A92B" w14:textId="77777777" w:rsidR="008C7C13" w:rsidRPr="00FD2859" w:rsidRDefault="005465B4" w:rsidP="00722419">
      <w:pPr>
        <w:pStyle w:val="H23"/>
        <w:ind w:right="1260"/>
        <w:rPr>
          <w:bCs w:val="0"/>
          <w:lang w:val="es-ES" w:eastAsia="en-US"/>
        </w:rPr>
      </w:pPr>
      <w:bookmarkStart w:id="101" w:name="bookmark_113"/>
      <w:r w:rsidRPr="00FD2859">
        <w:rPr>
          <w:bCs w:val="0"/>
          <w:lang w:val="es-ES" w:eastAsia="en-US"/>
        </w:rPr>
        <w:tab/>
      </w:r>
      <w:r w:rsidRPr="00FD2859">
        <w:rPr>
          <w:bCs w:val="0"/>
          <w:lang w:val="es-ES" w:eastAsia="en-US"/>
        </w:rPr>
        <w:tab/>
      </w:r>
      <w:r w:rsidR="008C7C13" w:rsidRPr="00FD2859">
        <w:rPr>
          <w:bCs w:val="0"/>
          <w:lang w:val="es-ES" w:eastAsia="en-US"/>
        </w:rPr>
        <w:t>Nacionalidad</w:t>
      </w:r>
      <w:bookmarkEnd w:id="101"/>
    </w:p>
    <w:p w14:paraId="2A4B8467" w14:textId="77777777" w:rsidR="005465B4" w:rsidRPr="00FD2859" w:rsidRDefault="005465B4" w:rsidP="005465B4">
      <w:pPr>
        <w:pStyle w:val="SingleTxt"/>
        <w:spacing w:after="0" w:line="120" w:lineRule="exact"/>
        <w:rPr>
          <w:sz w:val="10"/>
          <w:szCs w:val="10"/>
          <w:lang w:val="es-ES"/>
        </w:rPr>
      </w:pPr>
    </w:p>
    <w:p w14:paraId="2E233C96" w14:textId="3572127D" w:rsidR="008C7C13" w:rsidRPr="00FD2859" w:rsidRDefault="008C7C13" w:rsidP="000B6DDB">
      <w:pPr>
        <w:pStyle w:val="SingleTxt"/>
        <w:numPr>
          <w:ilvl w:val="0"/>
          <w:numId w:val="31"/>
        </w:numPr>
        <w:tabs>
          <w:tab w:val="num" w:pos="1742"/>
        </w:tabs>
        <w:ind w:left="1267" w:firstLine="0"/>
        <w:rPr>
          <w:szCs w:val="22"/>
          <w:lang w:val="es-ES" w:eastAsia="en-US"/>
        </w:rPr>
      </w:pPr>
      <w:bookmarkStart w:id="102" w:name="bookmark_114"/>
      <w:r w:rsidRPr="00FD2859">
        <w:rPr>
          <w:szCs w:val="22"/>
          <w:lang w:val="es-ES" w:eastAsia="en-US"/>
        </w:rPr>
        <w:t>El Comité encomia al Estado parte por el marco jurídico que regula la adquisición de la nacionalidad y su labor para inscribir los nacimientos. Sin</w:t>
      </w:r>
      <w:r w:rsidR="00C83A78" w:rsidRPr="00FD2859">
        <w:rPr>
          <w:szCs w:val="22"/>
          <w:lang w:val="es-ES" w:eastAsia="en-US"/>
        </w:rPr>
        <w:t> </w:t>
      </w:r>
      <w:r w:rsidRPr="00FD2859">
        <w:rPr>
          <w:szCs w:val="22"/>
          <w:lang w:val="es-ES" w:eastAsia="en-US"/>
        </w:rPr>
        <w:t xml:space="preserve">embargo, le preocupa que en el Estado parte </w:t>
      </w:r>
      <w:r w:rsidR="00EC6D2F" w:rsidRPr="00FD2859">
        <w:rPr>
          <w:szCs w:val="22"/>
          <w:lang w:val="es-ES" w:eastAsia="en-US"/>
        </w:rPr>
        <w:t xml:space="preserve">haya un </w:t>
      </w:r>
      <w:r w:rsidRPr="00FD2859">
        <w:rPr>
          <w:szCs w:val="22"/>
          <w:lang w:val="es-ES" w:eastAsia="en-US"/>
        </w:rPr>
        <w:t>20% de niños</w:t>
      </w:r>
      <w:r w:rsidR="00C83A78" w:rsidRPr="00FD2859">
        <w:rPr>
          <w:szCs w:val="22"/>
          <w:lang w:val="es-ES" w:eastAsia="en-US"/>
        </w:rPr>
        <w:t xml:space="preserve"> </w:t>
      </w:r>
      <w:r w:rsidR="00EC6D2F" w:rsidRPr="00FD2859">
        <w:rPr>
          <w:szCs w:val="22"/>
          <w:lang w:val="es-ES" w:eastAsia="en-US"/>
        </w:rPr>
        <w:t xml:space="preserve">a los que no se inscribió </w:t>
      </w:r>
      <w:r w:rsidRPr="00FD2859">
        <w:rPr>
          <w:szCs w:val="22"/>
          <w:lang w:val="es-ES" w:eastAsia="en-US"/>
        </w:rPr>
        <w:t>al</w:t>
      </w:r>
      <w:r w:rsidR="00C83A78" w:rsidRPr="00FD2859">
        <w:rPr>
          <w:szCs w:val="22"/>
          <w:lang w:val="es-ES" w:eastAsia="en-US"/>
        </w:rPr>
        <w:t xml:space="preserve"> </w:t>
      </w:r>
      <w:r w:rsidRPr="00FD2859">
        <w:rPr>
          <w:szCs w:val="22"/>
          <w:lang w:val="es-ES" w:eastAsia="en-US"/>
        </w:rPr>
        <w:t>nacer, lo cual los pone en riesgo de apatridia e impide su acceso a los</w:t>
      </w:r>
      <w:r w:rsidR="00C83A78" w:rsidRPr="00FD2859">
        <w:rPr>
          <w:szCs w:val="22"/>
          <w:lang w:val="es-ES" w:eastAsia="en-US"/>
        </w:rPr>
        <w:t> </w:t>
      </w:r>
      <w:r w:rsidRPr="00FD2859">
        <w:rPr>
          <w:szCs w:val="22"/>
          <w:lang w:val="es-ES" w:eastAsia="en-US"/>
        </w:rPr>
        <w:t>servicios</w:t>
      </w:r>
      <w:r w:rsidR="002000B3" w:rsidRPr="00FD2859">
        <w:rPr>
          <w:szCs w:val="22"/>
          <w:lang w:val="es-ES" w:eastAsia="en-US"/>
        </w:rPr>
        <w:t> </w:t>
      </w:r>
      <w:r w:rsidRPr="00FD2859">
        <w:rPr>
          <w:szCs w:val="22"/>
          <w:lang w:val="es-ES" w:eastAsia="en-US"/>
        </w:rPr>
        <w:t>básicos.</w:t>
      </w:r>
      <w:bookmarkEnd w:id="102"/>
    </w:p>
    <w:p w14:paraId="18D7FFD1" w14:textId="77777777" w:rsidR="008C7C13" w:rsidRPr="00FD2859" w:rsidRDefault="008C7C13" w:rsidP="002000B3">
      <w:pPr>
        <w:pStyle w:val="SingleTxt"/>
        <w:keepLines/>
        <w:numPr>
          <w:ilvl w:val="0"/>
          <w:numId w:val="31"/>
        </w:numPr>
        <w:tabs>
          <w:tab w:val="num" w:pos="1742"/>
        </w:tabs>
        <w:ind w:left="1267" w:firstLine="0"/>
        <w:rPr>
          <w:b/>
          <w:szCs w:val="22"/>
          <w:lang w:val="es-ES" w:eastAsia="en-US"/>
        </w:rPr>
      </w:pPr>
      <w:bookmarkStart w:id="103" w:name="bookmark_115"/>
      <w:r w:rsidRPr="00FD2859">
        <w:rPr>
          <w:b/>
          <w:szCs w:val="22"/>
          <w:lang w:val="es-ES" w:eastAsia="en-US"/>
        </w:rPr>
        <w:lastRenderedPageBreak/>
        <w:t>El Comité recomienda que el Estado parte intensifique sus esfuerzos para asegurar el registro de los nacimientos y la expedición de certificados de nacimiento sin demora, de forma gratuita, en todo su territorio, en particular mediante la organización de campañas de sensibilización sobre la importancia de la inscripción de los nacimientos y el uso de unidades móviles de registro civil, prestando especial atención a los niños nacidos en los campamentos de</w:t>
      </w:r>
      <w:r w:rsidR="004E7935" w:rsidRPr="00FD2859">
        <w:rPr>
          <w:b/>
          <w:szCs w:val="22"/>
          <w:lang w:val="es-ES" w:eastAsia="en-US"/>
        </w:rPr>
        <w:t> </w:t>
      </w:r>
      <w:r w:rsidRPr="00FD2859">
        <w:rPr>
          <w:b/>
          <w:szCs w:val="22"/>
          <w:lang w:val="es-ES" w:eastAsia="en-US"/>
        </w:rPr>
        <w:t xml:space="preserve">refugiados. </w:t>
      </w:r>
      <w:bookmarkEnd w:id="103"/>
    </w:p>
    <w:p w14:paraId="317DA6AE" w14:textId="77777777" w:rsidR="005465B4" w:rsidRPr="00FD2859" w:rsidRDefault="005465B4" w:rsidP="005465B4">
      <w:pPr>
        <w:pStyle w:val="SingleTxt"/>
        <w:spacing w:after="0" w:line="120" w:lineRule="exact"/>
        <w:rPr>
          <w:sz w:val="10"/>
          <w:szCs w:val="10"/>
          <w:lang w:val="es-ES"/>
        </w:rPr>
      </w:pPr>
      <w:bookmarkStart w:id="104" w:name="bookmark_116"/>
    </w:p>
    <w:p w14:paraId="3C702C11" w14:textId="77777777" w:rsidR="008C7C13" w:rsidRPr="00FD2859" w:rsidRDefault="005465B4" w:rsidP="00722419">
      <w:pPr>
        <w:pStyle w:val="H23"/>
        <w:ind w:right="1260"/>
        <w:rPr>
          <w:bCs w:val="0"/>
          <w:lang w:val="es-ES" w:eastAsia="en-US"/>
        </w:rPr>
      </w:pPr>
      <w:r w:rsidRPr="00FD2859">
        <w:rPr>
          <w:bCs w:val="0"/>
          <w:lang w:val="es-ES" w:eastAsia="en-US"/>
        </w:rPr>
        <w:tab/>
      </w:r>
      <w:r w:rsidRPr="00FD2859">
        <w:rPr>
          <w:bCs w:val="0"/>
          <w:lang w:val="es-ES" w:eastAsia="en-US"/>
        </w:rPr>
        <w:tab/>
      </w:r>
      <w:r w:rsidR="008C7C13" w:rsidRPr="00FD2859">
        <w:rPr>
          <w:bCs w:val="0"/>
          <w:lang w:val="es-ES" w:eastAsia="en-US"/>
        </w:rPr>
        <w:t>Educación</w:t>
      </w:r>
      <w:bookmarkEnd w:id="104"/>
    </w:p>
    <w:p w14:paraId="36574D43" w14:textId="77777777" w:rsidR="005465B4" w:rsidRPr="00FD2859" w:rsidRDefault="005465B4" w:rsidP="005465B4">
      <w:pPr>
        <w:pStyle w:val="SingleTxt"/>
        <w:spacing w:after="0" w:line="120" w:lineRule="exact"/>
        <w:rPr>
          <w:sz w:val="10"/>
          <w:szCs w:val="10"/>
          <w:lang w:val="es-ES"/>
        </w:rPr>
      </w:pPr>
    </w:p>
    <w:p w14:paraId="4E3BC8F3" w14:textId="77777777" w:rsidR="008C7C13" w:rsidRPr="00FD2859" w:rsidRDefault="008C7C13" w:rsidP="000B6DDB">
      <w:pPr>
        <w:pStyle w:val="SingleTxt"/>
        <w:numPr>
          <w:ilvl w:val="0"/>
          <w:numId w:val="31"/>
        </w:numPr>
        <w:tabs>
          <w:tab w:val="num" w:pos="1742"/>
        </w:tabs>
        <w:ind w:left="1267" w:firstLine="0"/>
        <w:rPr>
          <w:szCs w:val="22"/>
          <w:lang w:val="es-ES" w:eastAsia="en-US"/>
        </w:rPr>
      </w:pPr>
      <w:bookmarkStart w:id="105" w:name="bookmark_117"/>
      <w:r w:rsidRPr="00FD2859">
        <w:rPr>
          <w:szCs w:val="22"/>
          <w:lang w:val="es-ES" w:eastAsia="en-US"/>
        </w:rPr>
        <w:t>El Comité acoge con satisfacción la aprobación de una estrategia nacional para la aceleración de la educación de las niñas, que abarca el período 2012–2021, y los efectos positivos de su aplicación en el aumento del acceso de las niñas a la educación en todo el Estado parte, como demuestra el logro de la paridad entre los géneros a nivel de la enseñanza primaria. Sin embargo, está preocupado por la tasa extremadamente alta de embarazos precoces entre las niñas en edad escolar y toma nota de su relación con la elevada tasa de matrimonios forzados y/o infantiles en el Estado parte. También le preocupa la impunidad de los maestros y administradores de escuelas que dejan embarazadas a esas niñas. El Comité lamenta que, a pesar de las disposiciones legislativas que prohíben la expulsión de las niñas embarazadas de la escuela, la mayoría no completan su educación debido a la exclusión social y la falta de apoyo adecuado para su reintegración en el sistema educativo. También preocupan al Comité:</w:t>
      </w:r>
      <w:bookmarkEnd w:id="105"/>
    </w:p>
    <w:p w14:paraId="6698E24C" w14:textId="77777777" w:rsidR="008C7C13" w:rsidRPr="00FD2859" w:rsidRDefault="001B49E2" w:rsidP="001B49E2">
      <w:pPr>
        <w:pStyle w:val="SingleTxt"/>
        <w:rPr>
          <w:lang w:val="es-ES" w:eastAsia="en-US"/>
        </w:rPr>
      </w:pPr>
      <w:bookmarkStart w:id="106" w:name="bookmark_118"/>
      <w:r w:rsidRPr="00FD2859">
        <w:rPr>
          <w:lang w:val="es-ES" w:eastAsia="en-US"/>
        </w:rPr>
        <w:tab/>
      </w:r>
      <w:r w:rsidR="008C7C13" w:rsidRPr="00FD2859">
        <w:rPr>
          <w:lang w:val="es-ES" w:eastAsia="en-US"/>
        </w:rPr>
        <w:t>a)</w:t>
      </w:r>
      <w:r w:rsidR="008C7C13" w:rsidRPr="00FD2859">
        <w:rPr>
          <w:lang w:val="es-ES" w:eastAsia="en-US"/>
        </w:rPr>
        <w:tab/>
        <w:t xml:space="preserve">Los índices de finalización desproporcionadamente bajos en la enseñanza secundaria entre las niñas de las zonas rurales y la baja tasa de alfabetismo resultante entre las mujeres de las zonas rurales (21%); </w:t>
      </w:r>
      <w:bookmarkEnd w:id="106"/>
    </w:p>
    <w:p w14:paraId="122E7D84" w14:textId="77777777" w:rsidR="008C7C13" w:rsidRPr="00FD2859" w:rsidRDefault="001B49E2" w:rsidP="001B49E2">
      <w:pPr>
        <w:pStyle w:val="SingleTxt"/>
        <w:rPr>
          <w:lang w:val="es-ES" w:eastAsia="en-US"/>
        </w:rPr>
      </w:pPr>
      <w:bookmarkStart w:id="107" w:name="bookmark_119"/>
      <w:r w:rsidRPr="00FD2859">
        <w:rPr>
          <w:lang w:val="es-ES" w:eastAsia="en-US"/>
        </w:rPr>
        <w:tab/>
      </w:r>
      <w:r w:rsidR="008C7C13" w:rsidRPr="00FD2859">
        <w:rPr>
          <w:lang w:val="es-ES" w:eastAsia="en-US"/>
        </w:rPr>
        <w:t>b)</w:t>
      </w:r>
      <w:r w:rsidR="008C7C13" w:rsidRPr="00FD2859">
        <w:rPr>
          <w:lang w:val="es-ES" w:eastAsia="en-US"/>
        </w:rPr>
        <w:tab/>
        <w:t>La falta de servicios y educación exhaustivos sobre salud sexual y reproductiva para adolescentes;</w:t>
      </w:r>
      <w:bookmarkEnd w:id="107"/>
    </w:p>
    <w:p w14:paraId="1C91E6C1" w14:textId="77777777" w:rsidR="008C7C13" w:rsidRPr="00FD2859" w:rsidRDefault="001B49E2" w:rsidP="001B49E2">
      <w:pPr>
        <w:pStyle w:val="SingleTxt"/>
        <w:rPr>
          <w:lang w:val="es-ES" w:eastAsia="en-US"/>
        </w:rPr>
      </w:pPr>
      <w:bookmarkStart w:id="108" w:name="bookmark_120"/>
      <w:r w:rsidRPr="00FD2859">
        <w:rPr>
          <w:lang w:val="es-ES" w:eastAsia="en-US"/>
        </w:rPr>
        <w:tab/>
      </w:r>
      <w:r w:rsidR="008C7C13" w:rsidRPr="00FD2859">
        <w:rPr>
          <w:lang w:val="es-ES" w:eastAsia="en-US"/>
        </w:rPr>
        <w:t>c)</w:t>
      </w:r>
      <w:r w:rsidR="008C7C13" w:rsidRPr="00FD2859">
        <w:rPr>
          <w:lang w:val="es-ES" w:eastAsia="en-US"/>
        </w:rPr>
        <w:tab/>
        <w:t>La mala calidad de la educación a causa de la inversión insuficiente en la infraestructura escolar, entre otros, el acceso al agua potable y a instalaciones de saneamiento adecuadas para las niñas;</w:t>
      </w:r>
      <w:bookmarkEnd w:id="108"/>
    </w:p>
    <w:p w14:paraId="244E3DA0" w14:textId="77777777" w:rsidR="008C7C13" w:rsidRPr="00FD2859" w:rsidRDefault="001B49E2" w:rsidP="001B49E2">
      <w:pPr>
        <w:pStyle w:val="SingleTxt"/>
        <w:rPr>
          <w:lang w:val="es-ES" w:eastAsia="en-US"/>
        </w:rPr>
      </w:pPr>
      <w:bookmarkStart w:id="109" w:name="bookmark_121"/>
      <w:r w:rsidRPr="00FD2859">
        <w:rPr>
          <w:lang w:val="es-ES" w:eastAsia="en-US"/>
        </w:rPr>
        <w:tab/>
      </w:r>
      <w:r w:rsidR="008C7C13" w:rsidRPr="00FD2859">
        <w:rPr>
          <w:lang w:val="es-ES" w:eastAsia="en-US"/>
        </w:rPr>
        <w:t>d)</w:t>
      </w:r>
      <w:r w:rsidR="008C7C13" w:rsidRPr="00FD2859">
        <w:rPr>
          <w:lang w:val="es-ES" w:eastAsia="en-US"/>
        </w:rPr>
        <w:tab/>
        <w:t xml:space="preserve">El hecho de que muchas niñas en situación de pobreza se vean obligadas a abandonar sus estudios y a mantener a sus familias. </w:t>
      </w:r>
      <w:bookmarkEnd w:id="109"/>
    </w:p>
    <w:p w14:paraId="689EEFD9" w14:textId="77777777" w:rsidR="008C7C13" w:rsidRPr="00FD2859" w:rsidRDefault="008C7C13" w:rsidP="000B6DDB">
      <w:pPr>
        <w:pStyle w:val="SingleTxt"/>
        <w:numPr>
          <w:ilvl w:val="0"/>
          <w:numId w:val="31"/>
        </w:numPr>
        <w:tabs>
          <w:tab w:val="num" w:pos="1742"/>
        </w:tabs>
        <w:ind w:left="1267" w:firstLine="0"/>
        <w:rPr>
          <w:b/>
          <w:szCs w:val="22"/>
          <w:lang w:val="es-ES" w:eastAsia="en-US"/>
        </w:rPr>
      </w:pPr>
      <w:bookmarkStart w:id="110" w:name="bookmark_122"/>
      <w:r w:rsidRPr="00FD2859">
        <w:rPr>
          <w:b/>
          <w:szCs w:val="22"/>
          <w:lang w:val="es-ES" w:eastAsia="en-US"/>
        </w:rPr>
        <w:t xml:space="preserve">El Comité, en observancia de la meta 4.5 de los Objetivos de Desarrollo Sostenible de eliminar las disparidades de género en la educación, recomienda al Estado parte que: </w:t>
      </w:r>
      <w:bookmarkEnd w:id="110"/>
    </w:p>
    <w:p w14:paraId="34645809" w14:textId="77777777" w:rsidR="008C7C13" w:rsidRPr="00FD2859" w:rsidRDefault="001B49E2" w:rsidP="001B49E2">
      <w:pPr>
        <w:pStyle w:val="SingleTxt"/>
        <w:rPr>
          <w:lang w:val="es-ES" w:eastAsia="en-US"/>
        </w:rPr>
      </w:pPr>
      <w:bookmarkStart w:id="111" w:name="bookmark_123"/>
      <w:r w:rsidRPr="00FD2859">
        <w:rPr>
          <w:lang w:val="es-ES" w:eastAsia="en-US"/>
        </w:rPr>
        <w:tab/>
      </w:r>
      <w:r w:rsidR="008C7C13" w:rsidRPr="00FD2859">
        <w:rPr>
          <w:lang w:val="es-ES" w:eastAsia="en-US"/>
        </w:rPr>
        <w:t>a)</w:t>
      </w:r>
      <w:r w:rsidR="008C7C13" w:rsidRPr="00FD2859">
        <w:rPr>
          <w:lang w:val="es-ES" w:eastAsia="en-US"/>
        </w:rPr>
        <w:tab/>
      </w:r>
      <w:r w:rsidR="008C7C13" w:rsidRPr="00FD2859">
        <w:rPr>
          <w:b/>
          <w:lang w:val="es-ES" w:eastAsia="en-US"/>
        </w:rPr>
        <w:t>Teniendo en cuenta su obligación de proteger a los niños de la violencia, incluido el abuso sexual, de conformidad con el artículo 13 de la</w:t>
      </w:r>
      <w:r w:rsidR="00035F39" w:rsidRPr="00FD2859">
        <w:rPr>
          <w:b/>
          <w:lang w:val="es-ES" w:eastAsia="en-US"/>
        </w:rPr>
        <w:t> </w:t>
      </w:r>
      <w:r w:rsidR="008C7C13" w:rsidRPr="00FD2859">
        <w:rPr>
          <w:b/>
          <w:lang w:val="es-ES" w:eastAsia="en-US"/>
        </w:rPr>
        <w:t>Ley</w:t>
      </w:r>
      <w:r w:rsidR="00543091" w:rsidRPr="00FD2859">
        <w:rPr>
          <w:b/>
          <w:lang w:val="es-ES" w:eastAsia="en-US"/>
        </w:rPr>
        <w:t> </w:t>
      </w:r>
      <w:r w:rsidR="008C7C13" w:rsidRPr="00FD2859">
        <w:rPr>
          <w:b/>
          <w:lang w:val="es-ES" w:eastAsia="en-US"/>
        </w:rPr>
        <w:t>núm. 49-2005/AN, relativa a la salud reproductiva, y el artículo 97 de la Ley</w:t>
      </w:r>
      <w:r w:rsidR="00667398" w:rsidRPr="00FD2859">
        <w:rPr>
          <w:b/>
          <w:lang w:val="es-ES" w:eastAsia="en-US"/>
        </w:rPr>
        <w:t> </w:t>
      </w:r>
      <w:r w:rsidR="008C7C13" w:rsidRPr="00FD2859">
        <w:rPr>
          <w:b/>
          <w:lang w:val="es-ES" w:eastAsia="en-US"/>
        </w:rPr>
        <w:t>núm. 015-2014/AN, relativa a la protección infantil, asigne suficientes recursos a los programas de lucha contra los embarazos precoces, entre otras cosas mediante el establecimiento de mecanismos de presentación de informes para todos los actos de violencia sexual perpetrados contra las mujeres y las niñas en las instituciones de enseñanza, y mediante la participación del Consejo Nacional para la Prevención de la Violencia Escolar en ese empeño;</w:t>
      </w:r>
      <w:bookmarkEnd w:id="111"/>
    </w:p>
    <w:p w14:paraId="089222F2" w14:textId="77777777" w:rsidR="008C7C13" w:rsidRPr="00FD2859" w:rsidRDefault="001B49E2" w:rsidP="001B49E2">
      <w:pPr>
        <w:pStyle w:val="SingleTxt"/>
        <w:rPr>
          <w:lang w:val="es-ES" w:eastAsia="en-US"/>
        </w:rPr>
      </w:pPr>
      <w:bookmarkStart w:id="112" w:name="bookmark_124"/>
      <w:r w:rsidRPr="00FD2859">
        <w:rPr>
          <w:lang w:val="es-ES" w:eastAsia="en-US"/>
        </w:rPr>
        <w:tab/>
      </w:r>
      <w:r w:rsidR="008C7C13" w:rsidRPr="00FD2859">
        <w:rPr>
          <w:lang w:val="es-ES" w:eastAsia="en-US"/>
        </w:rPr>
        <w:t>b)</w:t>
      </w:r>
      <w:r w:rsidR="008C7C13" w:rsidRPr="00FD2859">
        <w:rPr>
          <w:lang w:val="es-ES" w:eastAsia="en-US"/>
        </w:rPr>
        <w:tab/>
      </w:r>
      <w:r w:rsidR="008C7C13" w:rsidRPr="00FD2859">
        <w:rPr>
          <w:b/>
          <w:lang w:val="es-ES" w:eastAsia="en-US"/>
        </w:rPr>
        <w:t>Establezca la obligatoriedad de la sensibilización de los maestros y el personal de administración escolar sobre el hecho de que puede imputárseles responsabilidad penal por dejar embarazadas o acosar sexualmente a las alumnas;</w:t>
      </w:r>
      <w:r w:rsidR="008C7C13" w:rsidRPr="00FD2859">
        <w:rPr>
          <w:lang w:val="es-ES" w:eastAsia="en-US"/>
        </w:rPr>
        <w:t xml:space="preserve"> </w:t>
      </w:r>
      <w:bookmarkEnd w:id="112"/>
    </w:p>
    <w:p w14:paraId="695350F0" w14:textId="77777777" w:rsidR="008C7C13" w:rsidRPr="00FD2859" w:rsidRDefault="001B49E2" w:rsidP="001B49E2">
      <w:pPr>
        <w:pStyle w:val="SingleTxt"/>
        <w:rPr>
          <w:lang w:val="es-ES" w:eastAsia="en-US"/>
        </w:rPr>
      </w:pPr>
      <w:bookmarkStart w:id="113" w:name="bookmark_125"/>
      <w:r w:rsidRPr="00FD2859">
        <w:rPr>
          <w:lang w:val="es-ES" w:eastAsia="en-US"/>
        </w:rPr>
        <w:lastRenderedPageBreak/>
        <w:tab/>
      </w:r>
      <w:r w:rsidR="008C7C13" w:rsidRPr="00FD2859">
        <w:rPr>
          <w:lang w:val="es-ES" w:eastAsia="en-US"/>
        </w:rPr>
        <w:t>c)</w:t>
      </w:r>
      <w:r w:rsidR="008C7C13" w:rsidRPr="00FD2859">
        <w:rPr>
          <w:lang w:val="es-ES" w:eastAsia="en-US"/>
        </w:rPr>
        <w:tab/>
      </w:r>
      <w:r w:rsidR="008C7C13" w:rsidRPr="00FD2859">
        <w:rPr>
          <w:b/>
          <w:lang w:val="es-ES" w:eastAsia="en-US"/>
        </w:rPr>
        <w:t xml:space="preserve">Reúna y publique datos sobre el número de casos de embarazo precoz en la escuela, y sobre el número de casos investigados, enjuiciamientos y condenas impuestas; </w:t>
      </w:r>
      <w:bookmarkEnd w:id="113"/>
    </w:p>
    <w:p w14:paraId="3C54FBC7" w14:textId="77777777" w:rsidR="008C7C13" w:rsidRPr="00FD2859" w:rsidRDefault="001B49E2" w:rsidP="001B49E2">
      <w:pPr>
        <w:pStyle w:val="SingleTxt"/>
        <w:rPr>
          <w:lang w:val="es-ES" w:eastAsia="en-US"/>
        </w:rPr>
      </w:pPr>
      <w:bookmarkStart w:id="114" w:name="bookmark_126"/>
      <w:r w:rsidRPr="00FD2859">
        <w:rPr>
          <w:lang w:val="es-ES" w:eastAsia="en-US"/>
        </w:rPr>
        <w:tab/>
      </w:r>
      <w:r w:rsidR="008C7C13" w:rsidRPr="00FD2859">
        <w:rPr>
          <w:lang w:val="es-ES" w:eastAsia="en-US"/>
        </w:rPr>
        <w:t>d)</w:t>
      </w:r>
      <w:r w:rsidR="008C7C13" w:rsidRPr="00FD2859">
        <w:rPr>
          <w:lang w:val="es-ES" w:eastAsia="en-US"/>
        </w:rPr>
        <w:tab/>
      </w:r>
      <w:r w:rsidR="008C7C13" w:rsidRPr="00FD2859">
        <w:rPr>
          <w:b/>
          <w:lang w:val="es-ES" w:eastAsia="en-US"/>
        </w:rPr>
        <w:t>Facilite la reintegración en la educación de las madres adolescentes, en particular combatiendo el estigma cultural mediante campañas de sensibilización y la prestación de cuidados asequibles para sus hijos;</w:t>
      </w:r>
      <w:r w:rsidR="008C7C13" w:rsidRPr="00FD2859">
        <w:rPr>
          <w:lang w:val="es-ES" w:eastAsia="en-US"/>
        </w:rPr>
        <w:t xml:space="preserve"> </w:t>
      </w:r>
      <w:bookmarkEnd w:id="114"/>
    </w:p>
    <w:p w14:paraId="234BCD0C" w14:textId="77777777" w:rsidR="008C7C13" w:rsidRPr="00FD2859" w:rsidRDefault="001B49E2" w:rsidP="001B49E2">
      <w:pPr>
        <w:pStyle w:val="SingleTxt"/>
        <w:rPr>
          <w:lang w:val="es-ES" w:eastAsia="en-US"/>
        </w:rPr>
      </w:pPr>
      <w:bookmarkStart w:id="115" w:name="bookmark_127"/>
      <w:r w:rsidRPr="00FD2859">
        <w:rPr>
          <w:lang w:val="es-ES" w:eastAsia="en-US"/>
        </w:rPr>
        <w:tab/>
      </w:r>
      <w:r w:rsidR="008C7C13" w:rsidRPr="00FD2859">
        <w:rPr>
          <w:lang w:val="es-ES" w:eastAsia="en-US"/>
        </w:rPr>
        <w:t>e)</w:t>
      </w:r>
      <w:r w:rsidR="008C7C13" w:rsidRPr="00FD2859">
        <w:rPr>
          <w:lang w:val="es-ES" w:eastAsia="en-US"/>
        </w:rPr>
        <w:tab/>
      </w:r>
      <w:r w:rsidR="008C7C13" w:rsidRPr="00FD2859">
        <w:rPr>
          <w:b/>
          <w:lang w:val="es-ES" w:eastAsia="en-US"/>
        </w:rPr>
        <w:t>Incluya educación obligatoria, adecuada a la edad, con base empírica y científicamente precisa en los planes de estudios escolares para las niñas y los niños acerca de la salud y los derechos sexuales y reproductivos y sobre el comportamiento sexual responsable a fin de, entre otras cosas, reducir las tasas de deserción escolar relacionadas con el embarazo;</w:t>
      </w:r>
      <w:r w:rsidR="008C7C13" w:rsidRPr="00FD2859">
        <w:rPr>
          <w:lang w:val="es-ES" w:eastAsia="en-US"/>
        </w:rPr>
        <w:t xml:space="preserve"> </w:t>
      </w:r>
      <w:bookmarkEnd w:id="115"/>
    </w:p>
    <w:p w14:paraId="2E061157" w14:textId="77777777" w:rsidR="008C7C13" w:rsidRPr="00FD2859" w:rsidRDefault="001B49E2" w:rsidP="001B49E2">
      <w:pPr>
        <w:pStyle w:val="SingleTxt"/>
        <w:rPr>
          <w:lang w:val="es-ES" w:eastAsia="en-US"/>
        </w:rPr>
      </w:pPr>
      <w:bookmarkStart w:id="116" w:name="bookmark_128"/>
      <w:r w:rsidRPr="00FD2859">
        <w:rPr>
          <w:lang w:val="es-ES" w:eastAsia="en-US"/>
        </w:rPr>
        <w:tab/>
      </w:r>
      <w:r w:rsidR="008C7C13" w:rsidRPr="00FD2859">
        <w:rPr>
          <w:lang w:val="es-ES" w:eastAsia="en-US"/>
        </w:rPr>
        <w:t>f)</w:t>
      </w:r>
      <w:r w:rsidR="008C7C13" w:rsidRPr="00FD2859">
        <w:rPr>
          <w:lang w:val="es-ES" w:eastAsia="en-US"/>
        </w:rPr>
        <w:tab/>
      </w:r>
      <w:r w:rsidR="008C7C13" w:rsidRPr="00FD2859">
        <w:rPr>
          <w:b/>
          <w:lang w:val="es-ES" w:eastAsia="en-US"/>
        </w:rPr>
        <w:t>Elimine los estereotipos discriminatorios y los obstáculos de otra índole para que las niñas accedan a la educación concienciando, en particular entre los padres y los dirigentes tradicionales, acerca de la importancia que reviste la educación para las mujeres;</w:t>
      </w:r>
      <w:r w:rsidR="008C7C13" w:rsidRPr="00FD2859">
        <w:rPr>
          <w:lang w:val="es-ES" w:eastAsia="en-US"/>
        </w:rPr>
        <w:t xml:space="preserve"> </w:t>
      </w:r>
      <w:bookmarkEnd w:id="116"/>
    </w:p>
    <w:p w14:paraId="39D3F120" w14:textId="77777777" w:rsidR="008C7C13" w:rsidRPr="00FD2859" w:rsidRDefault="001B49E2" w:rsidP="001B49E2">
      <w:pPr>
        <w:pStyle w:val="SingleTxt"/>
        <w:rPr>
          <w:lang w:val="es-ES" w:eastAsia="en-US"/>
        </w:rPr>
      </w:pPr>
      <w:bookmarkStart w:id="117" w:name="bookmark_129"/>
      <w:r w:rsidRPr="00FD2859">
        <w:rPr>
          <w:lang w:val="es-ES" w:eastAsia="en-US"/>
        </w:rPr>
        <w:tab/>
      </w:r>
      <w:r w:rsidR="008C7C13" w:rsidRPr="00FD2859">
        <w:rPr>
          <w:lang w:val="es-ES" w:eastAsia="en-US"/>
        </w:rPr>
        <w:t>g)</w:t>
      </w:r>
      <w:r w:rsidR="008C7C13" w:rsidRPr="00FD2859">
        <w:rPr>
          <w:lang w:val="es-ES" w:eastAsia="en-US"/>
        </w:rPr>
        <w:tab/>
      </w:r>
      <w:r w:rsidR="008C7C13" w:rsidRPr="00FD2859">
        <w:rPr>
          <w:b/>
          <w:lang w:val="es-ES" w:eastAsia="en-US"/>
        </w:rPr>
        <w:t>Elimine los costos indirectos de la escolarización, mejore la calidad de la enseñanza y las infraestructuras escolares y mejore la prestación de programas de alimentación escolar y de instalaciones sanitarias adecuadas para las niñas;</w:t>
      </w:r>
      <w:bookmarkEnd w:id="117"/>
    </w:p>
    <w:p w14:paraId="12D62D26" w14:textId="77777777" w:rsidR="008C7C13" w:rsidRPr="00FD2859" w:rsidRDefault="001B49E2" w:rsidP="001B49E2">
      <w:pPr>
        <w:pStyle w:val="SingleTxt"/>
        <w:rPr>
          <w:lang w:val="es-ES" w:eastAsia="en-US"/>
        </w:rPr>
      </w:pPr>
      <w:bookmarkStart w:id="118" w:name="bookmark_130"/>
      <w:r w:rsidRPr="00FD2859">
        <w:rPr>
          <w:lang w:val="es-ES" w:eastAsia="en-US"/>
        </w:rPr>
        <w:tab/>
      </w:r>
      <w:r w:rsidR="008C7C13" w:rsidRPr="00FD2859">
        <w:rPr>
          <w:lang w:val="es-ES" w:eastAsia="en-US"/>
        </w:rPr>
        <w:t>h)</w:t>
      </w:r>
      <w:r w:rsidR="008C7C13" w:rsidRPr="00FD2859">
        <w:rPr>
          <w:lang w:val="es-ES" w:eastAsia="en-US"/>
        </w:rPr>
        <w:tab/>
      </w:r>
      <w:r w:rsidR="008C7C13" w:rsidRPr="00FD2859">
        <w:rPr>
          <w:b/>
          <w:lang w:val="es-ES" w:eastAsia="en-US"/>
        </w:rPr>
        <w:t>Refuerce los programas de alfabetización de adultos, en particular para las mujeres de las zonas rurales.</w:t>
      </w:r>
      <w:bookmarkEnd w:id="118"/>
    </w:p>
    <w:p w14:paraId="3D8EBA16" w14:textId="77777777" w:rsidR="005465B4" w:rsidRPr="00FD2859" w:rsidRDefault="005465B4" w:rsidP="005465B4">
      <w:pPr>
        <w:pStyle w:val="SingleTxt"/>
        <w:spacing w:after="0" w:line="120" w:lineRule="exact"/>
        <w:rPr>
          <w:sz w:val="10"/>
          <w:szCs w:val="10"/>
          <w:lang w:val="es-ES"/>
        </w:rPr>
      </w:pPr>
      <w:bookmarkStart w:id="119" w:name="bookmark_131"/>
    </w:p>
    <w:p w14:paraId="2785A912" w14:textId="77777777" w:rsidR="008C7C13" w:rsidRPr="00FD2859" w:rsidRDefault="005465B4" w:rsidP="00722419">
      <w:pPr>
        <w:pStyle w:val="H23"/>
        <w:ind w:right="1260"/>
        <w:rPr>
          <w:bCs w:val="0"/>
          <w:lang w:val="es-ES" w:eastAsia="en-US"/>
        </w:rPr>
      </w:pPr>
      <w:r w:rsidRPr="00FD2859">
        <w:rPr>
          <w:bCs w:val="0"/>
          <w:lang w:val="es-ES" w:eastAsia="en-US"/>
        </w:rPr>
        <w:tab/>
      </w:r>
      <w:r w:rsidRPr="00FD2859">
        <w:rPr>
          <w:bCs w:val="0"/>
          <w:lang w:val="es-ES" w:eastAsia="en-US"/>
        </w:rPr>
        <w:tab/>
      </w:r>
      <w:r w:rsidR="008C7C13" w:rsidRPr="00FD2859">
        <w:rPr>
          <w:bCs w:val="0"/>
          <w:lang w:val="es-ES" w:eastAsia="en-US"/>
        </w:rPr>
        <w:t>Empleo</w:t>
      </w:r>
      <w:bookmarkEnd w:id="119"/>
    </w:p>
    <w:p w14:paraId="4DB3F187" w14:textId="77777777" w:rsidR="005465B4" w:rsidRPr="00FD2859" w:rsidRDefault="005465B4" w:rsidP="005465B4">
      <w:pPr>
        <w:pStyle w:val="SingleTxt"/>
        <w:spacing w:after="0" w:line="120" w:lineRule="exact"/>
        <w:rPr>
          <w:sz w:val="10"/>
          <w:szCs w:val="10"/>
          <w:lang w:val="es-ES"/>
        </w:rPr>
      </w:pPr>
    </w:p>
    <w:p w14:paraId="0B45A7A8" w14:textId="77777777" w:rsidR="008C7C13" w:rsidRPr="00FD2859" w:rsidRDefault="008C7C13" w:rsidP="000B6DDB">
      <w:pPr>
        <w:pStyle w:val="SingleTxt"/>
        <w:numPr>
          <w:ilvl w:val="0"/>
          <w:numId w:val="31"/>
        </w:numPr>
        <w:tabs>
          <w:tab w:val="num" w:pos="1742"/>
        </w:tabs>
        <w:ind w:left="1267" w:firstLine="0"/>
        <w:rPr>
          <w:szCs w:val="22"/>
          <w:lang w:val="es-ES" w:eastAsia="en-US"/>
        </w:rPr>
      </w:pPr>
      <w:bookmarkStart w:id="120" w:name="bookmark_132"/>
      <w:r w:rsidRPr="00FD2859">
        <w:rPr>
          <w:szCs w:val="22"/>
          <w:lang w:val="es-ES" w:eastAsia="en-US"/>
        </w:rPr>
        <w:t>El Comité hace notar las garantías constitucionales y legislativas, también en el Código de las Personas y de la Familia y en el Código del Trabajo, que prohíben la discriminación y el acoso por razón de género y la protección de la igualdad de oportunidades entre mujeres y hombres en el empleo. Sin embargo, le preocupa la tasa desproporcionadamente alta de desempleo entre las mujeres, su concentración en empleos mal remunerados en la economía informal, donde a menudo son objeto de trabajo doméstico en condiciones de explotación, y la limitada aplicación y supervisión del principio de igualdad de remuneración por trabajo de igual valor. Además, preocupa al Comité que:</w:t>
      </w:r>
      <w:bookmarkEnd w:id="120"/>
    </w:p>
    <w:p w14:paraId="0A3D82D2" w14:textId="77777777" w:rsidR="008C7C13" w:rsidRPr="00FD2859" w:rsidRDefault="001B49E2" w:rsidP="001B49E2">
      <w:pPr>
        <w:pStyle w:val="SingleTxt"/>
        <w:rPr>
          <w:lang w:val="es-ES" w:eastAsia="en-US"/>
        </w:rPr>
      </w:pPr>
      <w:bookmarkStart w:id="121" w:name="bookmark_133"/>
      <w:r w:rsidRPr="00FD2859">
        <w:rPr>
          <w:lang w:val="es-ES" w:eastAsia="en-US"/>
        </w:rPr>
        <w:tab/>
      </w:r>
      <w:r w:rsidR="008C7C13" w:rsidRPr="00FD2859">
        <w:rPr>
          <w:lang w:val="es-ES" w:eastAsia="en-US"/>
        </w:rPr>
        <w:t>a)</w:t>
      </w:r>
      <w:r w:rsidR="008C7C13" w:rsidRPr="00FD2859">
        <w:rPr>
          <w:lang w:val="es-ES" w:eastAsia="en-US"/>
        </w:rPr>
        <w:tab/>
        <w:t>Las víctimas de discriminación por razón de género y acoso sexual en el lugar de trabajo tengan un acceso limitado a la reparación debido a los onerosos requisitos probatorios;</w:t>
      </w:r>
      <w:bookmarkEnd w:id="121"/>
    </w:p>
    <w:p w14:paraId="74D05AE6" w14:textId="77777777" w:rsidR="008C7C13" w:rsidRPr="00FD2859" w:rsidRDefault="001B49E2" w:rsidP="001B49E2">
      <w:pPr>
        <w:pStyle w:val="SingleTxt"/>
        <w:rPr>
          <w:lang w:val="es-ES" w:eastAsia="en-US"/>
        </w:rPr>
      </w:pPr>
      <w:bookmarkStart w:id="122" w:name="bookmark_134"/>
      <w:r w:rsidRPr="00FD2859">
        <w:rPr>
          <w:lang w:val="es-ES" w:eastAsia="en-US"/>
        </w:rPr>
        <w:tab/>
      </w:r>
      <w:r w:rsidR="008C7C13" w:rsidRPr="00FD2859">
        <w:rPr>
          <w:lang w:val="es-ES" w:eastAsia="en-US"/>
        </w:rPr>
        <w:t>b)</w:t>
      </w:r>
      <w:r w:rsidR="008C7C13" w:rsidRPr="00FD2859">
        <w:rPr>
          <w:lang w:val="es-ES" w:eastAsia="en-US"/>
        </w:rPr>
        <w:tab/>
        <w:t>El artículo 142 del Código del Trabajo prohíba que las mujeres realicen ciertos tipos de trabajo basados en estereotipos discriminatorios;</w:t>
      </w:r>
      <w:bookmarkEnd w:id="122"/>
    </w:p>
    <w:p w14:paraId="783C14A0" w14:textId="77777777" w:rsidR="008C7C13" w:rsidRPr="00FD2859" w:rsidRDefault="008C7C13" w:rsidP="001B49E2">
      <w:pPr>
        <w:pStyle w:val="SingleTxt"/>
        <w:rPr>
          <w:lang w:val="es-ES" w:eastAsia="en-US"/>
        </w:rPr>
      </w:pPr>
      <w:bookmarkStart w:id="123" w:name="bookmark_135"/>
      <w:r w:rsidRPr="00FD2859">
        <w:rPr>
          <w:lang w:val="es-ES" w:eastAsia="en-US"/>
        </w:rPr>
        <w:tab/>
        <w:t>c)</w:t>
      </w:r>
      <w:r w:rsidRPr="00FD2859">
        <w:rPr>
          <w:lang w:val="es-ES" w:eastAsia="en-US"/>
        </w:rPr>
        <w:tab/>
        <w:t xml:space="preserve">Las mujeres sigan sin ser aptas para recibir prestaciones familiares o una reducción por paternidad en los pagos del impuesto único sobre los sueldos y salarios, que se conceden automáticamente a los padres. </w:t>
      </w:r>
      <w:bookmarkEnd w:id="123"/>
    </w:p>
    <w:p w14:paraId="33F02DB2" w14:textId="77777777" w:rsidR="008C7C13" w:rsidRPr="00FD2859" w:rsidRDefault="008C7C13" w:rsidP="000B6DDB">
      <w:pPr>
        <w:pStyle w:val="SingleTxt"/>
        <w:numPr>
          <w:ilvl w:val="0"/>
          <w:numId w:val="31"/>
        </w:numPr>
        <w:tabs>
          <w:tab w:val="num" w:pos="1742"/>
        </w:tabs>
        <w:ind w:left="1267" w:firstLine="0"/>
        <w:rPr>
          <w:b/>
          <w:szCs w:val="22"/>
          <w:lang w:val="es-ES" w:eastAsia="en-US"/>
        </w:rPr>
      </w:pPr>
      <w:bookmarkStart w:id="124" w:name="bookmark_136"/>
      <w:r w:rsidRPr="00FD2859">
        <w:rPr>
          <w:b/>
          <w:szCs w:val="22"/>
          <w:lang w:val="es-ES" w:eastAsia="en-US"/>
        </w:rPr>
        <w:t>El Comité recomienda al Estado parte que:</w:t>
      </w:r>
      <w:bookmarkEnd w:id="124"/>
    </w:p>
    <w:p w14:paraId="2015CAFA" w14:textId="77777777" w:rsidR="008C7C13" w:rsidRPr="00FD2859" w:rsidRDefault="008C7C13" w:rsidP="00C06BFA">
      <w:pPr>
        <w:pStyle w:val="SingleTxt"/>
        <w:rPr>
          <w:lang w:val="es-ES" w:eastAsia="en-US"/>
        </w:rPr>
      </w:pPr>
      <w:bookmarkStart w:id="125" w:name="bookmark_137"/>
      <w:r w:rsidRPr="00FD2859">
        <w:rPr>
          <w:lang w:val="es-ES" w:eastAsia="en-US"/>
        </w:rPr>
        <w:tab/>
        <w:t>a)</w:t>
      </w:r>
      <w:r w:rsidRPr="00FD2859">
        <w:rPr>
          <w:lang w:val="es-ES" w:eastAsia="en-US"/>
        </w:rPr>
        <w:tab/>
      </w:r>
      <w:r w:rsidRPr="00FD2859">
        <w:rPr>
          <w:b/>
          <w:lang w:val="es-ES" w:eastAsia="en-US"/>
        </w:rPr>
        <w:t>Mejore el acceso de las mujeres al empleo estructurado mediante la adopción de medidas, en particular medidas especiales de carácter temporal, en consonancia con lo dispuesto en el artículo 4, párrafo 1, de la Convención y la</w:t>
      </w:r>
      <w:r w:rsidR="00873B10" w:rsidRPr="00FD2859">
        <w:rPr>
          <w:b/>
          <w:lang w:val="es-ES" w:eastAsia="en-US"/>
        </w:rPr>
        <w:t> </w:t>
      </w:r>
      <w:r w:rsidRPr="00FD2859">
        <w:rPr>
          <w:b/>
          <w:lang w:val="es-ES" w:eastAsia="en-US"/>
        </w:rPr>
        <w:t>recomendación general núm. 25 del Comité, como el establecimiento de incentivos para que los empleadores de los sectores público y privado contraten</w:t>
      </w:r>
      <w:r w:rsidR="00446697" w:rsidRPr="00FD2859">
        <w:rPr>
          <w:b/>
          <w:lang w:val="es-ES" w:eastAsia="en-US"/>
        </w:rPr>
        <w:t> </w:t>
      </w:r>
      <w:r w:rsidRPr="00FD2859">
        <w:rPr>
          <w:b/>
          <w:lang w:val="es-ES" w:eastAsia="en-US"/>
        </w:rPr>
        <w:t>a mujeres, la introducción de la modalidad de trabajo flexible y el fortalecimiento de la formación profesional de las mujeres;</w:t>
      </w:r>
      <w:bookmarkEnd w:id="125"/>
    </w:p>
    <w:p w14:paraId="7F188CF8" w14:textId="77777777" w:rsidR="008C7C13" w:rsidRPr="00FD2859" w:rsidRDefault="008C7C13" w:rsidP="00C06BFA">
      <w:pPr>
        <w:pStyle w:val="SingleTxt"/>
        <w:rPr>
          <w:lang w:val="es-ES" w:eastAsia="en-US"/>
        </w:rPr>
      </w:pPr>
      <w:bookmarkStart w:id="126" w:name="bookmark_138"/>
      <w:r w:rsidRPr="00FD2859">
        <w:rPr>
          <w:lang w:val="es-ES" w:eastAsia="en-US"/>
        </w:rPr>
        <w:lastRenderedPageBreak/>
        <w:tab/>
        <w:t>b)</w:t>
      </w:r>
      <w:r w:rsidRPr="00FD2859">
        <w:rPr>
          <w:lang w:val="es-ES" w:eastAsia="en-US"/>
        </w:rPr>
        <w:tab/>
      </w:r>
      <w:r w:rsidRPr="00FD2859">
        <w:rPr>
          <w:b/>
          <w:lang w:val="es-ES" w:eastAsia="en-US"/>
        </w:rPr>
        <w:t>Asegure la aplicación de planes de protección social a todas las mujeres, incluidas las que trabajan en el sector no estructurado;</w:t>
      </w:r>
      <w:r w:rsidRPr="00FD2859">
        <w:rPr>
          <w:lang w:val="es-ES" w:eastAsia="en-US"/>
        </w:rPr>
        <w:t xml:space="preserve"> </w:t>
      </w:r>
      <w:bookmarkEnd w:id="126"/>
    </w:p>
    <w:p w14:paraId="6BE4F01D" w14:textId="77777777" w:rsidR="008C7C13" w:rsidRPr="00FD2859" w:rsidRDefault="008C7C13" w:rsidP="00C06BFA">
      <w:pPr>
        <w:pStyle w:val="SingleTxt"/>
        <w:rPr>
          <w:lang w:val="es-ES" w:eastAsia="en-US"/>
        </w:rPr>
      </w:pPr>
      <w:bookmarkStart w:id="127" w:name="bookmark_139"/>
      <w:r w:rsidRPr="00FD2859">
        <w:rPr>
          <w:lang w:val="es-ES" w:eastAsia="en-US"/>
        </w:rPr>
        <w:tab/>
        <w:t>c)</w:t>
      </w:r>
      <w:r w:rsidRPr="00FD2859">
        <w:rPr>
          <w:lang w:val="es-ES" w:eastAsia="en-US"/>
        </w:rPr>
        <w:tab/>
      </w:r>
      <w:r w:rsidRPr="00FD2859">
        <w:rPr>
          <w:b/>
          <w:lang w:val="es-ES" w:eastAsia="en-US"/>
        </w:rPr>
        <w:t>Realice inspecciones sistemáticamente para combatir las prácticas de explotación laboral que afectan a las mujeres y que vele por que los autores sean debidamente sancionados;</w:t>
      </w:r>
      <w:bookmarkEnd w:id="127"/>
    </w:p>
    <w:p w14:paraId="48DC89A3" w14:textId="77777777" w:rsidR="008C7C13" w:rsidRPr="00FD2859" w:rsidRDefault="008C7C13" w:rsidP="00C06BFA">
      <w:pPr>
        <w:pStyle w:val="SingleTxt"/>
        <w:rPr>
          <w:lang w:val="es-ES" w:eastAsia="en-US"/>
        </w:rPr>
      </w:pPr>
      <w:bookmarkStart w:id="128" w:name="bookmark_140"/>
      <w:r w:rsidRPr="00FD2859">
        <w:rPr>
          <w:lang w:val="es-ES" w:eastAsia="en-US"/>
        </w:rPr>
        <w:tab/>
        <w:t>d)</w:t>
      </w:r>
      <w:r w:rsidRPr="00FD2859">
        <w:rPr>
          <w:lang w:val="es-ES" w:eastAsia="en-US"/>
        </w:rPr>
        <w:tab/>
      </w:r>
      <w:r w:rsidRPr="00FD2859">
        <w:rPr>
          <w:b/>
          <w:lang w:val="es-ES" w:eastAsia="en-US"/>
        </w:rPr>
        <w:t>Revise las disposiciones de la ley y las políticas que discriminan a la mujer, entre otras cosas, para modificar el artículo 37 del Código del Trabajo a fin de ampliar la definición de acoso sexual y las categorías de personas a las que se aplica, sensibilizar respecto de los remedios jurídicos de que disponen las víctimas y atenuar la carga de la prueba, para modificar el artículo 142 del Código del Trabajo a fin de restringir determinadas profesiones en el período de licencia de maternidad y no a las mujeres en general, y de revisar las políticas discriminatorias que regulan la recepción de prestaciones familiares;</w:t>
      </w:r>
      <w:bookmarkEnd w:id="128"/>
    </w:p>
    <w:p w14:paraId="4F990ADB" w14:textId="77777777" w:rsidR="008C7C13" w:rsidRPr="00FD2859" w:rsidRDefault="008C7C13" w:rsidP="00C06BFA">
      <w:pPr>
        <w:pStyle w:val="SingleTxt"/>
        <w:rPr>
          <w:lang w:val="es-ES" w:eastAsia="en-US"/>
        </w:rPr>
      </w:pPr>
      <w:bookmarkStart w:id="129" w:name="bookmark_141"/>
      <w:r w:rsidRPr="00FD2859">
        <w:rPr>
          <w:lang w:val="es-ES" w:eastAsia="en-US"/>
        </w:rPr>
        <w:tab/>
        <w:t>e)</w:t>
      </w:r>
      <w:r w:rsidRPr="00FD2859">
        <w:rPr>
          <w:lang w:val="es-ES" w:eastAsia="en-US"/>
        </w:rPr>
        <w:tab/>
      </w:r>
      <w:r w:rsidRPr="00FD2859">
        <w:rPr>
          <w:b/>
          <w:lang w:val="es-ES" w:eastAsia="en-US"/>
        </w:rPr>
        <w:t>Ratifique el Convenio sobre las Trabajadoras y los Trabajadores Domésticos, 2011 (Núm. 189).</w:t>
      </w:r>
      <w:r w:rsidRPr="00FD2859">
        <w:rPr>
          <w:lang w:val="es-ES" w:eastAsia="en-US"/>
        </w:rPr>
        <w:t xml:space="preserve"> </w:t>
      </w:r>
      <w:bookmarkEnd w:id="129"/>
    </w:p>
    <w:p w14:paraId="3D4248D4" w14:textId="77777777" w:rsidR="005465B4" w:rsidRPr="00FD2859" w:rsidRDefault="005465B4" w:rsidP="005465B4">
      <w:pPr>
        <w:pStyle w:val="SingleTxt"/>
        <w:spacing w:after="0" w:line="120" w:lineRule="exact"/>
        <w:rPr>
          <w:sz w:val="10"/>
          <w:szCs w:val="10"/>
          <w:lang w:val="es-ES"/>
        </w:rPr>
      </w:pPr>
      <w:bookmarkStart w:id="130" w:name="bookmark_142"/>
    </w:p>
    <w:p w14:paraId="32F0BB9E" w14:textId="77777777" w:rsidR="008C7C13" w:rsidRPr="00FD2859" w:rsidRDefault="005465B4" w:rsidP="00722419">
      <w:pPr>
        <w:pStyle w:val="H23"/>
        <w:ind w:right="1260"/>
        <w:rPr>
          <w:bCs w:val="0"/>
          <w:lang w:val="es-ES" w:eastAsia="en-US"/>
        </w:rPr>
      </w:pPr>
      <w:r w:rsidRPr="00FD2859">
        <w:rPr>
          <w:bCs w:val="0"/>
          <w:lang w:val="es-ES" w:eastAsia="en-US"/>
        </w:rPr>
        <w:tab/>
      </w:r>
      <w:r w:rsidRPr="00FD2859">
        <w:rPr>
          <w:bCs w:val="0"/>
          <w:lang w:val="es-ES" w:eastAsia="en-US"/>
        </w:rPr>
        <w:tab/>
      </w:r>
      <w:r w:rsidR="008C7C13" w:rsidRPr="00FD2859">
        <w:rPr>
          <w:bCs w:val="0"/>
          <w:lang w:val="es-ES" w:eastAsia="en-US"/>
        </w:rPr>
        <w:t>Salud</w:t>
      </w:r>
      <w:bookmarkEnd w:id="130"/>
    </w:p>
    <w:p w14:paraId="585A64A1" w14:textId="77777777" w:rsidR="005465B4" w:rsidRPr="00FD2859" w:rsidRDefault="005465B4" w:rsidP="005465B4">
      <w:pPr>
        <w:pStyle w:val="SingleTxt"/>
        <w:spacing w:after="0" w:line="120" w:lineRule="exact"/>
        <w:rPr>
          <w:sz w:val="10"/>
          <w:szCs w:val="10"/>
          <w:lang w:val="es-ES"/>
        </w:rPr>
      </w:pPr>
    </w:p>
    <w:p w14:paraId="1ED3523A" w14:textId="77777777" w:rsidR="008C7C13" w:rsidRPr="00FD2859" w:rsidRDefault="008C7C13" w:rsidP="00CA5AB5">
      <w:pPr>
        <w:pStyle w:val="SingleTxt"/>
        <w:numPr>
          <w:ilvl w:val="0"/>
          <w:numId w:val="31"/>
        </w:numPr>
        <w:tabs>
          <w:tab w:val="num" w:pos="1742"/>
        </w:tabs>
        <w:ind w:left="1267" w:firstLine="0"/>
        <w:rPr>
          <w:szCs w:val="22"/>
          <w:lang w:val="es-ES" w:eastAsia="en-US"/>
        </w:rPr>
      </w:pPr>
      <w:bookmarkStart w:id="131" w:name="bookmark_143"/>
      <w:r w:rsidRPr="00FD2859">
        <w:rPr>
          <w:szCs w:val="22"/>
          <w:lang w:val="es-ES" w:eastAsia="en-US"/>
        </w:rPr>
        <w:t>El Comité celebra la aprobación del Decreto núm. 2016-311, de 2 de marzo de</w:t>
      </w:r>
      <w:r w:rsidR="004F6006" w:rsidRPr="00FD2859">
        <w:rPr>
          <w:szCs w:val="22"/>
          <w:lang w:val="es-ES" w:eastAsia="en-US"/>
        </w:rPr>
        <w:t> </w:t>
      </w:r>
      <w:r w:rsidRPr="00FD2859">
        <w:rPr>
          <w:szCs w:val="22"/>
          <w:lang w:val="es-ES" w:eastAsia="en-US"/>
        </w:rPr>
        <w:t>2016, que introduce la atención sanitaria gratuita para los niños menores de 5</w:t>
      </w:r>
      <w:r w:rsidR="004F6006" w:rsidRPr="00FD2859">
        <w:rPr>
          <w:szCs w:val="22"/>
          <w:lang w:val="es-ES" w:eastAsia="en-US"/>
        </w:rPr>
        <w:t> </w:t>
      </w:r>
      <w:r w:rsidRPr="00FD2859">
        <w:rPr>
          <w:szCs w:val="22"/>
          <w:lang w:val="es-ES" w:eastAsia="en-US"/>
        </w:rPr>
        <w:t>años y las mujeres embarazadas en el Estado parte. No obstante, al Comité le preocupa sumamente lo siguiente:</w:t>
      </w:r>
      <w:bookmarkEnd w:id="131"/>
    </w:p>
    <w:p w14:paraId="2C063777" w14:textId="77777777" w:rsidR="008C7C13" w:rsidRPr="00FD2859" w:rsidRDefault="00554A54" w:rsidP="00554A54">
      <w:pPr>
        <w:pStyle w:val="SingleTxt"/>
        <w:rPr>
          <w:lang w:val="es-ES" w:eastAsia="en-US"/>
        </w:rPr>
      </w:pPr>
      <w:bookmarkStart w:id="132" w:name="bookmark_144"/>
      <w:r w:rsidRPr="00FD2859">
        <w:rPr>
          <w:lang w:val="es-ES" w:eastAsia="en-US"/>
        </w:rPr>
        <w:tab/>
      </w:r>
      <w:r w:rsidR="008C7C13" w:rsidRPr="00FD2859">
        <w:rPr>
          <w:lang w:val="es-ES" w:eastAsia="en-US"/>
        </w:rPr>
        <w:t>a)</w:t>
      </w:r>
      <w:r w:rsidR="008C7C13" w:rsidRPr="00FD2859">
        <w:rPr>
          <w:lang w:val="es-ES" w:eastAsia="en-US"/>
        </w:rPr>
        <w:tab/>
        <w:t xml:space="preserve">La tasa extremadamente elevada de mortalidad materna y el vínculo con el aumento de la incidencia de los abortos en condiciones de riesgo, lo que representa casi un tercio de todas las muertes maternas; </w:t>
      </w:r>
      <w:bookmarkEnd w:id="132"/>
    </w:p>
    <w:p w14:paraId="058A9325" w14:textId="77777777" w:rsidR="008C7C13" w:rsidRPr="00FD2859" w:rsidRDefault="00554A54" w:rsidP="00554A54">
      <w:pPr>
        <w:pStyle w:val="SingleTxt"/>
        <w:rPr>
          <w:lang w:val="es-ES" w:eastAsia="en-US"/>
        </w:rPr>
      </w:pPr>
      <w:bookmarkStart w:id="133" w:name="bookmark_145"/>
      <w:r w:rsidRPr="00FD2859">
        <w:rPr>
          <w:lang w:val="es-ES" w:eastAsia="en-US"/>
        </w:rPr>
        <w:tab/>
      </w:r>
      <w:r w:rsidR="008C7C13" w:rsidRPr="00FD2859">
        <w:rPr>
          <w:lang w:val="es-ES" w:eastAsia="en-US"/>
        </w:rPr>
        <w:t>b)</w:t>
      </w:r>
      <w:r w:rsidR="008C7C13" w:rsidRPr="00FD2859">
        <w:rPr>
          <w:lang w:val="es-ES" w:eastAsia="en-US"/>
        </w:rPr>
        <w:tab/>
        <w:t>Otros factores que causan la mortalidad y morbilidad maternas, entre ellos, la mutilación genital femenina, el matrimonio precoz, el embarazo precoz, la inadecuada infraestructura de asistencia sanitaria y la escasez de personal médico, la</w:t>
      </w:r>
      <w:r w:rsidR="00035F39" w:rsidRPr="00FD2859">
        <w:rPr>
          <w:lang w:val="es-ES" w:eastAsia="en-US"/>
        </w:rPr>
        <w:t> </w:t>
      </w:r>
      <w:r w:rsidR="008C7C13" w:rsidRPr="00FD2859">
        <w:rPr>
          <w:lang w:val="es-ES" w:eastAsia="en-US"/>
        </w:rPr>
        <w:t>distribución desigual de los servicios de salud y planificación familiar y el hecho de que se impida el acceso a la anticoncepción.</w:t>
      </w:r>
      <w:bookmarkEnd w:id="133"/>
    </w:p>
    <w:p w14:paraId="303BADC9" w14:textId="77777777" w:rsidR="008C7C13" w:rsidRPr="00FD2859" w:rsidRDefault="008C7C13" w:rsidP="00CA5AB5">
      <w:pPr>
        <w:pStyle w:val="SingleTxt"/>
        <w:numPr>
          <w:ilvl w:val="0"/>
          <w:numId w:val="31"/>
        </w:numPr>
        <w:tabs>
          <w:tab w:val="num" w:pos="1742"/>
        </w:tabs>
        <w:ind w:left="1267" w:firstLine="0"/>
        <w:rPr>
          <w:b/>
          <w:szCs w:val="22"/>
          <w:lang w:val="es-ES" w:eastAsia="en-US"/>
        </w:rPr>
      </w:pPr>
      <w:bookmarkStart w:id="134" w:name="bookmark_146"/>
      <w:r w:rsidRPr="00FD2859">
        <w:rPr>
          <w:b/>
          <w:szCs w:val="22"/>
          <w:lang w:val="es-ES" w:eastAsia="en-US"/>
        </w:rPr>
        <w:t>El Comité, recordando sus recomendaciones generales núm. 24 (1999), sobre la mujer y la salud, y la núm. 35, pone de relieve las metas 3.1 y 3.7 de los</w:t>
      </w:r>
      <w:r w:rsidR="00876955" w:rsidRPr="00FD2859">
        <w:rPr>
          <w:b/>
          <w:szCs w:val="22"/>
          <w:lang w:val="es-ES" w:eastAsia="en-US"/>
        </w:rPr>
        <w:t> </w:t>
      </w:r>
      <w:r w:rsidRPr="00FD2859">
        <w:rPr>
          <w:b/>
          <w:szCs w:val="22"/>
          <w:lang w:val="es-ES" w:eastAsia="en-US"/>
        </w:rPr>
        <w:t xml:space="preserve">Objetivos de Desarrollo Sostenible, consistentes en reducir la tasa mundial de mortalidad materna y garantizar el acceso universal a los servicios de atención de la salud reproductiva y sexual. Reiterando sus recomendaciones anteriores (véase </w:t>
      </w:r>
      <w:hyperlink r:id="rId27" w:history="1">
        <w:r w:rsidRPr="00FD2859">
          <w:rPr>
            <w:b/>
            <w:color w:val="0000FF"/>
            <w:szCs w:val="22"/>
            <w:lang w:val="es-ES" w:eastAsia="en-US"/>
          </w:rPr>
          <w:t>CEDAW/C/BFA/CO/6</w:t>
        </w:r>
      </w:hyperlink>
      <w:r w:rsidRPr="00FD2859">
        <w:rPr>
          <w:b/>
          <w:szCs w:val="22"/>
          <w:lang w:val="es-ES" w:eastAsia="en-US"/>
        </w:rPr>
        <w:t>, párr. 40), el Comité recomienda al Estado parte que:</w:t>
      </w:r>
      <w:bookmarkEnd w:id="134"/>
    </w:p>
    <w:p w14:paraId="7C86CC76" w14:textId="77777777" w:rsidR="008C7C13" w:rsidRPr="00FD2859" w:rsidRDefault="00740565" w:rsidP="00740565">
      <w:pPr>
        <w:pStyle w:val="SingleTxt"/>
        <w:rPr>
          <w:lang w:val="es-ES" w:eastAsia="en-US"/>
        </w:rPr>
      </w:pPr>
      <w:bookmarkStart w:id="135" w:name="bookmark_147"/>
      <w:r w:rsidRPr="00FD2859">
        <w:rPr>
          <w:lang w:val="es-ES" w:eastAsia="en-US"/>
        </w:rPr>
        <w:tab/>
      </w:r>
      <w:r w:rsidR="008C7C13" w:rsidRPr="00FD2859">
        <w:rPr>
          <w:lang w:val="es-ES" w:eastAsia="en-US"/>
        </w:rPr>
        <w:t>a)</w:t>
      </w:r>
      <w:r w:rsidR="008C7C13" w:rsidRPr="00FD2859">
        <w:rPr>
          <w:lang w:val="es-ES" w:eastAsia="en-US"/>
        </w:rPr>
        <w:tab/>
      </w:r>
      <w:r w:rsidR="008C7C13" w:rsidRPr="00FD2859">
        <w:rPr>
          <w:b/>
          <w:lang w:val="es-ES" w:eastAsia="en-US"/>
        </w:rPr>
        <w:t>Despenalice el aborto derogando los artículos 383–390 del Código Penal, que prohíben el aborto;</w:t>
      </w:r>
      <w:bookmarkEnd w:id="135"/>
    </w:p>
    <w:p w14:paraId="5A5EBFE7" w14:textId="77777777" w:rsidR="008C7C13" w:rsidRPr="00FD2859" w:rsidRDefault="00740565" w:rsidP="00740565">
      <w:pPr>
        <w:pStyle w:val="SingleTxt"/>
        <w:rPr>
          <w:lang w:val="es-ES" w:eastAsia="en-US"/>
        </w:rPr>
      </w:pPr>
      <w:bookmarkStart w:id="136" w:name="bookmark_148"/>
      <w:r w:rsidRPr="00FD2859">
        <w:rPr>
          <w:lang w:val="es-ES" w:eastAsia="en-US"/>
        </w:rPr>
        <w:tab/>
      </w:r>
      <w:r w:rsidR="008C7C13" w:rsidRPr="00FD2859">
        <w:rPr>
          <w:lang w:val="es-ES" w:eastAsia="en-US"/>
        </w:rPr>
        <w:t>b)</w:t>
      </w:r>
      <w:r w:rsidR="008C7C13" w:rsidRPr="00FD2859">
        <w:rPr>
          <w:lang w:val="es-ES" w:eastAsia="en-US"/>
        </w:rPr>
        <w:tab/>
      </w:r>
      <w:r w:rsidR="008C7C13" w:rsidRPr="00FD2859">
        <w:rPr>
          <w:b/>
          <w:lang w:val="es-ES" w:eastAsia="en-US"/>
        </w:rPr>
        <w:t>Elimine las trabas procesales que obstaculizan de forma efectiva el acceso al aborto legal, entre otras, el requerimiento en casos de violación, de obtener una decisión judicial que reconozca el delito, y la limitación en la realización del aborto en casos de violación o incesto a las primeras diez semanas de gestación;</w:t>
      </w:r>
      <w:bookmarkEnd w:id="136"/>
    </w:p>
    <w:p w14:paraId="7FF4F6A0" w14:textId="77777777" w:rsidR="008C7C13" w:rsidRPr="00FD2859" w:rsidRDefault="00740565" w:rsidP="00740565">
      <w:pPr>
        <w:pStyle w:val="SingleTxt"/>
        <w:rPr>
          <w:lang w:val="es-ES" w:eastAsia="en-US"/>
        </w:rPr>
      </w:pPr>
      <w:bookmarkStart w:id="137" w:name="bookmark_149"/>
      <w:r w:rsidRPr="00FD2859">
        <w:rPr>
          <w:lang w:val="es-ES" w:eastAsia="en-US"/>
        </w:rPr>
        <w:tab/>
      </w:r>
      <w:r w:rsidR="008C7C13" w:rsidRPr="00FD2859">
        <w:rPr>
          <w:lang w:val="es-ES" w:eastAsia="en-US"/>
        </w:rPr>
        <w:t>c)</w:t>
      </w:r>
      <w:r w:rsidR="008C7C13" w:rsidRPr="00FD2859">
        <w:rPr>
          <w:lang w:val="es-ES" w:eastAsia="en-US"/>
        </w:rPr>
        <w:tab/>
      </w:r>
      <w:r w:rsidR="008C7C13" w:rsidRPr="00FD2859">
        <w:rPr>
          <w:b/>
          <w:lang w:val="es-ES" w:eastAsia="en-US"/>
        </w:rPr>
        <w:t>Sensibilice a las mujeres y a los profesionales de la salud sobre el acceso al aborto legal y el acceso a la atención posterior al aborto a todas las</w:t>
      </w:r>
      <w:r w:rsidR="00876955" w:rsidRPr="00FD2859">
        <w:rPr>
          <w:b/>
          <w:lang w:val="es-ES" w:eastAsia="en-US"/>
        </w:rPr>
        <w:t> </w:t>
      </w:r>
      <w:r w:rsidR="008C7C13" w:rsidRPr="00FD2859">
        <w:rPr>
          <w:b/>
          <w:lang w:val="es-ES" w:eastAsia="en-US"/>
        </w:rPr>
        <w:t>mujeres;</w:t>
      </w:r>
      <w:bookmarkEnd w:id="137"/>
    </w:p>
    <w:p w14:paraId="73A66609" w14:textId="77777777" w:rsidR="008C7C13" w:rsidRPr="00FD2859" w:rsidRDefault="00740565" w:rsidP="00876955">
      <w:pPr>
        <w:pStyle w:val="SingleTxt"/>
        <w:keepLines/>
        <w:rPr>
          <w:lang w:val="es-ES" w:eastAsia="en-US"/>
        </w:rPr>
      </w:pPr>
      <w:bookmarkStart w:id="138" w:name="bookmark_150"/>
      <w:r w:rsidRPr="00FD2859">
        <w:rPr>
          <w:lang w:val="es-ES" w:eastAsia="en-US"/>
        </w:rPr>
        <w:lastRenderedPageBreak/>
        <w:tab/>
      </w:r>
      <w:r w:rsidR="008C7C13" w:rsidRPr="00FD2859">
        <w:rPr>
          <w:lang w:val="es-ES" w:eastAsia="en-US"/>
        </w:rPr>
        <w:t>d)</w:t>
      </w:r>
      <w:r w:rsidR="008C7C13" w:rsidRPr="00FD2859">
        <w:rPr>
          <w:lang w:val="es-ES" w:eastAsia="en-US"/>
        </w:rPr>
        <w:tab/>
      </w:r>
      <w:r w:rsidR="008C7C13" w:rsidRPr="00FD2859">
        <w:rPr>
          <w:b/>
          <w:lang w:val="es-ES" w:eastAsia="en-US"/>
        </w:rPr>
        <w:t>Aumente la disponibilidad y el acceso a información y servicios sobre salud sexual y reproductiva accesibles e imparciales, así como a suministros anticonceptivos asequibles, en todo el Estado parte, también mediante el aumento de la concienciación de la mujer respecto de la Ley de Salud Reproductiva, que consagra el derecho de las mujeres a tener acceso a productos anticonceptivos sin el consentimiento del marido;</w:t>
      </w:r>
      <w:bookmarkEnd w:id="138"/>
    </w:p>
    <w:p w14:paraId="51A568AC" w14:textId="77777777" w:rsidR="008C7C13" w:rsidRPr="00FD2859" w:rsidRDefault="00740565" w:rsidP="00740565">
      <w:pPr>
        <w:pStyle w:val="SingleTxt"/>
        <w:rPr>
          <w:lang w:val="es-ES" w:eastAsia="en-US"/>
        </w:rPr>
      </w:pPr>
      <w:bookmarkStart w:id="139" w:name="bookmark_151"/>
      <w:r w:rsidRPr="00FD2859">
        <w:rPr>
          <w:lang w:val="es-ES" w:eastAsia="en-US"/>
        </w:rPr>
        <w:tab/>
      </w:r>
      <w:r w:rsidR="008C7C13" w:rsidRPr="00FD2859">
        <w:rPr>
          <w:lang w:val="es-ES" w:eastAsia="en-US"/>
        </w:rPr>
        <w:t>e)</w:t>
      </w:r>
      <w:r w:rsidR="008C7C13" w:rsidRPr="00FD2859">
        <w:rPr>
          <w:lang w:val="es-ES" w:eastAsia="en-US"/>
        </w:rPr>
        <w:tab/>
      </w:r>
      <w:r w:rsidR="008C7C13" w:rsidRPr="00FD2859">
        <w:rPr>
          <w:b/>
          <w:lang w:val="es-ES" w:eastAsia="en-US"/>
        </w:rPr>
        <w:t>Reduzca la mortalidad materna mejorando el acceso a servicios básicos de atención prenatal y posnatal y a servicios obstétricos de urgencia a cargo de parteros cualificados en todo el territorio del Estado parte, teniendo en cuenta las orientaciones técnicas del Alto Comisionado de las Naciones Unidas para los Derechos Humanos sobre la aplicación de un enfoque basado en los derechos humanos a la ejecución de las políticas y los programas destinados a reducir la mortalidad y morbilidad prevenibles asociadas a la maternidad (</w:t>
      </w:r>
      <w:hyperlink r:id="rId28" w:history="1">
        <w:r w:rsidR="008C7C13" w:rsidRPr="00FD2859">
          <w:rPr>
            <w:b/>
            <w:color w:val="0000FF"/>
            <w:lang w:val="es-ES" w:eastAsia="en-US"/>
          </w:rPr>
          <w:t>A/HRC/21/22</w:t>
        </w:r>
      </w:hyperlink>
      <w:r w:rsidR="008C7C13" w:rsidRPr="00FD2859">
        <w:rPr>
          <w:b/>
          <w:lang w:val="es-ES" w:eastAsia="en-US"/>
        </w:rPr>
        <w:t xml:space="preserve">, </w:t>
      </w:r>
      <w:hyperlink r:id="rId29" w:history="1">
        <w:r w:rsidR="008C7C13" w:rsidRPr="00FD2859">
          <w:rPr>
            <w:b/>
            <w:color w:val="0000FF"/>
            <w:lang w:val="es-ES" w:eastAsia="en-US"/>
          </w:rPr>
          <w:t>A/HRC/21/22/Corr.1</w:t>
        </w:r>
      </w:hyperlink>
      <w:r w:rsidR="008C7C13" w:rsidRPr="00FD2859">
        <w:rPr>
          <w:b/>
          <w:lang w:val="es-ES" w:eastAsia="en-US"/>
        </w:rPr>
        <w:t xml:space="preserve"> y </w:t>
      </w:r>
      <w:hyperlink r:id="rId30" w:history="1">
        <w:r w:rsidR="008C7C13" w:rsidRPr="00FD2859">
          <w:rPr>
            <w:b/>
            <w:color w:val="0000FF"/>
            <w:lang w:val="es-ES" w:eastAsia="en-US"/>
          </w:rPr>
          <w:t>A/HRC/21/22/Corr.2</w:t>
        </w:r>
      </w:hyperlink>
      <w:r w:rsidR="008C7C13" w:rsidRPr="00FD2859">
        <w:rPr>
          <w:b/>
          <w:lang w:val="es-ES" w:eastAsia="en-US"/>
        </w:rPr>
        <w:t>).</w:t>
      </w:r>
      <w:bookmarkEnd w:id="139"/>
    </w:p>
    <w:p w14:paraId="51AD5CA2" w14:textId="77777777" w:rsidR="005465B4" w:rsidRPr="00FD2859" w:rsidRDefault="005465B4" w:rsidP="005465B4">
      <w:pPr>
        <w:pStyle w:val="SingleTxt"/>
        <w:spacing w:after="0" w:line="120" w:lineRule="exact"/>
        <w:rPr>
          <w:sz w:val="10"/>
          <w:szCs w:val="10"/>
          <w:lang w:val="es-ES"/>
        </w:rPr>
      </w:pPr>
      <w:bookmarkStart w:id="140" w:name="bookmark_152"/>
    </w:p>
    <w:p w14:paraId="02C79E01" w14:textId="77777777" w:rsidR="008C7C13" w:rsidRPr="00FD2859" w:rsidRDefault="008C7C13" w:rsidP="00722419">
      <w:pPr>
        <w:pStyle w:val="H23"/>
        <w:ind w:right="1260"/>
        <w:rPr>
          <w:bCs w:val="0"/>
          <w:lang w:val="es-ES" w:eastAsia="en-US"/>
        </w:rPr>
      </w:pPr>
      <w:r w:rsidRPr="00FD2859">
        <w:rPr>
          <w:bCs w:val="0"/>
          <w:lang w:val="es-ES" w:eastAsia="en-US"/>
        </w:rPr>
        <w:tab/>
      </w:r>
      <w:r w:rsidRPr="00FD2859">
        <w:rPr>
          <w:bCs w:val="0"/>
          <w:lang w:val="es-ES" w:eastAsia="en-US"/>
        </w:rPr>
        <w:tab/>
        <w:t>VIH/SIDA</w:t>
      </w:r>
      <w:bookmarkEnd w:id="140"/>
    </w:p>
    <w:p w14:paraId="3F053619" w14:textId="77777777" w:rsidR="005465B4" w:rsidRPr="00FD2859" w:rsidRDefault="005465B4" w:rsidP="005465B4">
      <w:pPr>
        <w:pStyle w:val="SingleTxt"/>
        <w:spacing w:after="0" w:line="120" w:lineRule="exact"/>
        <w:rPr>
          <w:sz w:val="10"/>
          <w:szCs w:val="10"/>
          <w:lang w:val="es-ES"/>
        </w:rPr>
      </w:pPr>
    </w:p>
    <w:p w14:paraId="45F93D98" w14:textId="77777777" w:rsidR="008C7C13" w:rsidRPr="00FD2859" w:rsidRDefault="008C7C13" w:rsidP="00CA5AB5">
      <w:pPr>
        <w:pStyle w:val="SingleTxt"/>
        <w:numPr>
          <w:ilvl w:val="0"/>
          <w:numId w:val="31"/>
        </w:numPr>
        <w:tabs>
          <w:tab w:val="num" w:pos="1742"/>
        </w:tabs>
        <w:ind w:left="1267" w:firstLine="0"/>
        <w:rPr>
          <w:szCs w:val="22"/>
          <w:lang w:val="es-ES" w:eastAsia="en-US"/>
        </w:rPr>
      </w:pPr>
      <w:bookmarkStart w:id="141" w:name="bookmark_153"/>
      <w:r w:rsidRPr="00FD2859">
        <w:rPr>
          <w:szCs w:val="22"/>
          <w:lang w:val="es-ES" w:eastAsia="en-US"/>
        </w:rPr>
        <w:t>El Comité celebra la aprobación de la Ley núm. 30-2011, de 3 de junio de</w:t>
      </w:r>
      <w:r w:rsidR="005F17AE" w:rsidRPr="00FD2859">
        <w:rPr>
          <w:szCs w:val="22"/>
          <w:lang w:val="es-ES" w:eastAsia="en-US"/>
        </w:rPr>
        <w:t> </w:t>
      </w:r>
      <w:r w:rsidRPr="00FD2859">
        <w:rPr>
          <w:szCs w:val="22"/>
          <w:lang w:val="es-ES" w:eastAsia="en-US"/>
        </w:rPr>
        <w:t>2011, relativa a la lucha contra el VIH y la protección de los derechos de las personas que viven con esa enfermedad. Sin embargo, le preocupa que la tasa del VIH siga siendo elevada en el caso de las mujeres que ejercen la prostitución y</w:t>
      </w:r>
      <w:r w:rsidR="00B77FB1" w:rsidRPr="00FD2859">
        <w:rPr>
          <w:szCs w:val="22"/>
          <w:lang w:val="es-ES" w:eastAsia="en-US"/>
        </w:rPr>
        <w:t> </w:t>
      </w:r>
      <w:r w:rsidRPr="00FD2859">
        <w:rPr>
          <w:szCs w:val="22"/>
          <w:lang w:val="es-ES" w:eastAsia="en-US"/>
        </w:rPr>
        <w:t>tienen un acceso limitado a los tratamientos a causa de la discriminación y la</w:t>
      </w:r>
      <w:r w:rsidR="00B77FB1" w:rsidRPr="00FD2859">
        <w:rPr>
          <w:szCs w:val="22"/>
          <w:lang w:val="es-ES" w:eastAsia="en-US"/>
        </w:rPr>
        <w:t> </w:t>
      </w:r>
      <w:r w:rsidRPr="00FD2859">
        <w:rPr>
          <w:szCs w:val="22"/>
          <w:lang w:val="es-ES" w:eastAsia="en-US"/>
        </w:rPr>
        <w:t>estigmatización.</w:t>
      </w:r>
      <w:bookmarkEnd w:id="141"/>
    </w:p>
    <w:p w14:paraId="05BCB8E7" w14:textId="77777777" w:rsidR="008C7C13" w:rsidRPr="00FD2859" w:rsidRDefault="008C7C13" w:rsidP="00CA5AB5">
      <w:pPr>
        <w:pStyle w:val="SingleTxt"/>
        <w:numPr>
          <w:ilvl w:val="0"/>
          <w:numId w:val="31"/>
        </w:numPr>
        <w:tabs>
          <w:tab w:val="num" w:pos="1742"/>
        </w:tabs>
        <w:ind w:left="1267" w:firstLine="0"/>
        <w:rPr>
          <w:b/>
          <w:szCs w:val="22"/>
          <w:lang w:val="es-ES" w:eastAsia="en-US"/>
        </w:rPr>
      </w:pPr>
      <w:bookmarkStart w:id="142" w:name="bookmark_154"/>
      <w:r w:rsidRPr="00FD2859">
        <w:rPr>
          <w:b/>
          <w:szCs w:val="22"/>
          <w:lang w:val="es-ES" w:eastAsia="en-US"/>
        </w:rPr>
        <w:t>El Comité recomienda al Estado parte que garantice el acceso a servicios de salud adecuados, incluidos los medicamentos antirretrovirales para las mujeres y las niñas que viven con el VIH, prestando especial atención a las mujeres que ejercen la prostitución, y que también tome medidas para luchar contra la discriminación y la estigmatización que afrontan.</w:t>
      </w:r>
      <w:bookmarkEnd w:id="142"/>
    </w:p>
    <w:p w14:paraId="340E30BD" w14:textId="77777777" w:rsidR="005465B4" w:rsidRPr="00FD2859" w:rsidRDefault="005465B4" w:rsidP="005465B4">
      <w:pPr>
        <w:pStyle w:val="SingleTxt"/>
        <w:spacing w:after="0" w:line="120" w:lineRule="exact"/>
        <w:rPr>
          <w:sz w:val="10"/>
          <w:szCs w:val="10"/>
          <w:lang w:val="es-ES"/>
        </w:rPr>
      </w:pPr>
      <w:bookmarkStart w:id="143" w:name="bookmark_155"/>
    </w:p>
    <w:p w14:paraId="1F708CB1" w14:textId="77777777" w:rsidR="008C7C13" w:rsidRPr="00FD2859" w:rsidRDefault="005465B4" w:rsidP="00722419">
      <w:pPr>
        <w:pStyle w:val="H23"/>
        <w:ind w:right="1260"/>
        <w:rPr>
          <w:bCs w:val="0"/>
          <w:lang w:val="es-ES" w:eastAsia="en-US"/>
        </w:rPr>
      </w:pPr>
      <w:r w:rsidRPr="00FD2859">
        <w:rPr>
          <w:bCs w:val="0"/>
          <w:lang w:val="es-ES" w:eastAsia="en-US"/>
        </w:rPr>
        <w:tab/>
      </w:r>
      <w:r w:rsidRPr="00FD2859">
        <w:rPr>
          <w:bCs w:val="0"/>
          <w:lang w:val="es-ES" w:eastAsia="en-US"/>
        </w:rPr>
        <w:tab/>
      </w:r>
      <w:r w:rsidR="008C7C13" w:rsidRPr="00FD2859">
        <w:rPr>
          <w:bCs w:val="0"/>
          <w:lang w:val="es-ES" w:eastAsia="en-US"/>
        </w:rPr>
        <w:t>Prestaciones económicas y sociales</w:t>
      </w:r>
      <w:bookmarkEnd w:id="143"/>
    </w:p>
    <w:p w14:paraId="3BD22776" w14:textId="77777777" w:rsidR="005465B4" w:rsidRPr="00FD2859" w:rsidRDefault="005465B4" w:rsidP="005465B4">
      <w:pPr>
        <w:pStyle w:val="SingleTxt"/>
        <w:spacing w:after="0" w:line="120" w:lineRule="exact"/>
        <w:rPr>
          <w:sz w:val="10"/>
          <w:szCs w:val="10"/>
          <w:lang w:val="es-ES"/>
        </w:rPr>
      </w:pPr>
    </w:p>
    <w:p w14:paraId="0840A673" w14:textId="77777777" w:rsidR="008C7C13" w:rsidRPr="00FD2859" w:rsidRDefault="008C7C13" w:rsidP="00CA5AB5">
      <w:pPr>
        <w:pStyle w:val="SingleTxt"/>
        <w:numPr>
          <w:ilvl w:val="0"/>
          <w:numId w:val="31"/>
        </w:numPr>
        <w:tabs>
          <w:tab w:val="num" w:pos="1742"/>
        </w:tabs>
        <w:ind w:left="1267" w:firstLine="0"/>
        <w:rPr>
          <w:szCs w:val="22"/>
          <w:lang w:val="es-ES" w:eastAsia="en-US"/>
        </w:rPr>
      </w:pPr>
      <w:bookmarkStart w:id="144" w:name="bookmark_156"/>
      <w:r w:rsidRPr="00FD2859">
        <w:rPr>
          <w:szCs w:val="22"/>
          <w:lang w:val="es-ES" w:eastAsia="en-US"/>
        </w:rPr>
        <w:t>El Comité acoge con satisfacción el plan nacional de desarrollo económico y social, que abarca el período 2016–2020 y contempla a las mujeres como agentes fundamentales en el desarrollo, y su objetivo de alcanzar la paridad de género entre los empresarios del país para 2020, y observa también la adopción en 2015 de una estrategia nacional para promover la capacidad de emprendimiento de la mujer, con el objetivo declarado de reducir la pobreza para 2025. Sin embargo, al Comité le preocupa que las prestaciones económicas y sociales sigan siendo inaccesibles para la mayoría de las mujeres en el Estado parte debido a su bajo nivel de concienciación sobre la forma de acceder a esas prestaciones, y sobre su limitado acceso y control de la tierra y los recursos naturales, como consecuencia de las actitudes patriarcales hacia la asignación de recursos.</w:t>
      </w:r>
      <w:bookmarkEnd w:id="144"/>
    </w:p>
    <w:p w14:paraId="333E2F51" w14:textId="77777777" w:rsidR="008C7C13" w:rsidRPr="00FD2859" w:rsidRDefault="008C7C13" w:rsidP="00CA5AB5">
      <w:pPr>
        <w:pStyle w:val="SingleTxt"/>
        <w:numPr>
          <w:ilvl w:val="0"/>
          <w:numId w:val="31"/>
        </w:numPr>
        <w:tabs>
          <w:tab w:val="num" w:pos="1742"/>
        </w:tabs>
        <w:ind w:left="1267" w:firstLine="0"/>
        <w:rPr>
          <w:b/>
          <w:szCs w:val="22"/>
          <w:lang w:val="es-ES" w:eastAsia="en-US"/>
        </w:rPr>
      </w:pPr>
      <w:bookmarkStart w:id="145" w:name="bookmark_157"/>
      <w:r w:rsidRPr="00FD2859">
        <w:rPr>
          <w:b/>
          <w:szCs w:val="22"/>
          <w:lang w:val="es-ES" w:eastAsia="en-US"/>
        </w:rPr>
        <w:t>El Comité recomienda al Estado parte que aumente la concienciación de las mujeres sobre la manera de acceder a las prestaciones, incluida la protección social y el seguro médico, así como los créditos financieros de bajos intereses, y que aumente el alcance geográfico de los proveedores de dichas prestaciones. También recomienda al Estado parte que sensibilice a los parlamentarios, a los líderes tradicionales y religiosos y al público en general acerca de la necesidad de promover el empoderamiento económico de la mujer como estrategia de mitigación de la pobreza, en consonancia con el Objetivo de Desarrollo Sostenible 5.</w:t>
      </w:r>
      <w:bookmarkEnd w:id="145"/>
    </w:p>
    <w:p w14:paraId="73AA1056" w14:textId="77777777" w:rsidR="005465B4" w:rsidRPr="00FD2859" w:rsidRDefault="005465B4" w:rsidP="005465B4">
      <w:pPr>
        <w:pStyle w:val="SingleTxt"/>
        <w:spacing w:after="0" w:line="120" w:lineRule="exact"/>
        <w:rPr>
          <w:sz w:val="10"/>
          <w:szCs w:val="10"/>
          <w:lang w:val="es-ES"/>
        </w:rPr>
      </w:pPr>
      <w:bookmarkStart w:id="146" w:name="bookmark_158"/>
    </w:p>
    <w:p w14:paraId="5E41B23E" w14:textId="77777777" w:rsidR="00C47AFD" w:rsidRPr="00FD2859" w:rsidRDefault="00C47AFD">
      <w:pPr>
        <w:suppressAutoHyphens w:val="0"/>
        <w:spacing w:line="240" w:lineRule="auto"/>
        <w:rPr>
          <w:b/>
          <w:spacing w:val="2"/>
          <w:lang w:val="es-ES" w:eastAsia="en-US"/>
        </w:rPr>
      </w:pPr>
      <w:r w:rsidRPr="00FD2859">
        <w:rPr>
          <w:bCs/>
          <w:lang w:val="es-ES" w:eastAsia="en-US"/>
        </w:rPr>
        <w:br w:type="page"/>
      </w:r>
    </w:p>
    <w:p w14:paraId="195FF03C" w14:textId="77777777" w:rsidR="008C7C13" w:rsidRPr="00FD2859" w:rsidRDefault="005465B4" w:rsidP="00722419">
      <w:pPr>
        <w:pStyle w:val="H23"/>
        <w:ind w:right="1260"/>
        <w:rPr>
          <w:bCs w:val="0"/>
          <w:lang w:val="es-ES" w:eastAsia="en-US"/>
        </w:rPr>
      </w:pPr>
      <w:r w:rsidRPr="00FD2859">
        <w:rPr>
          <w:bCs w:val="0"/>
          <w:lang w:val="es-ES" w:eastAsia="en-US"/>
        </w:rPr>
        <w:lastRenderedPageBreak/>
        <w:tab/>
      </w:r>
      <w:r w:rsidRPr="00FD2859">
        <w:rPr>
          <w:bCs w:val="0"/>
          <w:lang w:val="es-ES" w:eastAsia="en-US"/>
        </w:rPr>
        <w:tab/>
      </w:r>
      <w:r w:rsidR="008C7C13" w:rsidRPr="00FD2859">
        <w:rPr>
          <w:bCs w:val="0"/>
          <w:lang w:val="es-ES" w:eastAsia="en-US"/>
        </w:rPr>
        <w:t>Mujeres rurales</w:t>
      </w:r>
      <w:bookmarkEnd w:id="146"/>
    </w:p>
    <w:p w14:paraId="108FDD01" w14:textId="77777777" w:rsidR="005465B4" w:rsidRPr="00FD2859" w:rsidRDefault="005465B4" w:rsidP="005465B4">
      <w:pPr>
        <w:pStyle w:val="SingleTxt"/>
        <w:spacing w:after="0" w:line="120" w:lineRule="exact"/>
        <w:rPr>
          <w:sz w:val="10"/>
          <w:szCs w:val="10"/>
          <w:lang w:val="es-ES"/>
        </w:rPr>
      </w:pPr>
    </w:p>
    <w:p w14:paraId="7A1E3378" w14:textId="77777777" w:rsidR="008C7C13" w:rsidRPr="00FD2859" w:rsidRDefault="008C7C13" w:rsidP="00A66FF5">
      <w:pPr>
        <w:pStyle w:val="SingleTxt"/>
        <w:numPr>
          <w:ilvl w:val="0"/>
          <w:numId w:val="31"/>
        </w:numPr>
        <w:tabs>
          <w:tab w:val="num" w:pos="1742"/>
        </w:tabs>
        <w:ind w:left="1267" w:firstLine="0"/>
        <w:rPr>
          <w:szCs w:val="22"/>
          <w:lang w:val="es-ES" w:eastAsia="en-US"/>
        </w:rPr>
      </w:pPr>
      <w:bookmarkStart w:id="147" w:name="bookmark_159"/>
      <w:r w:rsidRPr="00FD2859">
        <w:rPr>
          <w:szCs w:val="22"/>
          <w:lang w:val="es-ES" w:eastAsia="en-US"/>
        </w:rPr>
        <w:t>El Comité acoge con satisfacción el marco jurídico que prevé el acceso equitativo a la tierra, los recursos y la información, y la cuota mínima del 30% de las parcelas de tierra agrícola gestionadas por el Estado reservadas para las mujeres. Sin embargo, al Comité le preocupa que el marco no se haya aplicado de manera suficiente debido a la poca sensibilización de las mujeres con respecto a esos derechos, que no logre incorporar la igualdad de género en su programación y que no se haya formulado y aplicado con la plena participación de las mujeres de las zonas rurales. Además, preocupa al Comité que:</w:t>
      </w:r>
      <w:bookmarkEnd w:id="147"/>
    </w:p>
    <w:p w14:paraId="73A98710" w14:textId="77777777" w:rsidR="008C7C13" w:rsidRPr="00FD2859" w:rsidRDefault="00F92F4E" w:rsidP="00F92F4E">
      <w:pPr>
        <w:pStyle w:val="SingleTxt"/>
        <w:rPr>
          <w:lang w:val="es-ES" w:eastAsia="en-US"/>
        </w:rPr>
      </w:pPr>
      <w:bookmarkStart w:id="148" w:name="bookmark_160"/>
      <w:r w:rsidRPr="00FD2859">
        <w:rPr>
          <w:lang w:val="es-ES" w:eastAsia="en-US"/>
        </w:rPr>
        <w:tab/>
      </w:r>
      <w:r w:rsidR="008C7C13" w:rsidRPr="00FD2859">
        <w:rPr>
          <w:lang w:val="es-ES" w:eastAsia="en-US"/>
        </w:rPr>
        <w:t>a)</w:t>
      </w:r>
      <w:r w:rsidR="008C7C13" w:rsidRPr="00FD2859">
        <w:rPr>
          <w:lang w:val="es-ES" w:eastAsia="en-US"/>
        </w:rPr>
        <w:tab/>
        <w:t>No existan mecanismos para que las mujeres presenten denuncias por discriminación en el acceso, la propiedad, el uso y la herencia de la tierra;</w:t>
      </w:r>
      <w:bookmarkEnd w:id="148"/>
    </w:p>
    <w:p w14:paraId="49AF7669" w14:textId="77777777" w:rsidR="008C7C13" w:rsidRPr="00FD2859" w:rsidRDefault="00F92F4E" w:rsidP="00F92F4E">
      <w:pPr>
        <w:pStyle w:val="SingleTxt"/>
        <w:rPr>
          <w:lang w:val="es-ES" w:eastAsia="en-US"/>
        </w:rPr>
      </w:pPr>
      <w:bookmarkStart w:id="149" w:name="bookmark_161"/>
      <w:r w:rsidRPr="00FD2859">
        <w:rPr>
          <w:lang w:val="es-ES" w:eastAsia="en-US"/>
        </w:rPr>
        <w:tab/>
      </w:r>
      <w:r w:rsidR="008C7C13" w:rsidRPr="00FD2859">
        <w:rPr>
          <w:lang w:val="es-ES" w:eastAsia="en-US"/>
        </w:rPr>
        <w:t>b)</w:t>
      </w:r>
      <w:r w:rsidR="008C7C13" w:rsidRPr="00FD2859">
        <w:rPr>
          <w:lang w:val="es-ES" w:eastAsia="en-US"/>
        </w:rPr>
        <w:tab/>
        <w:t>Las mujeres se hayan visto desproporcionadamente afectadas por los desalojos forzosos de las comunidades de Essakan y Kounkoufouanou, por la pérdida de tierras fértiles e ingresos, por el acceso a suficiente agua limpia y a una vivienda adecuada, y por el empeoramiento de las condiciones de salud.</w:t>
      </w:r>
      <w:bookmarkEnd w:id="149"/>
    </w:p>
    <w:p w14:paraId="6B5E6EE3" w14:textId="77777777" w:rsidR="008C7C13" w:rsidRPr="00FD2859" w:rsidRDefault="008C7C13" w:rsidP="00A66FF5">
      <w:pPr>
        <w:pStyle w:val="SingleTxt"/>
        <w:numPr>
          <w:ilvl w:val="0"/>
          <w:numId w:val="31"/>
        </w:numPr>
        <w:tabs>
          <w:tab w:val="num" w:pos="1742"/>
        </w:tabs>
        <w:ind w:left="1267" w:firstLine="0"/>
        <w:rPr>
          <w:b/>
          <w:szCs w:val="22"/>
          <w:lang w:val="es-ES" w:eastAsia="en-US"/>
        </w:rPr>
      </w:pPr>
      <w:bookmarkStart w:id="150" w:name="bookmark_162"/>
      <w:r w:rsidRPr="00FD2859">
        <w:rPr>
          <w:b/>
          <w:szCs w:val="22"/>
          <w:lang w:val="es-ES" w:eastAsia="en-US"/>
        </w:rPr>
        <w:t xml:space="preserve">A la luz de su recomendación general núm. 34 (2016) sobre los derechos de las mujeres rurales, el Comité recomienda al Estado parte que: </w:t>
      </w:r>
      <w:bookmarkEnd w:id="150"/>
    </w:p>
    <w:p w14:paraId="20D0E504" w14:textId="77777777" w:rsidR="008C7C13" w:rsidRPr="00FD2859" w:rsidRDefault="008C7C13" w:rsidP="00FD778C">
      <w:pPr>
        <w:pStyle w:val="SingleTxt"/>
        <w:rPr>
          <w:lang w:val="es-ES" w:eastAsia="en-US"/>
        </w:rPr>
      </w:pPr>
      <w:bookmarkStart w:id="151" w:name="bookmark_163"/>
      <w:r w:rsidRPr="00FD2859">
        <w:rPr>
          <w:lang w:val="es-ES" w:eastAsia="en-US"/>
        </w:rPr>
        <w:tab/>
        <w:t>a)</w:t>
      </w:r>
      <w:r w:rsidRPr="00FD2859">
        <w:rPr>
          <w:lang w:val="es-ES" w:eastAsia="en-US"/>
        </w:rPr>
        <w:tab/>
      </w:r>
      <w:r w:rsidRPr="00FD2859">
        <w:rPr>
          <w:b/>
          <w:lang w:val="es-ES" w:eastAsia="en-US"/>
        </w:rPr>
        <w:t>Aplique plenamente la Ley núm. 034-2009/AN, de 16 de junio de 2009, sobre el sistema de tenencia de tierras rurales, que reconoce la igualdad entre los géneros en el acceso a la tierra en las zonas rurales;</w:t>
      </w:r>
      <w:bookmarkEnd w:id="151"/>
    </w:p>
    <w:p w14:paraId="08EE8952" w14:textId="77777777" w:rsidR="008C7C13" w:rsidRPr="00FD2859" w:rsidRDefault="00FD778C" w:rsidP="00FD778C">
      <w:pPr>
        <w:pStyle w:val="SingleTxt"/>
        <w:rPr>
          <w:lang w:val="es-ES" w:eastAsia="en-US"/>
        </w:rPr>
      </w:pPr>
      <w:bookmarkStart w:id="152" w:name="bookmark_164"/>
      <w:r w:rsidRPr="00FD2859">
        <w:rPr>
          <w:lang w:val="es-ES" w:eastAsia="en-US"/>
        </w:rPr>
        <w:tab/>
      </w:r>
      <w:r w:rsidR="008C7C13" w:rsidRPr="00FD2859">
        <w:rPr>
          <w:lang w:val="es-ES" w:eastAsia="en-US"/>
        </w:rPr>
        <w:t>b)</w:t>
      </w:r>
      <w:r w:rsidR="008C7C13" w:rsidRPr="00FD2859">
        <w:rPr>
          <w:lang w:val="es-ES" w:eastAsia="en-US"/>
        </w:rPr>
        <w:tab/>
      </w:r>
      <w:r w:rsidR="008C7C13" w:rsidRPr="00FD2859">
        <w:rPr>
          <w:b/>
          <w:lang w:val="es-ES" w:eastAsia="en-US"/>
        </w:rPr>
        <w:t>Garantice la inclusión de la perspectiva de género en todas las políticas y los planes de desarrollo rural y la participación de la mujer en la preparación, aprobación y aplicación de políticas y programas nacionales sobre la seguridad alimentaria, el cambio climático, la respuesta en casos de desastre y la reducción de riesgos;</w:t>
      </w:r>
      <w:bookmarkEnd w:id="152"/>
    </w:p>
    <w:p w14:paraId="4216D17A" w14:textId="77777777" w:rsidR="008C7C13" w:rsidRPr="00FD2859" w:rsidRDefault="00FD778C" w:rsidP="00FD778C">
      <w:pPr>
        <w:pStyle w:val="SingleTxt"/>
        <w:rPr>
          <w:lang w:val="es-ES" w:eastAsia="en-US"/>
        </w:rPr>
      </w:pPr>
      <w:bookmarkStart w:id="153" w:name="bookmark_165"/>
      <w:r w:rsidRPr="00FD2859">
        <w:rPr>
          <w:lang w:val="es-ES" w:eastAsia="en-US"/>
        </w:rPr>
        <w:tab/>
      </w:r>
      <w:r w:rsidR="008C7C13" w:rsidRPr="00FD2859">
        <w:rPr>
          <w:lang w:val="es-ES" w:eastAsia="en-US"/>
        </w:rPr>
        <w:t>c)</w:t>
      </w:r>
      <w:r w:rsidR="008C7C13" w:rsidRPr="00FD2859">
        <w:rPr>
          <w:lang w:val="es-ES" w:eastAsia="en-US"/>
        </w:rPr>
        <w:tab/>
      </w:r>
      <w:r w:rsidR="008C7C13" w:rsidRPr="00FD2859">
        <w:rPr>
          <w:b/>
          <w:lang w:val="es-ES" w:eastAsia="en-US"/>
        </w:rPr>
        <w:t>Facilite la adquisición y la conservación de la tierra y de los recursos naturales por parte de las mujeres, entre otras cosas concienciándolas sobre la forma de reclamar las tierras reservadas para ellas, fortaleciendo la capacidad de las comisiones que tienen el mandato de supervisar la aplicación de la cuota del 30% de la tierra asignada a las mujeres y ayudándolas a presentar denuncias por las violaciones relacionadas con la discriminación en el acceso a</w:t>
      </w:r>
      <w:r w:rsidR="006E3054" w:rsidRPr="00FD2859">
        <w:rPr>
          <w:b/>
          <w:lang w:val="es-ES" w:eastAsia="en-US"/>
        </w:rPr>
        <w:t> </w:t>
      </w:r>
      <w:r w:rsidR="008C7C13" w:rsidRPr="00FD2859">
        <w:rPr>
          <w:b/>
          <w:lang w:val="es-ES" w:eastAsia="en-US"/>
        </w:rPr>
        <w:t>la tierra;</w:t>
      </w:r>
      <w:bookmarkEnd w:id="153"/>
    </w:p>
    <w:p w14:paraId="006F0220" w14:textId="0E9DAF9F" w:rsidR="008C7C13" w:rsidRPr="00FD2859" w:rsidRDefault="00FD778C" w:rsidP="00FD778C">
      <w:pPr>
        <w:pStyle w:val="SingleTxt"/>
        <w:rPr>
          <w:lang w:val="es-ES" w:eastAsia="en-US"/>
        </w:rPr>
      </w:pPr>
      <w:bookmarkStart w:id="154" w:name="bookmark_166"/>
      <w:r w:rsidRPr="00FD2859">
        <w:rPr>
          <w:lang w:val="es-ES" w:eastAsia="en-US"/>
        </w:rPr>
        <w:tab/>
      </w:r>
      <w:r w:rsidR="008C7C13" w:rsidRPr="00FD2859">
        <w:rPr>
          <w:lang w:val="es-ES" w:eastAsia="en-US"/>
        </w:rPr>
        <w:t>d)</w:t>
      </w:r>
      <w:r w:rsidR="008C7C13" w:rsidRPr="00FD2859">
        <w:rPr>
          <w:lang w:val="es-ES" w:eastAsia="en-US"/>
        </w:rPr>
        <w:tab/>
      </w:r>
      <w:r w:rsidR="008C7C13" w:rsidRPr="00FD2859">
        <w:rPr>
          <w:b/>
          <w:lang w:val="es-ES" w:eastAsia="en-US"/>
        </w:rPr>
        <w:t xml:space="preserve">Implique a las mujeres de las comunidades interesadas en un proceso, también las empresas privadas activas en Kounkoufouanou y </w:t>
      </w:r>
      <w:r w:rsidR="00E97B7C" w:rsidRPr="00FD2859">
        <w:rPr>
          <w:b/>
          <w:lang w:val="es-ES" w:eastAsia="en-US"/>
        </w:rPr>
        <w:t>Estacan</w:t>
      </w:r>
      <w:r w:rsidR="008C7C13" w:rsidRPr="00FD2859">
        <w:rPr>
          <w:b/>
          <w:lang w:val="es-ES" w:eastAsia="en-US"/>
        </w:rPr>
        <w:t>, a fin de negociar las debidas reparaciones e indemnizaciones para la plena recuperación de las pérdidas que estas mujeres han sufrido;</w:t>
      </w:r>
      <w:bookmarkEnd w:id="154"/>
    </w:p>
    <w:p w14:paraId="3DB14012" w14:textId="77777777" w:rsidR="008C7C13" w:rsidRPr="00FD2859" w:rsidRDefault="00FD778C" w:rsidP="00FD778C">
      <w:pPr>
        <w:pStyle w:val="SingleTxt"/>
        <w:rPr>
          <w:lang w:val="es-ES" w:eastAsia="en-US"/>
        </w:rPr>
      </w:pPr>
      <w:bookmarkStart w:id="155" w:name="bookmark_167"/>
      <w:r w:rsidRPr="00FD2859">
        <w:rPr>
          <w:lang w:val="es-ES" w:eastAsia="en-US"/>
        </w:rPr>
        <w:tab/>
      </w:r>
      <w:r w:rsidR="008C7C13" w:rsidRPr="00FD2859">
        <w:rPr>
          <w:lang w:val="es-ES" w:eastAsia="en-US"/>
        </w:rPr>
        <w:t>e)</w:t>
      </w:r>
      <w:r w:rsidR="008C7C13" w:rsidRPr="00FD2859">
        <w:rPr>
          <w:lang w:val="es-ES" w:eastAsia="en-US"/>
        </w:rPr>
        <w:tab/>
      </w:r>
      <w:r w:rsidR="008C7C13" w:rsidRPr="00FD2859">
        <w:rPr>
          <w:b/>
          <w:lang w:val="es-ES" w:eastAsia="en-US"/>
        </w:rPr>
        <w:t xml:space="preserve">Establezca un marco jurídico para garantizar que los proyectos agroindustriales y las actividades de las industrias extractivas no socaven los derechos de las mujeres rurales a la propiedad de la tierra y los medios de vida, y que garantice que esas empresas se autorizan únicamente después de llevar a cabo evaluaciones de las consecuencias en función del género que afectan a las mujeres rurales y velando por que los desalojos se realicen por orden de un tribunal y estén sujetos a estrictas salvaguardias procesales de conformidad con las normativas internacionales. </w:t>
      </w:r>
      <w:bookmarkEnd w:id="155"/>
    </w:p>
    <w:p w14:paraId="53F3C017" w14:textId="77777777" w:rsidR="005465B4" w:rsidRPr="00FD2859" w:rsidRDefault="005465B4" w:rsidP="005465B4">
      <w:pPr>
        <w:pStyle w:val="SingleTxt"/>
        <w:spacing w:after="0" w:line="120" w:lineRule="exact"/>
        <w:rPr>
          <w:sz w:val="10"/>
          <w:szCs w:val="10"/>
          <w:lang w:val="es-ES"/>
        </w:rPr>
      </w:pPr>
      <w:bookmarkStart w:id="156" w:name="bookmark_168"/>
    </w:p>
    <w:p w14:paraId="491D1795" w14:textId="77777777" w:rsidR="00A978EA" w:rsidRPr="00FD2859" w:rsidRDefault="00A978EA">
      <w:pPr>
        <w:suppressAutoHyphens w:val="0"/>
        <w:spacing w:line="240" w:lineRule="auto"/>
        <w:rPr>
          <w:b/>
          <w:spacing w:val="2"/>
          <w:lang w:val="es-ES" w:eastAsia="en-US"/>
        </w:rPr>
      </w:pPr>
      <w:r w:rsidRPr="00FD2859">
        <w:rPr>
          <w:bCs/>
          <w:lang w:val="es-ES" w:eastAsia="en-US"/>
        </w:rPr>
        <w:br w:type="page"/>
      </w:r>
    </w:p>
    <w:p w14:paraId="7C1E982D" w14:textId="77777777" w:rsidR="008C7C13" w:rsidRPr="00FD2859" w:rsidRDefault="005465B4" w:rsidP="00722419">
      <w:pPr>
        <w:pStyle w:val="H23"/>
        <w:ind w:right="1260"/>
        <w:rPr>
          <w:bCs w:val="0"/>
          <w:lang w:val="es-ES" w:eastAsia="en-US"/>
        </w:rPr>
      </w:pPr>
      <w:r w:rsidRPr="00FD2859">
        <w:rPr>
          <w:bCs w:val="0"/>
          <w:lang w:val="es-ES" w:eastAsia="en-US"/>
        </w:rPr>
        <w:lastRenderedPageBreak/>
        <w:tab/>
      </w:r>
      <w:r w:rsidRPr="00FD2859">
        <w:rPr>
          <w:bCs w:val="0"/>
          <w:lang w:val="es-ES" w:eastAsia="en-US"/>
        </w:rPr>
        <w:tab/>
      </w:r>
      <w:r w:rsidR="008C7C13" w:rsidRPr="00FD2859">
        <w:rPr>
          <w:bCs w:val="0"/>
          <w:lang w:val="es-ES" w:eastAsia="en-US"/>
        </w:rPr>
        <w:t>Grupos de mujeres desfavorecidas</w:t>
      </w:r>
      <w:bookmarkEnd w:id="156"/>
    </w:p>
    <w:p w14:paraId="3CC0E983" w14:textId="77777777" w:rsidR="005465B4" w:rsidRPr="00FD2859" w:rsidRDefault="005465B4" w:rsidP="005465B4">
      <w:pPr>
        <w:pStyle w:val="SingleTxt"/>
        <w:spacing w:after="0" w:line="120" w:lineRule="exact"/>
        <w:rPr>
          <w:sz w:val="10"/>
          <w:szCs w:val="10"/>
          <w:lang w:val="es-ES"/>
        </w:rPr>
      </w:pPr>
    </w:p>
    <w:p w14:paraId="4FCB2779" w14:textId="77777777" w:rsidR="008C7C13" w:rsidRPr="00FD2859" w:rsidRDefault="008C7C13" w:rsidP="007A2DB3">
      <w:pPr>
        <w:pStyle w:val="H4"/>
        <w:ind w:right="1260"/>
        <w:rPr>
          <w:iCs w:val="0"/>
          <w:lang w:val="es-ES" w:eastAsia="en-US"/>
        </w:rPr>
      </w:pPr>
      <w:bookmarkStart w:id="157" w:name="bookmark_169"/>
      <w:r w:rsidRPr="00FD2859">
        <w:rPr>
          <w:iCs w:val="0"/>
          <w:lang w:val="es-ES" w:eastAsia="en-US"/>
        </w:rPr>
        <w:tab/>
      </w:r>
      <w:r w:rsidRPr="00FD2859">
        <w:rPr>
          <w:iCs w:val="0"/>
          <w:lang w:val="es-ES" w:eastAsia="en-US"/>
        </w:rPr>
        <w:tab/>
        <w:t>Mujeres de edad y viudas</w:t>
      </w:r>
      <w:bookmarkEnd w:id="157"/>
    </w:p>
    <w:p w14:paraId="3FB6217A" w14:textId="77777777" w:rsidR="005465B4" w:rsidRPr="00FD2859" w:rsidRDefault="005465B4" w:rsidP="005465B4">
      <w:pPr>
        <w:pStyle w:val="SingleTxt"/>
        <w:spacing w:after="0" w:line="120" w:lineRule="exact"/>
        <w:rPr>
          <w:sz w:val="10"/>
          <w:szCs w:val="10"/>
          <w:lang w:val="es-ES"/>
        </w:rPr>
      </w:pPr>
    </w:p>
    <w:p w14:paraId="492F1AF7" w14:textId="77777777" w:rsidR="008C7C13" w:rsidRPr="00FD2859" w:rsidRDefault="008C7C13" w:rsidP="00A66FF5">
      <w:pPr>
        <w:pStyle w:val="SingleTxt"/>
        <w:numPr>
          <w:ilvl w:val="0"/>
          <w:numId w:val="31"/>
        </w:numPr>
        <w:tabs>
          <w:tab w:val="num" w:pos="1742"/>
        </w:tabs>
        <w:ind w:left="1267" w:firstLine="0"/>
        <w:rPr>
          <w:szCs w:val="22"/>
          <w:lang w:val="es-ES" w:eastAsia="en-US"/>
        </w:rPr>
      </w:pPr>
      <w:bookmarkStart w:id="158" w:name="bookmark_170"/>
      <w:r w:rsidRPr="00FD2859">
        <w:rPr>
          <w:szCs w:val="22"/>
          <w:lang w:val="es-ES" w:eastAsia="en-US"/>
        </w:rPr>
        <w:t>El Comité acoge con beneplácito la aprobación de la Ley núm. 24-2016/AN, de 17 de octubre de 2016, sobre la protección y la promoción de los derechos de las personas de edad, en la que, entre otras cosas, se castiga el abandono forzado y la exclusión social de las personas de edad, así como de aquellas acusadas de brujería. Le preocupa, sin embargo, que la ley no aborde específicamente la precaria situación de las mujeres de edad y que no establezca un mecanismo de denuncia para asegurar que las víctimas de discriminación, incluidas las mujeres acusadas de brujería, puedan reivindicar sus derechos.</w:t>
      </w:r>
      <w:bookmarkEnd w:id="158"/>
    </w:p>
    <w:p w14:paraId="2F2A40CF" w14:textId="77777777" w:rsidR="008C7C13" w:rsidRPr="00FD2859" w:rsidRDefault="008C7C13" w:rsidP="00A66FF5">
      <w:pPr>
        <w:pStyle w:val="SingleTxt"/>
        <w:numPr>
          <w:ilvl w:val="0"/>
          <w:numId w:val="31"/>
        </w:numPr>
        <w:tabs>
          <w:tab w:val="num" w:pos="1742"/>
        </w:tabs>
        <w:ind w:left="1267" w:firstLine="0"/>
        <w:rPr>
          <w:b/>
          <w:szCs w:val="22"/>
          <w:lang w:val="es-ES" w:eastAsia="en-US"/>
        </w:rPr>
      </w:pPr>
      <w:bookmarkStart w:id="159" w:name="bookmark_171"/>
      <w:r w:rsidRPr="00FD2859">
        <w:rPr>
          <w:b/>
          <w:szCs w:val="22"/>
          <w:lang w:val="es-ES" w:eastAsia="en-US"/>
        </w:rPr>
        <w:t xml:space="preserve">Habida cuenta de su recomendación general núm. 27 (2010) sobre las mujeres de edad y la protección de sus derechos humanos, el Comité recomienda al Estado parte que: </w:t>
      </w:r>
      <w:bookmarkEnd w:id="159"/>
    </w:p>
    <w:p w14:paraId="03051F31" w14:textId="77777777" w:rsidR="008C7C13" w:rsidRPr="00FD2859" w:rsidRDefault="00D74A62" w:rsidP="00D74A62">
      <w:pPr>
        <w:pStyle w:val="SingleTxt"/>
        <w:rPr>
          <w:lang w:val="es-ES" w:eastAsia="en-US"/>
        </w:rPr>
      </w:pPr>
      <w:bookmarkStart w:id="160" w:name="bookmark_172"/>
      <w:r w:rsidRPr="00FD2859">
        <w:rPr>
          <w:lang w:val="es-ES" w:eastAsia="en-US"/>
        </w:rPr>
        <w:tab/>
      </w:r>
      <w:r w:rsidR="008C7C13" w:rsidRPr="00FD2859">
        <w:rPr>
          <w:lang w:val="es-ES" w:eastAsia="en-US"/>
        </w:rPr>
        <w:t>a)</w:t>
      </w:r>
      <w:r w:rsidR="008C7C13" w:rsidRPr="00FD2859">
        <w:rPr>
          <w:lang w:val="es-ES" w:eastAsia="en-US"/>
        </w:rPr>
        <w:tab/>
      </w:r>
      <w:r w:rsidR="008C7C13" w:rsidRPr="00FD2859">
        <w:rPr>
          <w:b/>
          <w:lang w:val="es-ES" w:eastAsia="en-US"/>
        </w:rPr>
        <w:t>Modifique la Ley núm. 24-2016/AN, a fin de garantizar que las mujeres de edad tengan acceso a una atención sanitaria y servicios sociales adecuados y asequibles, así como a la herencia y a la tierra;</w:t>
      </w:r>
      <w:bookmarkEnd w:id="160"/>
    </w:p>
    <w:p w14:paraId="768A540B" w14:textId="77777777" w:rsidR="008C7C13" w:rsidRPr="00FD2859" w:rsidRDefault="00D74A62" w:rsidP="00D74A62">
      <w:pPr>
        <w:pStyle w:val="SingleTxt"/>
        <w:rPr>
          <w:lang w:val="es-ES" w:eastAsia="en-US"/>
        </w:rPr>
      </w:pPr>
      <w:bookmarkStart w:id="161" w:name="bookmark_173"/>
      <w:r w:rsidRPr="00FD2859">
        <w:rPr>
          <w:lang w:val="es-ES" w:eastAsia="en-US"/>
        </w:rPr>
        <w:tab/>
      </w:r>
      <w:r w:rsidR="008C7C13" w:rsidRPr="00FD2859">
        <w:rPr>
          <w:lang w:val="es-ES" w:eastAsia="en-US"/>
        </w:rPr>
        <w:t>b)</w:t>
      </w:r>
      <w:r w:rsidR="008C7C13" w:rsidRPr="00FD2859">
        <w:rPr>
          <w:lang w:val="es-ES" w:eastAsia="en-US"/>
        </w:rPr>
        <w:tab/>
      </w:r>
      <w:r w:rsidR="008C7C13" w:rsidRPr="00FD2859">
        <w:rPr>
          <w:b/>
          <w:lang w:val="es-ES" w:eastAsia="en-US"/>
        </w:rPr>
        <w:t>Asigne los recursos necesarios para garantizar la eficacia del mecanismo de vigilancia de la aplicación del plan de acción nacional para combatir la exclusión social de las personas acusadas de brujería, que abarca el</w:t>
      </w:r>
      <w:r w:rsidR="003E6598" w:rsidRPr="00FD2859">
        <w:rPr>
          <w:b/>
          <w:lang w:val="es-ES" w:eastAsia="en-US"/>
        </w:rPr>
        <w:t> </w:t>
      </w:r>
      <w:r w:rsidR="008C7C13" w:rsidRPr="00FD2859">
        <w:rPr>
          <w:b/>
          <w:lang w:val="es-ES" w:eastAsia="en-US"/>
        </w:rPr>
        <w:t>período 2012–2016;</w:t>
      </w:r>
      <w:bookmarkEnd w:id="161"/>
    </w:p>
    <w:p w14:paraId="33C72183" w14:textId="77777777" w:rsidR="008C7C13" w:rsidRPr="00FD2859" w:rsidRDefault="00D74A62" w:rsidP="00D74A62">
      <w:pPr>
        <w:pStyle w:val="SingleTxt"/>
        <w:rPr>
          <w:lang w:val="es-ES" w:eastAsia="en-US"/>
        </w:rPr>
      </w:pPr>
      <w:bookmarkStart w:id="162" w:name="bookmark_174"/>
      <w:r w:rsidRPr="00FD2859">
        <w:rPr>
          <w:lang w:val="es-ES" w:eastAsia="en-US"/>
        </w:rPr>
        <w:tab/>
      </w:r>
      <w:r w:rsidR="008C7C13" w:rsidRPr="00FD2859">
        <w:rPr>
          <w:lang w:val="es-ES" w:eastAsia="en-US"/>
        </w:rPr>
        <w:t>c)</w:t>
      </w:r>
      <w:r w:rsidR="008C7C13" w:rsidRPr="00FD2859">
        <w:rPr>
          <w:lang w:val="es-ES" w:eastAsia="en-US"/>
        </w:rPr>
        <w:tab/>
      </w:r>
      <w:r w:rsidR="008C7C13" w:rsidRPr="00FD2859">
        <w:rPr>
          <w:b/>
          <w:lang w:val="es-ES" w:eastAsia="en-US"/>
        </w:rPr>
        <w:t>Lleve a cabo programas de concienciación para modificar las opiniones tradicionales sobre las mujeres de edad y las viudas, con miras a combatir todas las formas de discriminación y violencia contra ellas.</w:t>
      </w:r>
      <w:bookmarkEnd w:id="162"/>
    </w:p>
    <w:p w14:paraId="795D5E33" w14:textId="77777777" w:rsidR="005465B4" w:rsidRPr="00FD2859" w:rsidRDefault="005465B4" w:rsidP="005465B4">
      <w:pPr>
        <w:pStyle w:val="SingleTxt"/>
        <w:spacing w:after="0" w:line="120" w:lineRule="exact"/>
        <w:rPr>
          <w:sz w:val="10"/>
          <w:szCs w:val="10"/>
          <w:lang w:val="es-ES"/>
        </w:rPr>
      </w:pPr>
      <w:bookmarkStart w:id="163" w:name="bookmark_175"/>
    </w:p>
    <w:p w14:paraId="0DF3D2E6" w14:textId="77777777" w:rsidR="008C7C13" w:rsidRPr="00FD2859" w:rsidRDefault="008C7C13" w:rsidP="007A2DB3">
      <w:pPr>
        <w:pStyle w:val="H4"/>
        <w:ind w:right="1260"/>
        <w:rPr>
          <w:iCs w:val="0"/>
          <w:lang w:val="es-ES" w:eastAsia="en-US"/>
        </w:rPr>
      </w:pPr>
      <w:r w:rsidRPr="00FD2859">
        <w:rPr>
          <w:iCs w:val="0"/>
          <w:lang w:val="es-ES" w:eastAsia="en-US"/>
        </w:rPr>
        <w:tab/>
      </w:r>
      <w:r w:rsidRPr="00FD2859">
        <w:rPr>
          <w:iCs w:val="0"/>
          <w:lang w:val="es-ES" w:eastAsia="en-US"/>
        </w:rPr>
        <w:tab/>
        <w:t>Mujeres reclusas</w:t>
      </w:r>
      <w:bookmarkEnd w:id="163"/>
    </w:p>
    <w:p w14:paraId="5DEE8B82" w14:textId="77777777" w:rsidR="005465B4" w:rsidRPr="00FD2859" w:rsidRDefault="005465B4" w:rsidP="005465B4">
      <w:pPr>
        <w:pStyle w:val="SingleTxt"/>
        <w:spacing w:after="0" w:line="120" w:lineRule="exact"/>
        <w:rPr>
          <w:sz w:val="10"/>
          <w:szCs w:val="10"/>
          <w:lang w:val="es-ES"/>
        </w:rPr>
      </w:pPr>
    </w:p>
    <w:p w14:paraId="236ADEC8" w14:textId="77777777" w:rsidR="008C7C13" w:rsidRPr="00FD2859" w:rsidRDefault="008C7C13" w:rsidP="00A66FF5">
      <w:pPr>
        <w:pStyle w:val="SingleTxt"/>
        <w:numPr>
          <w:ilvl w:val="0"/>
          <w:numId w:val="31"/>
        </w:numPr>
        <w:tabs>
          <w:tab w:val="num" w:pos="1742"/>
        </w:tabs>
        <w:ind w:left="1267" w:firstLine="0"/>
        <w:rPr>
          <w:szCs w:val="22"/>
          <w:lang w:val="es-ES" w:eastAsia="en-US"/>
        </w:rPr>
      </w:pPr>
      <w:bookmarkStart w:id="164" w:name="bookmark_176"/>
      <w:r w:rsidRPr="00FD2859">
        <w:rPr>
          <w:szCs w:val="22"/>
          <w:lang w:val="es-ES" w:eastAsia="en-US"/>
        </w:rPr>
        <w:t>El Comité observa con preocupación que la mayoría de las mujeres en situación de prisión preventiva no se separan sistemáticamente de los reclusos condenados. También le preocupan las malas condiciones de detención de las mujeres, en particular el hacinamiento y la falta de acceso a alimentos, agua potable y saneamiento adecuado.</w:t>
      </w:r>
      <w:bookmarkEnd w:id="164"/>
    </w:p>
    <w:p w14:paraId="55F16F5A" w14:textId="77777777" w:rsidR="008C7C13" w:rsidRPr="00FD2859" w:rsidRDefault="008C7C13" w:rsidP="00FA5EEA">
      <w:pPr>
        <w:pStyle w:val="SingleTxt"/>
        <w:numPr>
          <w:ilvl w:val="0"/>
          <w:numId w:val="31"/>
        </w:numPr>
        <w:tabs>
          <w:tab w:val="num" w:pos="1742"/>
        </w:tabs>
        <w:ind w:left="1267" w:firstLine="0"/>
        <w:rPr>
          <w:b/>
          <w:szCs w:val="22"/>
          <w:lang w:val="es-ES" w:eastAsia="en-US"/>
        </w:rPr>
      </w:pPr>
      <w:bookmarkStart w:id="165" w:name="bookmark_177"/>
      <w:r w:rsidRPr="00FD2859">
        <w:rPr>
          <w:b/>
          <w:szCs w:val="22"/>
          <w:lang w:val="es-ES" w:eastAsia="en-US"/>
        </w:rPr>
        <w:t>El Comité recomienda que el Estado parte aplique las Reglas de las Naciones Unidas para el Tratamiento de las Reclusas y Medidas No Privativas de la Libertad para las Mujeres Delincuentes (Reglas de Bangkok), que garantice la separación entre las mujeres detenidas y las convictas, y asegure su acceso a una nutrición adecuada, a agua potable, a servicios de saneamiento y a atención sanitaria, y que refuerce los programas de apoyo para su integración tras su liberación.</w:t>
      </w:r>
      <w:bookmarkEnd w:id="165"/>
    </w:p>
    <w:p w14:paraId="2A49C197" w14:textId="77777777" w:rsidR="005465B4" w:rsidRPr="00FD2859" w:rsidRDefault="005465B4" w:rsidP="005465B4">
      <w:pPr>
        <w:pStyle w:val="SingleTxt"/>
        <w:spacing w:after="0" w:line="120" w:lineRule="exact"/>
        <w:rPr>
          <w:sz w:val="10"/>
          <w:szCs w:val="10"/>
          <w:lang w:val="es-ES"/>
        </w:rPr>
      </w:pPr>
      <w:bookmarkStart w:id="166" w:name="bookmark_178"/>
    </w:p>
    <w:p w14:paraId="6A9474ED" w14:textId="77777777" w:rsidR="008C7C13" w:rsidRPr="00FD2859" w:rsidRDefault="008C7C13" w:rsidP="007A2DB3">
      <w:pPr>
        <w:pStyle w:val="H4"/>
        <w:ind w:right="1260"/>
        <w:rPr>
          <w:iCs w:val="0"/>
          <w:lang w:val="es-ES" w:eastAsia="en-US"/>
        </w:rPr>
      </w:pPr>
      <w:r w:rsidRPr="00FD2859">
        <w:rPr>
          <w:iCs w:val="0"/>
          <w:lang w:val="es-ES" w:eastAsia="en-US"/>
        </w:rPr>
        <w:tab/>
      </w:r>
      <w:r w:rsidRPr="00FD2859">
        <w:rPr>
          <w:iCs w:val="0"/>
          <w:lang w:val="es-ES" w:eastAsia="en-US"/>
        </w:rPr>
        <w:tab/>
        <w:t>Mujeres con discapacidad y mujeres con albinismo</w:t>
      </w:r>
      <w:bookmarkEnd w:id="166"/>
    </w:p>
    <w:p w14:paraId="5C569557" w14:textId="77777777" w:rsidR="005465B4" w:rsidRPr="00FD2859" w:rsidRDefault="005465B4" w:rsidP="005465B4">
      <w:pPr>
        <w:pStyle w:val="SingleTxt"/>
        <w:spacing w:after="0" w:line="120" w:lineRule="exact"/>
        <w:rPr>
          <w:sz w:val="10"/>
          <w:szCs w:val="10"/>
          <w:lang w:val="es-ES"/>
        </w:rPr>
      </w:pPr>
    </w:p>
    <w:p w14:paraId="00AC245E" w14:textId="77777777" w:rsidR="008C7C13" w:rsidRPr="00FD2859" w:rsidRDefault="008C7C13" w:rsidP="00FA5EEA">
      <w:pPr>
        <w:pStyle w:val="SingleTxt"/>
        <w:numPr>
          <w:ilvl w:val="0"/>
          <w:numId w:val="31"/>
        </w:numPr>
        <w:tabs>
          <w:tab w:val="num" w:pos="1742"/>
        </w:tabs>
        <w:ind w:left="1267" w:firstLine="0"/>
        <w:rPr>
          <w:szCs w:val="22"/>
          <w:lang w:val="es-ES" w:eastAsia="en-US"/>
        </w:rPr>
      </w:pPr>
      <w:bookmarkStart w:id="167" w:name="bookmark_179"/>
      <w:r w:rsidRPr="00FD2859">
        <w:rPr>
          <w:szCs w:val="22"/>
          <w:lang w:val="es-ES" w:eastAsia="en-US"/>
        </w:rPr>
        <w:t>El Comité celebra la aprobación de la Ley núm. 012-2010/AN, de 1 de abril de</w:t>
      </w:r>
      <w:r w:rsidR="009D703C" w:rsidRPr="00FD2859">
        <w:rPr>
          <w:szCs w:val="22"/>
          <w:lang w:val="es-ES" w:eastAsia="en-US"/>
        </w:rPr>
        <w:t> </w:t>
      </w:r>
      <w:r w:rsidRPr="00FD2859">
        <w:rPr>
          <w:szCs w:val="22"/>
          <w:lang w:val="es-ES" w:eastAsia="en-US"/>
        </w:rPr>
        <w:t>2010, sobre la protección y la promoción de los derechos de las personas con discapacidad, y señala además que el artículo 18 de la Constitución exige que el Estado parte preste asistencia a las personas con discapacidad. Le preocupa, sin embargo, que los derechos de las mujeres y las niñas con discapacidad no estén protegidos por ninguna política o plan de acción específico. El Comité lamenta los informes de ataques contra las personas con albinismo, incluidas las mujeres y las niñas, el uso de partes de su cuerpo con fines de brujería, y la estigmatización y la exclusión social que sufren las madres de niños con albinismo.</w:t>
      </w:r>
      <w:bookmarkEnd w:id="167"/>
    </w:p>
    <w:p w14:paraId="66FBE3FE" w14:textId="77777777" w:rsidR="008C7C13" w:rsidRPr="00FD2859" w:rsidRDefault="008C7C13" w:rsidP="00EE6AC5">
      <w:pPr>
        <w:pStyle w:val="SingleTxt"/>
        <w:numPr>
          <w:ilvl w:val="0"/>
          <w:numId w:val="31"/>
        </w:numPr>
        <w:tabs>
          <w:tab w:val="num" w:pos="1742"/>
        </w:tabs>
        <w:ind w:left="1267" w:firstLine="0"/>
        <w:rPr>
          <w:b/>
          <w:szCs w:val="22"/>
          <w:lang w:val="es-ES" w:eastAsia="en-US"/>
        </w:rPr>
      </w:pPr>
      <w:bookmarkStart w:id="168" w:name="bookmark_180"/>
      <w:r w:rsidRPr="00FD2859">
        <w:rPr>
          <w:b/>
          <w:szCs w:val="22"/>
          <w:lang w:val="es-ES" w:eastAsia="en-US"/>
        </w:rPr>
        <w:lastRenderedPageBreak/>
        <w:t xml:space="preserve">El Comité, recordando su recomendación general núm. 18 (1991) sobre las mujeres </w:t>
      </w:r>
      <w:r w:rsidR="00EE6AC5" w:rsidRPr="00FD2859">
        <w:rPr>
          <w:b/>
          <w:szCs w:val="22"/>
          <w:lang w:val="es-ES" w:eastAsia="en-US"/>
        </w:rPr>
        <w:t>con discapacidad</w:t>
      </w:r>
      <w:r w:rsidRPr="00FD2859">
        <w:rPr>
          <w:b/>
          <w:szCs w:val="22"/>
          <w:lang w:val="es-ES" w:eastAsia="en-US"/>
        </w:rPr>
        <w:t>, recomienda que el Estado parte:</w:t>
      </w:r>
      <w:bookmarkEnd w:id="168"/>
    </w:p>
    <w:p w14:paraId="686669CE" w14:textId="77777777" w:rsidR="008C7C13" w:rsidRPr="00FD2859" w:rsidRDefault="008C7C13" w:rsidP="001B16EF">
      <w:pPr>
        <w:pStyle w:val="SingleTxt"/>
        <w:rPr>
          <w:lang w:val="es-ES" w:eastAsia="en-US"/>
        </w:rPr>
      </w:pPr>
      <w:bookmarkStart w:id="169" w:name="bookmark_181"/>
      <w:r w:rsidRPr="00FD2859">
        <w:rPr>
          <w:lang w:val="es-ES" w:eastAsia="en-US"/>
        </w:rPr>
        <w:tab/>
        <w:t>a)</w:t>
      </w:r>
      <w:r w:rsidRPr="00FD2859">
        <w:rPr>
          <w:lang w:val="es-ES" w:eastAsia="en-US"/>
        </w:rPr>
        <w:tab/>
      </w:r>
      <w:r w:rsidRPr="00FD2859">
        <w:rPr>
          <w:b/>
          <w:lang w:val="es-ES" w:eastAsia="en-US"/>
        </w:rPr>
        <w:t>Desarrolle y aplique una estrategia para velar por que las mujeres y las niñas con discapacidad tengan un acceso efectivo a la justicia, la vida política y pública, la educación, las actividades generadoras de ingresos y la</w:t>
      </w:r>
      <w:r w:rsidR="00541D63" w:rsidRPr="00FD2859">
        <w:rPr>
          <w:b/>
          <w:lang w:val="es-ES" w:eastAsia="en-US"/>
        </w:rPr>
        <w:t> </w:t>
      </w:r>
      <w:r w:rsidRPr="00FD2859">
        <w:rPr>
          <w:b/>
          <w:lang w:val="es-ES" w:eastAsia="en-US"/>
        </w:rPr>
        <w:t>atención sanitaria, incluidos los servicios de atención de la salud sexual y</w:t>
      </w:r>
      <w:r w:rsidR="00541D63" w:rsidRPr="00FD2859">
        <w:rPr>
          <w:b/>
          <w:lang w:val="es-ES" w:eastAsia="en-US"/>
        </w:rPr>
        <w:t> </w:t>
      </w:r>
      <w:r w:rsidRPr="00FD2859">
        <w:rPr>
          <w:b/>
          <w:lang w:val="es-ES" w:eastAsia="en-US"/>
        </w:rPr>
        <w:t>reproductiva;</w:t>
      </w:r>
      <w:bookmarkEnd w:id="169"/>
    </w:p>
    <w:p w14:paraId="3BF5E3AB" w14:textId="77777777" w:rsidR="008C7C13" w:rsidRPr="00FD2859" w:rsidRDefault="008C7C13" w:rsidP="001B16EF">
      <w:pPr>
        <w:pStyle w:val="SingleTxt"/>
        <w:rPr>
          <w:lang w:val="es-ES" w:eastAsia="en-US"/>
        </w:rPr>
      </w:pPr>
      <w:bookmarkStart w:id="170" w:name="bookmark_182"/>
      <w:r w:rsidRPr="00FD2859">
        <w:rPr>
          <w:lang w:val="es-ES" w:eastAsia="en-US"/>
        </w:rPr>
        <w:tab/>
        <w:t>b)</w:t>
      </w:r>
      <w:r w:rsidRPr="00FD2859">
        <w:rPr>
          <w:lang w:val="es-ES" w:eastAsia="en-US"/>
        </w:rPr>
        <w:tab/>
      </w:r>
      <w:r w:rsidRPr="00FD2859">
        <w:rPr>
          <w:b/>
          <w:lang w:val="es-ES" w:eastAsia="en-US"/>
        </w:rPr>
        <w:t>Realice actividades de sensibilización para cambiar las actitudes negativas hacia las mujeres y las niñas con discapacidad y las mujeres con albinismo, a fin de garantizar que se impongan sanciones estrictas a los autores de las violaciones cometidas contra ellas.</w:t>
      </w:r>
      <w:bookmarkEnd w:id="170"/>
    </w:p>
    <w:p w14:paraId="632BFD2C" w14:textId="77777777" w:rsidR="005465B4" w:rsidRPr="00FD2859" w:rsidRDefault="005465B4" w:rsidP="005465B4">
      <w:pPr>
        <w:pStyle w:val="SingleTxt"/>
        <w:spacing w:after="0" w:line="120" w:lineRule="exact"/>
        <w:rPr>
          <w:sz w:val="10"/>
          <w:szCs w:val="10"/>
          <w:lang w:val="es-ES"/>
        </w:rPr>
      </w:pPr>
      <w:bookmarkStart w:id="171" w:name="bookmark_183"/>
    </w:p>
    <w:p w14:paraId="299C69F6" w14:textId="77777777" w:rsidR="008C7C13" w:rsidRPr="00FD2859" w:rsidRDefault="005465B4" w:rsidP="00722419">
      <w:pPr>
        <w:pStyle w:val="H23"/>
        <w:ind w:right="1260"/>
        <w:rPr>
          <w:bCs w:val="0"/>
          <w:lang w:val="es-ES" w:eastAsia="en-US"/>
        </w:rPr>
      </w:pPr>
      <w:r w:rsidRPr="00FD2859">
        <w:rPr>
          <w:bCs w:val="0"/>
          <w:lang w:val="es-ES" w:eastAsia="en-US"/>
        </w:rPr>
        <w:tab/>
      </w:r>
      <w:r w:rsidRPr="00FD2859">
        <w:rPr>
          <w:bCs w:val="0"/>
          <w:lang w:val="es-ES" w:eastAsia="en-US"/>
        </w:rPr>
        <w:tab/>
      </w:r>
      <w:r w:rsidR="008C7C13" w:rsidRPr="00FD2859">
        <w:rPr>
          <w:bCs w:val="0"/>
          <w:lang w:val="es-ES" w:eastAsia="en-US"/>
        </w:rPr>
        <w:t>La igualdad en el matrimonio y en las relaciones familiares</w:t>
      </w:r>
      <w:bookmarkEnd w:id="171"/>
    </w:p>
    <w:p w14:paraId="7099C833" w14:textId="77777777" w:rsidR="005465B4" w:rsidRPr="00FD2859" w:rsidRDefault="005465B4" w:rsidP="005465B4">
      <w:pPr>
        <w:pStyle w:val="SingleTxt"/>
        <w:spacing w:after="0" w:line="120" w:lineRule="exact"/>
        <w:rPr>
          <w:sz w:val="10"/>
          <w:szCs w:val="10"/>
          <w:lang w:val="es-ES"/>
        </w:rPr>
      </w:pPr>
    </w:p>
    <w:p w14:paraId="56A23174" w14:textId="77777777" w:rsidR="008C7C13" w:rsidRPr="00FD2859" w:rsidRDefault="008C7C13" w:rsidP="00FA5EEA">
      <w:pPr>
        <w:pStyle w:val="SingleTxt"/>
        <w:numPr>
          <w:ilvl w:val="0"/>
          <w:numId w:val="31"/>
        </w:numPr>
        <w:tabs>
          <w:tab w:val="num" w:pos="1742"/>
        </w:tabs>
        <w:ind w:left="1267" w:firstLine="0"/>
        <w:rPr>
          <w:szCs w:val="22"/>
          <w:lang w:val="es-ES" w:eastAsia="en-US"/>
        </w:rPr>
      </w:pPr>
      <w:bookmarkStart w:id="172" w:name="bookmark_184"/>
      <w:r w:rsidRPr="00FD2859">
        <w:rPr>
          <w:szCs w:val="22"/>
          <w:lang w:val="es-ES" w:eastAsia="en-US"/>
        </w:rPr>
        <w:t>El Comité acoge con satisfacción la presentación del proyecto de revisión del Código de las Personas y de la Familia al Consejo de Ministros y el hecho de que se armonice la edad mínima para contraer matrimonio en 18 años tanto para los hombres como las mujeres. Sin embargo, le preocupa la falta de información sobre si se ha recomendado la derogación de todas las disposiciones discriminatorias en el</w:t>
      </w:r>
      <w:r w:rsidR="00155E19" w:rsidRPr="00FD2859">
        <w:rPr>
          <w:szCs w:val="22"/>
          <w:lang w:val="es-ES" w:eastAsia="en-US"/>
        </w:rPr>
        <w:t> </w:t>
      </w:r>
      <w:r w:rsidRPr="00FD2859">
        <w:rPr>
          <w:szCs w:val="22"/>
          <w:lang w:val="es-ES" w:eastAsia="en-US"/>
        </w:rPr>
        <w:t>proyecto, a saber:</w:t>
      </w:r>
      <w:bookmarkEnd w:id="172"/>
    </w:p>
    <w:p w14:paraId="275022C2" w14:textId="77777777" w:rsidR="008C7C13" w:rsidRPr="00FD2859" w:rsidRDefault="008C7C13" w:rsidP="001B16EF">
      <w:pPr>
        <w:pStyle w:val="SingleTxt"/>
        <w:rPr>
          <w:lang w:val="es-ES" w:eastAsia="en-US"/>
        </w:rPr>
      </w:pPr>
      <w:bookmarkStart w:id="173" w:name="bookmark_185"/>
      <w:r w:rsidRPr="00FD2859">
        <w:rPr>
          <w:lang w:val="es-ES" w:eastAsia="en-US"/>
        </w:rPr>
        <w:tab/>
        <w:t>a)</w:t>
      </w:r>
      <w:r w:rsidRPr="00FD2859">
        <w:rPr>
          <w:lang w:val="es-ES" w:eastAsia="en-US"/>
        </w:rPr>
        <w:tab/>
        <w:t>Artículo 233, que excluye de la aplicación del Código los matrimonios contraídos en virtud de ritos religiosos y consuetudinarios;</w:t>
      </w:r>
      <w:bookmarkEnd w:id="173"/>
    </w:p>
    <w:p w14:paraId="48522A5E" w14:textId="77777777" w:rsidR="008C7C13" w:rsidRPr="00FD2859" w:rsidRDefault="001B16EF" w:rsidP="001B16EF">
      <w:pPr>
        <w:pStyle w:val="SingleTxt"/>
        <w:rPr>
          <w:lang w:val="es-ES" w:eastAsia="en-US"/>
        </w:rPr>
      </w:pPr>
      <w:bookmarkStart w:id="174" w:name="bookmark_186"/>
      <w:r w:rsidRPr="00FD2859">
        <w:rPr>
          <w:lang w:val="es-ES" w:eastAsia="en-US"/>
        </w:rPr>
        <w:tab/>
      </w:r>
      <w:r w:rsidR="008C7C13" w:rsidRPr="00FD2859">
        <w:rPr>
          <w:lang w:val="es-ES" w:eastAsia="en-US"/>
        </w:rPr>
        <w:t>b)</w:t>
      </w:r>
      <w:r w:rsidR="008C7C13" w:rsidRPr="00FD2859">
        <w:rPr>
          <w:lang w:val="es-ES" w:eastAsia="en-US"/>
        </w:rPr>
        <w:tab/>
        <w:t xml:space="preserve">Artículos 257–262, que permiten la poligamia; </w:t>
      </w:r>
      <w:bookmarkEnd w:id="174"/>
    </w:p>
    <w:p w14:paraId="13303357" w14:textId="77777777" w:rsidR="008C7C13" w:rsidRPr="00FD2859" w:rsidRDefault="001B16EF" w:rsidP="001B16EF">
      <w:pPr>
        <w:pStyle w:val="SingleTxt"/>
        <w:rPr>
          <w:lang w:val="es-ES" w:eastAsia="en-US"/>
        </w:rPr>
      </w:pPr>
      <w:bookmarkStart w:id="175" w:name="bookmark_187"/>
      <w:r w:rsidRPr="00FD2859">
        <w:rPr>
          <w:lang w:val="es-ES" w:eastAsia="en-US"/>
        </w:rPr>
        <w:tab/>
      </w:r>
      <w:r w:rsidR="008C7C13" w:rsidRPr="00FD2859">
        <w:rPr>
          <w:lang w:val="es-ES" w:eastAsia="en-US"/>
        </w:rPr>
        <w:t>c)</w:t>
      </w:r>
      <w:r w:rsidR="008C7C13" w:rsidRPr="00FD2859">
        <w:rPr>
          <w:lang w:val="es-ES" w:eastAsia="en-US"/>
        </w:rPr>
        <w:tab/>
        <w:t>Artículo 294, que sigue otorgando deferencia al marido para la elección de domicilio;</w:t>
      </w:r>
      <w:bookmarkEnd w:id="175"/>
    </w:p>
    <w:p w14:paraId="3B2E4641" w14:textId="77777777" w:rsidR="008C7C13" w:rsidRPr="00FD2859" w:rsidRDefault="001B16EF" w:rsidP="001B16EF">
      <w:pPr>
        <w:pStyle w:val="SingleTxt"/>
        <w:rPr>
          <w:lang w:val="es-ES" w:eastAsia="en-US"/>
        </w:rPr>
      </w:pPr>
      <w:bookmarkStart w:id="176" w:name="bookmark_188"/>
      <w:r w:rsidRPr="00FD2859">
        <w:rPr>
          <w:lang w:val="es-ES" w:eastAsia="en-US"/>
        </w:rPr>
        <w:tab/>
      </w:r>
      <w:r w:rsidR="008C7C13" w:rsidRPr="00FD2859">
        <w:rPr>
          <w:lang w:val="es-ES" w:eastAsia="en-US"/>
        </w:rPr>
        <w:t>d)</w:t>
      </w:r>
      <w:r w:rsidR="008C7C13" w:rsidRPr="00FD2859">
        <w:rPr>
          <w:lang w:val="es-ES" w:eastAsia="en-US"/>
        </w:rPr>
        <w:tab/>
        <w:t>Artículo 741, que establece que un cónyuge supérstite separado legalmente no pueda heredar los bienes del cónyuge fallecido.</w:t>
      </w:r>
      <w:bookmarkEnd w:id="176"/>
    </w:p>
    <w:p w14:paraId="794A078C" w14:textId="77777777" w:rsidR="008C7C13" w:rsidRPr="00FD2859" w:rsidRDefault="008C7C13" w:rsidP="00FA5EEA">
      <w:pPr>
        <w:pStyle w:val="SingleTxt"/>
        <w:numPr>
          <w:ilvl w:val="0"/>
          <w:numId w:val="31"/>
        </w:numPr>
        <w:tabs>
          <w:tab w:val="num" w:pos="1742"/>
        </w:tabs>
        <w:ind w:left="1267" w:firstLine="0"/>
        <w:rPr>
          <w:b/>
          <w:szCs w:val="22"/>
          <w:lang w:val="es-ES" w:eastAsia="en-US"/>
        </w:rPr>
      </w:pPr>
      <w:bookmarkStart w:id="177" w:name="bookmark_189"/>
      <w:r w:rsidRPr="00FD2859">
        <w:rPr>
          <w:b/>
          <w:szCs w:val="22"/>
          <w:lang w:val="es-ES" w:eastAsia="en-US"/>
        </w:rPr>
        <w:t>El Comité, recordando sus recomendaciones generales núm.</w:t>
      </w:r>
      <w:r w:rsidR="00035F39" w:rsidRPr="00FD2859">
        <w:rPr>
          <w:b/>
          <w:szCs w:val="22"/>
          <w:lang w:val="es-ES" w:eastAsia="en-US"/>
        </w:rPr>
        <w:t> </w:t>
      </w:r>
      <w:r w:rsidRPr="00FD2859">
        <w:rPr>
          <w:b/>
          <w:szCs w:val="22"/>
          <w:lang w:val="es-ES" w:eastAsia="en-US"/>
        </w:rPr>
        <w:t>21</w:t>
      </w:r>
      <w:r w:rsidR="00035F39" w:rsidRPr="00FD2859">
        <w:rPr>
          <w:b/>
          <w:szCs w:val="22"/>
          <w:lang w:val="es-ES" w:eastAsia="en-US"/>
        </w:rPr>
        <w:t> </w:t>
      </w:r>
      <w:r w:rsidRPr="00FD2859">
        <w:rPr>
          <w:b/>
          <w:szCs w:val="22"/>
          <w:lang w:val="es-ES" w:eastAsia="en-US"/>
        </w:rPr>
        <w:t>(1994) sobre la igualdad en el matrimonio y las relaciones familiares, y núm. 29 (2013) sobre las consecuencias económicas del matrimonio, las relaciones familiares y su disolución, así como la recomendación general núm. 31 del Comité para la Eliminación de la Discriminación contra la Mujer y observación general núm. 18 del Comité de los Derechos del Niño (2014) sobre las prácticas nocivas, adoptadas de manera conjunta, recomienda que el Estado parte:</w:t>
      </w:r>
      <w:bookmarkEnd w:id="177"/>
    </w:p>
    <w:p w14:paraId="28108131" w14:textId="77777777" w:rsidR="008C7C13" w:rsidRPr="00FD2859" w:rsidRDefault="008C7C13" w:rsidP="009C0FF8">
      <w:pPr>
        <w:pStyle w:val="SingleTxt"/>
        <w:rPr>
          <w:lang w:val="es-ES" w:eastAsia="en-US"/>
        </w:rPr>
      </w:pPr>
      <w:bookmarkStart w:id="178" w:name="bookmark_190"/>
      <w:r w:rsidRPr="00FD2859">
        <w:rPr>
          <w:lang w:val="es-ES" w:eastAsia="en-US"/>
        </w:rPr>
        <w:tab/>
        <w:t>a)</w:t>
      </w:r>
      <w:r w:rsidRPr="00FD2859">
        <w:rPr>
          <w:lang w:val="es-ES" w:eastAsia="en-US"/>
        </w:rPr>
        <w:tab/>
      </w:r>
      <w:r w:rsidRPr="00FD2859">
        <w:rPr>
          <w:b/>
          <w:lang w:val="es-ES" w:eastAsia="en-US"/>
        </w:rPr>
        <w:t>Acelere la aprobación de la revisión del Código de las Personas y de la Familia, derogando todas las disposiciones que discriminan a la mujer, por ejemplo, mediante el aumento de la mayoría de edad mínima para contraer matrimonio a 18 años para los hombres y las mujeres, sin excepción, y aplicable a cualquier forma de unión conyugal;</w:t>
      </w:r>
      <w:bookmarkEnd w:id="178"/>
    </w:p>
    <w:p w14:paraId="1C390E0B" w14:textId="77777777" w:rsidR="008C7C13" w:rsidRPr="00FD2859" w:rsidRDefault="009C0FF8" w:rsidP="009C0FF8">
      <w:pPr>
        <w:pStyle w:val="SingleTxt"/>
        <w:rPr>
          <w:lang w:val="es-ES" w:eastAsia="en-US"/>
        </w:rPr>
      </w:pPr>
      <w:bookmarkStart w:id="179" w:name="bookmark_191"/>
      <w:r w:rsidRPr="00FD2859">
        <w:rPr>
          <w:lang w:val="es-ES" w:eastAsia="en-US"/>
        </w:rPr>
        <w:tab/>
      </w:r>
      <w:r w:rsidR="008C7C13" w:rsidRPr="00FD2859">
        <w:rPr>
          <w:lang w:val="es-ES" w:eastAsia="en-US"/>
        </w:rPr>
        <w:t>b)</w:t>
      </w:r>
      <w:r w:rsidR="008C7C13" w:rsidRPr="00FD2859">
        <w:rPr>
          <w:lang w:val="es-ES" w:eastAsia="en-US"/>
        </w:rPr>
        <w:tab/>
      </w:r>
      <w:r w:rsidR="008C7C13" w:rsidRPr="00FD2859">
        <w:rPr>
          <w:b/>
          <w:lang w:val="es-ES" w:eastAsia="en-US"/>
        </w:rPr>
        <w:t>Aliente la regularización del matrimonio mediante la simplificación de los requisitos administrativos para el matrimonio civil y la reducción de todos los costos asociados.</w:t>
      </w:r>
      <w:bookmarkEnd w:id="179"/>
    </w:p>
    <w:p w14:paraId="53DC7C49" w14:textId="77777777" w:rsidR="005465B4" w:rsidRPr="00FD2859" w:rsidRDefault="005465B4" w:rsidP="005465B4">
      <w:pPr>
        <w:pStyle w:val="SingleTxt"/>
        <w:spacing w:after="0" w:line="120" w:lineRule="exact"/>
        <w:rPr>
          <w:sz w:val="10"/>
          <w:szCs w:val="10"/>
          <w:lang w:val="es-ES"/>
        </w:rPr>
      </w:pPr>
      <w:bookmarkStart w:id="180" w:name="bookmark_192"/>
    </w:p>
    <w:p w14:paraId="4C98D084" w14:textId="77777777" w:rsidR="00481ADA" w:rsidRPr="00FD2859" w:rsidRDefault="00481ADA">
      <w:pPr>
        <w:suppressAutoHyphens w:val="0"/>
        <w:spacing w:line="240" w:lineRule="auto"/>
        <w:rPr>
          <w:b/>
          <w:spacing w:val="2"/>
          <w:lang w:val="es-ES" w:eastAsia="en-US"/>
        </w:rPr>
      </w:pPr>
      <w:r w:rsidRPr="00FD2859">
        <w:rPr>
          <w:bCs/>
          <w:lang w:val="es-ES" w:eastAsia="en-US"/>
        </w:rPr>
        <w:br w:type="page"/>
      </w:r>
    </w:p>
    <w:p w14:paraId="1D84232F" w14:textId="77777777" w:rsidR="008C7C13" w:rsidRPr="00FD2859" w:rsidRDefault="008C7C13" w:rsidP="00722419">
      <w:pPr>
        <w:pStyle w:val="H23"/>
        <w:ind w:right="1260"/>
        <w:rPr>
          <w:bCs w:val="0"/>
          <w:lang w:val="es-ES" w:eastAsia="en-US"/>
        </w:rPr>
      </w:pPr>
      <w:r w:rsidRPr="00FD2859">
        <w:rPr>
          <w:bCs w:val="0"/>
          <w:lang w:val="es-ES" w:eastAsia="en-US"/>
        </w:rPr>
        <w:lastRenderedPageBreak/>
        <w:tab/>
      </w:r>
      <w:r w:rsidRPr="00FD2859">
        <w:rPr>
          <w:bCs w:val="0"/>
          <w:lang w:val="es-ES" w:eastAsia="en-US"/>
        </w:rPr>
        <w:tab/>
        <w:t xml:space="preserve">Reunión y análisis de datos </w:t>
      </w:r>
      <w:bookmarkEnd w:id="180"/>
    </w:p>
    <w:p w14:paraId="714683A2" w14:textId="77777777" w:rsidR="005465B4" w:rsidRPr="00FD2859" w:rsidRDefault="005465B4" w:rsidP="005465B4">
      <w:pPr>
        <w:pStyle w:val="SingleTxt"/>
        <w:spacing w:after="0" w:line="120" w:lineRule="exact"/>
        <w:rPr>
          <w:sz w:val="10"/>
          <w:szCs w:val="10"/>
          <w:lang w:val="es-ES"/>
        </w:rPr>
      </w:pPr>
    </w:p>
    <w:p w14:paraId="3934DB95" w14:textId="77777777" w:rsidR="008C7C13" w:rsidRPr="00FD2859" w:rsidRDefault="008C7C13" w:rsidP="00FA5EEA">
      <w:pPr>
        <w:pStyle w:val="SingleTxt"/>
        <w:numPr>
          <w:ilvl w:val="0"/>
          <w:numId w:val="31"/>
        </w:numPr>
        <w:tabs>
          <w:tab w:val="num" w:pos="1742"/>
        </w:tabs>
        <w:ind w:left="1267" w:firstLine="0"/>
        <w:rPr>
          <w:b/>
          <w:szCs w:val="22"/>
          <w:lang w:val="es-ES" w:eastAsia="en-US"/>
        </w:rPr>
      </w:pPr>
      <w:bookmarkStart w:id="181" w:name="bookmark_193"/>
      <w:r w:rsidRPr="00FD2859">
        <w:rPr>
          <w:b/>
          <w:szCs w:val="22"/>
          <w:lang w:val="es-ES" w:eastAsia="en-US"/>
        </w:rPr>
        <w:t>El Comité recomienda al Estado parte que mejore la reunión, el análisis y la difusión de datos completos, desglosados por sexo, edad, discapacidad, origen</w:t>
      </w:r>
      <w:r w:rsidR="001220F5" w:rsidRPr="00FD2859">
        <w:rPr>
          <w:b/>
          <w:szCs w:val="22"/>
          <w:lang w:val="es-ES" w:eastAsia="en-US"/>
        </w:rPr>
        <w:t> </w:t>
      </w:r>
      <w:r w:rsidRPr="00FD2859">
        <w:rPr>
          <w:b/>
          <w:szCs w:val="22"/>
          <w:lang w:val="es-ES" w:eastAsia="en-US"/>
        </w:rPr>
        <w:t>étnico, ubicación y situación socioeconómica, y el uso de indicadores mensurables para evaluar las tendencias en la situación de las mujeres y el avance hacia el disfrute por parte de estas de la igualdad sustantiva en todos los ámbitos que abarca la Convención.</w:t>
      </w:r>
      <w:bookmarkEnd w:id="181"/>
    </w:p>
    <w:p w14:paraId="3BD8B52D" w14:textId="77777777" w:rsidR="005465B4" w:rsidRPr="00FD2859" w:rsidRDefault="005465B4" w:rsidP="005465B4">
      <w:pPr>
        <w:pStyle w:val="SingleTxt"/>
        <w:spacing w:after="0" w:line="120" w:lineRule="exact"/>
        <w:rPr>
          <w:sz w:val="10"/>
          <w:szCs w:val="10"/>
          <w:lang w:val="es-ES"/>
        </w:rPr>
      </w:pPr>
      <w:bookmarkStart w:id="182" w:name="bookmark_194"/>
    </w:p>
    <w:p w14:paraId="03AB5538" w14:textId="77777777" w:rsidR="008C7C13" w:rsidRPr="00FD2859" w:rsidRDefault="008C7C13" w:rsidP="00722419">
      <w:pPr>
        <w:pStyle w:val="H23"/>
        <w:ind w:right="1260"/>
        <w:rPr>
          <w:bCs w:val="0"/>
          <w:lang w:val="es-ES" w:eastAsia="en-US"/>
        </w:rPr>
      </w:pPr>
      <w:r w:rsidRPr="00FD2859">
        <w:rPr>
          <w:bCs w:val="0"/>
          <w:lang w:val="es-ES" w:eastAsia="en-US"/>
        </w:rPr>
        <w:tab/>
      </w:r>
      <w:r w:rsidRPr="00FD2859">
        <w:rPr>
          <w:bCs w:val="0"/>
          <w:lang w:val="es-ES" w:eastAsia="en-US"/>
        </w:rPr>
        <w:tab/>
        <w:t xml:space="preserve">Enmienda del artículo 20 1) de la Convención </w:t>
      </w:r>
      <w:bookmarkEnd w:id="182"/>
    </w:p>
    <w:p w14:paraId="5EF0FEF6" w14:textId="77777777" w:rsidR="005465B4" w:rsidRPr="00FD2859" w:rsidRDefault="005465B4" w:rsidP="005465B4">
      <w:pPr>
        <w:pStyle w:val="SingleTxt"/>
        <w:spacing w:after="0" w:line="120" w:lineRule="exact"/>
        <w:rPr>
          <w:sz w:val="10"/>
          <w:szCs w:val="10"/>
          <w:lang w:val="es-ES"/>
        </w:rPr>
      </w:pPr>
    </w:p>
    <w:p w14:paraId="5E72175B" w14:textId="77777777" w:rsidR="008C7C13" w:rsidRPr="00FD2859" w:rsidRDefault="008C7C13" w:rsidP="00FA5EEA">
      <w:pPr>
        <w:pStyle w:val="SingleTxt"/>
        <w:numPr>
          <w:ilvl w:val="0"/>
          <w:numId w:val="31"/>
        </w:numPr>
        <w:tabs>
          <w:tab w:val="num" w:pos="1742"/>
        </w:tabs>
        <w:ind w:left="1267" w:firstLine="0"/>
        <w:rPr>
          <w:b/>
          <w:szCs w:val="22"/>
          <w:lang w:val="es-ES" w:eastAsia="en-US"/>
        </w:rPr>
      </w:pPr>
      <w:bookmarkStart w:id="183" w:name="bookmark_195"/>
      <w:r w:rsidRPr="00FD2859">
        <w:rPr>
          <w:b/>
          <w:szCs w:val="22"/>
          <w:lang w:val="es-ES" w:eastAsia="en-US"/>
        </w:rPr>
        <w:t>El Comité alienta al Estado parte a que acepte, a la mayor brevedad, la enmienda del artículo 20</w:t>
      </w:r>
      <w:r w:rsidR="00481ADA" w:rsidRPr="00FD2859">
        <w:rPr>
          <w:b/>
          <w:szCs w:val="22"/>
          <w:lang w:val="es-ES" w:eastAsia="en-US"/>
        </w:rPr>
        <w:t> </w:t>
      </w:r>
      <w:r w:rsidRPr="00FD2859">
        <w:rPr>
          <w:b/>
          <w:szCs w:val="22"/>
          <w:lang w:val="es-ES" w:eastAsia="en-US"/>
        </w:rPr>
        <w:t>1) de la Convención relativo a la duración de las reuniones del Comité.</w:t>
      </w:r>
      <w:bookmarkEnd w:id="183"/>
    </w:p>
    <w:p w14:paraId="59F6DECA" w14:textId="77777777" w:rsidR="005465B4" w:rsidRPr="00FD2859" w:rsidRDefault="005465B4" w:rsidP="005465B4">
      <w:pPr>
        <w:pStyle w:val="SingleTxt"/>
        <w:spacing w:after="0" w:line="120" w:lineRule="exact"/>
        <w:rPr>
          <w:sz w:val="10"/>
          <w:szCs w:val="10"/>
          <w:lang w:val="es-ES"/>
        </w:rPr>
      </w:pPr>
      <w:bookmarkStart w:id="184" w:name="bookmark_196"/>
    </w:p>
    <w:p w14:paraId="6ECDD853" w14:textId="77777777" w:rsidR="008C7C13" w:rsidRPr="00FD2859" w:rsidRDefault="008C7C13" w:rsidP="00722419">
      <w:pPr>
        <w:pStyle w:val="H23"/>
        <w:ind w:right="1260"/>
        <w:rPr>
          <w:bCs w:val="0"/>
          <w:lang w:val="es-ES" w:eastAsia="en-US"/>
        </w:rPr>
      </w:pPr>
      <w:r w:rsidRPr="00FD2859">
        <w:rPr>
          <w:bCs w:val="0"/>
          <w:lang w:val="es-ES" w:eastAsia="en-US"/>
        </w:rPr>
        <w:tab/>
      </w:r>
      <w:r w:rsidRPr="00FD2859">
        <w:rPr>
          <w:bCs w:val="0"/>
          <w:lang w:val="es-ES" w:eastAsia="en-US"/>
        </w:rPr>
        <w:tab/>
        <w:t xml:space="preserve">Declaración y Plataforma de Acción de Beijing </w:t>
      </w:r>
      <w:bookmarkEnd w:id="184"/>
    </w:p>
    <w:p w14:paraId="69F0EC66" w14:textId="77777777" w:rsidR="005465B4" w:rsidRPr="00FD2859" w:rsidRDefault="005465B4" w:rsidP="005465B4">
      <w:pPr>
        <w:pStyle w:val="SingleTxt"/>
        <w:spacing w:after="0" w:line="120" w:lineRule="exact"/>
        <w:rPr>
          <w:sz w:val="10"/>
          <w:szCs w:val="10"/>
          <w:lang w:val="es-ES"/>
        </w:rPr>
      </w:pPr>
    </w:p>
    <w:p w14:paraId="5AA9F5D2" w14:textId="77777777" w:rsidR="008C7C13" w:rsidRPr="00FD2859" w:rsidRDefault="008C7C13" w:rsidP="00FA5EEA">
      <w:pPr>
        <w:pStyle w:val="SingleTxt"/>
        <w:numPr>
          <w:ilvl w:val="0"/>
          <w:numId w:val="31"/>
        </w:numPr>
        <w:tabs>
          <w:tab w:val="num" w:pos="1742"/>
        </w:tabs>
        <w:ind w:left="1267" w:firstLine="0"/>
        <w:rPr>
          <w:b/>
          <w:szCs w:val="22"/>
          <w:lang w:val="es-ES" w:eastAsia="en-US"/>
        </w:rPr>
      </w:pPr>
      <w:bookmarkStart w:id="185" w:name="bookmark_197"/>
      <w:r w:rsidRPr="00FD2859">
        <w:rPr>
          <w:b/>
          <w:szCs w:val="22"/>
          <w:lang w:val="es-ES" w:eastAsia="en-US"/>
        </w:rPr>
        <w:t>El Comité insta al Estado parte a que haga uso de la Declaración y Plataforma de Acción de Beijing en sus iniciativas encaminadas a poner en práctica las disposiciones de la Convención.</w:t>
      </w:r>
      <w:bookmarkEnd w:id="185"/>
    </w:p>
    <w:p w14:paraId="4548614A" w14:textId="77777777" w:rsidR="005465B4" w:rsidRPr="00FD2859" w:rsidRDefault="005465B4" w:rsidP="005465B4">
      <w:pPr>
        <w:pStyle w:val="SingleTxt"/>
        <w:spacing w:after="0" w:line="120" w:lineRule="exact"/>
        <w:rPr>
          <w:sz w:val="10"/>
          <w:szCs w:val="10"/>
          <w:lang w:val="es-ES"/>
        </w:rPr>
      </w:pPr>
      <w:bookmarkStart w:id="186" w:name="bookmark_198"/>
    </w:p>
    <w:p w14:paraId="04C93239" w14:textId="77777777" w:rsidR="008C7C13" w:rsidRPr="00FD2859" w:rsidRDefault="008C7C13" w:rsidP="00722419">
      <w:pPr>
        <w:pStyle w:val="H23"/>
        <w:ind w:right="1260"/>
        <w:rPr>
          <w:bCs w:val="0"/>
          <w:lang w:val="es-ES" w:eastAsia="en-US"/>
        </w:rPr>
      </w:pPr>
      <w:r w:rsidRPr="00FD2859">
        <w:rPr>
          <w:bCs w:val="0"/>
          <w:lang w:val="es-ES" w:eastAsia="en-US"/>
        </w:rPr>
        <w:tab/>
      </w:r>
      <w:r w:rsidRPr="00FD2859">
        <w:rPr>
          <w:bCs w:val="0"/>
          <w:lang w:val="es-ES" w:eastAsia="en-US"/>
        </w:rPr>
        <w:tab/>
        <w:t xml:space="preserve">Agenda 2030 para el Desarrollo Sostenible </w:t>
      </w:r>
      <w:bookmarkEnd w:id="186"/>
    </w:p>
    <w:p w14:paraId="35985C1F" w14:textId="77777777" w:rsidR="005465B4" w:rsidRPr="00FD2859" w:rsidRDefault="005465B4" w:rsidP="005465B4">
      <w:pPr>
        <w:pStyle w:val="SingleTxt"/>
        <w:spacing w:after="0" w:line="120" w:lineRule="exact"/>
        <w:rPr>
          <w:sz w:val="10"/>
          <w:szCs w:val="10"/>
          <w:lang w:val="es-ES"/>
        </w:rPr>
      </w:pPr>
    </w:p>
    <w:p w14:paraId="3112D992" w14:textId="77777777" w:rsidR="008C7C13" w:rsidRPr="00FD2859" w:rsidRDefault="008C7C13" w:rsidP="00FA5EEA">
      <w:pPr>
        <w:pStyle w:val="SingleTxt"/>
        <w:numPr>
          <w:ilvl w:val="0"/>
          <w:numId w:val="31"/>
        </w:numPr>
        <w:tabs>
          <w:tab w:val="num" w:pos="1742"/>
        </w:tabs>
        <w:ind w:left="1267" w:firstLine="0"/>
        <w:rPr>
          <w:b/>
          <w:szCs w:val="22"/>
          <w:lang w:val="es-ES" w:eastAsia="en-US"/>
        </w:rPr>
      </w:pPr>
      <w:bookmarkStart w:id="187" w:name="bookmark_199"/>
      <w:r w:rsidRPr="00FD2859">
        <w:rPr>
          <w:b/>
          <w:szCs w:val="22"/>
          <w:lang w:val="es-ES" w:eastAsia="en-US"/>
        </w:rPr>
        <w:t>El Comité pide que se haga efectiva la igualdad de género sustantiva, de</w:t>
      </w:r>
      <w:r w:rsidR="002547D4" w:rsidRPr="00FD2859">
        <w:rPr>
          <w:b/>
          <w:szCs w:val="22"/>
          <w:lang w:val="es-ES" w:eastAsia="en-US"/>
        </w:rPr>
        <w:t> </w:t>
      </w:r>
      <w:r w:rsidRPr="00FD2859">
        <w:rPr>
          <w:b/>
          <w:szCs w:val="22"/>
          <w:lang w:val="es-ES" w:eastAsia="en-US"/>
        </w:rPr>
        <w:t>conformidad con las disposiciones de la Convención, en todo el proceso de aplicación de la Agenda 2030 para el Desarrollo Sostenible.</w:t>
      </w:r>
      <w:bookmarkEnd w:id="187"/>
    </w:p>
    <w:p w14:paraId="3B317461" w14:textId="77777777" w:rsidR="005465B4" w:rsidRPr="00FD2859" w:rsidRDefault="005465B4" w:rsidP="005465B4">
      <w:pPr>
        <w:pStyle w:val="SingleTxt"/>
        <w:spacing w:after="0" w:line="120" w:lineRule="exact"/>
        <w:rPr>
          <w:sz w:val="10"/>
          <w:szCs w:val="10"/>
          <w:lang w:val="es-ES"/>
        </w:rPr>
      </w:pPr>
      <w:bookmarkStart w:id="188" w:name="bookmark_200"/>
    </w:p>
    <w:p w14:paraId="734A8BDF" w14:textId="77777777" w:rsidR="008C7C13" w:rsidRPr="00FD2859" w:rsidRDefault="008C7C13" w:rsidP="00722419">
      <w:pPr>
        <w:pStyle w:val="H23"/>
        <w:ind w:right="1260"/>
        <w:rPr>
          <w:bCs w:val="0"/>
          <w:lang w:val="es-ES" w:eastAsia="en-US"/>
        </w:rPr>
      </w:pPr>
      <w:r w:rsidRPr="00FD2859">
        <w:rPr>
          <w:bCs w:val="0"/>
          <w:lang w:val="es-ES" w:eastAsia="en-US"/>
        </w:rPr>
        <w:tab/>
      </w:r>
      <w:r w:rsidRPr="00FD2859">
        <w:rPr>
          <w:bCs w:val="0"/>
          <w:lang w:val="es-ES" w:eastAsia="en-US"/>
        </w:rPr>
        <w:tab/>
        <w:t>Difusión</w:t>
      </w:r>
      <w:bookmarkEnd w:id="188"/>
    </w:p>
    <w:p w14:paraId="0DE4D3AA" w14:textId="77777777" w:rsidR="005465B4" w:rsidRPr="00FD2859" w:rsidRDefault="005465B4" w:rsidP="005465B4">
      <w:pPr>
        <w:pStyle w:val="SingleTxt"/>
        <w:spacing w:after="0" w:line="120" w:lineRule="exact"/>
        <w:rPr>
          <w:sz w:val="10"/>
          <w:szCs w:val="10"/>
          <w:lang w:val="es-ES"/>
        </w:rPr>
      </w:pPr>
    </w:p>
    <w:p w14:paraId="1E98D8BB" w14:textId="77777777" w:rsidR="008C7C13" w:rsidRPr="00FD2859" w:rsidRDefault="008C7C13" w:rsidP="00FA5EEA">
      <w:pPr>
        <w:pStyle w:val="SingleTxt"/>
        <w:numPr>
          <w:ilvl w:val="0"/>
          <w:numId w:val="31"/>
        </w:numPr>
        <w:tabs>
          <w:tab w:val="num" w:pos="1742"/>
        </w:tabs>
        <w:ind w:left="1267" w:firstLine="0"/>
        <w:rPr>
          <w:b/>
          <w:szCs w:val="22"/>
          <w:lang w:val="es-ES" w:eastAsia="en-US"/>
        </w:rPr>
      </w:pPr>
      <w:bookmarkStart w:id="189" w:name="bookmark_201"/>
      <w:r w:rsidRPr="00FD2859">
        <w:rPr>
          <w:b/>
          <w:szCs w:val="22"/>
          <w:lang w:val="es-ES" w:eastAsia="en-US"/>
        </w:rPr>
        <w:t>El Comité pide al Estado parte que vele por que las presentes observaciones finales se difundan de manera oportuna, en el idioma oficial del Estado parte, a las instituciones estatales pertinentes a todos los niveles (nacional, regional y local), en particular el Gobierno, los ministerios, el Parlamento y la judicatura, a fin de hacer posible su plena aplicación.</w:t>
      </w:r>
      <w:bookmarkEnd w:id="189"/>
    </w:p>
    <w:p w14:paraId="68BF4BB5" w14:textId="77777777" w:rsidR="000F123B" w:rsidRPr="00FD2859" w:rsidRDefault="000F123B" w:rsidP="000F123B">
      <w:pPr>
        <w:pStyle w:val="SingleTxt"/>
        <w:spacing w:after="0" w:line="120" w:lineRule="exact"/>
        <w:rPr>
          <w:sz w:val="10"/>
          <w:szCs w:val="10"/>
          <w:lang w:val="es-ES"/>
        </w:rPr>
      </w:pPr>
      <w:bookmarkStart w:id="190" w:name="bookmark_202"/>
    </w:p>
    <w:p w14:paraId="0DC84D6D" w14:textId="77777777" w:rsidR="008C7C13" w:rsidRPr="00FD2859" w:rsidRDefault="008C7C13" w:rsidP="00722419">
      <w:pPr>
        <w:pStyle w:val="H23"/>
        <w:ind w:right="1260"/>
        <w:rPr>
          <w:bCs w:val="0"/>
          <w:lang w:val="es-ES" w:eastAsia="en-US"/>
        </w:rPr>
      </w:pPr>
      <w:r w:rsidRPr="00FD2859">
        <w:rPr>
          <w:bCs w:val="0"/>
          <w:lang w:val="es-ES" w:eastAsia="en-US"/>
        </w:rPr>
        <w:tab/>
      </w:r>
      <w:r w:rsidRPr="00FD2859">
        <w:rPr>
          <w:bCs w:val="0"/>
          <w:lang w:val="es-ES" w:eastAsia="en-US"/>
        </w:rPr>
        <w:tab/>
        <w:t xml:space="preserve">Asistencia técnica </w:t>
      </w:r>
      <w:bookmarkEnd w:id="190"/>
    </w:p>
    <w:p w14:paraId="584F0CF0" w14:textId="77777777" w:rsidR="000F123B" w:rsidRPr="00FD2859" w:rsidRDefault="000F123B" w:rsidP="000F123B">
      <w:pPr>
        <w:pStyle w:val="SingleTxt"/>
        <w:spacing w:after="0" w:line="120" w:lineRule="exact"/>
        <w:rPr>
          <w:sz w:val="10"/>
          <w:szCs w:val="10"/>
          <w:lang w:val="es-ES"/>
        </w:rPr>
      </w:pPr>
    </w:p>
    <w:p w14:paraId="6BB031D2" w14:textId="77777777" w:rsidR="008C7C13" w:rsidRPr="00FD2859" w:rsidRDefault="008C7C13" w:rsidP="00FA5EEA">
      <w:pPr>
        <w:pStyle w:val="SingleTxt"/>
        <w:numPr>
          <w:ilvl w:val="0"/>
          <w:numId w:val="31"/>
        </w:numPr>
        <w:tabs>
          <w:tab w:val="num" w:pos="1742"/>
        </w:tabs>
        <w:ind w:left="1267" w:firstLine="0"/>
        <w:rPr>
          <w:b/>
          <w:szCs w:val="22"/>
          <w:lang w:val="es-ES" w:eastAsia="en-US"/>
        </w:rPr>
      </w:pPr>
      <w:bookmarkStart w:id="191" w:name="bookmark_203"/>
      <w:r w:rsidRPr="00FD2859">
        <w:rPr>
          <w:b/>
          <w:szCs w:val="22"/>
          <w:lang w:val="es-ES" w:eastAsia="en-US"/>
        </w:rPr>
        <w:t>El Comité recomienda que el Estado parte vincule la aplicación de la Convención con sus iniciativas de desarrollo y que se valga para ello de la</w:t>
      </w:r>
      <w:r w:rsidR="00F708FB" w:rsidRPr="00FD2859">
        <w:rPr>
          <w:b/>
          <w:szCs w:val="22"/>
          <w:lang w:val="es-ES" w:eastAsia="en-US"/>
        </w:rPr>
        <w:t> </w:t>
      </w:r>
      <w:r w:rsidRPr="00FD2859">
        <w:rPr>
          <w:b/>
          <w:szCs w:val="22"/>
          <w:lang w:val="es-ES" w:eastAsia="en-US"/>
        </w:rPr>
        <w:t>asistencia técnica regional o internacional.</w:t>
      </w:r>
      <w:bookmarkEnd w:id="191"/>
    </w:p>
    <w:p w14:paraId="61742EF0" w14:textId="77777777" w:rsidR="000F123B" w:rsidRPr="00FD2859" w:rsidRDefault="000F123B" w:rsidP="000F123B">
      <w:pPr>
        <w:pStyle w:val="SingleTxt"/>
        <w:spacing w:after="0" w:line="120" w:lineRule="exact"/>
        <w:rPr>
          <w:sz w:val="10"/>
          <w:szCs w:val="10"/>
          <w:lang w:val="es-ES"/>
        </w:rPr>
      </w:pPr>
      <w:bookmarkStart w:id="192" w:name="bookmark_204"/>
    </w:p>
    <w:p w14:paraId="41398B86" w14:textId="77777777" w:rsidR="008C7C13" w:rsidRPr="00FD2859" w:rsidRDefault="008C7C13" w:rsidP="00722419">
      <w:pPr>
        <w:pStyle w:val="H23"/>
        <w:ind w:right="1260"/>
        <w:rPr>
          <w:bCs w:val="0"/>
          <w:lang w:val="es-ES" w:eastAsia="en-US"/>
        </w:rPr>
      </w:pPr>
      <w:r w:rsidRPr="00FD2859">
        <w:rPr>
          <w:bCs w:val="0"/>
          <w:lang w:val="es-ES" w:eastAsia="en-US"/>
        </w:rPr>
        <w:tab/>
      </w:r>
      <w:r w:rsidRPr="00FD2859">
        <w:rPr>
          <w:bCs w:val="0"/>
          <w:lang w:val="es-ES" w:eastAsia="en-US"/>
        </w:rPr>
        <w:tab/>
        <w:t>Ratificación de otros tratados</w:t>
      </w:r>
      <w:bookmarkEnd w:id="192"/>
    </w:p>
    <w:p w14:paraId="57AA6174" w14:textId="77777777" w:rsidR="000F123B" w:rsidRPr="00FD2859" w:rsidRDefault="000F123B" w:rsidP="000F123B">
      <w:pPr>
        <w:pStyle w:val="SingleTxt"/>
        <w:spacing w:after="0" w:line="120" w:lineRule="exact"/>
        <w:rPr>
          <w:sz w:val="10"/>
          <w:szCs w:val="10"/>
          <w:lang w:val="es-ES"/>
        </w:rPr>
      </w:pPr>
    </w:p>
    <w:p w14:paraId="3E698DCF" w14:textId="5937D578" w:rsidR="008C7C13" w:rsidRPr="00FD2859" w:rsidRDefault="008C7C13" w:rsidP="008776AB">
      <w:pPr>
        <w:pStyle w:val="SingleTxt"/>
        <w:numPr>
          <w:ilvl w:val="0"/>
          <w:numId w:val="31"/>
        </w:numPr>
        <w:tabs>
          <w:tab w:val="num" w:pos="1742"/>
        </w:tabs>
        <w:ind w:left="1267" w:firstLine="0"/>
        <w:rPr>
          <w:b/>
          <w:szCs w:val="22"/>
          <w:lang w:val="es-ES" w:eastAsia="en-US"/>
        </w:rPr>
      </w:pPr>
      <w:bookmarkStart w:id="193" w:name="bookmark_205"/>
      <w:r w:rsidRPr="00FD2859">
        <w:rPr>
          <w:b/>
          <w:szCs w:val="22"/>
          <w:lang w:val="es-ES" w:eastAsia="en-US"/>
        </w:rPr>
        <w:t>El Comité alienta al Estado parte a que ratifique el Segundo Protocolo Facultativo del Pacto Internacional de Derechos Civiles y Políticos, destinado a abolir la pena de muerte, el Protocolo Facultativo del Pacto Internacional de</w:t>
      </w:r>
      <w:r w:rsidR="00405743" w:rsidRPr="00FD2859">
        <w:rPr>
          <w:b/>
          <w:szCs w:val="22"/>
          <w:lang w:val="es-ES" w:eastAsia="en-US"/>
        </w:rPr>
        <w:t> </w:t>
      </w:r>
      <w:r w:rsidRPr="00FD2859">
        <w:rPr>
          <w:b/>
          <w:szCs w:val="22"/>
          <w:lang w:val="es-ES" w:eastAsia="en-US"/>
        </w:rPr>
        <w:t>Derechos Económicos, Sociales y Culturales y el Protocolo Facultativo de la</w:t>
      </w:r>
      <w:r w:rsidR="00405743" w:rsidRPr="00FD2859">
        <w:rPr>
          <w:b/>
          <w:szCs w:val="22"/>
          <w:lang w:val="es-ES" w:eastAsia="en-US"/>
        </w:rPr>
        <w:t xml:space="preserve"> </w:t>
      </w:r>
      <w:r w:rsidRPr="00FD2859">
        <w:rPr>
          <w:b/>
          <w:szCs w:val="22"/>
          <w:lang w:val="es-ES" w:eastAsia="en-US"/>
        </w:rPr>
        <w:t>Convención sobre los Derechos del Niño relativo a un procedimiento de</w:t>
      </w:r>
      <w:r w:rsidR="00405743" w:rsidRPr="00FD2859">
        <w:rPr>
          <w:b/>
          <w:szCs w:val="22"/>
          <w:lang w:val="es-ES" w:eastAsia="en-US"/>
        </w:rPr>
        <w:t> </w:t>
      </w:r>
      <w:r w:rsidRPr="00FD2859">
        <w:rPr>
          <w:b/>
          <w:szCs w:val="22"/>
          <w:lang w:val="es-ES" w:eastAsia="en-US"/>
        </w:rPr>
        <w:t>comunicaciones.</w:t>
      </w:r>
      <w:bookmarkEnd w:id="193"/>
    </w:p>
    <w:p w14:paraId="727222E6" w14:textId="77777777" w:rsidR="000F123B" w:rsidRPr="00FD2859" w:rsidRDefault="000F123B" w:rsidP="000F123B">
      <w:pPr>
        <w:pStyle w:val="SingleTxt"/>
        <w:spacing w:after="0" w:line="120" w:lineRule="exact"/>
        <w:rPr>
          <w:sz w:val="10"/>
          <w:szCs w:val="10"/>
          <w:lang w:val="es-ES"/>
        </w:rPr>
      </w:pPr>
      <w:bookmarkStart w:id="194" w:name="bookmark_206"/>
    </w:p>
    <w:p w14:paraId="1FB1D68E" w14:textId="77777777" w:rsidR="008C7C13" w:rsidRPr="00FD2859" w:rsidRDefault="008C7C13" w:rsidP="00722419">
      <w:pPr>
        <w:pStyle w:val="H23"/>
        <w:ind w:right="1260"/>
        <w:rPr>
          <w:bCs w:val="0"/>
          <w:lang w:val="es-ES" w:eastAsia="en-US"/>
        </w:rPr>
      </w:pPr>
      <w:r w:rsidRPr="00FD2859">
        <w:rPr>
          <w:bCs w:val="0"/>
          <w:lang w:val="es-ES" w:eastAsia="en-US"/>
        </w:rPr>
        <w:tab/>
      </w:r>
      <w:r w:rsidRPr="00FD2859">
        <w:rPr>
          <w:bCs w:val="0"/>
          <w:lang w:val="es-ES" w:eastAsia="en-US"/>
        </w:rPr>
        <w:tab/>
        <w:t>Seguimiento de las observaciones finales</w:t>
      </w:r>
      <w:bookmarkEnd w:id="194"/>
    </w:p>
    <w:p w14:paraId="0480C8F3" w14:textId="77777777" w:rsidR="000F123B" w:rsidRPr="00FD2859" w:rsidRDefault="000F123B" w:rsidP="000F123B">
      <w:pPr>
        <w:pStyle w:val="SingleTxt"/>
        <w:spacing w:after="0" w:line="120" w:lineRule="exact"/>
        <w:rPr>
          <w:sz w:val="10"/>
          <w:szCs w:val="10"/>
          <w:lang w:val="es-ES"/>
        </w:rPr>
      </w:pPr>
    </w:p>
    <w:p w14:paraId="5BA9D111" w14:textId="4B257DED" w:rsidR="008C7C13" w:rsidRPr="00FD2859" w:rsidRDefault="008C7C13" w:rsidP="008776AB">
      <w:pPr>
        <w:pStyle w:val="SingleTxt"/>
        <w:numPr>
          <w:ilvl w:val="0"/>
          <w:numId w:val="31"/>
        </w:numPr>
        <w:tabs>
          <w:tab w:val="num" w:pos="1742"/>
        </w:tabs>
        <w:ind w:left="1267" w:firstLine="0"/>
        <w:rPr>
          <w:b/>
          <w:szCs w:val="22"/>
          <w:lang w:val="es-ES" w:eastAsia="en-US"/>
        </w:rPr>
      </w:pPr>
      <w:bookmarkStart w:id="195" w:name="bookmark_207"/>
      <w:r w:rsidRPr="00FD2859">
        <w:rPr>
          <w:b/>
          <w:szCs w:val="22"/>
          <w:lang w:val="es-ES" w:eastAsia="en-US"/>
        </w:rPr>
        <w:t>El Comité pide al Estado parte que le proporcione por escrito, en un plazo</w:t>
      </w:r>
      <w:r w:rsidR="00481ADA" w:rsidRPr="00FD2859">
        <w:rPr>
          <w:b/>
          <w:szCs w:val="22"/>
          <w:lang w:val="es-ES" w:eastAsia="en-US"/>
        </w:rPr>
        <w:t> </w:t>
      </w:r>
      <w:r w:rsidRPr="00FD2859">
        <w:rPr>
          <w:b/>
          <w:szCs w:val="22"/>
          <w:lang w:val="es-ES" w:eastAsia="en-US"/>
        </w:rPr>
        <w:t>de dos años, información sobre las medidas tomadas para aplicar las</w:t>
      </w:r>
      <w:r w:rsidR="00481ADA" w:rsidRPr="00FD2859">
        <w:rPr>
          <w:b/>
          <w:szCs w:val="22"/>
          <w:lang w:val="es-ES" w:eastAsia="en-US"/>
        </w:rPr>
        <w:t> </w:t>
      </w:r>
      <w:r w:rsidRPr="00FD2859">
        <w:rPr>
          <w:b/>
          <w:szCs w:val="22"/>
          <w:lang w:val="es-ES" w:eastAsia="en-US"/>
        </w:rPr>
        <w:t>recomendaciones que figuran en los párrafos 23, apartados</w:t>
      </w:r>
      <w:r w:rsidR="00481ADA" w:rsidRPr="00FD2859">
        <w:rPr>
          <w:b/>
          <w:szCs w:val="22"/>
          <w:lang w:val="es-ES" w:eastAsia="en-US"/>
        </w:rPr>
        <w:t> </w:t>
      </w:r>
      <w:r w:rsidRPr="00FD2859">
        <w:rPr>
          <w:b/>
          <w:szCs w:val="22"/>
          <w:lang w:val="es-ES" w:eastAsia="en-US"/>
        </w:rPr>
        <w:t>b) y f); 25, apartado</w:t>
      </w:r>
      <w:r w:rsidR="00481ADA" w:rsidRPr="00FD2859">
        <w:rPr>
          <w:b/>
          <w:szCs w:val="22"/>
          <w:lang w:val="es-ES" w:eastAsia="en-US"/>
        </w:rPr>
        <w:t> </w:t>
      </w:r>
      <w:r w:rsidRPr="00FD2859">
        <w:rPr>
          <w:b/>
          <w:szCs w:val="22"/>
          <w:lang w:val="es-ES" w:eastAsia="en-US"/>
        </w:rPr>
        <w:t>d); y 43, apartado</w:t>
      </w:r>
      <w:r w:rsidR="00481ADA" w:rsidRPr="00FD2859">
        <w:rPr>
          <w:b/>
          <w:szCs w:val="22"/>
          <w:lang w:val="es-ES" w:eastAsia="en-US"/>
        </w:rPr>
        <w:t> </w:t>
      </w:r>
      <w:r w:rsidRPr="00FD2859">
        <w:rPr>
          <w:b/>
          <w:szCs w:val="22"/>
          <w:lang w:val="es-ES" w:eastAsia="en-US"/>
        </w:rPr>
        <w:t xml:space="preserve">c), del presente documento. </w:t>
      </w:r>
      <w:bookmarkEnd w:id="195"/>
    </w:p>
    <w:p w14:paraId="1CC65B42" w14:textId="77777777" w:rsidR="000F123B" w:rsidRPr="00FD2859" w:rsidRDefault="000F123B" w:rsidP="000F123B">
      <w:pPr>
        <w:pStyle w:val="SingleTxt"/>
        <w:spacing w:after="0" w:line="120" w:lineRule="exact"/>
        <w:rPr>
          <w:sz w:val="10"/>
          <w:szCs w:val="10"/>
          <w:lang w:val="es-ES"/>
        </w:rPr>
      </w:pPr>
      <w:bookmarkStart w:id="196" w:name="bookmark_208"/>
    </w:p>
    <w:p w14:paraId="00A7C3E7" w14:textId="77777777" w:rsidR="00481ADA" w:rsidRPr="00FD2859" w:rsidRDefault="00481ADA">
      <w:pPr>
        <w:suppressAutoHyphens w:val="0"/>
        <w:spacing w:line="240" w:lineRule="auto"/>
        <w:rPr>
          <w:b/>
          <w:spacing w:val="2"/>
          <w:lang w:val="es-ES" w:eastAsia="en-US"/>
        </w:rPr>
      </w:pPr>
      <w:r w:rsidRPr="00FD2859">
        <w:rPr>
          <w:bCs/>
          <w:lang w:val="es-ES" w:eastAsia="en-US"/>
        </w:rPr>
        <w:br w:type="page"/>
      </w:r>
    </w:p>
    <w:p w14:paraId="3F132EFD" w14:textId="77777777" w:rsidR="008C7C13" w:rsidRPr="00FD2859" w:rsidRDefault="008C7C13" w:rsidP="00722419">
      <w:pPr>
        <w:pStyle w:val="H23"/>
        <w:ind w:right="1260"/>
        <w:rPr>
          <w:bCs w:val="0"/>
          <w:lang w:val="es-ES" w:eastAsia="en-US"/>
        </w:rPr>
      </w:pPr>
      <w:r w:rsidRPr="00FD2859">
        <w:rPr>
          <w:bCs w:val="0"/>
          <w:lang w:val="es-ES" w:eastAsia="en-US"/>
        </w:rPr>
        <w:lastRenderedPageBreak/>
        <w:tab/>
      </w:r>
      <w:r w:rsidRPr="00FD2859">
        <w:rPr>
          <w:bCs w:val="0"/>
          <w:lang w:val="es-ES" w:eastAsia="en-US"/>
        </w:rPr>
        <w:tab/>
        <w:t xml:space="preserve">Preparación del próximo informe </w:t>
      </w:r>
      <w:bookmarkEnd w:id="196"/>
    </w:p>
    <w:p w14:paraId="5DFE70FB" w14:textId="77777777" w:rsidR="000F123B" w:rsidRPr="00FD2859" w:rsidRDefault="000F123B" w:rsidP="000F123B">
      <w:pPr>
        <w:pStyle w:val="SingleTxt"/>
        <w:spacing w:after="0" w:line="120" w:lineRule="exact"/>
        <w:rPr>
          <w:sz w:val="10"/>
          <w:szCs w:val="10"/>
          <w:lang w:val="es-ES"/>
        </w:rPr>
      </w:pPr>
    </w:p>
    <w:p w14:paraId="05414705" w14:textId="77777777" w:rsidR="008C7C13" w:rsidRPr="00FD2859" w:rsidRDefault="008C7C13" w:rsidP="008776AB">
      <w:pPr>
        <w:pStyle w:val="SingleTxt"/>
        <w:numPr>
          <w:ilvl w:val="0"/>
          <w:numId w:val="31"/>
        </w:numPr>
        <w:tabs>
          <w:tab w:val="num" w:pos="1742"/>
        </w:tabs>
        <w:ind w:left="1267" w:firstLine="0"/>
        <w:rPr>
          <w:b/>
          <w:szCs w:val="22"/>
          <w:lang w:val="es-ES" w:eastAsia="en-US"/>
        </w:rPr>
      </w:pPr>
      <w:bookmarkStart w:id="197" w:name="bookmark_209"/>
      <w:r w:rsidRPr="00FD2859">
        <w:rPr>
          <w:b/>
          <w:szCs w:val="22"/>
          <w:lang w:val="es-ES" w:eastAsia="en-US"/>
        </w:rPr>
        <w:t>El Comité invita al Estado parte a que presente su octavo informe periódico en noviembre de 2021. El informe deberá presentarse de manera puntual y abarcar, en caso de demora, todo el período hasta el momento de su presentación.</w:t>
      </w:r>
      <w:bookmarkEnd w:id="197"/>
    </w:p>
    <w:p w14:paraId="344E4BA1" w14:textId="4FF8B89D" w:rsidR="005E4AC4" w:rsidRPr="00FD2859" w:rsidRDefault="008C7C13" w:rsidP="008776AB">
      <w:pPr>
        <w:pStyle w:val="SingleTxt"/>
        <w:numPr>
          <w:ilvl w:val="0"/>
          <w:numId w:val="31"/>
        </w:numPr>
        <w:tabs>
          <w:tab w:val="num" w:pos="1742"/>
        </w:tabs>
        <w:ind w:left="1267" w:firstLine="0"/>
        <w:rPr>
          <w:b/>
          <w:szCs w:val="22"/>
          <w:lang w:val="es-ES" w:eastAsia="en-US"/>
        </w:rPr>
      </w:pPr>
      <w:bookmarkStart w:id="198" w:name="bookmark_210"/>
      <w:r w:rsidRPr="00FD2859">
        <w:rPr>
          <w:b/>
          <w:szCs w:val="22"/>
          <w:lang w:val="es-ES" w:eastAsia="en-US"/>
        </w:rPr>
        <w:t>El Comité invita al Estado parte a aplicar las directrices armonizadas sobre la preparación de informes con arreglo a los tratados internacionales de</w:t>
      </w:r>
      <w:r w:rsidR="00BF3919" w:rsidRPr="00FD2859">
        <w:rPr>
          <w:b/>
          <w:szCs w:val="22"/>
          <w:lang w:val="es-ES" w:eastAsia="en-US"/>
        </w:rPr>
        <w:t> </w:t>
      </w:r>
      <w:r w:rsidRPr="00FD2859">
        <w:rPr>
          <w:b/>
          <w:szCs w:val="22"/>
          <w:lang w:val="es-ES" w:eastAsia="en-US"/>
        </w:rPr>
        <w:t>derechos humanos, incluidas las orientaciones relativas a la preparación de un documento básico común y de informes sobre tratados específicos (véase</w:t>
      </w:r>
      <w:r w:rsidR="00477986" w:rsidRPr="00FD2859">
        <w:rPr>
          <w:b/>
          <w:szCs w:val="22"/>
          <w:lang w:val="es-ES" w:eastAsia="en-US"/>
        </w:rPr>
        <w:t> </w:t>
      </w:r>
      <w:hyperlink r:id="rId31" w:history="1">
        <w:r w:rsidRPr="00FD2859">
          <w:rPr>
            <w:b/>
            <w:color w:val="0000FF"/>
            <w:szCs w:val="22"/>
            <w:lang w:val="es-ES" w:eastAsia="en-US"/>
          </w:rPr>
          <w:t>HRI/GEN/2/Rev.6</w:t>
        </w:r>
      </w:hyperlink>
      <w:r w:rsidRPr="00FD2859">
        <w:rPr>
          <w:b/>
          <w:szCs w:val="22"/>
          <w:lang w:val="es-ES" w:eastAsia="en-US"/>
        </w:rPr>
        <w:t>, cap. I).</w:t>
      </w:r>
      <w:bookmarkEnd w:id="2"/>
      <w:bookmarkEnd w:id="198"/>
    </w:p>
    <w:p w14:paraId="3AB83DE6" w14:textId="77777777" w:rsidR="00827C33" w:rsidRPr="00FD2859" w:rsidRDefault="00353683" w:rsidP="009979B6">
      <w:pPr>
        <w:pStyle w:val="SingleTxt"/>
        <w:rPr>
          <w:lang w:val="es-ES" w:eastAsia="en-US"/>
        </w:rPr>
      </w:pPr>
      <w:r w:rsidRPr="00FD2859">
        <w:rPr>
          <w:noProof/>
          <w:w w:val="100"/>
          <w:lang w:val="es-ES" w:eastAsia="en-US"/>
        </w:rPr>
        <mc:AlternateContent>
          <mc:Choice Requires="wps">
            <w:drawing>
              <wp:anchor distT="4294967287" distB="4294967287" distL="114300" distR="114300" simplePos="0" relativeHeight="251661824" behindDoc="0" locked="0" layoutInCell="1" allowOverlap="1" wp14:anchorId="61FB169C" wp14:editId="789F39C8">
                <wp:simplePos x="0" y="0"/>
                <wp:positionH relativeFrom="column">
                  <wp:posOffset>2669540</wp:posOffset>
                </wp:positionH>
                <wp:positionV relativeFrom="paragraph">
                  <wp:posOffset>304799</wp:posOffset>
                </wp:positionV>
                <wp:extent cx="914400" cy="0"/>
                <wp:effectExtent l="0" t="0" r="19050" b="19050"/>
                <wp:wrapNone/>
                <wp:docPr id="3"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3175">
                          <a:solidFill>
                            <a:srgbClr val="01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94517D" id="Straight Connector 4" o:spid="_x0000_s1026" style="position:absolute;z-index:251661824;visibility:visible;mso-wrap-style:square;mso-width-percent:0;mso-height-percent:0;mso-wrap-distance-left:9pt;mso-wrap-distance-top:-.00025mm;mso-wrap-distance-right:9pt;mso-wrap-distance-bottom:-.00025mm;mso-position-horizontal:absolute;mso-position-horizontal-relative:text;mso-position-vertical:absolute;mso-position-vertical-relative:text;mso-width-percent:0;mso-height-percent:0;mso-width-relative:page;mso-height-relative:page"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9A/GwIAADUEAAAOAAAAZHJzL2Uyb0RvYy54bWysU8GO2yAQvVfqPyDuie2su02sOKvKTnrZ&#10;diNl+wEEsI2KAQGJE1X99w4kjrLtparqAx6YmcebN8Py6dRLdOTWCa1KnE1TjLiimgnVlvjb62Yy&#10;x8h5ohiRWvESn7nDT6v375aDKfhMd1oybhGAKFcMpsSd96ZIEkc73hM31YYrcDba9sTD1rYJs2QA&#10;9F4mszR9TAZtmbGacufgtL448SriNw2n/qVpHPdIlhi4+bjauO7DmqyWpGgtMZ2gVxrkH1j0RCi4&#10;9AZVE0/QwYo/oHpBrXa68VOq+0Q3jaA81gDVZOlv1ew6YnisBcRx5iaT+3+w9Otxa5FgJX7ASJEe&#10;WrTzloi286jSSoGA2qI86DQYV0B4pbY2VEpPameeNf3ukNJVR1TLI9/XswGQLGQkb1LCxhm4bT98&#10;0QxiyMHrKNqpsX2ABDnQKfbmfOsNP3lE4XCR5XkKHaSjKyHFmGes85+57lEwSiyFCqqRghyfnQ88&#10;SDGGhGOlN0LK2Hmp0AClZx8/xASnpWDBGcKcbfeVtOhIwuxkKXyxKPDch1l9UCyCdZyw9dX2RMiL&#10;DZdLFfCgEqBztS7D8WORLtbz9Tyf5LPH9SRP63ryaVPlk8cNUKof6qqqs5+BWpYXnWCMq8BuHNQs&#10;/7tBuD6Zy4jdRvUmQ/IWPeoFZMd/JB1bGbp3mYO9ZuetHVsMsxmDr+8oDP/9Huz71776BQAA//8D&#10;AFBLAwQUAAYACAAAACEAhaB4gt8AAAAJAQAADwAAAGRycy9kb3ducmV2LnhtbEyPQUvDQBCF74X+&#10;h2UEb+3GEsMSsynSolA8tVrE2zY7TYLZ2ZDdtrG/3hEPept583jzvWI5uk6ccQitJw138wQEUuVt&#10;S7WGt9enmQIRoiFrOk+o4QsDLMvppDC59Rfa4nkXa8EhFHKjoYmxz6UMVYPOhLnvkfh29IMzkdeh&#10;lnYwFw53nVwkSSadaYk/NKbHVYPV5+7kNKjru11v7Itaj/vj87VXH9l2v9H69mZ8fAARcYx/ZvjB&#10;Z3QomengT2SD6DSkiyRlKw+KO7HhPktZOPwKsizk/wblNwAAAP//AwBQSwECLQAUAAYACAAAACEA&#10;toM4kv4AAADhAQAAEwAAAAAAAAAAAAAAAAAAAAAAW0NvbnRlbnRfVHlwZXNdLnhtbFBLAQItABQA&#10;BgAIAAAAIQA4/SH/1gAAAJQBAAALAAAAAAAAAAAAAAAAAC8BAABfcmVscy8ucmVsc1BLAQItABQA&#10;BgAIAAAAIQCxa9A/GwIAADUEAAAOAAAAAAAAAAAAAAAAAC4CAABkcnMvZTJvRG9jLnhtbFBLAQIt&#10;ABQABgAIAAAAIQCFoHiC3wAAAAkBAAAPAAAAAAAAAAAAAAAAAHUEAABkcnMvZG93bnJldi54bWxQ&#10;SwUGAAAAAAQABADzAAAAgQUAAAAA&#10;" strokecolor="#010000" strokeweight=".25pt"/>
            </w:pict>
          </mc:Fallback>
        </mc:AlternateContent>
      </w:r>
    </w:p>
    <w:sectPr w:rsidR="00827C33" w:rsidRPr="00FD2859" w:rsidSect="00691C0B">
      <w:endnotePr>
        <w:numFmt w:val="decimal"/>
      </w:endnotePr>
      <w:type w:val="continuous"/>
      <w:pgSz w:w="12240" w:h="15840" w:code="1"/>
      <w:pgMar w:top="1440" w:right="1195" w:bottom="1152" w:left="1195" w:header="432" w:footer="504" w:gutter="0"/>
      <w:pgNumType w:start="1"/>
      <w:cols w:space="720"/>
      <w:noEndnote/>
      <w:docGrid w:linePitch="278"/>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1-17T11:17:00Z" w:initials="Start">
    <w:p w14:paraId="4434E26B" w14:textId="77777777" w:rsidR="00F656FE" w:rsidRDefault="00F656FE">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NO&gt;&gt;N1739441S&lt;&lt;ODS JOB NO&gt;&gt;</w:t>
      </w:r>
    </w:p>
    <w:p w14:paraId="735B31C1" w14:textId="77777777" w:rsidR="00F656FE" w:rsidRDefault="00F656FE">
      <w:pPr>
        <w:pStyle w:val="CommentText"/>
      </w:pPr>
      <w:r>
        <w:t>&lt;&lt;ODS DOC SYMBOL1&gt;&gt;CEDAW/C/BFA/CO/7&lt;&lt;ODS DOC SYMBOL1&gt;&gt;</w:t>
      </w:r>
    </w:p>
    <w:p w14:paraId="0872D133" w14:textId="0C90A996" w:rsidR="00F656FE" w:rsidRDefault="00F656FE">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0872D133"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CB74CE" w14:textId="77777777" w:rsidR="00CB6090" w:rsidRDefault="00CB6090">
      <w:r>
        <w:separator/>
      </w:r>
    </w:p>
  </w:endnote>
  <w:endnote w:type="continuationSeparator" w:id="0">
    <w:p w14:paraId="3A6CB6FE" w14:textId="77777777" w:rsidR="00CB6090" w:rsidRDefault="00CB60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Barcode 3 of 9 by request">
    <w:panose1 w:val="020B0803050302020204"/>
    <w:charset w:val="00"/>
    <w:family w:val="swiss"/>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right"/>
      <w:tblLayout w:type="fixed"/>
      <w:tblLook w:val="0000" w:firstRow="0" w:lastRow="0" w:firstColumn="0" w:lastColumn="0" w:noHBand="0" w:noVBand="0"/>
    </w:tblPr>
    <w:tblGrid>
      <w:gridCol w:w="5028"/>
      <w:gridCol w:w="5028"/>
    </w:tblGrid>
    <w:tr w:rsidR="00BD601D" w14:paraId="1ED715AF" w14:textId="77777777">
      <w:trPr>
        <w:jc w:val="right"/>
      </w:trPr>
      <w:tc>
        <w:tcPr>
          <w:tcW w:w="5028" w:type="dxa"/>
        </w:tcPr>
        <w:p w14:paraId="2F4A7BF0" w14:textId="462FBFD0" w:rsidR="00BD601D" w:rsidRDefault="00BD601D" w:rsidP="00A744CE">
          <w:pPr>
            <w:pStyle w:val="Footer"/>
            <w:rPr>
              <w:b w:val="0"/>
              <w:bCs w:val="0"/>
              <w:w w:val="103"/>
              <w:sz w:val="14"/>
              <w:szCs w:val="14"/>
            </w:rPr>
          </w:pPr>
          <w:r>
            <w:rPr>
              <w:w w:val="103"/>
            </w:rPr>
            <w:fldChar w:fldCharType="begin"/>
          </w:r>
          <w:r>
            <w:rPr>
              <w:w w:val="103"/>
            </w:rPr>
            <w:instrText xml:space="preserve"> PAGE  \* Arabic  \* MERGEFORMAT </w:instrText>
          </w:r>
          <w:r>
            <w:rPr>
              <w:w w:val="103"/>
            </w:rPr>
            <w:fldChar w:fldCharType="separate"/>
          </w:r>
          <w:r w:rsidR="00510426">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510426">
            <w:rPr>
              <w:w w:val="103"/>
            </w:rPr>
            <w:t>19</w:t>
          </w:r>
          <w:r>
            <w:rPr>
              <w:w w:val="103"/>
            </w:rPr>
            <w:fldChar w:fldCharType="end"/>
          </w:r>
        </w:p>
      </w:tc>
      <w:tc>
        <w:tcPr>
          <w:tcW w:w="5028" w:type="dxa"/>
        </w:tcPr>
        <w:p w14:paraId="578184F8" w14:textId="77777777" w:rsidR="00BD601D" w:rsidRDefault="00BD601D" w:rsidP="00A744CE">
          <w:pPr>
            <w:pStyle w:val="Footer"/>
            <w:jc w:val="right"/>
            <w:rPr>
              <w:w w:val="103"/>
            </w:rPr>
          </w:pPr>
          <w:r>
            <w:rPr>
              <w:b w:val="0"/>
              <w:bCs w:val="0"/>
              <w:w w:val="103"/>
              <w:sz w:val="14"/>
              <w:szCs w:val="14"/>
            </w:rPr>
            <w:fldChar w:fldCharType="begin"/>
          </w:r>
          <w:r>
            <w:rPr>
              <w:b w:val="0"/>
              <w:bCs w:val="0"/>
              <w:w w:val="103"/>
              <w:sz w:val="14"/>
              <w:szCs w:val="14"/>
            </w:rPr>
            <w:instrText xml:space="preserve"> DOCVARIABLE "FooterJN" \* MERGEFORMAT </w:instrText>
          </w:r>
          <w:r>
            <w:rPr>
              <w:b w:val="0"/>
              <w:bCs w:val="0"/>
              <w:w w:val="103"/>
              <w:sz w:val="14"/>
              <w:szCs w:val="14"/>
            </w:rPr>
            <w:fldChar w:fldCharType="separate"/>
          </w:r>
          <w:r>
            <w:rPr>
              <w:b w:val="0"/>
              <w:bCs w:val="0"/>
              <w:w w:val="103"/>
              <w:sz w:val="14"/>
              <w:szCs w:val="14"/>
            </w:rPr>
            <w:t>17-20373</w:t>
          </w:r>
          <w:r>
            <w:rPr>
              <w:b w:val="0"/>
              <w:bCs w:val="0"/>
              <w:w w:val="103"/>
              <w:sz w:val="14"/>
              <w:szCs w:val="14"/>
            </w:rPr>
            <w:fldChar w:fldCharType="end"/>
          </w:r>
        </w:p>
      </w:tc>
    </w:tr>
  </w:tbl>
  <w:p w14:paraId="3C678A27" w14:textId="77777777" w:rsidR="00BD601D" w:rsidRDefault="00BD601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right"/>
      <w:tblLayout w:type="fixed"/>
      <w:tblLook w:val="0000" w:firstRow="0" w:lastRow="0" w:firstColumn="0" w:lastColumn="0" w:noHBand="0" w:noVBand="0"/>
    </w:tblPr>
    <w:tblGrid>
      <w:gridCol w:w="5028"/>
      <w:gridCol w:w="5028"/>
    </w:tblGrid>
    <w:tr w:rsidR="00BD601D" w14:paraId="427DA2FF" w14:textId="77777777">
      <w:trPr>
        <w:jc w:val="right"/>
      </w:trPr>
      <w:tc>
        <w:tcPr>
          <w:tcW w:w="5028" w:type="dxa"/>
        </w:tcPr>
        <w:p w14:paraId="0D682BC5" w14:textId="77777777" w:rsidR="00BD601D" w:rsidRDefault="00BD601D" w:rsidP="00A744CE">
          <w:pPr>
            <w:pStyle w:val="Footer"/>
            <w:rPr>
              <w:w w:val="103"/>
            </w:rPr>
          </w:pPr>
          <w:r>
            <w:rPr>
              <w:b w:val="0"/>
              <w:bCs w:val="0"/>
              <w:w w:val="103"/>
              <w:sz w:val="14"/>
              <w:szCs w:val="14"/>
            </w:rPr>
            <w:fldChar w:fldCharType="begin"/>
          </w:r>
          <w:r>
            <w:rPr>
              <w:b w:val="0"/>
              <w:bCs w:val="0"/>
              <w:w w:val="103"/>
              <w:sz w:val="14"/>
              <w:szCs w:val="14"/>
            </w:rPr>
            <w:instrText xml:space="preserve"> DOCVARIABLE "FooterJN" \* MERGEFORMAT </w:instrText>
          </w:r>
          <w:r>
            <w:rPr>
              <w:b w:val="0"/>
              <w:bCs w:val="0"/>
              <w:w w:val="103"/>
              <w:sz w:val="14"/>
              <w:szCs w:val="14"/>
            </w:rPr>
            <w:fldChar w:fldCharType="separate"/>
          </w:r>
          <w:r>
            <w:rPr>
              <w:b w:val="0"/>
              <w:bCs w:val="0"/>
              <w:w w:val="103"/>
              <w:sz w:val="14"/>
              <w:szCs w:val="14"/>
            </w:rPr>
            <w:t>17-20373</w:t>
          </w:r>
          <w:r>
            <w:rPr>
              <w:b w:val="0"/>
              <w:bCs w:val="0"/>
              <w:w w:val="103"/>
              <w:sz w:val="14"/>
              <w:szCs w:val="14"/>
            </w:rPr>
            <w:fldChar w:fldCharType="end"/>
          </w:r>
        </w:p>
      </w:tc>
      <w:tc>
        <w:tcPr>
          <w:tcW w:w="5028" w:type="dxa"/>
        </w:tcPr>
        <w:p w14:paraId="7063DF62" w14:textId="61E0F6D2" w:rsidR="00BD601D" w:rsidRDefault="00BD601D" w:rsidP="00A744CE">
          <w:pPr>
            <w:pStyle w:val="Footer"/>
            <w:jc w:val="right"/>
            <w:rPr>
              <w:b w:val="0"/>
              <w:bCs w:val="0"/>
              <w:w w:val="103"/>
              <w:sz w:val="14"/>
              <w:szCs w:val="14"/>
            </w:rPr>
          </w:pPr>
          <w:r>
            <w:rPr>
              <w:w w:val="103"/>
            </w:rPr>
            <w:fldChar w:fldCharType="begin"/>
          </w:r>
          <w:r>
            <w:rPr>
              <w:w w:val="103"/>
            </w:rPr>
            <w:instrText xml:space="preserve"> PAGE  \* Arabic  \* MERGEFORMAT </w:instrText>
          </w:r>
          <w:r>
            <w:rPr>
              <w:w w:val="103"/>
            </w:rPr>
            <w:fldChar w:fldCharType="separate"/>
          </w:r>
          <w:r w:rsidR="00510426">
            <w:rPr>
              <w:w w:val="103"/>
            </w:rPr>
            <w:t>19</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510426">
            <w:rPr>
              <w:w w:val="103"/>
            </w:rPr>
            <w:t>19</w:t>
          </w:r>
          <w:r>
            <w:rPr>
              <w:w w:val="103"/>
            </w:rPr>
            <w:fldChar w:fldCharType="end"/>
          </w:r>
        </w:p>
      </w:tc>
    </w:tr>
  </w:tbl>
  <w:p w14:paraId="68E2D5CB" w14:textId="77777777" w:rsidR="00BD601D" w:rsidRDefault="00BD601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5028"/>
    </w:tblGrid>
    <w:tr w:rsidR="00BD601D" w14:paraId="355376B8" w14:textId="77777777">
      <w:tc>
        <w:tcPr>
          <w:tcW w:w="3801" w:type="dxa"/>
        </w:tcPr>
        <w:p w14:paraId="1A7EC8FF" w14:textId="341AC7DF" w:rsidR="00BD601D" w:rsidRDefault="00BD601D">
          <w:pPr>
            <w:pStyle w:val="ReleaseDate"/>
          </w:pPr>
          <w:r>
            <w:rPr>
              <w:noProof/>
            </w:rPr>
            <w:t>17-20373</w:t>
          </w:r>
          <w:r w:rsidR="00361B06">
            <w:rPr>
              <w:noProof/>
            </w:rPr>
            <w:t>X</w:t>
          </w:r>
          <w:r>
            <w:rPr>
              <w:noProof/>
            </w:rPr>
            <w:t xml:space="preserve"> (S)</w:t>
          </w:r>
          <w:r w:rsidR="00AC07DA" w:rsidRPr="00AC07DA">
            <w:rPr>
              <w:noProof/>
            </w:rPr>
            <w:t xml:space="preserve">    </w:t>
          </w:r>
        </w:p>
        <w:p w14:paraId="0CF1A7FF" w14:textId="77777777" w:rsidR="00BD601D" w:rsidRDefault="00BD601D">
          <w:pPr>
            <w:pStyle w:val="Footer"/>
            <w:spacing w:before="80" w:line="210" w:lineRule="exact"/>
            <w:rPr>
              <w:rFonts w:ascii="Barcode 3 of 9 by request" w:hAnsi="Barcode 3 of 9 by request" w:cs="Barcode 3 of 9 by request"/>
              <w:sz w:val="24"/>
              <w:szCs w:val="24"/>
            </w:rPr>
          </w:pPr>
          <w:r>
            <w:rPr>
              <w:rFonts w:ascii="Barcode 3 of 9 by request" w:hAnsi="Barcode 3 of 9 by request" w:cs="Barcode 3 of 9 by request"/>
              <w:sz w:val="24"/>
              <w:szCs w:val="24"/>
            </w:rPr>
            <w:t>*1720373*</w:t>
          </w:r>
        </w:p>
      </w:tc>
      <w:tc>
        <w:tcPr>
          <w:tcW w:w="5028" w:type="dxa"/>
        </w:tcPr>
        <w:p w14:paraId="2DC68E72" w14:textId="77777777" w:rsidR="00BD601D" w:rsidRDefault="00AC07DA">
          <w:pPr>
            <w:pStyle w:val="Footer"/>
            <w:jc w:val="right"/>
            <w:rPr>
              <w:b w:val="0"/>
              <w:bCs w:val="0"/>
              <w:sz w:val="20"/>
              <w:szCs w:val="20"/>
            </w:rPr>
          </w:pPr>
          <w:r>
            <w:rPr>
              <w:b w:val="0"/>
              <w:bCs w:val="0"/>
              <w:sz w:val="20"/>
              <w:szCs w:val="20"/>
              <w:lang w:val="en-US" w:eastAsia="en-US"/>
            </w:rPr>
            <w:drawing>
              <wp:anchor distT="0" distB="0" distL="114300" distR="114300" simplePos="0" relativeHeight="251658240" behindDoc="0" locked="0" layoutInCell="1" allowOverlap="1" wp14:anchorId="5AD81CE9" wp14:editId="2FD9FC40">
                <wp:simplePos x="0" y="0"/>
                <wp:positionH relativeFrom="column">
                  <wp:posOffset>3133090</wp:posOffset>
                </wp:positionH>
                <wp:positionV relativeFrom="paragraph">
                  <wp:posOffset>-363220</wp:posOffset>
                </wp:positionV>
                <wp:extent cx="694690" cy="69469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noFill/>
                      </pic:spPr>
                    </pic:pic>
                  </a:graphicData>
                </a:graphic>
                <wp14:sizeRelH relativeFrom="page">
                  <wp14:pctWidth>0</wp14:pctWidth>
                </wp14:sizeRelH>
                <wp14:sizeRelV relativeFrom="page">
                  <wp14:pctHeight>0</wp14:pctHeight>
                </wp14:sizeRelV>
              </wp:anchor>
            </w:drawing>
          </w:r>
          <w:r w:rsidR="00420F9E">
            <w:rPr>
              <w:b w:val="0"/>
              <w:sz w:val="20"/>
              <w:lang w:val="en-US" w:eastAsia="en-US"/>
            </w:rPr>
            <w:drawing>
              <wp:inline distT="0" distB="0" distL="0" distR="0" wp14:anchorId="58AEE26A" wp14:editId="4830DB11">
                <wp:extent cx="1038225" cy="209550"/>
                <wp:effectExtent l="0" t="0" r="0" b="0"/>
                <wp:docPr id="4" name="Picture 5" descr="Description: Description: Description: Description: Description: Description: Description: Description: Description: Description: Description: Description: 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escription: Description: Description: Description: Description: Description: Description: Description: Description: Description: Description: Description: recycle_Spani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38225" cy="209550"/>
                        </a:xfrm>
                        <a:prstGeom prst="rect">
                          <a:avLst/>
                        </a:prstGeom>
                        <a:noFill/>
                        <a:ln>
                          <a:noFill/>
                        </a:ln>
                      </pic:spPr>
                    </pic:pic>
                  </a:graphicData>
                </a:graphic>
              </wp:inline>
            </w:drawing>
          </w:r>
        </w:p>
      </w:tc>
    </w:tr>
  </w:tbl>
  <w:p w14:paraId="5DFE395F" w14:textId="77777777" w:rsidR="00BD601D" w:rsidRDefault="00BD601D">
    <w:pPr>
      <w:pStyle w:val="Footer"/>
      <w:spacing w:line="56" w:lineRule="auto"/>
      <w:rPr>
        <w:b w:val="0"/>
        <w:bCs w:val="0"/>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FBC1AF" w14:textId="77777777" w:rsidR="00CB6090" w:rsidRDefault="00CB6090">
      <w:pPr>
        <w:pStyle w:val="Footer"/>
        <w:spacing w:after="80"/>
        <w:ind w:left="792"/>
        <w:rPr>
          <w:sz w:val="16"/>
          <w:szCs w:val="16"/>
        </w:rPr>
      </w:pPr>
      <w:r>
        <w:rPr>
          <w:sz w:val="16"/>
          <w:szCs w:val="16"/>
        </w:rPr>
        <w:t>__________________</w:t>
      </w:r>
    </w:p>
  </w:footnote>
  <w:footnote w:type="continuationSeparator" w:id="0">
    <w:p w14:paraId="6E5A3CF4" w14:textId="77777777" w:rsidR="00CB6090" w:rsidRDefault="00CB6090">
      <w:pPr>
        <w:pStyle w:val="Footer"/>
        <w:spacing w:after="80"/>
        <w:ind w:left="792"/>
        <w:rPr>
          <w:sz w:val="16"/>
          <w:szCs w:val="16"/>
        </w:rPr>
      </w:pPr>
      <w:r>
        <w:rPr>
          <w:sz w:val="16"/>
          <w:szCs w:val="16"/>
        </w:rPr>
        <w:t>__________________</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BD601D" w14:paraId="5E85D2D2" w14:textId="77777777">
      <w:trPr>
        <w:trHeight w:hRule="exact" w:val="864"/>
      </w:trPr>
      <w:tc>
        <w:tcPr>
          <w:tcW w:w="4838" w:type="dxa"/>
          <w:tcBorders>
            <w:bottom w:val="single" w:sz="2" w:space="0" w:color="000000"/>
          </w:tcBorders>
          <w:vAlign w:val="bottom"/>
        </w:tcPr>
        <w:p w14:paraId="442D3D5D" w14:textId="77777777" w:rsidR="00BD601D" w:rsidRDefault="00BD601D">
          <w:pPr>
            <w:pStyle w:val="Header"/>
            <w:spacing w:after="80"/>
            <w:rPr>
              <w:b/>
              <w:bCs/>
            </w:rPr>
          </w:pPr>
          <w:r>
            <w:rPr>
              <w:b/>
              <w:bCs/>
            </w:rPr>
            <w:fldChar w:fldCharType="begin"/>
          </w:r>
          <w:r>
            <w:rPr>
              <w:b/>
              <w:bCs/>
            </w:rPr>
            <w:instrText xml:space="preserve"> DOCVARIABLE "sss1" \* MERGEFORMAT </w:instrText>
          </w:r>
          <w:r>
            <w:rPr>
              <w:b/>
              <w:bCs/>
            </w:rPr>
            <w:fldChar w:fldCharType="separate"/>
          </w:r>
          <w:r>
            <w:rPr>
              <w:b/>
              <w:bCs/>
            </w:rPr>
            <w:t>CEDAW/C/BFA/CO/7</w:t>
          </w:r>
          <w:r>
            <w:rPr>
              <w:b/>
              <w:bCs/>
            </w:rPr>
            <w:fldChar w:fldCharType="end"/>
          </w:r>
        </w:p>
      </w:tc>
      <w:tc>
        <w:tcPr>
          <w:tcW w:w="5028" w:type="dxa"/>
          <w:tcBorders>
            <w:bottom w:val="single" w:sz="2" w:space="0" w:color="000000"/>
          </w:tcBorders>
          <w:vAlign w:val="bottom"/>
        </w:tcPr>
        <w:p w14:paraId="1697F45A" w14:textId="77777777" w:rsidR="00BD601D" w:rsidRDefault="00BD601D">
          <w:pPr>
            <w:pStyle w:val="Header"/>
          </w:pPr>
        </w:p>
      </w:tc>
    </w:tr>
  </w:tbl>
  <w:p w14:paraId="4EF5AFFC" w14:textId="77777777" w:rsidR="00BD601D" w:rsidRDefault="00BD601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BD601D" w:rsidRPr="007034AD" w14:paraId="71C8FD7F" w14:textId="77777777">
      <w:trPr>
        <w:trHeight w:hRule="exact" w:val="864"/>
      </w:trPr>
      <w:tc>
        <w:tcPr>
          <w:tcW w:w="4838" w:type="dxa"/>
          <w:tcBorders>
            <w:bottom w:val="single" w:sz="2" w:space="0" w:color="000000"/>
          </w:tcBorders>
          <w:vAlign w:val="bottom"/>
        </w:tcPr>
        <w:p w14:paraId="71731CCF" w14:textId="77777777" w:rsidR="00BD601D" w:rsidRDefault="00BD601D">
          <w:pPr>
            <w:pStyle w:val="Header"/>
          </w:pPr>
        </w:p>
      </w:tc>
      <w:tc>
        <w:tcPr>
          <w:tcW w:w="5028" w:type="dxa"/>
          <w:tcBorders>
            <w:bottom w:val="single" w:sz="2" w:space="0" w:color="000000"/>
          </w:tcBorders>
          <w:vAlign w:val="bottom"/>
        </w:tcPr>
        <w:p w14:paraId="682515FA" w14:textId="77777777" w:rsidR="00BD601D" w:rsidRDefault="00BD601D">
          <w:pPr>
            <w:pStyle w:val="Header"/>
            <w:spacing w:after="80"/>
            <w:jc w:val="right"/>
            <w:rPr>
              <w:b/>
              <w:bCs/>
            </w:rPr>
          </w:pPr>
          <w:r>
            <w:rPr>
              <w:b/>
              <w:bCs/>
            </w:rPr>
            <w:fldChar w:fldCharType="begin"/>
          </w:r>
          <w:r>
            <w:rPr>
              <w:b/>
              <w:bCs/>
            </w:rPr>
            <w:instrText xml:space="preserve"> DOCVARIABLE "sss1" \* MERGEFORMAT </w:instrText>
          </w:r>
          <w:r>
            <w:rPr>
              <w:b/>
              <w:bCs/>
            </w:rPr>
            <w:fldChar w:fldCharType="separate"/>
          </w:r>
          <w:r>
            <w:rPr>
              <w:b/>
              <w:bCs/>
            </w:rPr>
            <w:t>CEDAW/C/BFA/CO/7</w:t>
          </w:r>
          <w:r>
            <w:rPr>
              <w:b/>
              <w:bCs/>
            </w:rPr>
            <w:fldChar w:fldCharType="end"/>
          </w:r>
        </w:p>
      </w:tc>
    </w:tr>
  </w:tbl>
  <w:p w14:paraId="46B1DDA2" w14:textId="77777777" w:rsidR="00BD601D" w:rsidRDefault="00BD601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900" w:type="dxa"/>
      <w:tblLayout w:type="fixed"/>
      <w:tblCellMar>
        <w:left w:w="0" w:type="dxa"/>
        <w:right w:w="0" w:type="dxa"/>
      </w:tblCellMar>
      <w:tblLook w:val="0000" w:firstRow="0" w:lastRow="0" w:firstColumn="0" w:lastColumn="0" w:noHBand="0" w:noVBand="0"/>
    </w:tblPr>
    <w:tblGrid>
      <w:gridCol w:w="1267"/>
      <w:gridCol w:w="2592"/>
      <w:gridCol w:w="245"/>
      <w:gridCol w:w="2390"/>
      <w:gridCol w:w="245"/>
      <w:gridCol w:w="3140"/>
      <w:gridCol w:w="21"/>
    </w:tblGrid>
    <w:tr w:rsidR="00BD601D" w:rsidRPr="00B416F8" w14:paraId="1F81E388" w14:textId="77777777" w:rsidTr="000973A0">
      <w:trPr>
        <w:trHeight w:hRule="exact" w:val="864"/>
      </w:trPr>
      <w:tc>
        <w:tcPr>
          <w:tcW w:w="1267" w:type="dxa"/>
          <w:tcBorders>
            <w:bottom w:val="single" w:sz="4" w:space="0" w:color="auto"/>
          </w:tcBorders>
          <w:vAlign w:val="bottom"/>
        </w:tcPr>
        <w:p w14:paraId="26368ED7" w14:textId="77777777" w:rsidR="00BD601D" w:rsidRDefault="00BD601D">
          <w:pPr>
            <w:pStyle w:val="Header"/>
            <w:spacing w:after="120"/>
          </w:pPr>
        </w:p>
      </w:tc>
      <w:tc>
        <w:tcPr>
          <w:tcW w:w="2592" w:type="dxa"/>
          <w:tcBorders>
            <w:bottom w:val="single" w:sz="4" w:space="0" w:color="auto"/>
          </w:tcBorders>
          <w:vAlign w:val="bottom"/>
        </w:tcPr>
        <w:p w14:paraId="1612A806" w14:textId="77777777" w:rsidR="00BD601D" w:rsidRPr="0043124C" w:rsidRDefault="00BD601D" w:rsidP="0043124C">
          <w:pPr>
            <w:pStyle w:val="HCh"/>
            <w:spacing w:after="80"/>
            <w:rPr>
              <w:b w:val="0"/>
              <w:bCs w:val="0"/>
              <w:spacing w:val="2"/>
              <w:w w:val="96"/>
              <w:szCs w:val="24"/>
              <w:lang w:val="es-ES"/>
            </w:rPr>
          </w:pPr>
          <w:r w:rsidRPr="0043124C">
            <w:rPr>
              <w:b w:val="0"/>
              <w:bCs w:val="0"/>
              <w:spacing w:val="2"/>
              <w:w w:val="96"/>
              <w:szCs w:val="24"/>
              <w:lang w:val="es-ES"/>
            </w:rPr>
            <w:t>Naciones Unidas</w:t>
          </w:r>
        </w:p>
      </w:tc>
      <w:tc>
        <w:tcPr>
          <w:tcW w:w="245" w:type="dxa"/>
          <w:tcBorders>
            <w:bottom w:val="single" w:sz="4" w:space="0" w:color="auto"/>
          </w:tcBorders>
          <w:vAlign w:val="bottom"/>
        </w:tcPr>
        <w:p w14:paraId="64C4A074" w14:textId="77777777" w:rsidR="00BD601D" w:rsidRDefault="00BD601D">
          <w:pPr>
            <w:pStyle w:val="Header"/>
            <w:spacing w:after="120"/>
          </w:pPr>
        </w:p>
      </w:tc>
      <w:tc>
        <w:tcPr>
          <w:tcW w:w="5796" w:type="dxa"/>
          <w:gridSpan w:val="4"/>
          <w:tcBorders>
            <w:bottom w:val="single" w:sz="4" w:space="0" w:color="auto"/>
          </w:tcBorders>
          <w:vAlign w:val="bottom"/>
        </w:tcPr>
        <w:p w14:paraId="664C7DC5" w14:textId="77777777" w:rsidR="00BD601D" w:rsidRPr="00ED4C2B" w:rsidRDefault="00BD601D" w:rsidP="00F63AC4">
          <w:pPr>
            <w:spacing w:after="80" w:line="240" w:lineRule="auto"/>
            <w:jc w:val="right"/>
            <w:rPr>
              <w:position w:val="-4"/>
              <w:lang w:val="es-ES"/>
            </w:rPr>
          </w:pPr>
          <w:r w:rsidRPr="00ED4C2B">
            <w:rPr>
              <w:noProof/>
              <w:position w:val="-4"/>
              <w:sz w:val="40"/>
              <w:szCs w:val="40"/>
              <w:lang w:val="es-ES"/>
            </w:rPr>
            <w:t>CEDAW</w:t>
          </w:r>
          <w:r w:rsidRPr="00ED4C2B">
            <w:rPr>
              <w:noProof/>
              <w:position w:val="-4"/>
              <w:lang w:val="es-ES"/>
            </w:rPr>
            <w:t>/C/</w:t>
          </w:r>
          <w:r w:rsidR="00F63AC4">
            <w:rPr>
              <w:noProof/>
              <w:position w:val="-4"/>
              <w:lang w:val="es-ES"/>
            </w:rPr>
            <w:t>BFA</w:t>
          </w:r>
          <w:r w:rsidRPr="00ED4C2B">
            <w:rPr>
              <w:noProof/>
              <w:position w:val="-4"/>
              <w:lang w:val="es-ES"/>
            </w:rPr>
            <w:t>/</w:t>
          </w:r>
          <w:r w:rsidR="00F80A20">
            <w:rPr>
              <w:noProof/>
              <w:position w:val="-4"/>
              <w:lang w:val="es-ES"/>
            </w:rPr>
            <w:t>CO/</w:t>
          </w:r>
          <w:r w:rsidR="00F63AC4">
            <w:rPr>
              <w:noProof/>
              <w:position w:val="-4"/>
              <w:lang w:val="es-ES"/>
            </w:rPr>
            <w:t>7</w:t>
          </w:r>
        </w:p>
      </w:tc>
    </w:tr>
    <w:tr w:rsidR="00BD601D" w:rsidRPr="00EE6AC5" w14:paraId="774680A4" w14:textId="77777777" w:rsidTr="000973A0">
      <w:trPr>
        <w:gridAfter w:val="1"/>
        <w:wAfter w:w="21" w:type="dxa"/>
        <w:trHeight w:hRule="exact" w:val="2880"/>
      </w:trPr>
      <w:tc>
        <w:tcPr>
          <w:tcW w:w="1267" w:type="dxa"/>
          <w:tcBorders>
            <w:top w:val="single" w:sz="4" w:space="0" w:color="auto"/>
            <w:bottom w:val="single" w:sz="12" w:space="0" w:color="auto"/>
          </w:tcBorders>
        </w:tcPr>
        <w:p w14:paraId="5502A0A3" w14:textId="77777777" w:rsidR="00BD601D" w:rsidRDefault="00420F9E">
          <w:pPr>
            <w:pStyle w:val="Header"/>
            <w:spacing w:before="120"/>
            <w:jc w:val="center"/>
          </w:pPr>
          <w:r>
            <w:rPr>
              <w:lang w:val="en-US" w:eastAsia="en-US"/>
            </w:rPr>
            <w:drawing>
              <wp:inline distT="0" distB="0" distL="0" distR="0" wp14:anchorId="1EDE0A55" wp14:editId="473F1A13">
                <wp:extent cx="676275" cy="571500"/>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6275" cy="571500"/>
                        </a:xfrm>
                        <a:prstGeom prst="rect">
                          <a:avLst/>
                        </a:prstGeom>
                        <a:noFill/>
                        <a:ln>
                          <a:noFill/>
                        </a:ln>
                      </pic:spPr>
                    </pic:pic>
                  </a:graphicData>
                </a:graphic>
              </wp:inline>
            </w:drawing>
          </w:r>
        </w:p>
      </w:tc>
      <w:tc>
        <w:tcPr>
          <w:tcW w:w="5227" w:type="dxa"/>
          <w:gridSpan w:val="3"/>
          <w:tcBorders>
            <w:top w:val="single" w:sz="4" w:space="0" w:color="auto"/>
            <w:bottom w:val="single" w:sz="12" w:space="0" w:color="auto"/>
          </w:tcBorders>
        </w:tcPr>
        <w:p w14:paraId="60D96AF3" w14:textId="77777777" w:rsidR="00BD601D" w:rsidRPr="00862864" w:rsidRDefault="00BD601D" w:rsidP="00862864">
          <w:pPr>
            <w:suppressAutoHyphens w:val="0"/>
            <w:spacing w:before="120" w:line="380" w:lineRule="exact"/>
            <w:rPr>
              <w:b/>
              <w:spacing w:val="0"/>
              <w:w w:val="100"/>
              <w:kern w:val="0"/>
              <w:sz w:val="34"/>
              <w:szCs w:val="40"/>
              <w:lang w:val="es-ES"/>
            </w:rPr>
          </w:pPr>
          <w:r w:rsidRPr="00862864">
            <w:rPr>
              <w:b/>
              <w:spacing w:val="0"/>
              <w:w w:val="100"/>
              <w:kern w:val="0"/>
              <w:sz w:val="34"/>
              <w:szCs w:val="40"/>
              <w:lang w:val="es-ES"/>
            </w:rPr>
            <w:t xml:space="preserve">Convención sobre la Eliminación </w:t>
          </w:r>
          <w:r>
            <w:rPr>
              <w:b/>
              <w:spacing w:val="0"/>
              <w:w w:val="100"/>
              <w:kern w:val="0"/>
              <w:sz w:val="34"/>
              <w:szCs w:val="40"/>
              <w:lang w:val="es-ES"/>
            </w:rPr>
            <w:br/>
          </w:r>
          <w:r w:rsidRPr="00862864">
            <w:rPr>
              <w:b/>
              <w:spacing w:val="0"/>
              <w:w w:val="100"/>
              <w:kern w:val="0"/>
              <w:sz w:val="34"/>
              <w:szCs w:val="40"/>
              <w:lang w:val="es-ES"/>
            </w:rPr>
            <w:t>de Todas las Formas de Discriminación contra la Mujer</w:t>
          </w:r>
        </w:p>
      </w:tc>
      <w:tc>
        <w:tcPr>
          <w:tcW w:w="245" w:type="dxa"/>
          <w:tcBorders>
            <w:top w:val="single" w:sz="4" w:space="0" w:color="auto"/>
            <w:bottom w:val="single" w:sz="12" w:space="0" w:color="auto"/>
          </w:tcBorders>
        </w:tcPr>
        <w:p w14:paraId="0FE8CF09" w14:textId="77777777" w:rsidR="00BD601D" w:rsidRDefault="00BD601D">
          <w:pPr>
            <w:pStyle w:val="Header"/>
            <w:spacing w:before="109"/>
          </w:pPr>
        </w:p>
      </w:tc>
      <w:tc>
        <w:tcPr>
          <w:tcW w:w="3140" w:type="dxa"/>
          <w:tcBorders>
            <w:top w:val="single" w:sz="4" w:space="0" w:color="auto"/>
            <w:bottom w:val="single" w:sz="12" w:space="0" w:color="auto"/>
          </w:tcBorders>
        </w:tcPr>
        <w:p w14:paraId="715B4F2E" w14:textId="77777777" w:rsidR="00BD601D" w:rsidRDefault="00BD601D">
          <w:pPr>
            <w:pStyle w:val="Distribution"/>
            <w:rPr>
              <w:lang w:val="es-ES"/>
            </w:rPr>
          </w:pPr>
          <w:r>
            <w:rPr>
              <w:color w:val="010000"/>
              <w:lang w:val="es-ES"/>
            </w:rPr>
            <w:t>Distr. general</w:t>
          </w:r>
        </w:p>
        <w:p w14:paraId="56F9796B" w14:textId="77777777" w:rsidR="00BD601D" w:rsidRDefault="00F80A20">
          <w:pPr>
            <w:pStyle w:val="Publication"/>
            <w:rPr>
              <w:color w:val="010000"/>
              <w:lang w:val="es-ES"/>
            </w:rPr>
          </w:pPr>
          <w:r>
            <w:rPr>
              <w:color w:val="010000"/>
              <w:lang w:val="es-ES"/>
            </w:rPr>
            <w:t>22</w:t>
          </w:r>
          <w:r w:rsidR="00691C0B" w:rsidRPr="00691C0B">
            <w:rPr>
              <w:color w:val="010000"/>
              <w:lang w:val="es-ES"/>
            </w:rPr>
            <w:t xml:space="preserve"> de </w:t>
          </w:r>
          <w:r w:rsidR="002706D6">
            <w:rPr>
              <w:color w:val="010000"/>
              <w:lang w:val="es-ES"/>
            </w:rPr>
            <w:t>noviembre</w:t>
          </w:r>
          <w:r w:rsidR="00691C0B" w:rsidRPr="00691C0B">
            <w:rPr>
              <w:color w:val="010000"/>
              <w:lang w:val="es-ES"/>
            </w:rPr>
            <w:t xml:space="preserve"> de 2017</w:t>
          </w:r>
        </w:p>
        <w:p w14:paraId="3BB3D251" w14:textId="77777777" w:rsidR="00BD601D" w:rsidRPr="00B11E0C" w:rsidRDefault="00BD601D">
          <w:pPr>
            <w:pStyle w:val="Original"/>
            <w:rPr>
              <w:lang w:val="es-ES"/>
            </w:rPr>
          </w:pPr>
          <w:r>
            <w:rPr>
              <w:color w:val="010000"/>
              <w:lang w:val="es-ES"/>
            </w:rPr>
            <w:t>Español</w:t>
          </w:r>
          <w:r>
            <w:rPr>
              <w:color w:val="010000"/>
              <w:lang w:val="es-ES"/>
            </w:rPr>
            <w:br/>
            <w:t>Original:</w:t>
          </w:r>
          <w:r w:rsidRPr="00B11E0C">
            <w:rPr>
              <w:color w:val="010000"/>
              <w:lang w:val="es-ES"/>
            </w:rPr>
            <w:t xml:space="preserve"> </w:t>
          </w:r>
          <w:r w:rsidR="00691C0B">
            <w:rPr>
              <w:color w:val="010000"/>
              <w:lang w:val="es-ES"/>
            </w:rPr>
            <w:t>inglés</w:t>
          </w:r>
        </w:p>
        <w:p w14:paraId="7C983C19" w14:textId="77777777" w:rsidR="00BD601D" w:rsidRPr="00B11E0C" w:rsidRDefault="00BD601D">
          <w:pPr>
            <w:rPr>
              <w:lang w:val="es-ES"/>
            </w:rPr>
          </w:pPr>
        </w:p>
      </w:tc>
    </w:tr>
  </w:tbl>
  <w:p w14:paraId="66C213A1" w14:textId="77777777" w:rsidR="00BD601D" w:rsidRDefault="00BD601D">
    <w:pPr>
      <w:pStyle w:val="Header"/>
      <w:rPr>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F"/>
    <w:multiLevelType w:val="singleLevel"/>
    <w:tmpl w:val="5B7AE49A"/>
    <w:lvl w:ilvl="0">
      <w:start w:val="1"/>
      <w:numFmt w:val="decimal"/>
      <w:lvlText w:val="%1."/>
      <w:lvlJc w:val="left"/>
      <w:pPr>
        <w:tabs>
          <w:tab w:val="num" w:pos="643"/>
        </w:tabs>
        <w:ind w:left="643" w:hanging="360"/>
      </w:pPr>
      <w:rPr>
        <w:rFonts w:cs="Times New Roman"/>
      </w:r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71F6F73"/>
    <w:multiLevelType w:val="hybridMultilevel"/>
    <w:tmpl w:val="CCFA383C"/>
    <w:lvl w:ilvl="0" w:tplc="0C0A000F">
      <w:start w:val="1"/>
      <w:numFmt w:val="decimal"/>
      <w:lvlText w:val="%1."/>
      <w:lvlJc w:val="left"/>
      <w:pPr>
        <w:ind w:left="1987" w:hanging="360"/>
      </w:pPr>
      <w:rPr>
        <w:rFonts w:cs="Times New Roman"/>
      </w:rPr>
    </w:lvl>
    <w:lvl w:ilvl="1" w:tplc="0C0A0019" w:tentative="1">
      <w:start w:val="1"/>
      <w:numFmt w:val="lowerLetter"/>
      <w:lvlText w:val="%2."/>
      <w:lvlJc w:val="left"/>
      <w:pPr>
        <w:ind w:left="2707" w:hanging="360"/>
      </w:pPr>
      <w:rPr>
        <w:rFonts w:cs="Times New Roman"/>
      </w:rPr>
    </w:lvl>
    <w:lvl w:ilvl="2" w:tplc="0C0A001B" w:tentative="1">
      <w:start w:val="1"/>
      <w:numFmt w:val="lowerRoman"/>
      <w:lvlText w:val="%3."/>
      <w:lvlJc w:val="right"/>
      <w:pPr>
        <w:ind w:left="3427" w:hanging="180"/>
      </w:pPr>
      <w:rPr>
        <w:rFonts w:cs="Times New Roman"/>
      </w:rPr>
    </w:lvl>
    <w:lvl w:ilvl="3" w:tplc="0C0A000F" w:tentative="1">
      <w:start w:val="1"/>
      <w:numFmt w:val="decimal"/>
      <w:lvlText w:val="%4."/>
      <w:lvlJc w:val="left"/>
      <w:pPr>
        <w:ind w:left="4147" w:hanging="360"/>
      </w:pPr>
      <w:rPr>
        <w:rFonts w:cs="Times New Roman"/>
      </w:rPr>
    </w:lvl>
    <w:lvl w:ilvl="4" w:tplc="0C0A0019" w:tentative="1">
      <w:start w:val="1"/>
      <w:numFmt w:val="lowerLetter"/>
      <w:lvlText w:val="%5."/>
      <w:lvlJc w:val="left"/>
      <w:pPr>
        <w:ind w:left="4867" w:hanging="360"/>
      </w:pPr>
      <w:rPr>
        <w:rFonts w:cs="Times New Roman"/>
      </w:rPr>
    </w:lvl>
    <w:lvl w:ilvl="5" w:tplc="0C0A001B" w:tentative="1">
      <w:start w:val="1"/>
      <w:numFmt w:val="lowerRoman"/>
      <w:lvlText w:val="%6."/>
      <w:lvlJc w:val="right"/>
      <w:pPr>
        <w:ind w:left="5587" w:hanging="180"/>
      </w:pPr>
      <w:rPr>
        <w:rFonts w:cs="Times New Roman"/>
      </w:rPr>
    </w:lvl>
    <w:lvl w:ilvl="6" w:tplc="0C0A000F" w:tentative="1">
      <w:start w:val="1"/>
      <w:numFmt w:val="decimal"/>
      <w:lvlText w:val="%7."/>
      <w:lvlJc w:val="left"/>
      <w:pPr>
        <w:ind w:left="6307" w:hanging="360"/>
      </w:pPr>
      <w:rPr>
        <w:rFonts w:cs="Times New Roman"/>
      </w:rPr>
    </w:lvl>
    <w:lvl w:ilvl="7" w:tplc="0C0A0019" w:tentative="1">
      <w:start w:val="1"/>
      <w:numFmt w:val="lowerLetter"/>
      <w:lvlText w:val="%8."/>
      <w:lvlJc w:val="left"/>
      <w:pPr>
        <w:ind w:left="7027" w:hanging="360"/>
      </w:pPr>
      <w:rPr>
        <w:rFonts w:cs="Times New Roman"/>
      </w:rPr>
    </w:lvl>
    <w:lvl w:ilvl="8" w:tplc="0C0A001B" w:tentative="1">
      <w:start w:val="1"/>
      <w:numFmt w:val="lowerRoman"/>
      <w:lvlText w:val="%9."/>
      <w:lvlJc w:val="right"/>
      <w:pPr>
        <w:ind w:left="7747" w:hanging="180"/>
      </w:pPr>
      <w:rPr>
        <w:rFonts w:cs="Times New Roman"/>
      </w:rPr>
    </w:lvl>
  </w:abstractNum>
  <w:abstractNum w:abstractNumId="3" w15:restartNumberingAfterBreak="0">
    <w:nsid w:val="07A330DD"/>
    <w:multiLevelType w:val="hybridMultilevel"/>
    <w:tmpl w:val="ADB43E14"/>
    <w:lvl w:ilvl="0" w:tplc="0C0A000F">
      <w:start w:val="1"/>
      <w:numFmt w:val="decimal"/>
      <w:lvlText w:val="%1."/>
      <w:lvlJc w:val="left"/>
      <w:pPr>
        <w:ind w:left="1987" w:hanging="360"/>
      </w:pPr>
      <w:rPr>
        <w:rFonts w:cs="Times New Roman"/>
      </w:rPr>
    </w:lvl>
    <w:lvl w:ilvl="1" w:tplc="0C0A0019" w:tentative="1">
      <w:start w:val="1"/>
      <w:numFmt w:val="lowerLetter"/>
      <w:lvlText w:val="%2."/>
      <w:lvlJc w:val="left"/>
      <w:pPr>
        <w:ind w:left="2707" w:hanging="360"/>
      </w:pPr>
      <w:rPr>
        <w:rFonts w:cs="Times New Roman"/>
      </w:rPr>
    </w:lvl>
    <w:lvl w:ilvl="2" w:tplc="0C0A001B" w:tentative="1">
      <w:start w:val="1"/>
      <w:numFmt w:val="lowerRoman"/>
      <w:lvlText w:val="%3."/>
      <w:lvlJc w:val="right"/>
      <w:pPr>
        <w:ind w:left="3427" w:hanging="180"/>
      </w:pPr>
      <w:rPr>
        <w:rFonts w:cs="Times New Roman"/>
      </w:rPr>
    </w:lvl>
    <w:lvl w:ilvl="3" w:tplc="0C0A000F" w:tentative="1">
      <w:start w:val="1"/>
      <w:numFmt w:val="decimal"/>
      <w:lvlText w:val="%4."/>
      <w:lvlJc w:val="left"/>
      <w:pPr>
        <w:ind w:left="4147" w:hanging="360"/>
      </w:pPr>
      <w:rPr>
        <w:rFonts w:cs="Times New Roman"/>
      </w:rPr>
    </w:lvl>
    <w:lvl w:ilvl="4" w:tplc="0C0A0019" w:tentative="1">
      <w:start w:val="1"/>
      <w:numFmt w:val="lowerLetter"/>
      <w:lvlText w:val="%5."/>
      <w:lvlJc w:val="left"/>
      <w:pPr>
        <w:ind w:left="4867" w:hanging="360"/>
      </w:pPr>
      <w:rPr>
        <w:rFonts w:cs="Times New Roman"/>
      </w:rPr>
    </w:lvl>
    <w:lvl w:ilvl="5" w:tplc="0C0A001B" w:tentative="1">
      <w:start w:val="1"/>
      <w:numFmt w:val="lowerRoman"/>
      <w:lvlText w:val="%6."/>
      <w:lvlJc w:val="right"/>
      <w:pPr>
        <w:ind w:left="5587" w:hanging="180"/>
      </w:pPr>
      <w:rPr>
        <w:rFonts w:cs="Times New Roman"/>
      </w:rPr>
    </w:lvl>
    <w:lvl w:ilvl="6" w:tplc="0C0A000F" w:tentative="1">
      <w:start w:val="1"/>
      <w:numFmt w:val="decimal"/>
      <w:lvlText w:val="%7."/>
      <w:lvlJc w:val="left"/>
      <w:pPr>
        <w:ind w:left="6307" w:hanging="360"/>
      </w:pPr>
      <w:rPr>
        <w:rFonts w:cs="Times New Roman"/>
      </w:rPr>
    </w:lvl>
    <w:lvl w:ilvl="7" w:tplc="0C0A0019" w:tentative="1">
      <w:start w:val="1"/>
      <w:numFmt w:val="lowerLetter"/>
      <w:lvlText w:val="%8."/>
      <w:lvlJc w:val="left"/>
      <w:pPr>
        <w:ind w:left="7027" w:hanging="360"/>
      </w:pPr>
      <w:rPr>
        <w:rFonts w:cs="Times New Roman"/>
      </w:rPr>
    </w:lvl>
    <w:lvl w:ilvl="8" w:tplc="0C0A001B" w:tentative="1">
      <w:start w:val="1"/>
      <w:numFmt w:val="lowerRoman"/>
      <w:lvlText w:val="%9."/>
      <w:lvlJc w:val="right"/>
      <w:pPr>
        <w:ind w:left="7747" w:hanging="180"/>
      </w:pPr>
      <w:rPr>
        <w:rFonts w:cs="Times New Roman"/>
      </w:rPr>
    </w:lvl>
  </w:abstractNum>
  <w:abstractNum w:abstractNumId="4" w15:restartNumberingAfterBreak="0">
    <w:nsid w:val="10F41A50"/>
    <w:multiLevelType w:val="hybridMultilevel"/>
    <w:tmpl w:val="9766C430"/>
    <w:lvl w:ilvl="0" w:tplc="202CC316">
      <w:start w:val="1"/>
      <w:numFmt w:val="decimal"/>
      <w:lvlText w:val="%1."/>
      <w:lvlJc w:val="left"/>
      <w:pPr>
        <w:ind w:left="1747" w:hanging="480"/>
      </w:pPr>
      <w:rPr>
        <w:rFonts w:cs="Times New Roman" w:hint="default"/>
      </w:rPr>
    </w:lvl>
    <w:lvl w:ilvl="1" w:tplc="0C0A0019" w:tentative="1">
      <w:start w:val="1"/>
      <w:numFmt w:val="lowerLetter"/>
      <w:lvlText w:val="%2."/>
      <w:lvlJc w:val="left"/>
      <w:pPr>
        <w:ind w:left="2347" w:hanging="360"/>
      </w:pPr>
      <w:rPr>
        <w:rFonts w:cs="Times New Roman"/>
      </w:rPr>
    </w:lvl>
    <w:lvl w:ilvl="2" w:tplc="0C0A001B" w:tentative="1">
      <w:start w:val="1"/>
      <w:numFmt w:val="lowerRoman"/>
      <w:lvlText w:val="%3."/>
      <w:lvlJc w:val="right"/>
      <w:pPr>
        <w:ind w:left="3067" w:hanging="180"/>
      </w:pPr>
      <w:rPr>
        <w:rFonts w:cs="Times New Roman"/>
      </w:rPr>
    </w:lvl>
    <w:lvl w:ilvl="3" w:tplc="0C0A000F" w:tentative="1">
      <w:start w:val="1"/>
      <w:numFmt w:val="decimal"/>
      <w:lvlText w:val="%4."/>
      <w:lvlJc w:val="left"/>
      <w:pPr>
        <w:ind w:left="3787" w:hanging="360"/>
      </w:pPr>
      <w:rPr>
        <w:rFonts w:cs="Times New Roman"/>
      </w:rPr>
    </w:lvl>
    <w:lvl w:ilvl="4" w:tplc="0C0A0019" w:tentative="1">
      <w:start w:val="1"/>
      <w:numFmt w:val="lowerLetter"/>
      <w:lvlText w:val="%5."/>
      <w:lvlJc w:val="left"/>
      <w:pPr>
        <w:ind w:left="4507" w:hanging="360"/>
      </w:pPr>
      <w:rPr>
        <w:rFonts w:cs="Times New Roman"/>
      </w:rPr>
    </w:lvl>
    <w:lvl w:ilvl="5" w:tplc="0C0A001B" w:tentative="1">
      <w:start w:val="1"/>
      <w:numFmt w:val="lowerRoman"/>
      <w:lvlText w:val="%6."/>
      <w:lvlJc w:val="right"/>
      <w:pPr>
        <w:ind w:left="5227" w:hanging="180"/>
      </w:pPr>
      <w:rPr>
        <w:rFonts w:cs="Times New Roman"/>
      </w:rPr>
    </w:lvl>
    <w:lvl w:ilvl="6" w:tplc="0C0A000F" w:tentative="1">
      <w:start w:val="1"/>
      <w:numFmt w:val="decimal"/>
      <w:lvlText w:val="%7."/>
      <w:lvlJc w:val="left"/>
      <w:pPr>
        <w:ind w:left="5947" w:hanging="360"/>
      </w:pPr>
      <w:rPr>
        <w:rFonts w:cs="Times New Roman"/>
      </w:rPr>
    </w:lvl>
    <w:lvl w:ilvl="7" w:tplc="0C0A0019" w:tentative="1">
      <w:start w:val="1"/>
      <w:numFmt w:val="lowerLetter"/>
      <w:lvlText w:val="%8."/>
      <w:lvlJc w:val="left"/>
      <w:pPr>
        <w:ind w:left="6667" w:hanging="360"/>
      </w:pPr>
      <w:rPr>
        <w:rFonts w:cs="Times New Roman"/>
      </w:rPr>
    </w:lvl>
    <w:lvl w:ilvl="8" w:tplc="0C0A001B" w:tentative="1">
      <w:start w:val="1"/>
      <w:numFmt w:val="lowerRoman"/>
      <w:lvlText w:val="%9."/>
      <w:lvlJc w:val="right"/>
      <w:pPr>
        <w:ind w:left="7387" w:hanging="180"/>
      </w:pPr>
      <w:rPr>
        <w:rFonts w:cs="Times New Roman"/>
      </w:rPr>
    </w:lvl>
  </w:abstractNum>
  <w:abstractNum w:abstractNumId="5" w15:restartNumberingAfterBreak="0">
    <w:nsid w:val="11B91852"/>
    <w:multiLevelType w:val="hybridMultilevel"/>
    <w:tmpl w:val="2D8E24B6"/>
    <w:lvl w:ilvl="0" w:tplc="54A46870">
      <w:start w:val="1"/>
      <w:numFmt w:val="decimal"/>
      <w:lvlText w:val="%1."/>
      <w:lvlJc w:val="left"/>
      <w:pPr>
        <w:ind w:left="1500" w:hanging="360"/>
      </w:pPr>
      <w:rPr>
        <w:rFonts w:cs="Times New Roman" w:hint="default"/>
      </w:rPr>
    </w:lvl>
    <w:lvl w:ilvl="1" w:tplc="08090019">
      <w:start w:val="1"/>
      <w:numFmt w:val="lowerLetter"/>
      <w:lvlText w:val="%2."/>
      <w:lvlJc w:val="left"/>
      <w:pPr>
        <w:ind w:left="2220" w:hanging="360"/>
      </w:pPr>
      <w:rPr>
        <w:rFonts w:cs="Times New Roman"/>
      </w:rPr>
    </w:lvl>
    <w:lvl w:ilvl="2" w:tplc="0809001B" w:tentative="1">
      <w:start w:val="1"/>
      <w:numFmt w:val="lowerRoman"/>
      <w:lvlText w:val="%3."/>
      <w:lvlJc w:val="right"/>
      <w:pPr>
        <w:ind w:left="2940" w:hanging="180"/>
      </w:pPr>
      <w:rPr>
        <w:rFonts w:cs="Times New Roman"/>
      </w:rPr>
    </w:lvl>
    <w:lvl w:ilvl="3" w:tplc="0809000F" w:tentative="1">
      <w:start w:val="1"/>
      <w:numFmt w:val="decimal"/>
      <w:lvlText w:val="%4."/>
      <w:lvlJc w:val="left"/>
      <w:pPr>
        <w:ind w:left="3660" w:hanging="360"/>
      </w:pPr>
      <w:rPr>
        <w:rFonts w:cs="Times New Roman"/>
      </w:rPr>
    </w:lvl>
    <w:lvl w:ilvl="4" w:tplc="08090019" w:tentative="1">
      <w:start w:val="1"/>
      <w:numFmt w:val="lowerLetter"/>
      <w:lvlText w:val="%5."/>
      <w:lvlJc w:val="left"/>
      <w:pPr>
        <w:ind w:left="4380" w:hanging="360"/>
      </w:pPr>
      <w:rPr>
        <w:rFonts w:cs="Times New Roman"/>
      </w:rPr>
    </w:lvl>
    <w:lvl w:ilvl="5" w:tplc="0809001B" w:tentative="1">
      <w:start w:val="1"/>
      <w:numFmt w:val="lowerRoman"/>
      <w:lvlText w:val="%6."/>
      <w:lvlJc w:val="right"/>
      <w:pPr>
        <w:ind w:left="5100" w:hanging="180"/>
      </w:pPr>
      <w:rPr>
        <w:rFonts w:cs="Times New Roman"/>
      </w:rPr>
    </w:lvl>
    <w:lvl w:ilvl="6" w:tplc="0809000F" w:tentative="1">
      <w:start w:val="1"/>
      <w:numFmt w:val="decimal"/>
      <w:lvlText w:val="%7."/>
      <w:lvlJc w:val="left"/>
      <w:pPr>
        <w:ind w:left="5820" w:hanging="360"/>
      </w:pPr>
      <w:rPr>
        <w:rFonts w:cs="Times New Roman"/>
      </w:rPr>
    </w:lvl>
    <w:lvl w:ilvl="7" w:tplc="08090019" w:tentative="1">
      <w:start w:val="1"/>
      <w:numFmt w:val="lowerLetter"/>
      <w:lvlText w:val="%8."/>
      <w:lvlJc w:val="left"/>
      <w:pPr>
        <w:ind w:left="6540" w:hanging="360"/>
      </w:pPr>
      <w:rPr>
        <w:rFonts w:cs="Times New Roman"/>
      </w:rPr>
    </w:lvl>
    <w:lvl w:ilvl="8" w:tplc="0809001B" w:tentative="1">
      <w:start w:val="1"/>
      <w:numFmt w:val="lowerRoman"/>
      <w:lvlText w:val="%9."/>
      <w:lvlJc w:val="right"/>
      <w:pPr>
        <w:ind w:left="7260" w:hanging="180"/>
      </w:pPr>
      <w:rPr>
        <w:rFonts w:cs="Times New Roman"/>
      </w:rPr>
    </w:lvl>
  </w:abstractNum>
  <w:abstractNum w:abstractNumId="6" w15:restartNumberingAfterBreak="0">
    <w:nsid w:val="147635A0"/>
    <w:multiLevelType w:val="multilevel"/>
    <w:tmpl w:val="C988F3DE"/>
    <w:name w:val="TOC"/>
    <w:lvl w:ilvl="0">
      <w:start w:val="1"/>
      <w:numFmt w:val="decimal"/>
      <w:lvlText w:val="%1."/>
      <w:lvlJc w:val="right"/>
      <w:pPr>
        <w:tabs>
          <w:tab w:val="num" w:pos="1296"/>
        </w:tabs>
        <w:ind w:left="1296" w:hanging="216"/>
      </w:pPr>
      <w:rPr>
        <w:rFonts w:cs="Times New Roman" w:hint="default"/>
      </w:rPr>
    </w:lvl>
    <w:lvl w:ilvl="1">
      <w:start w:val="1"/>
      <w:numFmt w:val="upperLetter"/>
      <w:lvlText w:val="%2."/>
      <w:lvlJc w:val="left"/>
      <w:pPr>
        <w:tabs>
          <w:tab w:val="num" w:pos="1728"/>
        </w:tabs>
        <w:ind w:left="1728" w:hanging="432"/>
      </w:pPr>
      <w:rPr>
        <w:rFonts w:cs="Times New Roman" w:hint="default"/>
      </w:rPr>
    </w:lvl>
    <w:lvl w:ilvl="2">
      <w:start w:val="1"/>
      <w:numFmt w:val="decimal"/>
      <w:lvlText w:val="%3."/>
      <w:lvlJc w:val="left"/>
      <w:pPr>
        <w:tabs>
          <w:tab w:val="num" w:pos="2160"/>
        </w:tabs>
        <w:ind w:left="2160" w:hanging="432"/>
      </w:pPr>
      <w:rPr>
        <w:rFonts w:cs="Times New Roman" w:hint="default"/>
      </w:rPr>
    </w:lvl>
    <w:lvl w:ilvl="3">
      <w:start w:val="1"/>
      <w:numFmt w:val="lowerLetter"/>
      <w:lvlText w:val="(%4)"/>
      <w:lvlJc w:val="left"/>
      <w:pPr>
        <w:tabs>
          <w:tab w:val="num" w:pos="2592"/>
        </w:tabs>
        <w:ind w:left="2592" w:hanging="432"/>
      </w:pPr>
      <w:rPr>
        <w:rFonts w:cs="Times New Roman" w:hint="default"/>
      </w:rPr>
    </w:lvl>
    <w:lvl w:ilvl="4">
      <w:start w:val="1"/>
      <w:numFmt w:val="lowerRoman"/>
      <w:lvlText w:val="(%5)"/>
      <w:lvlJc w:val="left"/>
      <w:pPr>
        <w:tabs>
          <w:tab w:val="num" w:pos="3024"/>
        </w:tabs>
        <w:ind w:left="3024" w:hanging="432"/>
      </w:pPr>
      <w:rPr>
        <w:rFonts w:cs="Times New Roman" w:hint="default"/>
      </w:rPr>
    </w:lvl>
    <w:lvl w:ilvl="5">
      <w:start w:val="1"/>
      <w:numFmt w:val="bullet"/>
      <w:lvlText w:val=""/>
      <w:lvlJc w:val="left"/>
      <w:pPr>
        <w:tabs>
          <w:tab w:val="num" w:pos="3456"/>
        </w:tabs>
        <w:ind w:left="3456" w:hanging="432"/>
      </w:pPr>
      <w:rPr>
        <w:rFonts w:ascii="Symbol" w:hAnsi="Symbol" w:hint="default"/>
      </w:rPr>
    </w:lvl>
    <w:lvl w:ilvl="6">
      <w:start w:val="1"/>
      <w:numFmt w:val="none"/>
      <w:pStyle w:val="Heading7"/>
      <w:suff w:val="nothing"/>
      <w:lvlText w:val=""/>
      <w:lvlJc w:val="left"/>
      <w:rPr>
        <w:rFonts w:cs="Times New Roman" w:hint="default"/>
      </w:rPr>
    </w:lvl>
    <w:lvl w:ilvl="7">
      <w:start w:val="1"/>
      <w:numFmt w:val="none"/>
      <w:pStyle w:val="Heading8"/>
      <w:suff w:val="nothing"/>
      <w:lvlText w:val=""/>
      <w:lvlJc w:val="left"/>
      <w:rPr>
        <w:rFonts w:cs="Times New Roman" w:hint="default"/>
      </w:rPr>
    </w:lvl>
    <w:lvl w:ilvl="8">
      <w:start w:val="1"/>
      <w:numFmt w:val="none"/>
      <w:pStyle w:val="Heading9"/>
      <w:suff w:val="nothing"/>
      <w:lvlText w:val=""/>
      <w:lvlJc w:val="left"/>
      <w:rPr>
        <w:rFonts w:cs="Times New Roman" w:hint="default"/>
      </w:rPr>
    </w:lvl>
  </w:abstractNum>
  <w:abstractNum w:abstractNumId="7" w15:restartNumberingAfterBreak="0">
    <w:nsid w:val="2AC04B30"/>
    <w:multiLevelType w:val="hybridMultilevel"/>
    <w:tmpl w:val="F9D86C0E"/>
    <w:lvl w:ilvl="0" w:tplc="B968817C">
      <w:start w:val="1"/>
      <w:numFmt w:val="decimal"/>
      <w:lvlText w:val="%1."/>
      <w:lvlJc w:val="left"/>
      <w:pPr>
        <w:ind w:left="1987" w:hanging="360"/>
      </w:pPr>
      <w:rPr>
        <w:rFonts w:cs="Times New Roman"/>
        <w:b w:val="0"/>
      </w:rPr>
    </w:lvl>
    <w:lvl w:ilvl="1" w:tplc="0C0A0019" w:tentative="1">
      <w:start w:val="1"/>
      <w:numFmt w:val="lowerLetter"/>
      <w:lvlText w:val="%2."/>
      <w:lvlJc w:val="left"/>
      <w:pPr>
        <w:ind w:left="2707" w:hanging="360"/>
      </w:pPr>
      <w:rPr>
        <w:rFonts w:cs="Times New Roman"/>
      </w:rPr>
    </w:lvl>
    <w:lvl w:ilvl="2" w:tplc="0C0A001B" w:tentative="1">
      <w:start w:val="1"/>
      <w:numFmt w:val="lowerRoman"/>
      <w:lvlText w:val="%3."/>
      <w:lvlJc w:val="right"/>
      <w:pPr>
        <w:ind w:left="3427" w:hanging="180"/>
      </w:pPr>
      <w:rPr>
        <w:rFonts w:cs="Times New Roman"/>
      </w:rPr>
    </w:lvl>
    <w:lvl w:ilvl="3" w:tplc="0C0A000F" w:tentative="1">
      <w:start w:val="1"/>
      <w:numFmt w:val="decimal"/>
      <w:lvlText w:val="%4."/>
      <w:lvlJc w:val="left"/>
      <w:pPr>
        <w:ind w:left="4147" w:hanging="360"/>
      </w:pPr>
      <w:rPr>
        <w:rFonts w:cs="Times New Roman"/>
      </w:rPr>
    </w:lvl>
    <w:lvl w:ilvl="4" w:tplc="0C0A0019" w:tentative="1">
      <w:start w:val="1"/>
      <w:numFmt w:val="lowerLetter"/>
      <w:lvlText w:val="%5."/>
      <w:lvlJc w:val="left"/>
      <w:pPr>
        <w:ind w:left="4867" w:hanging="360"/>
      </w:pPr>
      <w:rPr>
        <w:rFonts w:cs="Times New Roman"/>
      </w:rPr>
    </w:lvl>
    <w:lvl w:ilvl="5" w:tplc="0C0A001B" w:tentative="1">
      <w:start w:val="1"/>
      <w:numFmt w:val="lowerRoman"/>
      <w:lvlText w:val="%6."/>
      <w:lvlJc w:val="right"/>
      <w:pPr>
        <w:ind w:left="5587" w:hanging="180"/>
      </w:pPr>
      <w:rPr>
        <w:rFonts w:cs="Times New Roman"/>
      </w:rPr>
    </w:lvl>
    <w:lvl w:ilvl="6" w:tplc="0C0A000F" w:tentative="1">
      <w:start w:val="1"/>
      <w:numFmt w:val="decimal"/>
      <w:lvlText w:val="%7."/>
      <w:lvlJc w:val="left"/>
      <w:pPr>
        <w:ind w:left="6307" w:hanging="360"/>
      </w:pPr>
      <w:rPr>
        <w:rFonts w:cs="Times New Roman"/>
      </w:rPr>
    </w:lvl>
    <w:lvl w:ilvl="7" w:tplc="0C0A0019" w:tentative="1">
      <w:start w:val="1"/>
      <w:numFmt w:val="lowerLetter"/>
      <w:lvlText w:val="%8."/>
      <w:lvlJc w:val="left"/>
      <w:pPr>
        <w:ind w:left="7027" w:hanging="360"/>
      </w:pPr>
      <w:rPr>
        <w:rFonts w:cs="Times New Roman"/>
      </w:rPr>
    </w:lvl>
    <w:lvl w:ilvl="8" w:tplc="0C0A001B" w:tentative="1">
      <w:start w:val="1"/>
      <w:numFmt w:val="lowerRoman"/>
      <w:lvlText w:val="%9."/>
      <w:lvlJc w:val="right"/>
      <w:pPr>
        <w:ind w:left="7747" w:hanging="180"/>
      </w:pPr>
      <w:rPr>
        <w:rFonts w:cs="Times New Roman"/>
      </w:rPr>
    </w:lvl>
  </w:abstractNum>
  <w:abstractNum w:abstractNumId="8" w15:restartNumberingAfterBreak="0">
    <w:nsid w:val="345260FC"/>
    <w:multiLevelType w:val="hybridMultilevel"/>
    <w:tmpl w:val="9FDA04FC"/>
    <w:lvl w:ilvl="0" w:tplc="ABF086FA">
      <w:start w:val="1"/>
      <w:numFmt w:val="decimal"/>
      <w:lvlText w:val="%1."/>
      <w:lvlJc w:val="left"/>
      <w:pPr>
        <w:ind w:left="1747" w:hanging="480"/>
      </w:pPr>
      <w:rPr>
        <w:rFonts w:cs="Times New Roman" w:hint="default"/>
      </w:rPr>
    </w:lvl>
    <w:lvl w:ilvl="1" w:tplc="0C0A0019" w:tentative="1">
      <w:start w:val="1"/>
      <w:numFmt w:val="lowerLetter"/>
      <w:lvlText w:val="%2."/>
      <w:lvlJc w:val="left"/>
      <w:pPr>
        <w:ind w:left="2347" w:hanging="360"/>
      </w:pPr>
      <w:rPr>
        <w:rFonts w:cs="Times New Roman"/>
      </w:rPr>
    </w:lvl>
    <w:lvl w:ilvl="2" w:tplc="0C0A001B" w:tentative="1">
      <w:start w:val="1"/>
      <w:numFmt w:val="lowerRoman"/>
      <w:lvlText w:val="%3."/>
      <w:lvlJc w:val="right"/>
      <w:pPr>
        <w:ind w:left="3067" w:hanging="180"/>
      </w:pPr>
      <w:rPr>
        <w:rFonts w:cs="Times New Roman"/>
      </w:rPr>
    </w:lvl>
    <w:lvl w:ilvl="3" w:tplc="0C0A000F" w:tentative="1">
      <w:start w:val="1"/>
      <w:numFmt w:val="decimal"/>
      <w:lvlText w:val="%4."/>
      <w:lvlJc w:val="left"/>
      <w:pPr>
        <w:ind w:left="3787" w:hanging="360"/>
      </w:pPr>
      <w:rPr>
        <w:rFonts w:cs="Times New Roman"/>
      </w:rPr>
    </w:lvl>
    <w:lvl w:ilvl="4" w:tplc="0C0A0019" w:tentative="1">
      <w:start w:val="1"/>
      <w:numFmt w:val="lowerLetter"/>
      <w:lvlText w:val="%5."/>
      <w:lvlJc w:val="left"/>
      <w:pPr>
        <w:ind w:left="4507" w:hanging="360"/>
      </w:pPr>
      <w:rPr>
        <w:rFonts w:cs="Times New Roman"/>
      </w:rPr>
    </w:lvl>
    <w:lvl w:ilvl="5" w:tplc="0C0A001B" w:tentative="1">
      <w:start w:val="1"/>
      <w:numFmt w:val="lowerRoman"/>
      <w:lvlText w:val="%6."/>
      <w:lvlJc w:val="right"/>
      <w:pPr>
        <w:ind w:left="5227" w:hanging="180"/>
      </w:pPr>
      <w:rPr>
        <w:rFonts w:cs="Times New Roman"/>
      </w:rPr>
    </w:lvl>
    <w:lvl w:ilvl="6" w:tplc="0C0A000F" w:tentative="1">
      <w:start w:val="1"/>
      <w:numFmt w:val="decimal"/>
      <w:lvlText w:val="%7."/>
      <w:lvlJc w:val="left"/>
      <w:pPr>
        <w:ind w:left="5947" w:hanging="360"/>
      </w:pPr>
      <w:rPr>
        <w:rFonts w:cs="Times New Roman"/>
      </w:rPr>
    </w:lvl>
    <w:lvl w:ilvl="7" w:tplc="0C0A0019" w:tentative="1">
      <w:start w:val="1"/>
      <w:numFmt w:val="lowerLetter"/>
      <w:lvlText w:val="%8."/>
      <w:lvlJc w:val="left"/>
      <w:pPr>
        <w:ind w:left="6667" w:hanging="360"/>
      </w:pPr>
      <w:rPr>
        <w:rFonts w:cs="Times New Roman"/>
      </w:rPr>
    </w:lvl>
    <w:lvl w:ilvl="8" w:tplc="0C0A001B" w:tentative="1">
      <w:start w:val="1"/>
      <w:numFmt w:val="lowerRoman"/>
      <w:lvlText w:val="%9."/>
      <w:lvlJc w:val="right"/>
      <w:pPr>
        <w:ind w:left="7387" w:hanging="180"/>
      </w:pPr>
      <w:rPr>
        <w:rFonts w:cs="Times New Roman"/>
      </w:rPr>
    </w:lvl>
  </w:abstractNum>
  <w:abstractNum w:abstractNumId="9" w15:restartNumberingAfterBreak="0">
    <w:nsid w:val="34E878E2"/>
    <w:multiLevelType w:val="hybridMultilevel"/>
    <w:tmpl w:val="EBF0DC2E"/>
    <w:lvl w:ilvl="0" w:tplc="151635A2">
      <w:start w:val="1"/>
      <w:numFmt w:val="bullet"/>
      <w:pStyle w:val="Bullet2"/>
      <w:lvlText w:val=""/>
      <w:lvlJc w:val="left"/>
      <w:pPr>
        <w:ind w:left="2447" w:hanging="360"/>
      </w:pPr>
      <w:rPr>
        <w:rFonts w:ascii="Symbol" w:hAnsi="Symbol" w:hint="default"/>
        <w:sz w:val="14"/>
      </w:rPr>
    </w:lvl>
    <w:lvl w:ilvl="1" w:tplc="04090003">
      <w:start w:val="1"/>
      <w:numFmt w:val="bullet"/>
      <w:lvlText w:val="o"/>
      <w:lvlJc w:val="left"/>
      <w:pPr>
        <w:ind w:left="3527" w:hanging="360"/>
      </w:pPr>
      <w:rPr>
        <w:rFonts w:ascii="Courier New" w:hAnsi="Courier New" w:hint="default"/>
      </w:rPr>
    </w:lvl>
    <w:lvl w:ilvl="2" w:tplc="04090005">
      <w:start w:val="1"/>
      <w:numFmt w:val="bullet"/>
      <w:lvlText w:val=""/>
      <w:lvlJc w:val="left"/>
      <w:pPr>
        <w:ind w:left="4247" w:hanging="360"/>
      </w:pPr>
      <w:rPr>
        <w:rFonts w:ascii="Wingdings" w:hAnsi="Wingdings" w:hint="default"/>
      </w:rPr>
    </w:lvl>
    <w:lvl w:ilvl="3" w:tplc="04090001">
      <w:start w:val="1"/>
      <w:numFmt w:val="bullet"/>
      <w:lvlText w:val=""/>
      <w:lvlJc w:val="left"/>
      <w:pPr>
        <w:ind w:left="4967" w:hanging="360"/>
      </w:pPr>
      <w:rPr>
        <w:rFonts w:ascii="Symbol" w:hAnsi="Symbol" w:hint="default"/>
      </w:rPr>
    </w:lvl>
    <w:lvl w:ilvl="4" w:tplc="04090003">
      <w:start w:val="1"/>
      <w:numFmt w:val="bullet"/>
      <w:lvlText w:val="o"/>
      <w:lvlJc w:val="left"/>
      <w:pPr>
        <w:ind w:left="5687" w:hanging="360"/>
      </w:pPr>
      <w:rPr>
        <w:rFonts w:ascii="Courier New" w:hAnsi="Courier New" w:hint="default"/>
      </w:rPr>
    </w:lvl>
    <w:lvl w:ilvl="5" w:tplc="04090005">
      <w:start w:val="1"/>
      <w:numFmt w:val="bullet"/>
      <w:lvlText w:val=""/>
      <w:lvlJc w:val="left"/>
      <w:pPr>
        <w:ind w:left="6407" w:hanging="360"/>
      </w:pPr>
      <w:rPr>
        <w:rFonts w:ascii="Wingdings" w:hAnsi="Wingdings" w:hint="default"/>
      </w:rPr>
    </w:lvl>
    <w:lvl w:ilvl="6" w:tplc="04090001">
      <w:start w:val="1"/>
      <w:numFmt w:val="bullet"/>
      <w:lvlText w:val=""/>
      <w:lvlJc w:val="left"/>
      <w:pPr>
        <w:ind w:left="7127" w:hanging="360"/>
      </w:pPr>
      <w:rPr>
        <w:rFonts w:ascii="Symbol" w:hAnsi="Symbol" w:hint="default"/>
      </w:rPr>
    </w:lvl>
    <w:lvl w:ilvl="7" w:tplc="04090003">
      <w:start w:val="1"/>
      <w:numFmt w:val="bullet"/>
      <w:lvlText w:val="o"/>
      <w:lvlJc w:val="left"/>
      <w:pPr>
        <w:ind w:left="7847" w:hanging="360"/>
      </w:pPr>
      <w:rPr>
        <w:rFonts w:ascii="Courier New" w:hAnsi="Courier New" w:hint="default"/>
      </w:rPr>
    </w:lvl>
    <w:lvl w:ilvl="8" w:tplc="04090005">
      <w:start w:val="1"/>
      <w:numFmt w:val="bullet"/>
      <w:lvlText w:val=""/>
      <w:lvlJc w:val="left"/>
      <w:pPr>
        <w:ind w:left="8567" w:hanging="360"/>
      </w:pPr>
      <w:rPr>
        <w:rFonts w:ascii="Wingdings" w:hAnsi="Wingdings" w:hint="default"/>
      </w:rPr>
    </w:lvl>
  </w:abstractNum>
  <w:abstractNum w:abstractNumId="10" w15:restartNumberingAfterBreak="0">
    <w:nsid w:val="39263805"/>
    <w:multiLevelType w:val="hybridMultilevel"/>
    <w:tmpl w:val="CF580928"/>
    <w:lvl w:ilvl="0" w:tplc="0C0A000F">
      <w:start w:val="1"/>
      <w:numFmt w:val="decimal"/>
      <w:lvlText w:val="%1."/>
      <w:lvlJc w:val="left"/>
      <w:pPr>
        <w:ind w:left="2460" w:hanging="360"/>
      </w:pPr>
      <w:rPr>
        <w:rFonts w:cs="Times New Roman" w:hint="default"/>
      </w:rPr>
    </w:lvl>
    <w:lvl w:ilvl="1" w:tplc="0C0A0019" w:tentative="1">
      <w:start w:val="1"/>
      <w:numFmt w:val="lowerLetter"/>
      <w:lvlText w:val="%2."/>
      <w:lvlJc w:val="left"/>
      <w:pPr>
        <w:ind w:left="3180" w:hanging="360"/>
      </w:pPr>
      <w:rPr>
        <w:rFonts w:cs="Times New Roman"/>
      </w:rPr>
    </w:lvl>
    <w:lvl w:ilvl="2" w:tplc="0C0A001B" w:tentative="1">
      <w:start w:val="1"/>
      <w:numFmt w:val="lowerRoman"/>
      <w:lvlText w:val="%3."/>
      <w:lvlJc w:val="right"/>
      <w:pPr>
        <w:ind w:left="3900" w:hanging="180"/>
      </w:pPr>
      <w:rPr>
        <w:rFonts w:cs="Times New Roman"/>
      </w:rPr>
    </w:lvl>
    <w:lvl w:ilvl="3" w:tplc="0C0A000F" w:tentative="1">
      <w:start w:val="1"/>
      <w:numFmt w:val="decimal"/>
      <w:lvlText w:val="%4."/>
      <w:lvlJc w:val="left"/>
      <w:pPr>
        <w:ind w:left="4620" w:hanging="360"/>
      </w:pPr>
      <w:rPr>
        <w:rFonts w:cs="Times New Roman"/>
      </w:rPr>
    </w:lvl>
    <w:lvl w:ilvl="4" w:tplc="0C0A0019" w:tentative="1">
      <w:start w:val="1"/>
      <w:numFmt w:val="lowerLetter"/>
      <w:lvlText w:val="%5."/>
      <w:lvlJc w:val="left"/>
      <w:pPr>
        <w:ind w:left="5340" w:hanging="360"/>
      </w:pPr>
      <w:rPr>
        <w:rFonts w:cs="Times New Roman"/>
      </w:rPr>
    </w:lvl>
    <w:lvl w:ilvl="5" w:tplc="0C0A001B" w:tentative="1">
      <w:start w:val="1"/>
      <w:numFmt w:val="lowerRoman"/>
      <w:lvlText w:val="%6."/>
      <w:lvlJc w:val="right"/>
      <w:pPr>
        <w:ind w:left="6060" w:hanging="180"/>
      </w:pPr>
      <w:rPr>
        <w:rFonts w:cs="Times New Roman"/>
      </w:rPr>
    </w:lvl>
    <w:lvl w:ilvl="6" w:tplc="0C0A000F" w:tentative="1">
      <w:start w:val="1"/>
      <w:numFmt w:val="decimal"/>
      <w:lvlText w:val="%7."/>
      <w:lvlJc w:val="left"/>
      <w:pPr>
        <w:ind w:left="6780" w:hanging="360"/>
      </w:pPr>
      <w:rPr>
        <w:rFonts w:cs="Times New Roman"/>
      </w:rPr>
    </w:lvl>
    <w:lvl w:ilvl="7" w:tplc="0C0A0019" w:tentative="1">
      <w:start w:val="1"/>
      <w:numFmt w:val="lowerLetter"/>
      <w:lvlText w:val="%8."/>
      <w:lvlJc w:val="left"/>
      <w:pPr>
        <w:ind w:left="7500" w:hanging="360"/>
      </w:pPr>
      <w:rPr>
        <w:rFonts w:cs="Times New Roman"/>
      </w:rPr>
    </w:lvl>
    <w:lvl w:ilvl="8" w:tplc="0C0A001B" w:tentative="1">
      <w:start w:val="1"/>
      <w:numFmt w:val="lowerRoman"/>
      <w:lvlText w:val="%9."/>
      <w:lvlJc w:val="right"/>
      <w:pPr>
        <w:ind w:left="8220" w:hanging="180"/>
      </w:pPr>
      <w:rPr>
        <w:rFonts w:cs="Times New Roman"/>
      </w:rPr>
    </w:lvl>
  </w:abstractNum>
  <w:abstractNum w:abstractNumId="1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hint="default"/>
        <w:sz w:val="14"/>
      </w:rPr>
    </w:lvl>
    <w:lvl w:ilvl="1" w:tplc="08090003">
      <w:start w:val="1"/>
      <w:numFmt w:val="bullet"/>
      <w:lvlText w:val="o"/>
      <w:lvlJc w:val="left"/>
      <w:pPr>
        <w:ind w:left="4003" w:hanging="360"/>
      </w:pPr>
      <w:rPr>
        <w:rFonts w:ascii="Courier New" w:hAnsi="Courier New" w:hint="default"/>
      </w:rPr>
    </w:lvl>
    <w:lvl w:ilvl="2" w:tplc="08090005">
      <w:start w:val="1"/>
      <w:numFmt w:val="bullet"/>
      <w:lvlText w:val=""/>
      <w:lvlJc w:val="left"/>
      <w:pPr>
        <w:ind w:left="4723" w:hanging="360"/>
      </w:pPr>
      <w:rPr>
        <w:rFonts w:ascii="Wingdings" w:hAnsi="Wingdings" w:hint="default"/>
      </w:rPr>
    </w:lvl>
    <w:lvl w:ilvl="3" w:tplc="08090001">
      <w:start w:val="1"/>
      <w:numFmt w:val="bullet"/>
      <w:lvlText w:val=""/>
      <w:lvlJc w:val="left"/>
      <w:pPr>
        <w:ind w:left="5443" w:hanging="360"/>
      </w:pPr>
      <w:rPr>
        <w:rFonts w:ascii="Symbol" w:hAnsi="Symbol" w:hint="default"/>
      </w:rPr>
    </w:lvl>
    <w:lvl w:ilvl="4" w:tplc="08090003">
      <w:start w:val="1"/>
      <w:numFmt w:val="bullet"/>
      <w:lvlText w:val="o"/>
      <w:lvlJc w:val="left"/>
      <w:pPr>
        <w:ind w:left="6163" w:hanging="360"/>
      </w:pPr>
      <w:rPr>
        <w:rFonts w:ascii="Courier New" w:hAnsi="Courier New" w:hint="default"/>
      </w:rPr>
    </w:lvl>
    <w:lvl w:ilvl="5" w:tplc="08090005">
      <w:start w:val="1"/>
      <w:numFmt w:val="bullet"/>
      <w:lvlText w:val=""/>
      <w:lvlJc w:val="left"/>
      <w:pPr>
        <w:ind w:left="6883" w:hanging="360"/>
      </w:pPr>
      <w:rPr>
        <w:rFonts w:ascii="Wingdings" w:hAnsi="Wingdings" w:hint="default"/>
      </w:rPr>
    </w:lvl>
    <w:lvl w:ilvl="6" w:tplc="08090001">
      <w:start w:val="1"/>
      <w:numFmt w:val="bullet"/>
      <w:lvlText w:val=""/>
      <w:lvlJc w:val="left"/>
      <w:pPr>
        <w:ind w:left="7603" w:hanging="360"/>
      </w:pPr>
      <w:rPr>
        <w:rFonts w:ascii="Symbol" w:hAnsi="Symbol" w:hint="default"/>
      </w:rPr>
    </w:lvl>
    <w:lvl w:ilvl="7" w:tplc="08090003">
      <w:start w:val="1"/>
      <w:numFmt w:val="bullet"/>
      <w:lvlText w:val="o"/>
      <w:lvlJc w:val="left"/>
      <w:pPr>
        <w:ind w:left="8323" w:hanging="360"/>
      </w:pPr>
      <w:rPr>
        <w:rFonts w:ascii="Courier New" w:hAnsi="Courier New" w:hint="default"/>
      </w:rPr>
    </w:lvl>
    <w:lvl w:ilvl="8" w:tplc="08090005">
      <w:start w:val="1"/>
      <w:numFmt w:val="bullet"/>
      <w:lvlText w:val=""/>
      <w:lvlJc w:val="left"/>
      <w:pPr>
        <w:ind w:left="9043" w:hanging="360"/>
      </w:pPr>
      <w:rPr>
        <w:rFonts w:ascii="Wingdings" w:hAnsi="Wingdings" w:hint="default"/>
      </w:rPr>
    </w:lvl>
  </w:abstractNum>
  <w:abstractNum w:abstractNumId="12" w15:restartNumberingAfterBreak="0">
    <w:nsid w:val="3DBF0852"/>
    <w:multiLevelType w:val="hybridMultilevel"/>
    <w:tmpl w:val="C27A695E"/>
    <w:lvl w:ilvl="0" w:tplc="64C8DA10">
      <w:start w:val="1"/>
      <w:numFmt w:val="decimal"/>
      <w:lvlText w:val="%1"/>
      <w:lvlJc w:val="left"/>
      <w:pPr>
        <w:ind w:left="2460" w:hanging="360"/>
      </w:pPr>
      <w:rPr>
        <w:rFonts w:cs="Times New Roman" w:hint="default"/>
      </w:rPr>
    </w:lvl>
    <w:lvl w:ilvl="1" w:tplc="0C0A0019" w:tentative="1">
      <w:start w:val="1"/>
      <w:numFmt w:val="lowerLetter"/>
      <w:lvlText w:val="%2."/>
      <w:lvlJc w:val="left"/>
      <w:pPr>
        <w:ind w:left="3180" w:hanging="360"/>
      </w:pPr>
      <w:rPr>
        <w:rFonts w:cs="Times New Roman"/>
      </w:rPr>
    </w:lvl>
    <w:lvl w:ilvl="2" w:tplc="0C0A001B" w:tentative="1">
      <w:start w:val="1"/>
      <w:numFmt w:val="lowerRoman"/>
      <w:lvlText w:val="%3."/>
      <w:lvlJc w:val="right"/>
      <w:pPr>
        <w:ind w:left="3900" w:hanging="180"/>
      </w:pPr>
      <w:rPr>
        <w:rFonts w:cs="Times New Roman"/>
      </w:rPr>
    </w:lvl>
    <w:lvl w:ilvl="3" w:tplc="0C0A000F" w:tentative="1">
      <w:start w:val="1"/>
      <w:numFmt w:val="decimal"/>
      <w:lvlText w:val="%4."/>
      <w:lvlJc w:val="left"/>
      <w:pPr>
        <w:ind w:left="4620" w:hanging="360"/>
      </w:pPr>
      <w:rPr>
        <w:rFonts w:cs="Times New Roman"/>
      </w:rPr>
    </w:lvl>
    <w:lvl w:ilvl="4" w:tplc="0C0A0019" w:tentative="1">
      <w:start w:val="1"/>
      <w:numFmt w:val="lowerLetter"/>
      <w:lvlText w:val="%5."/>
      <w:lvlJc w:val="left"/>
      <w:pPr>
        <w:ind w:left="5340" w:hanging="360"/>
      </w:pPr>
      <w:rPr>
        <w:rFonts w:cs="Times New Roman"/>
      </w:rPr>
    </w:lvl>
    <w:lvl w:ilvl="5" w:tplc="0C0A001B" w:tentative="1">
      <w:start w:val="1"/>
      <w:numFmt w:val="lowerRoman"/>
      <w:lvlText w:val="%6."/>
      <w:lvlJc w:val="right"/>
      <w:pPr>
        <w:ind w:left="6060" w:hanging="180"/>
      </w:pPr>
      <w:rPr>
        <w:rFonts w:cs="Times New Roman"/>
      </w:rPr>
    </w:lvl>
    <w:lvl w:ilvl="6" w:tplc="0C0A000F" w:tentative="1">
      <w:start w:val="1"/>
      <w:numFmt w:val="decimal"/>
      <w:lvlText w:val="%7."/>
      <w:lvlJc w:val="left"/>
      <w:pPr>
        <w:ind w:left="6780" w:hanging="360"/>
      </w:pPr>
      <w:rPr>
        <w:rFonts w:cs="Times New Roman"/>
      </w:rPr>
    </w:lvl>
    <w:lvl w:ilvl="7" w:tplc="0C0A0019" w:tentative="1">
      <w:start w:val="1"/>
      <w:numFmt w:val="lowerLetter"/>
      <w:lvlText w:val="%8."/>
      <w:lvlJc w:val="left"/>
      <w:pPr>
        <w:ind w:left="7500" w:hanging="360"/>
      </w:pPr>
      <w:rPr>
        <w:rFonts w:cs="Times New Roman"/>
      </w:rPr>
    </w:lvl>
    <w:lvl w:ilvl="8" w:tplc="0C0A001B" w:tentative="1">
      <w:start w:val="1"/>
      <w:numFmt w:val="lowerRoman"/>
      <w:lvlText w:val="%9."/>
      <w:lvlJc w:val="right"/>
      <w:pPr>
        <w:ind w:left="8220" w:hanging="180"/>
      </w:pPr>
      <w:rPr>
        <w:rFonts w:cs="Times New Roman"/>
      </w:rPr>
    </w:lvl>
  </w:abstractNum>
  <w:abstractNum w:abstractNumId="13" w15:restartNumberingAfterBreak="0">
    <w:nsid w:val="426B38DA"/>
    <w:multiLevelType w:val="hybridMultilevel"/>
    <w:tmpl w:val="F8428662"/>
    <w:lvl w:ilvl="0" w:tplc="EBDE3312">
      <w:start w:val="1"/>
      <w:numFmt w:val="decimal"/>
      <w:lvlText w:val="%1."/>
      <w:lvlJc w:val="left"/>
      <w:pPr>
        <w:ind w:left="1987" w:hanging="360"/>
      </w:pPr>
      <w:rPr>
        <w:rFonts w:cs="Times New Roman"/>
        <w:b w:val="0"/>
        <w:i w:val="0"/>
      </w:rPr>
    </w:lvl>
    <w:lvl w:ilvl="1" w:tplc="0C0A0019" w:tentative="1">
      <w:start w:val="1"/>
      <w:numFmt w:val="lowerLetter"/>
      <w:lvlText w:val="%2."/>
      <w:lvlJc w:val="left"/>
      <w:pPr>
        <w:ind w:left="2707" w:hanging="360"/>
      </w:pPr>
      <w:rPr>
        <w:rFonts w:cs="Times New Roman"/>
      </w:rPr>
    </w:lvl>
    <w:lvl w:ilvl="2" w:tplc="0C0A001B" w:tentative="1">
      <w:start w:val="1"/>
      <w:numFmt w:val="lowerRoman"/>
      <w:lvlText w:val="%3."/>
      <w:lvlJc w:val="right"/>
      <w:pPr>
        <w:ind w:left="3427" w:hanging="180"/>
      </w:pPr>
      <w:rPr>
        <w:rFonts w:cs="Times New Roman"/>
      </w:rPr>
    </w:lvl>
    <w:lvl w:ilvl="3" w:tplc="0C0A000F" w:tentative="1">
      <w:start w:val="1"/>
      <w:numFmt w:val="decimal"/>
      <w:lvlText w:val="%4."/>
      <w:lvlJc w:val="left"/>
      <w:pPr>
        <w:ind w:left="4147" w:hanging="360"/>
      </w:pPr>
      <w:rPr>
        <w:rFonts w:cs="Times New Roman"/>
      </w:rPr>
    </w:lvl>
    <w:lvl w:ilvl="4" w:tplc="0C0A0019" w:tentative="1">
      <w:start w:val="1"/>
      <w:numFmt w:val="lowerLetter"/>
      <w:lvlText w:val="%5."/>
      <w:lvlJc w:val="left"/>
      <w:pPr>
        <w:ind w:left="4867" w:hanging="360"/>
      </w:pPr>
      <w:rPr>
        <w:rFonts w:cs="Times New Roman"/>
      </w:rPr>
    </w:lvl>
    <w:lvl w:ilvl="5" w:tplc="0C0A001B" w:tentative="1">
      <w:start w:val="1"/>
      <w:numFmt w:val="lowerRoman"/>
      <w:lvlText w:val="%6."/>
      <w:lvlJc w:val="right"/>
      <w:pPr>
        <w:ind w:left="5587" w:hanging="180"/>
      </w:pPr>
      <w:rPr>
        <w:rFonts w:cs="Times New Roman"/>
      </w:rPr>
    </w:lvl>
    <w:lvl w:ilvl="6" w:tplc="0C0A000F" w:tentative="1">
      <w:start w:val="1"/>
      <w:numFmt w:val="decimal"/>
      <w:lvlText w:val="%7."/>
      <w:lvlJc w:val="left"/>
      <w:pPr>
        <w:ind w:left="6307" w:hanging="360"/>
      </w:pPr>
      <w:rPr>
        <w:rFonts w:cs="Times New Roman"/>
      </w:rPr>
    </w:lvl>
    <w:lvl w:ilvl="7" w:tplc="0C0A0019" w:tentative="1">
      <w:start w:val="1"/>
      <w:numFmt w:val="lowerLetter"/>
      <w:lvlText w:val="%8."/>
      <w:lvlJc w:val="left"/>
      <w:pPr>
        <w:ind w:left="7027" w:hanging="360"/>
      </w:pPr>
      <w:rPr>
        <w:rFonts w:cs="Times New Roman"/>
      </w:rPr>
    </w:lvl>
    <w:lvl w:ilvl="8" w:tplc="0C0A001B" w:tentative="1">
      <w:start w:val="1"/>
      <w:numFmt w:val="lowerRoman"/>
      <w:lvlText w:val="%9."/>
      <w:lvlJc w:val="right"/>
      <w:pPr>
        <w:ind w:left="7747" w:hanging="180"/>
      </w:pPr>
      <w:rPr>
        <w:rFonts w:cs="Times New Roman"/>
      </w:rPr>
    </w:lvl>
  </w:abstractNum>
  <w:abstractNum w:abstractNumId="14" w15:restartNumberingAfterBreak="0">
    <w:nsid w:val="4AF00D84"/>
    <w:multiLevelType w:val="hybridMultilevel"/>
    <w:tmpl w:val="8A9AB0EC"/>
    <w:lvl w:ilvl="0" w:tplc="0D26C9FA">
      <w:start w:val="1"/>
      <w:numFmt w:val="decimal"/>
      <w:lvlText w:val="%1."/>
      <w:lvlJc w:val="left"/>
      <w:pPr>
        <w:ind w:left="2268"/>
      </w:pPr>
      <w:rPr>
        <w:rFonts w:cs="Times New Roman" w:hint="default"/>
        <w:b w:val="0"/>
      </w:rPr>
    </w:lvl>
    <w:lvl w:ilvl="1" w:tplc="04090019" w:tentative="1">
      <w:start w:val="1"/>
      <w:numFmt w:val="lowerLetter"/>
      <w:lvlText w:val="%2."/>
      <w:lvlJc w:val="left"/>
      <w:pPr>
        <w:ind w:left="2574" w:hanging="360"/>
      </w:pPr>
      <w:rPr>
        <w:rFonts w:cs="Times New Roman"/>
      </w:rPr>
    </w:lvl>
    <w:lvl w:ilvl="2" w:tplc="E56C0CB2">
      <w:start w:val="1"/>
      <w:numFmt w:val="decimal"/>
      <w:lvlText w:val="%3."/>
      <w:lvlJc w:val="left"/>
      <w:pPr>
        <w:ind w:left="1134"/>
      </w:pPr>
      <w:rPr>
        <w:rFonts w:cs="Times New Roman" w:hint="default"/>
        <w:b w:val="0"/>
        <w:i w:val="0"/>
      </w:rPr>
    </w:lvl>
    <w:lvl w:ilvl="3" w:tplc="0409000F" w:tentative="1">
      <w:start w:val="1"/>
      <w:numFmt w:val="decimal"/>
      <w:lvlText w:val="%4."/>
      <w:lvlJc w:val="left"/>
      <w:pPr>
        <w:ind w:left="4014" w:hanging="360"/>
      </w:pPr>
      <w:rPr>
        <w:rFonts w:cs="Times New Roman"/>
      </w:rPr>
    </w:lvl>
    <w:lvl w:ilvl="4" w:tplc="04090019" w:tentative="1">
      <w:start w:val="1"/>
      <w:numFmt w:val="lowerLetter"/>
      <w:lvlText w:val="%5."/>
      <w:lvlJc w:val="left"/>
      <w:pPr>
        <w:ind w:left="4734" w:hanging="360"/>
      </w:pPr>
      <w:rPr>
        <w:rFonts w:cs="Times New Roman"/>
      </w:rPr>
    </w:lvl>
    <w:lvl w:ilvl="5" w:tplc="0409001B" w:tentative="1">
      <w:start w:val="1"/>
      <w:numFmt w:val="lowerRoman"/>
      <w:lvlText w:val="%6."/>
      <w:lvlJc w:val="right"/>
      <w:pPr>
        <w:ind w:left="5454" w:hanging="180"/>
      </w:pPr>
      <w:rPr>
        <w:rFonts w:cs="Times New Roman"/>
      </w:rPr>
    </w:lvl>
    <w:lvl w:ilvl="6" w:tplc="0409000F" w:tentative="1">
      <w:start w:val="1"/>
      <w:numFmt w:val="decimal"/>
      <w:lvlText w:val="%7."/>
      <w:lvlJc w:val="left"/>
      <w:pPr>
        <w:ind w:left="6174" w:hanging="360"/>
      </w:pPr>
      <w:rPr>
        <w:rFonts w:cs="Times New Roman"/>
      </w:rPr>
    </w:lvl>
    <w:lvl w:ilvl="7" w:tplc="04090019" w:tentative="1">
      <w:start w:val="1"/>
      <w:numFmt w:val="lowerLetter"/>
      <w:lvlText w:val="%8."/>
      <w:lvlJc w:val="left"/>
      <w:pPr>
        <w:ind w:left="6894" w:hanging="360"/>
      </w:pPr>
      <w:rPr>
        <w:rFonts w:cs="Times New Roman"/>
      </w:rPr>
    </w:lvl>
    <w:lvl w:ilvl="8" w:tplc="0409001B" w:tentative="1">
      <w:start w:val="1"/>
      <w:numFmt w:val="lowerRoman"/>
      <w:lvlText w:val="%9."/>
      <w:lvlJc w:val="right"/>
      <w:pPr>
        <w:ind w:left="7614" w:hanging="180"/>
      </w:pPr>
      <w:rPr>
        <w:rFonts w:cs="Times New Roman"/>
      </w:rPr>
    </w:lvl>
  </w:abstractNum>
  <w:abstractNum w:abstractNumId="15" w15:restartNumberingAfterBreak="0">
    <w:nsid w:val="4F414453"/>
    <w:multiLevelType w:val="hybridMultilevel"/>
    <w:tmpl w:val="CF580928"/>
    <w:lvl w:ilvl="0" w:tplc="0C0A000F">
      <w:start w:val="1"/>
      <w:numFmt w:val="decimal"/>
      <w:lvlText w:val="%1."/>
      <w:lvlJc w:val="left"/>
      <w:pPr>
        <w:ind w:left="2460" w:hanging="360"/>
      </w:pPr>
      <w:rPr>
        <w:rFonts w:cs="Times New Roman" w:hint="default"/>
      </w:rPr>
    </w:lvl>
    <w:lvl w:ilvl="1" w:tplc="0C0A0019" w:tentative="1">
      <w:start w:val="1"/>
      <w:numFmt w:val="lowerLetter"/>
      <w:lvlText w:val="%2."/>
      <w:lvlJc w:val="left"/>
      <w:pPr>
        <w:ind w:left="3180" w:hanging="360"/>
      </w:pPr>
      <w:rPr>
        <w:rFonts w:cs="Times New Roman"/>
      </w:rPr>
    </w:lvl>
    <w:lvl w:ilvl="2" w:tplc="0C0A001B" w:tentative="1">
      <w:start w:val="1"/>
      <w:numFmt w:val="lowerRoman"/>
      <w:lvlText w:val="%3."/>
      <w:lvlJc w:val="right"/>
      <w:pPr>
        <w:ind w:left="3900" w:hanging="180"/>
      </w:pPr>
      <w:rPr>
        <w:rFonts w:cs="Times New Roman"/>
      </w:rPr>
    </w:lvl>
    <w:lvl w:ilvl="3" w:tplc="0C0A000F" w:tentative="1">
      <w:start w:val="1"/>
      <w:numFmt w:val="decimal"/>
      <w:lvlText w:val="%4."/>
      <w:lvlJc w:val="left"/>
      <w:pPr>
        <w:ind w:left="4620" w:hanging="360"/>
      </w:pPr>
      <w:rPr>
        <w:rFonts w:cs="Times New Roman"/>
      </w:rPr>
    </w:lvl>
    <w:lvl w:ilvl="4" w:tplc="0C0A0019" w:tentative="1">
      <w:start w:val="1"/>
      <w:numFmt w:val="lowerLetter"/>
      <w:lvlText w:val="%5."/>
      <w:lvlJc w:val="left"/>
      <w:pPr>
        <w:ind w:left="5340" w:hanging="360"/>
      </w:pPr>
      <w:rPr>
        <w:rFonts w:cs="Times New Roman"/>
      </w:rPr>
    </w:lvl>
    <w:lvl w:ilvl="5" w:tplc="0C0A001B" w:tentative="1">
      <w:start w:val="1"/>
      <w:numFmt w:val="lowerRoman"/>
      <w:lvlText w:val="%6."/>
      <w:lvlJc w:val="right"/>
      <w:pPr>
        <w:ind w:left="6060" w:hanging="180"/>
      </w:pPr>
      <w:rPr>
        <w:rFonts w:cs="Times New Roman"/>
      </w:rPr>
    </w:lvl>
    <w:lvl w:ilvl="6" w:tplc="0C0A000F" w:tentative="1">
      <w:start w:val="1"/>
      <w:numFmt w:val="decimal"/>
      <w:lvlText w:val="%7."/>
      <w:lvlJc w:val="left"/>
      <w:pPr>
        <w:ind w:left="6780" w:hanging="360"/>
      </w:pPr>
      <w:rPr>
        <w:rFonts w:cs="Times New Roman"/>
      </w:rPr>
    </w:lvl>
    <w:lvl w:ilvl="7" w:tplc="0C0A0019" w:tentative="1">
      <w:start w:val="1"/>
      <w:numFmt w:val="lowerLetter"/>
      <w:lvlText w:val="%8."/>
      <w:lvlJc w:val="left"/>
      <w:pPr>
        <w:ind w:left="7500" w:hanging="360"/>
      </w:pPr>
      <w:rPr>
        <w:rFonts w:cs="Times New Roman"/>
      </w:rPr>
    </w:lvl>
    <w:lvl w:ilvl="8" w:tplc="0C0A001B" w:tentative="1">
      <w:start w:val="1"/>
      <w:numFmt w:val="lowerRoman"/>
      <w:lvlText w:val="%9."/>
      <w:lvlJc w:val="right"/>
      <w:pPr>
        <w:ind w:left="8220" w:hanging="180"/>
      </w:pPr>
      <w:rPr>
        <w:rFonts w:cs="Times New Roman"/>
      </w:rPr>
    </w:lvl>
  </w:abstractNum>
  <w:abstractNum w:abstractNumId="16" w15:restartNumberingAfterBreak="0">
    <w:nsid w:val="4FC61EC7"/>
    <w:multiLevelType w:val="hybridMultilevel"/>
    <w:tmpl w:val="C7441142"/>
    <w:lvl w:ilvl="0" w:tplc="395833DC">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7" w15:restartNumberingAfterBreak="0">
    <w:nsid w:val="53E417AC"/>
    <w:multiLevelType w:val="hybridMultilevel"/>
    <w:tmpl w:val="CF580928"/>
    <w:lvl w:ilvl="0" w:tplc="0C0A000F">
      <w:start w:val="1"/>
      <w:numFmt w:val="decimal"/>
      <w:lvlText w:val="%1."/>
      <w:lvlJc w:val="left"/>
      <w:pPr>
        <w:ind w:left="2460" w:hanging="360"/>
      </w:pPr>
      <w:rPr>
        <w:rFonts w:cs="Times New Roman" w:hint="default"/>
      </w:rPr>
    </w:lvl>
    <w:lvl w:ilvl="1" w:tplc="0C0A0019" w:tentative="1">
      <w:start w:val="1"/>
      <w:numFmt w:val="lowerLetter"/>
      <w:lvlText w:val="%2."/>
      <w:lvlJc w:val="left"/>
      <w:pPr>
        <w:ind w:left="3180" w:hanging="360"/>
      </w:pPr>
      <w:rPr>
        <w:rFonts w:cs="Times New Roman"/>
      </w:rPr>
    </w:lvl>
    <w:lvl w:ilvl="2" w:tplc="0C0A001B" w:tentative="1">
      <w:start w:val="1"/>
      <w:numFmt w:val="lowerRoman"/>
      <w:lvlText w:val="%3."/>
      <w:lvlJc w:val="right"/>
      <w:pPr>
        <w:ind w:left="3900" w:hanging="180"/>
      </w:pPr>
      <w:rPr>
        <w:rFonts w:cs="Times New Roman"/>
      </w:rPr>
    </w:lvl>
    <w:lvl w:ilvl="3" w:tplc="0C0A000F" w:tentative="1">
      <w:start w:val="1"/>
      <w:numFmt w:val="decimal"/>
      <w:lvlText w:val="%4."/>
      <w:lvlJc w:val="left"/>
      <w:pPr>
        <w:ind w:left="4620" w:hanging="360"/>
      </w:pPr>
      <w:rPr>
        <w:rFonts w:cs="Times New Roman"/>
      </w:rPr>
    </w:lvl>
    <w:lvl w:ilvl="4" w:tplc="0C0A0019" w:tentative="1">
      <w:start w:val="1"/>
      <w:numFmt w:val="lowerLetter"/>
      <w:lvlText w:val="%5."/>
      <w:lvlJc w:val="left"/>
      <w:pPr>
        <w:ind w:left="5340" w:hanging="360"/>
      </w:pPr>
      <w:rPr>
        <w:rFonts w:cs="Times New Roman"/>
      </w:rPr>
    </w:lvl>
    <w:lvl w:ilvl="5" w:tplc="0C0A001B" w:tentative="1">
      <w:start w:val="1"/>
      <w:numFmt w:val="lowerRoman"/>
      <w:lvlText w:val="%6."/>
      <w:lvlJc w:val="right"/>
      <w:pPr>
        <w:ind w:left="6060" w:hanging="180"/>
      </w:pPr>
      <w:rPr>
        <w:rFonts w:cs="Times New Roman"/>
      </w:rPr>
    </w:lvl>
    <w:lvl w:ilvl="6" w:tplc="0C0A000F" w:tentative="1">
      <w:start w:val="1"/>
      <w:numFmt w:val="decimal"/>
      <w:lvlText w:val="%7."/>
      <w:lvlJc w:val="left"/>
      <w:pPr>
        <w:ind w:left="6780" w:hanging="360"/>
      </w:pPr>
      <w:rPr>
        <w:rFonts w:cs="Times New Roman"/>
      </w:rPr>
    </w:lvl>
    <w:lvl w:ilvl="7" w:tplc="0C0A0019" w:tentative="1">
      <w:start w:val="1"/>
      <w:numFmt w:val="lowerLetter"/>
      <w:lvlText w:val="%8."/>
      <w:lvlJc w:val="left"/>
      <w:pPr>
        <w:ind w:left="7500" w:hanging="360"/>
      </w:pPr>
      <w:rPr>
        <w:rFonts w:cs="Times New Roman"/>
      </w:rPr>
    </w:lvl>
    <w:lvl w:ilvl="8" w:tplc="0C0A001B" w:tentative="1">
      <w:start w:val="1"/>
      <w:numFmt w:val="lowerRoman"/>
      <w:lvlText w:val="%9."/>
      <w:lvlJc w:val="right"/>
      <w:pPr>
        <w:ind w:left="8220" w:hanging="180"/>
      </w:pPr>
      <w:rPr>
        <w:rFonts w:cs="Times New Roman"/>
      </w:rPr>
    </w:lvl>
  </w:abstractNum>
  <w:abstractNum w:abstractNumId="18" w15:restartNumberingAfterBreak="0">
    <w:nsid w:val="5893510D"/>
    <w:multiLevelType w:val="hybridMultilevel"/>
    <w:tmpl w:val="A404C4C4"/>
    <w:lvl w:ilvl="0" w:tplc="E2625DE6">
      <w:start w:val="1"/>
      <w:numFmt w:val="decimal"/>
      <w:lvlText w:val="%1."/>
      <w:lvlJc w:val="left"/>
      <w:pPr>
        <w:ind w:left="1747" w:hanging="480"/>
      </w:pPr>
      <w:rPr>
        <w:rFonts w:cs="Times New Roman" w:hint="default"/>
      </w:rPr>
    </w:lvl>
    <w:lvl w:ilvl="1" w:tplc="0C0A0019" w:tentative="1">
      <w:start w:val="1"/>
      <w:numFmt w:val="lowerLetter"/>
      <w:lvlText w:val="%2."/>
      <w:lvlJc w:val="left"/>
      <w:pPr>
        <w:ind w:left="2347" w:hanging="360"/>
      </w:pPr>
      <w:rPr>
        <w:rFonts w:cs="Times New Roman"/>
      </w:rPr>
    </w:lvl>
    <w:lvl w:ilvl="2" w:tplc="0C0A001B" w:tentative="1">
      <w:start w:val="1"/>
      <w:numFmt w:val="lowerRoman"/>
      <w:lvlText w:val="%3."/>
      <w:lvlJc w:val="right"/>
      <w:pPr>
        <w:ind w:left="3067" w:hanging="180"/>
      </w:pPr>
      <w:rPr>
        <w:rFonts w:cs="Times New Roman"/>
      </w:rPr>
    </w:lvl>
    <w:lvl w:ilvl="3" w:tplc="0C0A000F" w:tentative="1">
      <w:start w:val="1"/>
      <w:numFmt w:val="decimal"/>
      <w:lvlText w:val="%4."/>
      <w:lvlJc w:val="left"/>
      <w:pPr>
        <w:ind w:left="3787" w:hanging="360"/>
      </w:pPr>
      <w:rPr>
        <w:rFonts w:cs="Times New Roman"/>
      </w:rPr>
    </w:lvl>
    <w:lvl w:ilvl="4" w:tplc="0C0A0019" w:tentative="1">
      <w:start w:val="1"/>
      <w:numFmt w:val="lowerLetter"/>
      <w:lvlText w:val="%5."/>
      <w:lvlJc w:val="left"/>
      <w:pPr>
        <w:ind w:left="4507" w:hanging="360"/>
      </w:pPr>
      <w:rPr>
        <w:rFonts w:cs="Times New Roman"/>
      </w:rPr>
    </w:lvl>
    <w:lvl w:ilvl="5" w:tplc="0C0A001B" w:tentative="1">
      <w:start w:val="1"/>
      <w:numFmt w:val="lowerRoman"/>
      <w:lvlText w:val="%6."/>
      <w:lvlJc w:val="right"/>
      <w:pPr>
        <w:ind w:left="5227" w:hanging="180"/>
      </w:pPr>
      <w:rPr>
        <w:rFonts w:cs="Times New Roman"/>
      </w:rPr>
    </w:lvl>
    <w:lvl w:ilvl="6" w:tplc="0C0A000F" w:tentative="1">
      <w:start w:val="1"/>
      <w:numFmt w:val="decimal"/>
      <w:lvlText w:val="%7."/>
      <w:lvlJc w:val="left"/>
      <w:pPr>
        <w:ind w:left="5947" w:hanging="360"/>
      </w:pPr>
      <w:rPr>
        <w:rFonts w:cs="Times New Roman"/>
      </w:rPr>
    </w:lvl>
    <w:lvl w:ilvl="7" w:tplc="0C0A0019" w:tentative="1">
      <w:start w:val="1"/>
      <w:numFmt w:val="lowerLetter"/>
      <w:lvlText w:val="%8."/>
      <w:lvlJc w:val="left"/>
      <w:pPr>
        <w:ind w:left="6667" w:hanging="360"/>
      </w:pPr>
      <w:rPr>
        <w:rFonts w:cs="Times New Roman"/>
      </w:rPr>
    </w:lvl>
    <w:lvl w:ilvl="8" w:tplc="0C0A001B" w:tentative="1">
      <w:start w:val="1"/>
      <w:numFmt w:val="lowerRoman"/>
      <w:lvlText w:val="%9."/>
      <w:lvlJc w:val="right"/>
      <w:pPr>
        <w:ind w:left="7387" w:hanging="180"/>
      </w:pPr>
      <w:rPr>
        <w:rFonts w:cs="Times New Roman"/>
      </w:rPr>
    </w:lvl>
  </w:abstractNum>
  <w:abstractNum w:abstractNumId="19" w15:restartNumberingAfterBreak="0">
    <w:nsid w:val="60990A32"/>
    <w:multiLevelType w:val="hybridMultilevel"/>
    <w:tmpl w:val="CF580928"/>
    <w:lvl w:ilvl="0" w:tplc="0C0A000F">
      <w:start w:val="1"/>
      <w:numFmt w:val="decimal"/>
      <w:lvlText w:val="%1."/>
      <w:lvlJc w:val="left"/>
      <w:pPr>
        <w:ind w:left="2460" w:hanging="360"/>
      </w:pPr>
      <w:rPr>
        <w:rFonts w:cs="Times New Roman" w:hint="default"/>
      </w:rPr>
    </w:lvl>
    <w:lvl w:ilvl="1" w:tplc="0C0A0019" w:tentative="1">
      <w:start w:val="1"/>
      <w:numFmt w:val="lowerLetter"/>
      <w:lvlText w:val="%2."/>
      <w:lvlJc w:val="left"/>
      <w:pPr>
        <w:ind w:left="3180" w:hanging="360"/>
      </w:pPr>
      <w:rPr>
        <w:rFonts w:cs="Times New Roman"/>
      </w:rPr>
    </w:lvl>
    <w:lvl w:ilvl="2" w:tplc="0C0A001B" w:tentative="1">
      <w:start w:val="1"/>
      <w:numFmt w:val="lowerRoman"/>
      <w:lvlText w:val="%3."/>
      <w:lvlJc w:val="right"/>
      <w:pPr>
        <w:ind w:left="3900" w:hanging="180"/>
      </w:pPr>
      <w:rPr>
        <w:rFonts w:cs="Times New Roman"/>
      </w:rPr>
    </w:lvl>
    <w:lvl w:ilvl="3" w:tplc="0C0A000F" w:tentative="1">
      <w:start w:val="1"/>
      <w:numFmt w:val="decimal"/>
      <w:lvlText w:val="%4."/>
      <w:lvlJc w:val="left"/>
      <w:pPr>
        <w:ind w:left="4620" w:hanging="360"/>
      </w:pPr>
      <w:rPr>
        <w:rFonts w:cs="Times New Roman"/>
      </w:rPr>
    </w:lvl>
    <w:lvl w:ilvl="4" w:tplc="0C0A0019" w:tentative="1">
      <w:start w:val="1"/>
      <w:numFmt w:val="lowerLetter"/>
      <w:lvlText w:val="%5."/>
      <w:lvlJc w:val="left"/>
      <w:pPr>
        <w:ind w:left="5340" w:hanging="360"/>
      </w:pPr>
      <w:rPr>
        <w:rFonts w:cs="Times New Roman"/>
      </w:rPr>
    </w:lvl>
    <w:lvl w:ilvl="5" w:tplc="0C0A001B" w:tentative="1">
      <w:start w:val="1"/>
      <w:numFmt w:val="lowerRoman"/>
      <w:lvlText w:val="%6."/>
      <w:lvlJc w:val="right"/>
      <w:pPr>
        <w:ind w:left="6060" w:hanging="180"/>
      </w:pPr>
      <w:rPr>
        <w:rFonts w:cs="Times New Roman"/>
      </w:rPr>
    </w:lvl>
    <w:lvl w:ilvl="6" w:tplc="0C0A000F" w:tentative="1">
      <w:start w:val="1"/>
      <w:numFmt w:val="decimal"/>
      <w:lvlText w:val="%7."/>
      <w:lvlJc w:val="left"/>
      <w:pPr>
        <w:ind w:left="6780" w:hanging="360"/>
      </w:pPr>
      <w:rPr>
        <w:rFonts w:cs="Times New Roman"/>
      </w:rPr>
    </w:lvl>
    <w:lvl w:ilvl="7" w:tplc="0C0A0019" w:tentative="1">
      <w:start w:val="1"/>
      <w:numFmt w:val="lowerLetter"/>
      <w:lvlText w:val="%8."/>
      <w:lvlJc w:val="left"/>
      <w:pPr>
        <w:ind w:left="7500" w:hanging="360"/>
      </w:pPr>
      <w:rPr>
        <w:rFonts w:cs="Times New Roman"/>
      </w:rPr>
    </w:lvl>
    <w:lvl w:ilvl="8" w:tplc="0C0A001B" w:tentative="1">
      <w:start w:val="1"/>
      <w:numFmt w:val="lowerRoman"/>
      <w:lvlText w:val="%9."/>
      <w:lvlJc w:val="right"/>
      <w:pPr>
        <w:ind w:left="8220" w:hanging="180"/>
      </w:pPr>
      <w:rPr>
        <w:rFonts w:cs="Times New Roman"/>
      </w:rPr>
    </w:lvl>
  </w:abstractNum>
  <w:abstractNum w:abstractNumId="20" w15:restartNumberingAfterBreak="0">
    <w:nsid w:val="61EE311B"/>
    <w:multiLevelType w:val="hybridMultilevel"/>
    <w:tmpl w:val="694E5F4A"/>
    <w:lvl w:ilvl="0" w:tplc="0C0A000F">
      <w:start w:val="1"/>
      <w:numFmt w:val="decimal"/>
      <w:lvlText w:val="%1."/>
      <w:lvlJc w:val="left"/>
      <w:pPr>
        <w:ind w:left="1987" w:hanging="360"/>
      </w:pPr>
      <w:rPr>
        <w:rFonts w:cs="Times New Roman"/>
      </w:rPr>
    </w:lvl>
    <w:lvl w:ilvl="1" w:tplc="0C0A0019" w:tentative="1">
      <w:start w:val="1"/>
      <w:numFmt w:val="lowerLetter"/>
      <w:lvlText w:val="%2."/>
      <w:lvlJc w:val="left"/>
      <w:pPr>
        <w:ind w:left="2707" w:hanging="360"/>
      </w:pPr>
      <w:rPr>
        <w:rFonts w:cs="Times New Roman"/>
      </w:rPr>
    </w:lvl>
    <w:lvl w:ilvl="2" w:tplc="0C0A001B" w:tentative="1">
      <w:start w:val="1"/>
      <w:numFmt w:val="lowerRoman"/>
      <w:lvlText w:val="%3."/>
      <w:lvlJc w:val="right"/>
      <w:pPr>
        <w:ind w:left="3427" w:hanging="180"/>
      </w:pPr>
      <w:rPr>
        <w:rFonts w:cs="Times New Roman"/>
      </w:rPr>
    </w:lvl>
    <w:lvl w:ilvl="3" w:tplc="0C0A000F" w:tentative="1">
      <w:start w:val="1"/>
      <w:numFmt w:val="decimal"/>
      <w:lvlText w:val="%4."/>
      <w:lvlJc w:val="left"/>
      <w:pPr>
        <w:ind w:left="4147" w:hanging="360"/>
      </w:pPr>
      <w:rPr>
        <w:rFonts w:cs="Times New Roman"/>
      </w:rPr>
    </w:lvl>
    <w:lvl w:ilvl="4" w:tplc="0C0A0019" w:tentative="1">
      <w:start w:val="1"/>
      <w:numFmt w:val="lowerLetter"/>
      <w:lvlText w:val="%5."/>
      <w:lvlJc w:val="left"/>
      <w:pPr>
        <w:ind w:left="4867" w:hanging="360"/>
      </w:pPr>
      <w:rPr>
        <w:rFonts w:cs="Times New Roman"/>
      </w:rPr>
    </w:lvl>
    <w:lvl w:ilvl="5" w:tplc="0C0A001B" w:tentative="1">
      <w:start w:val="1"/>
      <w:numFmt w:val="lowerRoman"/>
      <w:lvlText w:val="%6."/>
      <w:lvlJc w:val="right"/>
      <w:pPr>
        <w:ind w:left="5587" w:hanging="180"/>
      </w:pPr>
      <w:rPr>
        <w:rFonts w:cs="Times New Roman"/>
      </w:rPr>
    </w:lvl>
    <w:lvl w:ilvl="6" w:tplc="0C0A000F" w:tentative="1">
      <w:start w:val="1"/>
      <w:numFmt w:val="decimal"/>
      <w:lvlText w:val="%7."/>
      <w:lvlJc w:val="left"/>
      <w:pPr>
        <w:ind w:left="6307" w:hanging="360"/>
      </w:pPr>
      <w:rPr>
        <w:rFonts w:cs="Times New Roman"/>
      </w:rPr>
    </w:lvl>
    <w:lvl w:ilvl="7" w:tplc="0C0A0019" w:tentative="1">
      <w:start w:val="1"/>
      <w:numFmt w:val="lowerLetter"/>
      <w:lvlText w:val="%8."/>
      <w:lvlJc w:val="left"/>
      <w:pPr>
        <w:ind w:left="7027" w:hanging="360"/>
      </w:pPr>
      <w:rPr>
        <w:rFonts w:cs="Times New Roman"/>
      </w:rPr>
    </w:lvl>
    <w:lvl w:ilvl="8" w:tplc="0C0A001B" w:tentative="1">
      <w:start w:val="1"/>
      <w:numFmt w:val="lowerRoman"/>
      <w:lvlText w:val="%9."/>
      <w:lvlJc w:val="right"/>
      <w:pPr>
        <w:ind w:left="7747" w:hanging="180"/>
      </w:pPr>
      <w:rPr>
        <w:rFonts w:cs="Times New Roman"/>
      </w:rPr>
    </w:lvl>
  </w:abstractNum>
  <w:abstractNum w:abstractNumId="21"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hint="default"/>
        <w:sz w:val="14"/>
      </w:rPr>
    </w:lvl>
    <w:lvl w:ilvl="1" w:tplc="04090003">
      <w:start w:val="1"/>
      <w:numFmt w:val="bullet"/>
      <w:lvlText w:val="o"/>
      <w:lvlJc w:val="left"/>
      <w:pPr>
        <w:ind w:left="3056" w:hanging="360"/>
      </w:pPr>
      <w:rPr>
        <w:rFonts w:ascii="Courier New" w:hAnsi="Courier New" w:hint="default"/>
      </w:rPr>
    </w:lvl>
    <w:lvl w:ilvl="2" w:tplc="04090005">
      <w:start w:val="1"/>
      <w:numFmt w:val="bullet"/>
      <w:lvlText w:val=""/>
      <w:lvlJc w:val="left"/>
      <w:pPr>
        <w:ind w:left="3776" w:hanging="360"/>
      </w:pPr>
      <w:rPr>
        <w:rFonts w:ascii="Wingdings" w:hAnsi="Wingdings" w:hint="default"/>
      </w:rPr>
    </w:lvl>
    <w:lvl w:ilvl="3" w:tplc="04090001">
      <w:start w:val="1"/>
      <w:numFmt w:val="bullet"/>
      <w:lvlText w:val=""/>
      <w:lvlJc w:val="left"/>
      <w:pPr>
        <w:ind w:left="4496" w:hanging="360"/>
      </w:pPr>
      <w:rPr>
        <w:rFonts w:ascii="Symbol" w:hAnsi="Symbol" w:hint="default"/>
      </w:rPr>
    </w:lvl>
    <w:lvl w:ilvl="4" w:tplc="04090003">
      <w:start w:val="1"/>
      <w:numFmt w:val="bullet"/>
      <w:lvlText w:val="o"/>
      <w:lvlJc w:val="left"/>
      <w:pPr>
        <w:ind w:left="5216" w:hanging="360"/>
      </w:pPr>
      <w:rPr>
        <w:rFonts w:ascii="Courier New" w:hAnsi="Courier New" w:hint="default"/>
      </w:rPr>
    </w:lvl>
    <w:lvl w:ilvl="5" w:tplc="04090005">
      <w:start w:val="1"/>
      <w:numFmt w:val="bullet"/>
      <w:lvlText w:val=""/>
      <w:lvlJc w:val="left"/>
      <w:pPr>
        <w:ind w:left="5936" w:hanging="360"/>
      </w:pPr>
      <w:rPr>
        <w:rFonts w:ascii="Wingdings" w:hAnsi="Wingdings" w:hint="default"/>
      </w:rPr>
    </w:lvl>
    <w:lvl w:ilvl="6" w:tplc="04090001">
      <w:start w:val="1"/>
      <w:numFmt w:val="bullet"/>
      <w:lvlText w:val=""/>
      <w:lvlJc w:val="left"/>
      <w:pPr>
        <w:ind w:left="6656" w:hanging="360"/>
      </w:pPr>
      <w:rPr>
        <w:rFonts w:ascii="Symbol" w:hAnsi="Symbol" w:hint="default"/>
      </w:rPr>
    </w:lvl>
    <w:lvl w:ilvl="7" w:tplc="04090003">
      <w:start w:val="1"/>
      <w:numFmt w:val="bullet"/>
      <w:lvlText w:val="o"/>
      <w:lvlJc w:val="left"/>
      <w:pPr>
        <w:ind w:left="7376" w:hanging="360"/>
      </w:pPr>
      <w:rPr>
        <w:rFonts w:ascii="Courier New" w:hAnsi="Courier New" w:hint="default"/>
      </w:rPr>
    </w:lvl>
    <w:lvl w:ilvl="8" w:tplc="04090005">
      <w:start w:val="1"/>
      <w:numFmt w:val="bullet"/>
      <w:lvlText w:val=""/>
      <w:lvlJc w:val="left"/>
      <w:pPr>
        <w:ind w:left="8096" w:hanging="360"/>
      </w:pPr>
      <w:rPr>
        <w:rFonts w:ascii="Wingdings" w:hAnsi="Wingdings" w:hint="default"/>
      </w:rPr>
    </w:lvl>
  </w:abstractNum>
  <w:abstractNum w:abstractNumId="22" w15:restartNumberingAfterBreak="0">
    <w:nsid w:val="7D447351"/>
    <w:multiLevelType w:val="hybridMultilevel"/>
    <w:tmpl w:val="A4E2242C"/>
    <w:lvl w:ilvl="0" w:tplc="F800C600">
      <w:start w:val="1"/>
      <w:numFmt w:val="decimal"/>
      <w:lvlText w:val="%1."/>
      <w:lvlJc w:val="left"/>
      <w:pPr>
        <w:ind w:left="1134"/>
      </w:pPr>
      <w:rPr>
        <w:rFonts w:cs="Times New Roman" w:hint="default"/>
      </w:rPr>
    </w:lvl>
    <w:lvl w:ilvl="1" w:tplc="08090019" w:tentative="1">
      <w:start w:val="1"/>
      <w:numFmt w:val="lowerLetter"/>
      <w:lvlText w:val="%2."/>
      <w:lvlJc w:val="left"/>
      <w:pPr>
        <w:ind w:left="2220" w:hanging="360"/>
      </w:pPr>
      <w:rPr>
        <w:rFonts w:cs="Times New Roman"/>
      </w:rPr>
    </w:lvl>
    <w:lvl w:ilvl="2" w:tplc="0809001B" w:tentative="1">
      <w:start w:val="1"/>
      <w:numFmt w:val="lowerRoman"/>
      <w:lvlText w:val="%3."/>
      <w:lvlJc w:val="right"/>
      <w:pPr>
        <w:ind w:left="2940" w:hanging="180"/>
      </w:pPr>
      <w:rPr>
        <w:rFonts w:cs="Times New Roman"/>
      </w:rPr>
    </w:lvl>
    <w:lvl w:ilvl="3" w:tplc="0809000F" w:tentative="1">
      <w:start w:val="1"/>
      <w:numFmt w:val="decimal"/>
      <w:lvlText w:val="%4."/>
      <w:lvlJc w:val="left"/>
      <w:pPr>
        <w:ind w:left="3660" w:hanging="360"/>
      </w:pPr>
      <w:rPr>
        <w:rFonts w:cs="Times New Roman"/>
      </w:rPr>
    </w:lvl>
    <w:lvl w:ilvl="4" w:tplc="08090019" w:tentative="1">
      <w:start w:val="1"/>
      <w:numFmt w:val="lowerLetter"/>
      <w:lvlText w:val="%5."/>
      <w:lvlJc w:val="left"/>
      <w:pPr>
        <w:ind w:left="4380" w:hanging="360"/>
      </w:pPr>
      <w:rPr>
        <w:rFonts w:cs="Times New Roman"/>
      </w:rPr>
    </w:lvl>
    <w:lvl w:ilvl="5" w:tplc="0809001B" w:tentative="1">
      <w:start w:val="1"/>
      <w:numFmt w:val="lowerRoman"/>
      <w:lvlText w:val="%6."/>
      <w:lvlJc w:val="right"/>
      <w:pPr>
        <w:ind w:left="5100" w:hanging="180"/>
      </w:pPr>
      <w:rPr>
        <w:rFonts w:cs="Times New Roman"/>
      </w:rPr>
    </w:lvl>
    <w:lvl w:ilvl="6" w:tplc="0809000F" w:tentative="1">
      <w:start w:val="1"/>
      <w:numFmt w:val="decimal"/>
      <w:lvlText w:val="%7."/>
      <w:lvlJc w:val="left"/>
      <w:pPr>
        <w:ind w:left="5820" w:hanging="360"/>
      </w:pPr>
      <w:rPr>
        <w:rFonts w:cs="Times New Roman"/>
      </w:rPr>
    </w:lvl>
    <w:lvl w:ilvl="7" w:tplc="08090019" w:tentative="1">
      <w:start w:val="1"/>
      <w:numFmt w:val="lowerLetter"/>
      <w:lvlText w:val="%8."/>
      <w:lvlJc w:val="left"/>
      <w:pPr>
        <w:ind w:left="6540" w:hanging="360"/>
      </w:pPr>
      <w:rPr>
        <w:rFonts w:cs="Times New Roman"/>
      </w:rPr>
    </w:lvl>
    <w:lvl w:ilvl="8" w:tplc="0809001B" w:tentative="1">
      <w:start w:val="1"/>
      <w:numFmt w:val="lowerRoman"/>
      <w:lvlText w:val="%9."/>
      <w:lvlJc w:val="right"/>
      <w:pPr>
        <w:ind w:left="7260" w:hanging="180"/>
      </w:pPr>
      <w:rPr>
        <w:rFonts w:cs="Times New Roman"/>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9"/>
  </w:num>
  <w:num w:numId="12">
    <w:abstractNumId w:val="21"/>
  </w:num>
  <w:num w:numId="13">
    <w:abstractNumId w:val="11"/>
  </w:num>
  <w:num w:numId="14">
    <w:abstractNumId w:val="13"/>
  </w:num>
  <w:num w:numId="15">
    <w:abstractNumId w:val="18"/>
  </w:num>
  <w:num w:numId="16">
    <w:abstractNumId w:val="0"/>
  </w:num>
  <w:num w:numId="17">
    <w:abstractNumId w:val="20"/>
  </w:num>
  <w:num w:numId="18">
    <w:abstractNumId w:val="6"/>
  </w:num>
  <w:num w:numId="19">
    <w:abstractNumId w:val="1"/>
    <w:lvlOverride w:ilvl="0">
      <w:lvl w:ilvl="0" w:tplc="9008FA9E">
        <w:start w:val="1"/>
        <w:numFmt w:val="bullet"/>
        <w:lvlText w:val="•"/>
        <w:lvlJc w:val="left"/>
        <w:pPr>
          <w:tabs>
            <w:tab w:val="num" w:pos="1701"/>
          </w:tabs>
          <w:ind w:left="1701" w:hanging="170"/>
        </w:pPr>
        <w:rPr>
          <w:rFonts w:ascii="Times New Roman" w:hAnsi="Times New Roman" w:hint="default"/>
        </w:rPr>
      </w:lvl>
    </w:lvlOverride>
  </w:num>
  <w:num w:numId="20">
    <w:abstractNumId w:val="16"/>
    <w:lvlOverride w:ilvl="0">
      <w:lvl w:ilvl="0" w:tplc="395833DC">
        <w:start w:val="1"/>
        <w:numFmt w:val="decimal"/>
        <w:lvlText w:val="%1."/>
        <w:lvlJc w:val="left"/>
        <w:pPr>
          <w:ind w:left="1080" w:hanging="360"/>
        </w:pPr>
        <w:rPr>
          <w:rFonts w:cs="Times New Roman" w:hint="default"/>
        </w:rPr>
      </w:lvl>
    </w:lvlOverride>
  </w:num>
  <w:num w:numId="21">
    <w:abstractNumId w:val="14"/>
    <w:lvlOverride w:ilvl="0">
      <w:lvl w:ilvl="0" w:tplc="0D26C9FA">
        <w:numFmt w:val="decimal"/>
        <w:lvlText w:val=""/>
        <w:lvlJc w:val="left"/>
        <w:rPr>
          <w:rFonts w:cs="Times New Roman"/>
        </w:rPr>
      </w:lvl>
    </w:lvlOverride>
    <w:lvlOverride w:ilvl="1">
      <w:lvl w:ilvl="1" w:tplc="04090019">
        <w:numFmt w:val="decimal"/>
        <w:lvlText w:val=""/>
        <w:lvlJc w:val="left"/>
        <w:rPr>
          <w:rFonts w:cs="Times New Roman"/>
        </w:rPr>
      </w:lvl>
    </w:lvlOverride>
    <w:lvlOverride w:ilvl="2">
      <w:lvl w:ilvl="2" w:tplc="E56C0CB2">
        <w:start w:val="1"/>
        <w:numFmt w:val="decimal"/>
        <w:lvlText w:val="%3."/>
        <w:lvlJc w:val="left"/>
        <w:pPr>
          <w:ind w:left="1134"/>
        </w:pPr>
        <w:rPr>
          <w:rFonts w:cs="Times New Roman" w:hint="default"/>
          <w:b w:val="0"/>
          <w:i w:val="0"/>
        </w:rPr>
      </w:lvl>
    </w:lvlOverride>
  </w:num>
  <w:num w:numId="22">
    <w:abstractNumId w:val="12"/>
  </w:num>
  <w:num w:numId="23">
    <w:abstractNumId w:val="10"/>
  </w:num>
  <w:num w:numId="24">
    <w:abstractNumId w:val="22"/>
  </w:num>
  <w:num w:numId="25">
    <w:abstractNumId w:val="17"/>
  </w:num>
  <w:num w:numId="26">
    <w:abstractNumId w:val="19"/>
  </w:num>
  <w:num w:numId="27">
    <w:abstractNumId w:val="5"/>
  </w:num>
  <w:num w:numId="28">
    <w:abstractNumId w:val="15"/>
  </w:num>
  <w:num w:numId="29">
    <w:abstractNumId w:val="3"/>
  </w:num>
  <w:num w:numId="30">
    <w:abstractNumId w:val="8"/>
  </w:num>
  <w:num w:numId="31">
    <w:abstractNumId w:val="7"/>
  </w:num>
  <w:num w:numId="32">
    <w:abstractNumId w:val="4"/>
  </w:num>
  <w:num w:numId="3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120"/>
  <w:displayHorizontalDrawingGridEvery w:val="2"/>
  <w:characterSpacingControl w:val="doNotCompress"/>
  <w:doNotValidateAgainstSchema/>
  <w:doNotDemarcateInvalidXml/>
  <w:hdrShapeDefaults>
    <o:shapedefaults v:ext="edit" spidmax="6145"/>
  </w:hdrShapeDefaults>
  <w:footnotePr>
    <w:footnote w:id="-1"/>
    <w:footnote w:id="0"/>
  </w:footnotePr>
  <w:endnotePr>
    <w:pos w:val="sectEnd"/>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720373*"/>
    <w:docVar w:name="jobn" w:val="17-20373 (S)"/>
    <w:docVar w:name="JobNo" w:val="1720373S"/>
    <w:docVar w:name="ODSRefJobNo" w:val="1739441S"/>
    <w:docVar w:name="sss1" w:val="CEDAW/C/BFA/CO/7"/>
    <w:docVar w:name="sss2" w:val="-"/>
  </w:docVars>
  <w:rsids>
    <w:rsidRoot w:val="0056215F"/>
    <w:rsid w:val="00000FA2"/>
    <w:rsid w:val="000015D7"/>
    <w:rsid w:val="0000301C"/>
    <w:rsid w:val="000044BD"/>
    <w:rsid w:val="00006ABE"/>
    <w:rsid w:val="00010CB2"/>
    <w:rsid w:val="00011027"/>
    <w:rsid w:val="00011F66"/>
    <w:rsid w:val="000130C5"/>
    <w:rsid w:val="000134E2"/>
    <w:rsid w:val="000137FE"/>
    <w:rsid w:val="00013C9F"/>
    <w:rsid w:val="000156C9"/>
    <w:rsid w:val="0001793F"/>
    <w:rsid w:val="00021540"/>
    <w:rsid w:val="000226FD"/>
    <w:rsid w:val="00023454"/>
    <w:rsid w:val="00023BDE"/>
    <w:rsid w:val="000243C1"/>
    <w:rsid w:val="00024B08"/>
    <w:rsid w:val="00024E5A"/>
    <w:rsid w:val="00025848"/>
    <w:rsid w:val="000258AB"/>
    <w:rsid w:val="00027828"/>
    <w:rsid w:val="000308AA"/>
    <w:rsid w:val="00031362"/>
    <w:rsid w:val="00032100"/>
    <w:rsid w:val="0003242E"/>
    <w:rsid w:val="000329BC"/>
    <w:rsid w:val="00034259"/>
    <w:rsid w:val="00035F39"/>
    <w:rsid w:val="000405A7"/>
    <w:rsid w:val="00041883"/>
    <w:rsid w:val="00041CAB"/>
    <w:rsid w:val="000453D3"/>
    <w:rsid w:val="00045480"/>
    <w:rsid w:val="00045DEF"/>
    <w:rsid w:val="000460A8"/>
    <w:rsid w:val="00047F6D"/>
    <w:rsid w:val="000504E6"/>
    <w:rsid w:val="000509B8"/>
    <w:rsid w:val="00051981"/>
    <w:rsid w:val="00051D6F"/>
    <w:rsid w:val="00052994"/>
    <w:rsid w:val="00054828"/>
    <w:rsid w:val="0005594B"/>
    <w:rsid w:val="00056CC8"/>
    <w:rsid w:val="00057F15"/>
    <w:rsid w:val="00057FD3"/>
    <w:rsid w:val="00060FB4"/>
    <w:rsid w:val="00062E0F"/>
    <w:rsid w:val="0006620A"/>
    <w:rsid w:val="00066C39"/>
    <w:rsid w:val="00070481"/>
    <w:rsid w:val="00070D7C"/>
    <w:rsid w:val="00073B00"/>
    <w:rsid w:val="00075E3E"/>
    <w:rsid w:val="00076050"/>
    <w:rsid w:val="00076459"/>
    <w:rsid w:val="0007729C"/>
    <w:rsid w:val="00077C68"/>
    <w:rsid w:val="00077DB0"/>
    <w:rsid w:val="00080953"/>
    <w:rsid w:val="00081CC0"/>
    <w:rsid w:val="000820B0"/>
    <w:rsid w:val="00082A03"/>
    <w:rsid w:val="000873DA"/>
    <w:rsid w:val="0009142F"/>
    <w:rsid w:val="000930EA"/>
    <w:rsid w:val="00094436"/>
    <w:rsid w:val="000950BC"/>
    <w:rsid w:val="00095653"/>
    <w:rsid w:val="00096611"/>
    <w:rsid w:val="000973A0"/>
    <w:rsid w:val="000A1401"/>
    <w:rsid w:val="000A1601"/>
    <w:rsid w:val="000A1DE2"/>
    <w:rsid w:val="000A455D"/>
    <w:rsid w:val="000B2AB1"/>
    <w:rsid w:val="000B2C6A"/>
    <w:rsid w:val="000B407F"/>
    <w:rsid w:val="000B5343"/>
    <w:rsid w:val="000B6DDB"/>
    <w:rsid w:val="000B6F32"/>
    <w:rsid w:val="000B7349"/>
    <w:rsid w:val="000C0792"/>
    <w:rsid w:val="000C30BC"/>
    <w:rsid w:val="000C4942"/>
    <w:rsid w:val="000C49BE"/>
    <w:rsid w:val="000C676D"/>
    <w:rsid w:val="000D07EC"/>
    <w:rsid w:val="000D24F2"/>
    <w:rsid w:val="000D3616"/>
    <w:rsid w:val="000D4520"/>
    <w:rsid w:val="000D7435"/>
    <w:rsid w:val="000D7DC3"/>
    <w:rsid w:val="000E098E"/>
    <w:rsid w:val="000E38C0"/>
    <w:rsid w:val="000E3AD3"/>
    <w:rsid w:val="000E3E97"/>
    <w:rsid w:val="000E413B"/>
    <w:rsid w:val="000E454F"/>
    <w:rsid w:val="000E4DB4"/>
    <w:rsid w:val="000E578F"/>
    <w:rsid w:val="000E6736"/>
    <w:rsid w:val="000E7174"/>
    <w:rsid w:val="000E7902"/>
    <w:rsid w:val="000E7960"/>
    <w:rsid w:val="000F0681"/>
    <w:rsid w:val="000F0730"/>
    <w:rsid w:val="000F09C2"/>
    <w:rsid w:val="000F0FA4"/>
    <w:rsid w:val="000F123B"/>
    <w:rsid w:val="000F191E"/>
    <w:rsid w:val="000F1CED"/>
    <w:rsid w:val="000F2DE4"/>
    <w:rsid w:val="000F5752"/>
    <w:rsid w:val="000F6381"/>
    <w:rsid w:val="000F69A3"/>
    <w:rsid w:val="000F6E1A"/>
    <w:rsid w:val="00100B22"/>
    <w:rsid w:val="001026A3"/>
    <w:rsid w:val="00103408"/>
    <w:rsid w:val="00103E5C"/>
    <w:rsid w:val="00104C2F"/>
    <w:rsid w:val="00104FC0"/>
    <w:rsid w:val="00105C9B"/>
    <w:rsid w:val="001065F1"/>
    <w:rsid w:val="00107D5F"/>
    <w:rsid w:val="0011019F"/>
    <w:rsid w:val="00110D7E"/>
    <w:rsid w:val="001115D1"/>
    <w:rsid w:val="00111F5A"/>
    <w:rsid w:val="0011241F"/>
    <w:rsid w:val="00112598"/>
    <w:rsid w:val="00113764"/>
    <w:rsid w:val="00114F9E"/>
    <w:rsid w:val="0011565A"/>
    <w:rsid w:val="001158C0"/>
    <w:rsid w:val="00116E41"/>
    <w:rsid w:val="00117BB8"/>
    <w:rsid w:val="0012032E"/>
    <w:rsid w:val="001208CF"/>
    <w:rsid w:val="001220F5"/>
    <w:rsid w:val="001223CB"/>
    <w:rsid w:val="00122FEC"/>
    <w:rsid w:val="00126361"/>
    <w:rsid w:val="0012652C"/>
    <w:rsid w:val="00127234"/>
    <w:rsid w:val="001300B9"/>
    <w:rsid w:val="00130CCC"/>
    <w:rsid w:val="00131771"/>
    <w:rsid w:val="00131E97"/>
    <w:rsid w:val="0013254D"/>
    <w:rsid w:val="00132F77"/>
    <w:rsid w:val="0013504C"/>
    <w:rsid w:val="00135DA1"/>
    <w:rsid w:val="00136ECF"/>
    <w:rsid w:val="00145F81"/>
    <w:rsid w:val="00146E4B"/>
    <w:rsid w:val="001477DE"/>
    <w:rsid w:val="001505B6"/>
    <w:rsid w:val="00151777"/>
    <w:rsid w:val="00152C51"/>
    <w:rsid w:val="001531AF"/>
    <w:rsid w:val="00153789"/>
    <w:rsid w:val="00154A7D"/>
    <w:rsid w:val="00154D37"/>
    <w:rsid w:val="00155E19"/>
    <w:rsid w:val="001575F0"/>
    <w:rsid w:val="001605CF"/>
    <w:rsid w:val="0016213B"/>
    <w:rsid w:val="00163673"/>
    <w:rsid w:val="00164BCE"/>
    <w:rsid w:val="00164D53"/>
    <w:rsid w:val="001652E9"/>
    <w:rsid w:val="001653FB"/>
    <w:rsid w:val="00165B98"/>
    <w:rsid w:val="00165CBD"/>
    <w:rsid w:val="00172B60"/>
    <w:rsid w:val="0017380E"/>
    <w:rsid w:val="00174504"/>
    <w:rsid w:val="001745C0"/>
    <w:rsid w:val="001770D1"/>
    <w:rsid w:val="001801E4"/>
    <w:rsid w:val="001809B5"/>
    <w:rsid w:val="00181342"/>
    <w:rsid w:val="00182B15"/>
    <w:rsid w:val="00184193"/>
    <w:rsid w:val="00184809"/>
    <w:rsid w:val="00184C73"/>
    <w:rsid w:val="001917A6"/>
    <w:rsid w:val="00191E88"/>
    <w:rsid w:val="0019245C"/>
    <w:rsid w:val="00192845"/>
    <w:rsid w:val="00192FC2"/>
    <w:rsid w:val="0019362C"/>
    <w:rsid w:val="001936F0"/>
    <w:rsid w:val="001947AD"/>
    <w:rsid w:val="00194CD0"/>
    <w:rsid w:val="00196A9E"/>
    <w:rsid w:val="00197346"/>
    <w:rsid w:val="001A06E7"/>
    <w:rsid w:val="001A077F"/>
    <w:rsid w:val="001A1DC8"/>
    <w:rsid w:val="001A3BE9"/>
    <w:rsid w:val="001A4034"/>
    <w:rsid w:val="001A50C6"/>
    <w:rsid w:val="001A527F"/>
    <w:rsid w:val="001A5D2D"/>
    <w:rsid w:val="001A5D75"/>
    <w:rsid w:val="001A6BBE"/>
    <w:rsid w:val="001B071E"/>
    <w:rsid w:val="001B0B41"/>
    <w:rsid w:val="001B16EF"/>
    <w:rsid w:val="001B1926"/>
    <w:rsid w:val="001B1FD5"/>
    <w:rsid w:val="001B2793"/>
    <w:rsid w:val="001B2AEA"/>
    <w:rsid w:val="001B3651"/>
    <w:rsid w:val="001B49E2"/>
    <w:rsid w:val="001B54FB"/>
    <w:rsid w:val="001B5845"/>
    <w:rsid w:val="001B5E9D"/>
    <w:rsid w:val="001B6CFE"/>
    <w:rsid w:val="001B7446"/>
    <w:rsid w:val="001B74B6"/>
    <w:rsid w:val="001B7AA8"/>
    <w:rsid w:val="001C0012"/>
    <w:rsid w:val="001C155E"/>
    <w:rsid w:val="001C1D0F"/>
    <w:rsid w:val="001C266D"/>
    <w:rsid w:val="001C26F7"/>
    <w:rsid w:val="001C5625"/>
    <w:rsid w:val="001C5971"/>
    <w:rsid w:val="001C7E54"/>
    <w:rsid w:val="001D1351"/>
    <w:rsid w:val="001D1798"/>
    <w:rsid w:val="001D1F8D"/>
    <w:rsid w:val="001D4790"/>
    <w:rsid w:val="001D5FF9"/>
    <w:rsid w:val="001D674D"/>
    <w:rsid w:val="001D6CB7"/>
    <w:rsid w:val="001D7216"/>
    <w:rsid w:val="001E06EC"/>
    <w:rsid w:val="001E077C"/>
    <w:rsid w:val="001E0B55"/>
    <w:rsid w:val="001E2717"/>
    <w:rsid w:val="001E3499"/>
    <w:rsid w:val="001E4D56"/>
    <w:rsid w:val="001E5AE9"/>
    <w:rsid w:val="001E6CDB"/>
    <w:rsid w:val="001E6F8E"/>
    <w:rsid w:val="001E6FE2"/>
    <w:rsid w:val="001E7805"/>
    <w:rsid w:val="001F167E"/>
    <w:rsid w:val="001F2BDA"/>
    <w:rsid w:val="001F2E45"/>
    <w:rsid w:val="001F5923"/>
    <w:rsid w:val="001F5AEA"/>
    <w:rsid w:val="001F5FE7"/>
    <w:rsid w:val="001F670D"/>
    <w:rsid w:val="001F6818"/>
    <w:rsid w:val="001F6E66"/>
    <w:rsid w:val="001F78BC"/>
    <w:rsid w:val="001F7C50"/>
    <w:rsid w:val="001F7CCF"/>
    <w:rsid w:val="002000B3"/>
    <w:rsid w:val="0020186B"/>
    <w:rsid w:val="00203422"/>
    <w:rsid w:val="00203A1A"/>
    <w:rsid w:val="00204227"/>
    <w:rsid w:val="00207D01"/>
    <w:rsid w:val="00210D7F"/>
    <w:rsid w:val="002119AE"/>
    <w:rsid w:val="00211F3F"/>
    <w:rsid w:val="00213104"/>
    <w:rsid w:val="002141E3"/>
    <w:rsid w:val="002148DC"/>
    <w:rsid w:val="00217415"/>
    <w:rsid w:val="002179A1"/>
    <w:rsid w:val="00217D97"/>
    <w:rsid w:val="0022004C"/>
    <w:rsid w:val="002206B4"/>
    <w:rsid w:val="00221573"/>
    <w:rsid w:val="00221C16"/>
    <w:rsid w:val="00222AD1"/>
    <w:rsid w:val="00222D9B"/>
    <w:rsid w:val="0022370B"/>
    <w:rsid w:val="00223E81"/>
    <w:rsid w:val="00225B63"/>
    <w:rsid w:val="002310B7"/>
    <w:rsid w:val="00231747"/>
    <w:rsid w:val="00231B68"/>
    <w:rsid w:val="00232F19"/>
    <w:rsid w:val="00233409"/>
    <w:rsid w:val="002339E2"/>
    <w:rsid w:val="00234170"/>
    <w:rsid w:val="002346A6"/>
    <w:rsid w:val="00234C5B"/>
    <w:rsid w:val="00236DA6"/>
    <w:rsid w:val="00236E6D"/>
    <w:rsid w:val="00237ED9"/>
    <w:rsid w:val="00240E5F"/>
    <w:rsid w:val="00242605"/>
    <w:rsid w:val="00243655"/>
    <w:rsid w:val="002448F7"/>
    <w:rsid w:val="002453F5"/>
    <w:rsid w:val="00246417"/>
    <w:rsid w:val="00246892"/>
    <w:rsid w:val="00247E83"/>
    <w:rsid w:val="002508E9"/>
    <w:rsid w:val="00251A44"/>
    <w:rsid w:val="00251DDD"/>
    <w:rsid w:val="00253D26"/>
    <w:rsid w:val="00254277"/>
    <w:rsid w:val="002547D4"/>
    <w:rsid w:val="002549C4"/>
    <w:rsid w:val="00255264"/>
    <w:rsid w:val="002554B9"/>
    <w:rsid w:val="00255F10"/>
    <w:rsid w:val="00256A49"/>
    <w:rsid w:val="0025759D"/>
    <w:rsid w:val="00261D48"/>
    <w:rsid w:val="00261FDB"/>
    <w:rsid w:val="00264279"/>
    <w:rsid w:val="00265103"/>
    <w:rsid w:val="002665CB"/>
    <w:rsid w:val="002704B6"/>
    <w:rsid w:val="002706D6"/>
    <w:rsid w:val="002713B7"/>
    <w:rsid w:val="0027290F"/>
    <w:rsid w:val="002741C3"/>
    <w:rsid w:val="00274B66"/>
    <w:rsid w:val="00274BA3"/>
    <w:rsid w:val="00275106"/>
    <w:rsid w:val="00275598"/>
    <w:rsid w:val="00276B79"/>
    <w:rsid w:val="002813E6"/>
    <w:rsid w:val="00281885"/>
    <w:rsid w:val="00284AF2"/>
    <w:rsid w:val="002853D5"/>
    <w:rsid w:val="002877DA"/>
    <w:rsid w:val="00287926"/>
    <w:rsid w:val="00287D43"/>
    <w:rsid w:val="002901C3"/>
    <w:rsid w:val="00290C42"/>
    <w:rsid w:val="002939E8"/>
    <w:rsid w:val="00294980"/>
    <w:rsid w:val="0029552C"/>
    <w:rsid w:val="00296E6C"/>
    <w:rsid w:val="002972CA"/>
    <w:rsid w:val="002A1B3E"/>
    <w:rsid w:val="002A2A24"/>
    <w:rsid w:val="002A3417"/>
    <w:rsid w:val="002A46FA"/>
    <w:rsid w:val="002A5739"/>
    <w:rsid w:val="002A5D97"/>
    <w:rsid w:val="002A5DBE"/>
    <w:rsid w:val="002A6C02"/>
    <w:rsid w:val="002A7247"/>
    <w:rsid w:val="002B0165"/>
    <w:rsid w:val="002B0DEC"/>
    <w:rsid w:val="002B1614"/>
    <w:rsid w:val="002B4B8E"/>
    <w:rsid w:val="002B649C"/>
    <w:rsid w:val="002B67EC"/>
    <w:rsid w:val="002B6839"/>
    <w:rsid w:val="002B6C6C"/>
    <w:rsid w:val="002B77DF"/>
    <w:rsid w:val="002C0552"/>
    <w:rsid w:val="002C12A1"/>
    <w:rsid w:val="002C171C"/>
    <w:rsid w:val="002C2E6F"/>
    <w:rsid w:val="002C3AE4"/>
    <w:rsid w:val="002C53F1"/>
    <w:rsid w:val="002C69A3"/>
    <w:rsid w:val="002D0A3F"/>
    <w:rsid w:val="002D25CC"/>
    <w:rsid w:val="002D4228"/>
    <w:rsid w:val="002D4776"/>
    <w:rsid w:val="002D5B9D"/>
    <w:rsid w:val="002E1A4F"/>
    <w:rsid w:val="002E1C17"/>
    <w:rsid w:val="002E201C"/>
    <w:rsid w:val="002E5492"/>
    <w:rsid w:val="002E7009"/>
    <w:rsid w:val="002F0184"/>
    <w:rsid w:val="002F0531"/>
    <w:rsid w:val="002F0B71"/>
    <w:rsid w:val="002F0B79"/>
    <w:rsid w:val="002F5CE4"/>
    <w:rsid w:val="002F5FAC"/>
    <w:rsid w:val="002F6961"/>
    <w:rsid w:val="002F7170"/>
    <w:rsid w:val="002F7D70"/>
    <w:rsid w:val="00300297"/>
    <w:rsid w:val="00303242"/>
    <w:rsid w:val="00306640"/>
    <w:rsid w:val="0030669C"/>
    <w:rsid w:val="00312D4B"/>
    <w:rsid w:val="003147FC"/>
    <w:rsid w:val="00314F83"/>
    <w:rsid w:val="00316C23"/>
    <w:rsid w:val="00320E1B"/>
    <w:rsid w:val="00321305"/>
    <w:rsid w:val="00321A47"/>
    <w:rsid w:val="00322E87"/>
    <w:rsid w:val="00323CF9"/>
    <w:rsid w:val="00323E9C"/>
    <w:rsid w:val="00324282"/>
    <w:rsid w:val="003245CB"/>
    <w:rsid w:val="003268E2"/>
    <w:rsid w:val="00326A29"/>
    <w:rsid w:val="0032749A"/>
    <w:rsid w:val="00327EBA"/>
    <w:rsid w:val="003302D1"/>
    <w:rsid w:val="00331963"/>
    <w:rsid w:val="00331C78"/>
    <w:rsid w:val="00332088"/>
    <w:rsid w:val="003345CC"/>
    <w:rsid w:val="00340230"/>
    <w:rsid w:val="00340C1F"/>
    <w:rsid w:val="00341AF8"/>
    <w:rsid w:val="00343E74"/>
    <w:rsid w:val="00343FEC"/>
    <w:rsid w:val="003464E2"/>
    <w:rsid w:val="003466DC"/>
    <w:rsid w:val="00346D6F"/>
    <w:rsid w:val="003471DC"/>
    <w:rsid w:val="00347A79"/>
    <w:rsid w:val="00347DD3"/>
    <w:rsid w:val="00350876"/>
    <w:rsid w:val="00352A6C"/>
    <w:rsid w:val="00353683"/>
    <w:rsid w:val="00353A06"/>
    <w:rsid w:val="003556E1"/>
    <w:rsid w:val="00357410"/>
    <w:rsid w:val="00357AA1"/>
    <w:rsid w:val="00361B06"/>
    <w:rsid w:val="00361ECB"/>
    <w:rsid w:val="003635B1"/>
    <w:rsid w:val="00363B13"/>
    <w:rsid w:val="003643FB"/>
    <w:rsid w:val="00364F28"/>
    <w:rsid w:val="00365017"/>
    <w:rsid w:val="00366102"/>
    <w:rsid w:val="00370AA7"/>
    <w:rsid w:val="00371892"/>
    <w:rsid w:val="00371BC1"/>
    <w:rsid w:val="003764E0"/>
    <w:rsid w:val="003769DF"/>
    <w:rsid w:val="00376C4C"/>
    <w:rsid w:val="003774A9"/>
    <w:rsid w:val="0037786A"/>
    <w:rsid w:val="00383922"/>
    <w:rsid w:val="00384763"/>
    <w:rsid w:val="0038518C"/>
    <w:rsid w:val="00387FE0"/>
    <w:rsid w:val="0039024C"/>
    <w:rsid w:val="00391F54"/>
    <w:rsid w:val="00392746"/>
    <w:rsid w:val="003928D1"/>
    <w:rsid w:val="00392946"/>
    <w:rsid w:val="003946DD"/>
    <w:rsid w:val="00395DFD"/>
    <w:rsid w:val="00397092"/>
    <w:rsid w:val="003A09C3"/>
    <w:rsid w:val="003A5087"/>
    <w:rsid w:val="003A6507"/>
    <w:rsid w:val="003A7B35"/>
    <w:rsid w:val="003B05A0"/>
    <w:rsid w:val="003B0DE7"/>
    <w:rsid w:val="003B102B"/>
    <w:rsid w:val="003B6918"/>
    <w:rsid w:val="003C05E2"/>
    <w:rsid w:val="003C0D55"/>
    <w:rsid w:val="003C3A7D"/>
    <w:rsid w:val="003C42F4"/>
    <w:rsid w:val="003C43F7"/>
    <w:rsid w:val="003D0ED4"/>
    <w:rsid w:val="003D1038"/>
    <w:rsid w:val="003D157E"/>
    <w:rsid w:val="003D427B"/>
    <w:rsid w:val="003D5797"/>
    <w:rsid w:val="003D7F08"/>
    <w:rsid w:val="003E0D98"/>
    <w:rsid w:val="003E6598"/>
    <w:rsid w:val="003E7000"/>
    <w:rsid w:val="003E72BD"/>
    <w:rsid w:val="003E78BF"/>
    <w:rsid w:val="003F1E2B"/>
    <w:rsid w:val="003F49AB"/>
    <w:rsid w:val="003F4EDB"/>
    <w:rsid w:val="003F5778"/>
    <w:rsid w:val="003F6918"/>
    <w:rsid w:val="003F6ACC"/>
    <w:rsid w:val="003F7EC3"/>
    <w:rsid w:val="00401E19"/>
    <w:rsid w:val="0040560E"/>
    <w:rsid w:val="00405629"/>
    <w:rsid w:val="00405743"/>
    <w:rsid w:val="00407301"/>
    <w:rsid w:val="00410A02"/>
    <w:rsid w:val="00411C7D"/>
    <w:rsid w:val="00411D7D"/>
    <w:rsid w:val="00412218"/>
    <w:rsid w:val="004125C5"/>
    <w:rsid w:val="00412ACF"/>
    <w:rsid w:val="0041341E"/>
    <w:rsid w:val="0041494A"/>
    <w:rsid w:val="00414F44"/>
    <w:rsid w:val="0041500E"/>
    <w:rsid w:val="00416E8C"/>
    <w:rsid w:val="00417309"/>
    <w:rsid w:val="00420F9E"/>
    <w:rsid w:val="004225AC"/>
    <w:rsid w:val="00425258"/>
    <w:rsid w:val="0042710E"/>
    <w:rsid w:val="004271EA"/>
    <w:rsid w:val="0043124C"/>
    <w:rsid w:val="00432CEB"/>
    <w:rsid w:val="00432FF9"/>
    <w:rsid w:val="00434183"/>
    <w:rsid w:val="00436FEA"/>
    <w:rsid w:val="004411C5"/>
    <w:rsid w:val="00441580"/>
    <w:rsid w:val="00441EF4"/>
    <w:rsid w:val="004423AB"/>
    <w:rsid w:val="00443330"/>
    <w:rsid w:val="00443A4A"/>
    <w:rsid w:val="00444725"/>
    <w:rsid w:val="00446697"/>
    <w:rsid w:val="004472AD"/>
    <w:rsid w:val="00447DF5"/>
    <w:rsid w:val="00452F29"/>
    <w:rsid w:val="004530B3"/>
    <w:rsid w:val="0045397A"/>
    <w:rsid w:val="00453E64"/>
    <w:rsid w:val="00455CD0"/>
    <w:rsid w:val="004567BB"/>
    <w:rsid w:val="00457ADA"/>
    <w:rsid w:val="00463B57"/>
    <w:rsid w:val="004677E2"/>
    <w:rsid w:val="00470EE0"/>
    <w:rsid w:val="00471052"/>
    <w:rsid w:val="004715CF"/>
    <w:rsid w:val="0047515B"/>
    <w:rsid w:val="00475672"/>
    <w:rsid w:val="0047572C"/>
    <w:rsid w:val="004774B3"/>
    <w:rsid w:val="00477986"/>
    <w:rsid w:val="00477F9F"/>
    <w:rsid w:val="004818A0"/>
    <w:rsid w:val="00481ADA"/>
    <w:rsid w:val="00481C51"/>
    <w:rsid w:val="004827FB"/>
    <w:rsid w:val="004831A5"/>
    <w:rsid w:val="00485B77"/>
    <w:rsid w:val="00487D0A"/>
    <w:rsid w:val="004903B1"/>
    <w:rsid w:val="004907C3"/>
    <w:rsid w:val="00492648"/>
    <w:rsid w:val="00494C70"/>
    <w:rsid w:val="00496B26"/>
    <w:rsid w:val="00497BF5"/>
    <w:rsid w:val="00497FE2"/>
    <w:rsid w:val="004A06AE"/>
    <w:rsid w:val="004A2748"/>
    <w:rsid w:val="004A36EA"/>
    <w:rsid w:val="004A47B7"/>
    <w:rsid w:val="004A492C"/>
    <w:rsid w:val="004A5068"/>
    <w:rsid w:val="004A635B"/>
    <w:rsid w:val="004A6F00"/>
    <w:rsid w:val="004A7D94"/>
    <w:rsid w:val="004B1595"/>
    <w:rsid w:val="004B6AB6"/>
    <w:rsid w:val="004B6D7B"/>
    <w:rsid w:val="004B732D"/>
    <w:rsid w:val="004B77E3"/>
    <w:rsid w:val="004B7B7A"/>
    <w:rsid w:val="004B7F75"/>
    <w:rsid w:val="004C0A4B"/>
    <w:rsid w:val="004C0DA8"/>
    <w:rsid w:val="004C17D1"/>
    <w:rsid w:val="004C2F9E"/>
    <w:rsid w:val="004C5733"/>
    <w:rsid w:val="004C599F"/>
    <w:rsid w:val="004C72E0"/>
    <w:rsid w:val="004C76C5"/>
    <w:rsid w:val="004C7A38"/>
    <w:rsid w:val="004C7E05"/>
    <w:rsid w:val="004D0839"/>
    <w:rsid w:val="004D0C85"/>
    <w:rsid w:val="004D2970"/>
    <w:rsid w:val="004D3027"/>
    <w:rsid w:val="004D4248"/>
    <w:rsid w:val="004D580C"/>
    <w:rsid w:val="004D5846"/>
    <w:rsid w:val="004D6800"/>
    <w:rsid w:val="004D7A08"/>
    <w:rsid w:val="004E3F55"/>
    <w:rsid w:val="004E4352"/>
    <w:rsid w:val="004E5426"/>
    <w:rsid w:val="004E5FF2"/>
    <w:rsid w:val="004E669B"/>
    <w:rsid w:val="004E6D44"/>
    <w:rsid w:val="004E7935"/>
    <w:rsid w:val="004F0853"/>
    <w:rsid w:val="004F09C3"/>
    <w:rsid w:val="004F1019"/>
    <w:rsid w:val="004F269C"/>
    <w:rsid w:val="004F2B25"/>
    <w:rsid w:val="004F4085"/>
    <w:rsid w:val="004F410A"/>
    <w:rsid w:val="004F4AA8"/>
    <w:rsid w:val="004F6006"/>
    <w:rsid w:val="004F71A8"/>
    <w:rsid w:val="00502086"/>
    <w:rsid w:val="00502499"/>
    <w:rsid w:val="00502739"/>
    <w:rsid w:val="00503E52"/>
    <w:rsid w:val="00504FB7"/>
    <w:rsid w:val="00505055"/>
    <w:rsid w:val="0050641A"/>
    <w:rsid w:val="00510426"/>
    <w:rsid w:val="00511E5A"/>
    <w:rsid w:val="00514854"/>
    <w:rsid w:val="00515323"/>
    <w:rsid w:val="00516D15"/>
    <w:rsid w:val="00516FA4"/>
    <w:rsid w:val="005200EA"/>
    <w:rsid w:val="005229CF"/>
    <w:rsid w:val="00525AF7"/>
    <w:rsid w:val="00525D70"/>
    <w:rsid w:val="005277C4"/>
    <w:rsid w:val="005300F6"/>
    <w:rsid w:val="005312B5"/>
    <w:rsid w:val="00531F33"/>
    <w:rsid w:val="00533A03"/>
    <w:rsid w:val="00534D74"/>
    <w:rsid w:val="00536DCE"/>
    <w:rsid w:val="00537BFB"/>
    <w:rsid w:val="00537D2B"/>
    <w:rsid w:val="00541089"/>
    <w:rsid w:val="00541D63"/>
    <w:rsid w:val="00542A9C"/>
    <w:rsid w:val="00542FE7"/>
    <w:rsid w:val="00543091"/>
    <w:rsid w:val="00543905"/>
    <w:rsid w:val="00544AE5"/>
    <w:rsid w:val="005456B8"/>
    <w:rsid w:val="005465B4"/>
    <w:rsid w:val="00546F5D"/>
    <w:rsid w:val="0055086E"/>
    <w:rsid w:val="005513EE"/>
    <w:rsid w:val="0055474C"/>
    <w:rsid w:val="00554A54"/>
    <w:rsid w:val="00554CEC"/>
    <w:rsid w:val="00556788"/>
    <w:rsid w:val="00556945"/>
    <w:rsid w:val="0055753C"/>
    <w:rsid w:val="00560735"/>
    <w:rsid w:val="005607F2"/>
    <w:rsid w:val="00560CC9"/>
    <w:rsid w:val="005619C0"/>
    <w:rsid w:val="0056215F"/>
    <w:rsid w:val="00566B69"/>
    <w:rsid w:val="00567F84"/>
    <w:rsid w:val="005709A1"/>
    <w:rsid w:val="005709F9"/>
    <w:rsid w:val="00571F37"/>
    <w:rsid w:val="005729BA"/>
    <w:rsid w:val="00573299"/>
    <w:rsid w:val="0057512C"/>
    <w:rsid w:val="0057797B"/>
    <w:rsid w:val="005818F0"/>
    <w:rsid w:val="005818F4"/>
    <w:rsid w:val="005827E6"/>
    <w:rsid w:val="00583963"/>
    <w:rsid w:val="00586761"/>
    <w:rsid w:val="00586902"/>
    <w:rsid w:val="00586986"/>
    <w:rsid w:val="00587482"/>
    <w:rsid w:val="0058794A"/>
    <w:rsid w:val="00591C19"/>
    <w:rsid w:val="00594A53"/>
    <w:rsid w:val="00594EA7"/>
    <w:rsid w:val="00595BC5"/>
    <w:rsid w:val="00595FBF"/>
    <w:rsid w:val="00596BA4"/>
    <w:rsid w:val="0059798B"/>
    <w:rsid w:val="00597F87"/>
    <w:rsid w:val="005A18A0"/>
    <w:rsid w:val="005A1973"/>
    <w:rsid w:val="005A243E"/>
    <w:rsid w:val="005A3449"/>
    <w:rsid w:val="005A3D90"/>
    <w:rsid w:val="005A4534"/>
    <w:rsid w:val="005A49FD"/>
    <w:rsid w:val="005A4F49"/>
    <w:rsid w:val="005B0A07"/>
    <w:rsid w:val="005B0B96"/>
    <w:rsid w:val="005B1BBD"/>
    <w:rsid w:val="005B1E30"/>
    <w:rsid w:val="005B426E"/>
    <w:rsid w:val="005B500B"/>
    <w:rsid w:val="005B6440"/>
    <w:rsid w:val="005B67B6"/>
    <w:rsid w:val="005B6B7F"/>
    <w:rsid w:val="005B79C5"/>
    <w:rsid w:val="005C0C5A"/>
    <w:rsid w:val="005C2441"/>
    <w:rsid w:val="005C311D"/>
    <w:rsid w:val="005C394D"/>
    <w:rsid w:val="005C493E"/>
    <w:rsid w:val="005C5080"/>
    <w:rsid w:val="005C5A80"/>
    <w:rsid w:val="005C639D"/>
    <w:rsid w:val="005C66E3"/>
    <w:rsid w:val="005C76B7"/>
    <w:rsid w:val="005D0BE5"/>
    <w:rsid w:val="005D1801"/>
    <w:rsid w:val="005D2A61"/>
    <w:rsid w:val="005D3D41"/>
    <w:rsid w:val="005D3F3D"/>
    <w:rsid w:val="005D7A0E"/>
    <w:rsid w:val="005E0744"/>
    <w:rsid w:val="005E0C30"/>
    <w:rsid w:val="005E107A"/>
    <w:rsid w:val="005E125B"/>
    <w:rsid w:val="005E360C"/>
    <w:rsid w:val="005E3697"/>
    <w:rsid w:val="005E4AC4"/>
    <w:rsid w:val="005E4B59"/>
    <w:rsid w:val="005E7164"/>
    <w:rsid w:val="005F03CA"/>
    <w:rsid w:val="005F0A8C"/>
    <w:rsid w:val="005F17AE"/>
    <w:rsid w:val="005F27EC"/>
    <w:rsid w:val="005F443D"/>
    <w:rsid w:val="005F5764"/>
    <w:rsid w:val="005F6860"/>
    <w:rsid w:val="00600132"/>
    <w:rsid w:val="00601E37"/>
    <w:rsid w:val="0060256A"/>
    <w:rsid w:val="006034E2"/>
    <w:rsid w:val="006035F9"/>
    <w:rsid w:val="00603BDA"/>
    <w:rsid w:val="0060441D"/>
    <w:rsid w:val="00604B5D"/>
    <w:rsid w:val="00604E50"/>
    <w:rsid w:val="00605495"/>
    <w:rsid w:val="006073AB"/>
    <w:rsid w:val="00607981"/>
    <w:rsid w:val="00610819"/>
    <w:rsid w:val="00610AC8"/>
    <w:rsid w:val="0061160A"/>
    <w:rsid w:val="00612D2E"/>
    <w:rsid w:val="00613AA7"/>
    <w:rsid w:val="00614E10"/>
    <w:rsid w:val="00615073"/>
    <w:rsid w:val="006162A7"/>
    <w:rsid w:val="00616577"/>
    <w:rsid w:val="006165A5"/>
    <w:rsid w:val="00617904"/>
    <w:rsid w:val="00620726"/>
    <w:rsid w:val="006208E6"/>
    <w:rsid w:val="00620A95"/>
    <w:rsid w:val="0062207B"/>
    <w:rsid w:val="006242A5"/>
    <w:rsid w:val="00624417"/>
    <w:rsid w:val="006246A9"/>
    <w:rsid w:val="0062527E"/>
    <w:rsid w:val="006300B5"/>
    <w:rsid w:val="006300C2"/>
    <w:rsid w:val="00630BD8"/>
    <w:rsid w:val="00634617"/>
    <w:rsid w:val="00634FA8"/>
    <w:rsid w:val="00635451"/>
    <w:rsid w:val="00635760"/>
    <w:rsid w:val="006360A9"/>
    <w:rsid w:val="006365D0"/>
    <w:rsid w:val="0064046C"/>
    <w:rsid w:val="00640816"/>
    <w:rsid w:val="006412C0"/>
    <w:rsid w:val="006415B9"/>
    <w:rsid w:val="00645A2F"/>
    <w:rsid w:val="00647F62"/>
    <w:rsid w:val="00650571"/>
    <w:rsid w:val="006511CB"/>
    <w:rsid w:val="00651CB9"/>
    <w:rsid w:val="006520C7"/>
    <w:rsid w:val="0065341F"/>
    <w:rsid w:val="00653B25"/>
    <w:rsid w:val="00654DE3"/>
    <w:rsid w:val="00655DC6"/>
    <w:rsid w:val="00655F4D"/>
    <w:rsid w:val="00656459"/>
    <w:rsid w:val="00657313"/>
    <w:rsid w:val="00657FD6"/>
    <w:rsid w:val="0066134F"/>
    <w:rsid w:val="0066144E"/>
    <w:rsid w:val="0066368E"/>
    <w:rsid w:val="0066426D"/>
    <w:rsid w:val="00665391"/>
    <w:rsid w:val="00667398"/>
    <w:rsid w:val="006675C4"/>
    <w:rsid w:val="0067014A"/>
    <w:rsid w:val="00671C4A"/>
    <w:rsid w:val="00673A86"/>
    <w:rsid w:val="00673D70"/>
    <w:rsid w:val="00677800"/>
    <w:rsid w:val="00677C8D"/>
    <w:rsid w:val="00680515"/>
    <w:rsid w:val="00681FD5"/>
    <w:rsid w:val="006845F9"/>
    <w:rsid w:val="00684D76"/>
    <w:rsid w:val="00686BDE"/>
    <w:rsid w:val="006904DC"/>
    <w:rsid w:val="00691296"/>
    <w:rsid w:val="00691C0B"/>
    <w:rsid w:val="00694438"/>
    <w:rsid w:val="00694C40"/>
    <w:rsid w:val="00694DAB"/>
    <w:rsid w:val="006964B0"/>
    <w:rsid w:val="00696C4F"/>
    <w:rsid w:val="00696CE2"/>
    <w:rsid w:val="00696DA0"/>
    <w:rsid w:val="0069758C"/>
    <w:rsid w:val="006A012D"/>
    <w:rsid w:val="006A188B"/>
    <w:rsid w:val="006A216F"/>
    <w:rsid w:val="006A33A3"/>
    <w:rsid w:val="006A39AB"/>
    <w:rsid w:val="006A45EA"/>
    <w:rsid w:val="006A57CD"/>
    <w:rsid w:val="006A630B"/>
    <w:rsid w:val="006A7C03"/>
    <w:rsid w:val="006A7C8D"/>
    <w:rsid w:val="006A7D5D"/>
    <w:rsid w:val="006B1090"/>
    <w:rsid w:val="006B1100"/>
    <w:rsid w:val="006B2F19"/>
    <w:rsid w:val="006B4C74"/>
    <w:rsid w:val="006B4FAA"/>
    <w:rsid w:val="006B513C"/>
    <w:rsid w:val="006B5AF3"/>
    <w:rsid w:val="006B6458"/>
    <w:rsid w:val="006B6CD0"/>
    <w:rsid w:val="006B6EDE"/>
    <w:rsid w:val="006C0277"/>
    <w:rsid w:val="006C22AC"/>
    <w:rsid w:val="006C3073"/>
    <w:rsid w:val="006C3400"/>
    <w:rsid w:val="006C3723"/>
    <w:rsid w:val="006C3D8A"/>
    <w:rsid w:val="006C465B"/>
    <w:rsid w:val="006C4C17"/>
    <w:rsid w:val="006C4E6F"/>
    <w:rsid w:val="006C7E5F"/>
    <w:rsid w:val="006D077A"/>
    <w:rsid w:val="006D0C8A"/>
    <w:rsid w:val="006D217F"/>
    <w:rsid w:val="006D42DA"/>
    <w:rsid w:val="006D74B5"/>
    <w:rsid w:val="006D766E"/>
    <w:rsid w:val="006E0E18"/>
    <w:rsid w:val="006E3054"/>
    <w:rsid w:val="006E44B8"/>
    <w:rsid w:val="006E5457"/>
    <w:rsid w:val="006E616E"/>
    <w:rsid w:val="006E68D5"/>
    <w:rsid w:val="006F40EA"/>
    <w:rsid w:val="006F6266"/>
    <w:rsid w:val="006F795D"/>
    <w:rsid w:val="007004CC"/>
    <w:rsid w:val="00702C5A"/>
    <w:rsid w:val="007034AD"/>
    <w:rsid w:val="00704652"/>
    <w:rsid w:val="007067FB"/>
    <w:rsid w:val="00706FFC"/>
    <w:rsid w:val="00707C2F"/>
    <w:rsid w:val="00707CEE"/>
    <w:rsid w:val="00710880"/>
    <w:rsid w:val="007108C3"/>
    <w:rsid w:val="00711AD8"/>
    <w:rsid w:val="00712595"/>
    <w:rsid w:val="00716FBE"/>
    <w:rsid w:val="00717723"/>
    <w:rsid w:val="00721ADF"/>
    <w:rsid w:val="0072210F"/>
    <w:rsid w:val="007222CF"/>
    <w:rsid w:val="00722419"/>
    <w:rsid w:val="0072272F"/>
    <w:rsid w:val="00724074"/>
    <w:rsid w:val="00724DC3"/>
    <w:rsid w:val="007273A7"/>
    <w:rsid w:val="00730B23"/>
    <w:rsid w:val="00731357"/>
    <w:rsid w:val="00731664"/>
    <w:rsid w:val="00734332"/>
    <w:rsid w:val="00736C07"/>
    <w:rsid w:val="00736E7A"/>
    <w:rsid w:val="00740565"/>
    <w:rsid w:val="007417DD"/>
    <w:rsid w:val="007444A3"/>
    <w:rsid w:val="00744698"/>
    <w:rsid w:val="00744E46"/>
    <w:rsid w:val="00744F35"/>
    <w:rsid w:val="00747836"/>
    <w:rsid w:val="00750A8E"/>
    <w:rsid w:val="00752A69"/>
    <w:rsid w:val="0075363A"/>
    <w:rsid w:val="007537A5"/>
    <w:rsid w:val="00753D40"/>
    <w:rsid w:val="00756A93"/>
    <w:rsid w:val="007579F8"/>
    <w:rsid w:val="007608D8"/>
    <w:rsid w:val="00760D7B"/>
    <w:rsid w:val="00761483"/>
    <w:rsid w:val="00761545"/>
    <w:rsid w:val="00762A8D"/>
    <w:rsid w:val="0076370D"/>
    <w:rsid w:val="0076482E"/>
    <w:rsid w:val="00764EF1"/>
    <w:rsid w:val="00765152"/>
    <w:rsid w:val="00765B72"/>
    <w:rsid w:val="007669B0"/>
    <w:rsid w:val="00767C83"/>
    <w:rsid w:val="00776168"/>
    <w:rsid w:val="0077656B"/>
    <w:rsid w:val="007772CC"/>
    <w:rsid w:val="0078007F"/>
    <w:rsid w:val="00780BE7"/>
    <w:rsid w:val="0078199E"/>
    <w:rsid w:val="00781D65"/>
    <w:rsid w:val="00783F24"/>
    <w:rsid w:val="0078480B"/>
    <w:rsid w:val="007871DE"/>
    <w:rsid w:val="00787D22"/>
    <w:rsid w:val="00792C8E"/>
    <w:rsid w:val="007932C1"/>
    <w:rsid w:val="0079386A"/>
    <w:rsid w:val="00795305"/>
    <w:rsid w:val="007968C8"/>
    <w:rsid w:val="00796A8E"/>
    <w:rsid w:val="007A196D"/>
    <w:rsid w:val="007A2DB3"/>
    <w:rsid w:val="007A4518"/>
    <w:rsid w:val="007A4F17"/>
    <w:rsid w:val="007A4F77"/>
    <w:rsid w:val="007A5254"/>
    <w:rsid w:val="007A6B23"/>
    <w:rsid w:val="007A6CEF"/>
    <w:rsid w:val="007A6F6C"/>
    <w:rsid w:val="007A78A7"/>
    <w:rsid w:val="007B3AC6"/>
    <w:rsid w:val="007B5ECA"/>
    <w:rsid w:val="007B6885"/>
    <w:rsid w:val="007B6AD0"/>
    <w:rsid w:val="007B74E7"/>
    <w:rsid w:val="007C05FF"/>
    <w:rsid w:val="007C29F7"/>
    <w:rsid w:val="007C3EEC"/>
    <w:rsid w:val="007C5499"/>
    <w:rsid w:val="007C5AD3"/>
    <w:rsid w:val="007C78B7"/>
    <w:rsid w:val="007D0989"/>
    <w:rsid w:val="007D275C"/>
    <w:rsid w:val="007D2E6A"/>
    <w:rsid w:val="007D586B"/>
    <w:rsid w:val="007D5E0A"/>
    <w:rsid w:val="007D649F"/>
    <w:rsid w:val="007D7C7B"/>
    <w:rsid w:val="007E18FA"/>
    <w:rsid w:val="007E1D71"/>
    <w:rsid w:val="007E1F6C"/>
    <w:rsid w:val="007E290A"/>
    <w:rsid w:val="007E304E"/>
    <w:rsid w:val="007E3D89"/>
    <w:rsid w:val="007E46AE"/>
    <w:rsid w:val="007E5210"/>
    <w:rsid w:val="007E5A87"/>
    <w:rsid w:val="007E697F"/>
    <w:rsid w:val="007E716C"/>
    <w:rsid w:val="007E7AFA"/>
    <w:rsid w:val="007F23CE"/>
    <w:rsid w:val="007F2954"/>
    <w:rsid w:val="007F3C8D"/>
    <w:rsid w:val="007F3E59"/>
    <w:rsid w:val="007F4A1D"/>
    <w:rsid w:val="007F5F1E"/>
    <w:rsid w:val="007F621D"/>
    <w:rsid w:val="007F6537"/>
    <w:rsid w:val="00801706"/>
    <w:rsid w:val="00802C43"/>
    <w:rsid w:val="00804CB4"/>
    <w:rsid w:val="00806970"/>
    <w:rsid w:val="0080697C"/>
    <w:rsid w:val="00806BB2"/>
    <w:rsid w:val="00810655"/>
    <w:rsid w:val="00810F2C"/>
    <w:rsid w:val="00812539"/>
    <w:rsid w:val="008134C8"/>
    <w:rsid w:val="00816CF9"/>
    <w:rsid w:val="00822F82"/>
    <w:rsid w:val="00825ED6"/>
    <w:rsid w:val="00826ECD"/>
    <w:rsid w:val="00827519"/>
    <w:rsid w:val="00827C33"/>
    <w:rsid w:val="00832814"/>
    <w:rsid w:val="00835605"/>
    <w:rsid w:val="00835A0F"/>
    <w:rsid w:val="00836679"/>
    <w:rsid w:val="00837F18"/>
    <w:rsid w:val="00843B36"/>
    <w:rsid w:val="00844185"/>
    <w:rsid w:val="008446CE"/>
    <w:rsid w:val="00844846"/>
    <w:rsid w:val="008470B8"/>
    <w:rsid w:val="0084786F"/>
    <w:rsid w:val="0085025D"/>
    <w:rsid w:val="00851B04"/>
    <w:rsid w:val="00851D67"/>
    <w:rsid w:val="00852178"/>
    <w:rsid w:val="00853CD2"/>
    <w:rsid w:val="00853FF3"/>
    <w:rsid w:val="0085451D"/>
    <w:rsid w:val="00854EC8"/>
    <w:rsid w:val="008603B4"/>
    <w:rsid w:val="00861579"/>
    <w:rsid w:val="00862864"/>
    <w:rsid w:val="0086344D"/>
    <w:rsid w:val="008640BE"/>
    <w:rsid w:val="008641A7"/>
    <w:rsid w:val="008642D7"/>
    <w:rsid w:val="0086531E"/>
    <w:rsid w:val="00865C17"/>
    <w:rsid w:val="00867748"/>
    <w:rsid w:val="0086797E"/>
    <w:rsid w:val="0087030C"/>
    <w:rsid w:val="00870BAC"/>
    <w:rsid w:val="0087268C"/>
    <w:rsid w:val="00872D3A"/>
    <w:rsid w:val="00873B10"/>
    <w:rsid w:val="00874731"/>
    <w:rsid w:val="00875539"/>
    <w:rsid w:val="00875AA2"/>
    <w:rsid w:val="00875D2D"/>
    <w:rsid w:val="00876955"/>
    <w:rsid w:val="008776AB"/>
    <w:rsid w:val="0088069E"/>
    <w:rsid w:val="00880CB5"/>
    <w:rsid w:val="00880D90"/>
    <w:rsid w:val="00882652"/>
    <w:rsid w:val="0088316B"/>
    <w:rsid w:val="00884D77"/>
    <w:rsid w:val="008858E6"/>
    <w:rsid w:val="00885F41"/>
    <w:rsid w:val="0089053A"/>
    <w:rsid w:val="008915FF"/>
    <w:rsid w:val="00891DB1"/>
    <w:rsid w:val="008926F4"/>
    <w:rsid w:val="00893324"/>
    <w:rsid w:val="00895AA1"/>
    <w:rsid w:val="00896C72"/>
    <w:rsid w:val="008971FD"/>
    <w:rsid w:val="008A2623"/>
    <w:rsid w:val="008A2F69"/>
    <w:rsid w:val="008A4B89"/>
    <w:rsid w:val="008A609F"/>
    <w:rsid w:val="008A6769"/>
    <w:rsid w:val="008A7260"/>
    <w:rsid w:val="008A7B66"/>
    <w:rsid w:val="008B026E"/>
    <w:rsid w:val="008B22EF"/>
    <w:rsid w:val="008B367A"/>
    <w:rsid w:val="008B38BA"/>
    <w:rsid w:val="008B423A"/>
    <w:rsid w:val="008B4249"/>
    <w:rsid w:val="008B4A41"/>
    <w:rsid w:val="008B5960"/>
    <w:rsid w:val="008B6E0B"/>
    <w:rsid w:val="008C016E"/>
    <w:rsid w:val="008C0422"/>
    <w:rsid w:val="008C04D4"/>
    <w:rsid w:val="008C22B5"/>
    <w:rsid w:val="008C22D8"/>
    <w:rsid w:val="008C394A"/>
    <w:rsid w:val="008C3E90"/>
    <w:rsid w:val="008C4CE3"/>
    <w:rsid w:val="008C6B4B"/>
    <w:rsid w:val="008C7168"/>
    <w:rsid w:val="008C7C13"/>
    <w:rsid w:val="008D006F"/>
    <w:rsid w:val="008D03CA"/>
    <w:rsid w:val="008D2331"/>
    <w:rsid w:val="008D2798"/>
    <w:rsid w:val="008D285F"/>
    <w:rsid w:val="008D73A5"/>
    <w:rsid w:val="008E05E4"/>
    <w:rsid w:val="008E0A8C"/>
    <w:rsid w:val="008E181E"/>
    <w:rsid w:val="008E2435"/>
    <w:rsid w:val="008E255A"/>
    <w:rsid w:val="008E2700"/>
    <w:rsid w:val="008E3CCE"/>
    <w:rsid w:val="008E4C20"/>
    <w:rsid w:val="008E70E9"/>
    <w:rsid w:val="008E736E"/>
    <w:rsid w:val="008E77FE"/>
    <w:rsid w:val="008E7B06"/>
    <w:rsid w:val="008F2D31"/>
    <w:rsid w:val="008F3AD2"/>
    <w:rsid w:val="008F5B48"/>
    <w:rsid w:val="008F5D1B"/>
    <w:rsid w:val="008F5F33"/>
    <w:rsid w:val="008F78FD"/>
    <w:rsid w:val="00900E88"/>
    <w:rsid w:val="00902473"/>
    <w:rsid w:val="00902717"/>
    <w:rsid w:val="00902D37"/>
    <w:rsid w:val="00902F4F"/>
    <w:rsid w:val="00902F7B"/>
    <w:rsid w:val="009036CB"/>
    <w:rsid w:val="00905226"/>
    <w:rsid w:val="0090602F"/>
    <w:rsid w:val="0091016F"/>
    <w:rsid w:val="009117E9"/>
    <w:rsid w:val="00913169"/>
    <w:rsid w:val="00913843"/>
    <w:rsid w:val="00914CC1"/>
    <w:rsid w:val="009154A1"/>
    <w:rsid w:val="0091682C"/>
    <w:rsid w:val="00916EBB"/>
    <w:rsid w:val="00917137"/>
    <w:rsid w:val="00920276"/>
    <w:rsid w:val="0092063C"/>
    <w:rsid w:val="00920F8E"/>
    <w:rsid w:val="0092264E"/>
    <w:rsid w:val="00922B54"/>
    <w:rsid w:val="00923057"/>
    <w:rsid w:val="00923331"/>
    <w:rsid w:val="00923563"/>
    <w:rsid w:val="00924CEA"/>
    <w:rsid w:val="00924DA4"/>
    <w:rsid w:val="009251E6"/>
    <w:rsid w:val="0092570A"/>
    <w:rsid w:val="00926CD2"/>
    <w:rsid w:val="00926D4B"/>
    <w:rsid w:val="00927DEE"/>
    <w:rsid w:val="00930C56"/>
    <w:rsid w:val="009315C5"/>
    <w:rsid w:val="00931E72"/>
    <w:rsid w:val="00932493"/>
    <w:rsid w:val="00933F74"/>
    <w:rsid w:val="00933F9A"/>
    <w:rsid w:val="00934AED"/>
    <w:rsid w:val="00934BC8"/>
    <w:rsid w:val="00935F51"/>
    <w:rsid w:val="00936E96"/>
    <w:rsid w:val="00936F56"/>
    <w:rsid w:val="00937653"/>
    <w:rsid w:val="00937A4F"/>
    <w:rsid w:val="0094045A"/>
    <w:rsid w:val="00940A1A"/>
    <w:rsid w:val="009416B6"/>
    <w:rsid w:val="00941EDA"/>
    <w:rsid w:val="00944452"/>
    <w:rsid w:val="00944FB6"/>
    <w:rsid w:val="00945C9B"/>
    <w:rsid w:val="009465F0"/>
    <w:rsid w:val="00946814"/>
    <w:rsid w:val="00947B76"/>
    <w:rsid w:val="00952A4F"/>
    <w:rsid w:val="00953BDD"/>
    <w:rsid w:val="00954097"/>
    <w:rsid w:val="00955C4C"/>
    <w:rsid w:val="009567F0"/>
    <w:rsid w:val="00956D53"/>
    <w:rsid w:val="00956E53"/>
    <w:rsid w:val="00956F40"/>
    <w:rsid w:val="00957F32"/>
    <w:rsid w:val="00961D71"/>
    <w:rsid w:val="00961E03"/>
    <w:rsid w:val="00962EFE"/>
    <w:rsid w:val="00963A67"/>
    <w:rsid w:val="009642DF"/>
    <w:rsid w:val="00965183"/>
    <w:rsid w:val="00966166"/>
    <w:rsid w:val="00966C76"/>
    <w:rsid w:val="00967985"/>
    <w:rsid w:val="00970662"/>
    <w:rsid w:val="0097107C"/>
    <w:rsid w:val="00974073"/>
    <w:rsid w:val="009757AD"/>
    <w:rsid w:val="00976852"/>
    <w:rsid w:val="009774C1"/>
    <w:rsid w:val="00977F9F"/>
    <w:rsid w:val="009824C8"/>
    <w:rsid w:val="00986111"/>
    <w:rsid w:val="00986D82"/>
    <w:rsid w:val="00987852"/>
    <w:rsid w:val="0099298B"/>
    <w:rsid w:val="00993204"/>
    <w:rsid w:val="00993D19"/>
    <w:rsid w:val="00993D85"/>
    <w:rsid w:val="009943E5"/>
    <w:rsid w:val="009946BE"/>
    <w:rsid w:val="009956B4"/>
    <w:rsid w:val="0099600D"/>
    <w:rsid w:val="00996DC7"/>
    <w:rsid w:val="009979B6"/>
    <w:rsid w:val="00997C03"/>
    <w:rsid w:val="00997FBF"/>
    <w:rsid w:val="009A08CC"/>
    <w:rsid w:val="009A08DF"/>
    <w:rsid w:val="009A2118"/>
    <w:rsid w:val="009A2A0B"/>
    <w:rsid w:val="009A52B5"/>
    <w:rsid w:val="009A5913"/>
    <w:rsid w:val="009A64C4"/>
    <w:rsid w:val="009A7BFC"/>
    <w:rsid w:val="009A7DED"/>
    <w:rsid w:val="009B0CFA"/>
    <w:rsid w:val="009B4B38"/>
    <w:rsid w:val="009B6B79"/>
    <w:rsid w:val="009C0098"/>
    <w:rsid w:val="009C0FF8"/>
    <w:rsid w:val="009C12F0"/>
    <w:rsid w:val="009C20D0"/>
    <w:rsid w:val="009C219D"/>
    <w:rsid w:val="009C2B0B"/>
    <w:rsid w:val="009C3FA5"/>
    <w:rsid w:val="009C4614"/>
    <w:rsid w:val="009C7D16"/>
    <w:rsid w:val="009C7F5B"/>
    <w:rsid w:val="009D1A10"/>
    <w:rsid w:val="009D2271"/>
    <w:rsid w:val="009D23EF"/>
    <w:rsid w:val="009D3A01"/>
    <w:rsid w:val="009D3EFA"/>
    <w:rsid w:val="009D51E6"/>
    <w:rsid w:val="009D5ECA"/>
    <w:rsid w:val="009D6159"/>
    <w:rsid w:val="009D6BCF"/>
    <w:rsid w:val="009D6CEC"/>
    <w:rsid w:val="009D703C"/>
    <w:rsid w:val="009D7F7A"/>
    <w:rsid w:val="009E1D8F"/>
    <w:rsid w:val="009E1EC0"/>
    <w:rsid w:val="009E2D53"/>
    <w:rsid w:val="009E33FF"/>
    <w:rsid w:val="009E6C4F"/>
    <w:rsid w:val="009E70E6"/>
    <w:rsid w:val="009F0EFA"/>
    <w:rsid w:val="009F11CF"/>
    <w:rsid w:val="009F1279"/>
    <w:rsid w:val="009F1E59"/>
    <w:rsid w:val="009F2C4D"/>
    <w:rsid w:val="009F3966"/>
    <w:rsid w:val="009F4284"/>
    <w:rsid w:val="009F607C"/>
    <w:rsid w:val="009F68B5"/>
    <w:rsid w:val="009F75F1"/>
    <w:rsid w:val="009F79AF"/>
    <w:rsid w:val="00A00D98"/>
    <w:rsid w:val="00A020B8"/>
    <w:rsid w:val="00A0449E"/>
    <w:rsid w:val="00A0545A"/>
    <w:rsid w:val="00A05B1C"/>
    <w:rsid w:val="00A0627B"/>
    <w:rsid w:val="00A07847"/>
    <w:rsid w:val="00A07F2E"/>
    <w:rsid w:val="00A12857"/>
    <w:rsid w:val="00A15BC4"/>
    <w:rsid w:val="00A16DCD"/>
    <w:rsid w:val="00A16FC1"/>
    <w:rsid w:val="00A17083"/>
    <w:rsid w:val="00A224BA"/>
    <w:rsid w:val="00A231B7"/>
    <w:rsid w:val="00A236F7"/>
    <w:rsid w:val="00A24811"/>
    <w:rsid w:val="00A2503D"/>
    <w:rsid w:val="00A251C7"/>
    <w:rsid w:val="00A25D6E"/>
    <w:rsid w:val="00A2656D"/>
    <w:rsid w:val="00A26996"/>
    <w:rsid w:val="00A274FC"/>
    <w:rsid w:val="00A309AC"/>
    <w:rsid w:val="00A31A71"/>
    <w:rsid w:val="00A327BA"/>
    <w:rsid w:val="00A32842"/>
    <w:rsid w:val="00A32B20"/>
    <w:rsid w:val="00A33319"/>
    <w:rsid w:val="00A3386D"/>
    <w:rsid w:val="00A33C7F"/>
    <w:rsid w:val="00A35945"/>
    <w:rsid w:val="00A35C59"/>
    <w:rsid w:val="00A372C6"/>
    <w:rsid w:val="00A4014F"/>
    <w:rsid w:val="00A4086D"/>
    <w:rsid w:val="00A42314"/>
    <w:rsid w:val="00A423C0"/>
    <w:rsid w:val="00A42423"/>
    <w:rsid w:val="00A42868"/>
    <w:rsid w:val="00A4417C"/>
    <w:rsid w:val="00A44A1E"/>
    <w:rsid w:val="00A4565A"/>
    <w:rsid w:val="00A46A19"/>
    <w:rsid w:val="00A5071B"/>
    <w:rsid w:val="00A50ED5"/>
    <w:rsid w:val="00A51741"/>
    <w:rsid w:val="00A517AF"/>
    <w:rsid w:val="00A52CCD"/>
    <w:rsid w:val="00A545B2"/>
    <w:rsid w:val="00A554A0"/>
    <w:rsid w:val="00A56356"/>
    <w:rsid w:val="00A568B1"/>
    <w:rsid w:val="00A5745C"/>
    <w:rsid w:val="00A615C6"/>
    <w:rsid w:val="00A649C2"/>
    <w:rsid w:val="00A653A2"/>
    <w:rsid w:val="00A662FA"/>
    <w:rsid w:val="00A6651F"/>
    <w:rsid w:val="00A66FF5"/>
    <w:rsid w:val="00A675FD"/>
    <w:rsid w:val="00A67A30"/>
    <w:rsid w:val="00A719F9"/>
    <w:rsid w:val="00A71BB0"/>
    <w:rsid w:val="00A73F78"/>
    <w:rsid w:val="00A744CE"/>
    <w:rsid w:val="00A74979"/>
    <w:rsid w:val="00A7696A"/>
    <w:rsid w:val="00A769C4"/>
    <w:rsid w:val="00A77231"/>
    <w:rsid w:val="00A7736C"/>
    <w:rsid w:val="00A77FFB"/>
    <w:rsid w:val="00A8089E"/>
    <w:rsid w:val="00A80B21"/>
    <w:rsid w:val="00A81690"/>
    <w:rsid w:val="00A822E9"/>
    <w:rsid w:val="00A83498"/>
    <w:rsid w:val="00A83C88"/>
    <w:rsid w:val="00A850B7"/>
    <w:rsid w:val="00A85B80"/>
    <w:rsid w:val="00A90B22"/>
    <w:rsid w:val="00A90C30"/>
    <w:rsid w:val="00A978EA"/>
    <w:rsid w:val="00AA0393"/>
    <w:rsid w:val="00AA1A58"/>
    <w:rsid w:val="00AA4141"/>
    <w:rsid w:val="00AA4BEA"/>
    <w:rsid w:val="00AA5215"/>
    <w:rsid w:val="00AA7474"/>
    <w:rsid w:val="00AB0936"/>
    <w:rsid w:val="00AB222F"/>
    <w:rsid w:val="00AB2280"/>
    <w:rsid w:val="00AB238A"/>
    <w:rsid w:val="00AB546D"/>
    <w:rsid w:val="00AB71AF"/>
    <w:rsid w:val="00AB72B7"/>
    <w:rsid w:val="00AB7FA5"/>
    <w:rsid w:val="00AC07DA"/>
    <w:rsid w:val="00AC1F01"/>
    <w:rsid w:val="00AC2E56"/>
    <w:rsid w:val="00AC310E"/>
    <w:rsid w:val="00AC3BFA"/>
    <w:rsid w:val="00AC64EA"/>
    <w:rsid w:val="00AC6D46"/>
    <w:rsid w:val="00AD17F6"/>
    <w:rsid w:val="00AD2268"/>
    <w:rsid w:val="00AD3438"/>
    <w:rsid w:val="00AD4C00"/>
    <w:rsid w:val="00AD4D03"/>
    <w:rsid w:val="00AD64D8"/>
    <w:rsid w:val="00AD7301"/>
    <w:rsid w:val="00AE00C7"/>
    <w:rsid w:val="00AE1D5D"/>
    <w:rsid w:val="00AE3886"/>
    <w:rsid w:val="00AE3E85"/>
    <w:rsid w:val="00AE425E"/>
    <w:rsid w:val="00AE6470"/>
    <w:rsid w:val="00AE6AFF"/>
    <w:rsid w:val="00AE73CC"/>
    <w:rsid w:val="00AF018A"/>
    <w:rsid w:val="00AF0A9D"/>
    <w:rsid w:val="00AF0ED9"/>
    <w:rsid w:val="00AF49DF"/>
    <w:rsid w:val="00AF4E27"/>
    <w:rsid w:val="00AF5B2A"/>
    <w:rsid w:val="00AF5B60"/>
    <w:rsid w:val="00AF617D"/>
    <w:rsid w:val="00AF6C82"/>
    <w:rsid w:val="00AF7784"/>
    <w:rsid w:val="00B041F5"/>
    <w:rsid w:val="00B10B5D"/>
    <w:rsid w:val="00B10EBD"/>
    <w:rsid w:val="00B11176"/>
    <w:rsid w:val="00B11E0C"/>
    <w:rsid w:val="00B124AB"/>
    <w:rsid w:val="00B12658"/>
    <w:rsid w:val="00B13D70"/>
    <w:rsid w:val="00B14126"/>
    <w:rsid w:val="00B150ED"/>
    <w:rsid w:val="00B16B46"/>
    <w:rsid w:val="00B170A3"/>
    <w:rsid w:val="00B24A17"/>
    <w:rsid w:val="00B25FD4"/>
    <w:rsid w:val="00B27C06"/>
    <w:rsid w:val="00B322D3"/>
    <w:rsid w:val="00B377FF"/>
    <w:rsid w:val="00B37801"/>
    <w:rsid w:val="00B378EF"/>
    <w:rsid w:val="00B37A0A"/>
    <w:rsid w:val="00B400C6"/>
    <w:rsid w:val="00B400FD"/>
    <w:rsid w:val="00B40BC7"/>
    <w:rsid w:val="00B416F8"/>
    <w:rsid w:val="00B434BE"/>
    <w:rsid w:val="00B43918"/>
    <w:rsid w:val="00B44C9A"/>
    <w:rsid w:val="00B4752D"/>
    <w:rsid w:val="00B518D4"/>
    <w:rsid w:val="00B51E41"/>
    <w:rsid w:val="00B52F52"/>
    <w:rsid w:val="00B53945"/>
    <w:rsid w:val="00B545B3"/>
    <w:rsid w:val="00B54B9F"/>
    <w:rsid w:val="00B551C0"/>
    <w:rsid w:val="00B61B0D"/>
    <w:rsid w:val="00B62DB0"/>
    <w:rsid w:val="00B636CF"/>
    <w:rsid w:val="00B63FF7"/>
    <w:rsid w:val="00B64723"/>
    <w:rsid w:val="00B64EA7"/>
    <w:rsid w:val="00B64FFD"/>
    <w:rsid w:val="00B6608A"/>
    <w:rsid w:val="00B66235"/>
    <w:rsid w:val="00B67B92"/>
    <w:rsid w:val="00B704AF"/>
    <w:rsid w:val="00B71152"/>
    <w:rsid w:val="00B72250"/>
    <w:rsid w:val="00B76E81"/>
    <w:rsid w:val="00B77BB2"/>
    <w:rsid w:val="00B77FB1"/>
    <w:rsid w:val="00B8044B"/>
    <w:rsid w:val="00B804EC"/>
    <w:rsid w:val="00B81452"/>
    <w:rsid w:val="00B8270B"/>
    <w:rsid w:val="00B82AC7"/>
    <w:rsid w:val="00B84FA6"/>
    <w:rsid w:val="00B8583F"/>
    <w:rsid w:val="00B85869"/>
    <w:rsid w:val="00B8709A"/>
    <w:rsid w:val="00B90747"/>
    <w:rsid w:val="00B93C4E"/>
    <w:rsid w:val="00B93E9A"/>
    <w:rsid w:val="00B95BBF"/>
    <w:rsid w:val="00B975D2"/>
    <w:rsid w:val="00BA0548"/>
    <w:rsid w:val="00BA06FA"/>
    <w:rsid w:val="00BA0720"/>
    <w:rsid w:val="00BA07D8"/>
    <w:rsid w:val="00BA0F90"/>
    <w:rsid w:val="00BA1398"/>
    <w:rsid w:val="00BA1EA2"/>
    <w:rsid w:val="00BA2044"/>
    <w:rsid w:val="00BA2239"/>
    <w:rsid w:val="00BA2886"/>
    <w:rsid w:val="00BA4C71"/>
    <w:rsid w:val="00BA4E0D"/>
    <w:rsid w:val="00BA76AF"/>
    <w:rsid w:val="00BB1977"/>
    <w:rsid w:val="00BB1AD4"/>
    <w:rsid w:val="00BB3145"/>
    <w:rsid w:val="00BB59DB"/>
    <w:rsid w:val="00BB5EDD"/>
    <w:rsid w:val="00BC2DFF"/>
    <w:rsid w:val="00BC41F2"/>
    <w:rsid w:val="00BC42C0"/>
    <w:rsid w:val="00BC447F"/>
    <w:rsid w:val="00BC44EE"/>
    <w:rsid w:val="00BC4536"/>
    <w:rsid w:val="00BD0908"/>
    <w:rsid w:val="00BD0DCE"/>
    <w:rsid w:val="00BD1FF5"/>
    <w:rsid w:val="00BD2782"/>
    <w:rsid w:val="00BD33F2"/>
    <w:rsid w:val="00BD54BF"/>
    <w:rsid w:val="00BD601D"/>
    <w:rsid w:val="00BD636C"/>
    <w:rsid w:val="00BD7175"/>
    <w:rsid w:val="00BD7B4E"/>
    <w:rsid w:val="00BD7C26"/>
    <w:rsid w:val="00BE0233"/>
    <w:rsid w:val="00BE0DC8"/>
    <w:rsid w:val="00BE23E9"/>
    <w:rsid w:val="00BE54EF"/>
    <w:rsid w:val="00BE79D1"/>
    <w:rsid w:val="00BF0332"/>
    <w:rsid w:val="00BF13A7"/>
    <w:rsid w:val="00BF3055"/>
    <w:rsid w:val="00BF35B3"/>
    <w:rsid w:val="00BF38EE"/>
    <w:rsid w:val="00BF3919"/>
    <w:rsid w:val="00BF3A36"/>
    <w:rsid w:val="00BF4169"/>
    <w:rsid w:val="00BF472E"/>
    <w:rsid w:val="00BF4D24"/>
    <w:rsid w:val="00BF707D"/>
    <w:rsid w:val="00BF7146"/>
    <w:rsid w:val="00BF77F0"/>
    <w:rsid w:val="00BF7DFA"/>
    <w:rsid w:val="00C01A83"/>
    <w:rsid w:val="00C03A3C"/>
    <w:rsid w:val="00C03CD1"/>
    <w:rsid w:val="00C06BFA"/>
    <w:rsid w:val="00C07058"/>
    <w:rsid w:val="00C11584"/>
    <w:rsid w:val="00C121EB"/>
    <w:rsid w:val="00C1252E"/>
    <w:rsid w:val="00C12789"/>
    <w:rsid w:val="00C15933"/>
    <w:rsid w:val="00C167E7"/>
    <w:rsid w:val="00C203C9"/>
    <w:rsid w:val="00C20B4C"/>
    <w:rsid w:val="00C20CC5"/>
    <w:rsid w:val="00C21D9D"/>
    <w:rsid w:val="00C2494E"/>
    <w:rsid w:val="00C24D28"/>
    <w:rsid w:val="00C262FE"/>
    <w:rsid w:val="00C26EC5"/>
    <w:rsid w:val="00C27D47"/>
    <w:rsid w:val="00C307BD"/>
    <w:rsid w:val="00C31C68"/>
    <w:rsid w:val="00C3258B"/>
    <w:rsid w:val="00C3344D"/>
    <w:rsid w:val="00C33DA4"/>
    <w:rsid w:val="00C34B17"/>
    <w:rsid w:val="00C3525B"/>
    <w:rsid w:val="00C35789"/>
    <w:rsid w:val="00C4084D"/>
    <w:rsid w:val="00C416DD"/>
    <w:rsid w:val="00C42166"/>
    <w:rsid w:val="00C421CA"/>
    <w:rsid w:val="00C4296C"/>
    <w:rsid w:val="00C433B8"/>
    <w:rsid w:val="00C43559"/>
    <w:rsid w:val="00C4446E"/>
    <w:rsid w:val="00C44610"/>
    <w:rsid w:val="00C463AE"/>
    <w:rsid w:val="00C46E19"/>
    <w:rsid w:val="00C47AFD"/>
    <w:rsid w:val="00C51E36"/>
    <w:rsid w:val="00C54CC6"/>
    <w:rsid w:val="00C604D0"/>
    <w:rsid w:val="00C608D1"/>
    <w:rsid w:val="00C61226"/>
    <w:rsid w:val="00C643AB"/>
    <w:rsid w:val="00C64C5A"/>
    <w:rsid w:val="00C65EDC"/>
    <w:rsid w:val="00C7015F"/>
    <w:rsid w:val="00C7062B"/>
    <w:rsid w:val="00C711CC"/>
    <w:rsid w:val="00C71380"/>
    <w:rsid w:val="00C72EF9"/>
    <w:rsid w:val="00C75F91"/>
    <w:rsid w:val="00C819A4"/>
    <w:rsid w:val="00C8247E"/>
    <w:rsid w:val="00C82A3E"/>
    <w:rsid w:val="00C83786"/>
    <w:rsid w:val="00C83A78"/>
    <w:rsid w:val="00C847B0"/>
    <w:rsid w:val="00C84B2D"/>
    <w:rsid w:val="00C85CCE"/>
    <w:rsid w:val="00C864BB"/>
    <w:rsid w:val="00C870AF"/>
    <w:rsid w:val="00C903D3"/>
    <w:rsid w:val="00C90AE8"/>
    <w:rsid w:val="00C91877"/>
    <w:rsid w:val="00C91CCF"/>
    <w:rsid w:val="00C926AF"/>
    <w:rsid w:val="00C93DC9"/>
    <w:rsid w:val="00C94CB5"/>
    <w:rsid w:val="00C9718B"/>
    <w:rsid w:val="00CA07E4"/>
    <w:rsid w:val="00CA14BB"/>
    <w:rsid w:val="00CA5AB5"/>
    <w:rsid w:val="00CA605D"/>
    <w:rsid w:val="00CA72F7"/>
    <w:rsid w:val="00CA760E"/>
    <w:rsid w:val="00CA7E13"/>
    <w:rsid w:val="00CB0E45"/>
    <w:rsid w:val="00CB1B5C"/>
    <w:rsid w:val="00CB2F01"/>
    <w:rsid w:val="00CB4EE2"/>
    <w:rsid w:val="00CB5E72"/>
    <w:rsid w:val="00CB6090"/>
    <w:rsid w:val="00CB6168"/>
    <w:rsid w:val="00CB71DA"/>
    <w:rsid w:val="00CB7402"/>
    <w:rsid w:val="00CB79FC"/>
    <w:rsid w:val="00CC1C6D"/>
    <w:rsid w:val="00CC211A"/>
    <w:rsid w:val="00CC4AF3"/>
    <w:rsid w:val="00CC5B87"/>
    <w:rsid w:val="00CD07D6"/>
    <w:rsid w:val="00CD2056"/>
    <w:rsid w:val="00CD22FE"/>
    <w:rsid w:val="00CD2497"/>
    <w:rsid w:val="00CD2501"/>
    <w:rsid w:val="00CD362B"/>
    <w:rsid w:val="00CD39B2"/>
    <w:rsid w:val="00CD3B11"/>
    <w:rsid w:val="00CD4E68"/>
    <w:rsid w:val="00CD5CFD"/>
    <w:rsid w:val="00CD5D29"/>
    <w:rsid w:val="00CD7F8F"/>
    <w:rsid w:val="00CE0ECB"/>
    <w:rsid w:val="00CE1B29"/>
    <w:rsid w:val="00CE29C5"/>
    <w:rsid w:val="00CE3C21"/>
    <w:rsid w:val="00CE6599"/>
    <w:rsid w:val="00CF08B0"/>
    <w:rsid w:val="00CF0A5E"/>
    <w:rsid w:val="00CF2576"/>
    <w:rsid w:val="00CF43A2"/>
    <w:rsid w:val="00CF5802"/>
    <w:rsid w:val="00CF5FF2"/>
    <w:rsid w:val="00CF6DDE"/>
    <w:rsid w:val="00CF6FF1"/>
    <w:rsid w:val="00CF7311"/>
    <w:rsid w:val="00CF734C"/>
    <w:rsid w:val="00CF76C2"/>
    <w:rsid w:val="00D02158"/>
    <w:rsid w:val="00D048A7"/>
    <w:rsid w:val="00D051B9"/>
    <w:rsid w:val="00D05543"/>
    <w:rsid w:val="00D05C08"/>
    <w:rsid w:val="00D10574"/>
    <w:rsid w:val="00D10A31"/>
    <w:rsid w:val="00D10B54"/>
    <w:rsid w:val="00D13BFB"/>
    <w:rsid w:val="00D151CD"/>
    <w:rsid w:val="00D15F0D"/>
    <w:rsid w:val="00D16C00"/>
    <w:rsid w:val="00D16DEE"/>
    <w:rsid w:val="00D20003"/>
    <w:rsid w:val="00D23427"/>
    <w:rsid w:val="00D23BCF"/>
    <w:rsid w:val="00D244DC"/>
    <w:rsid w:val="00D24660"/>
    <w:rsid w:val="00D269E0"/>
    <w:rsid w:val="00D270FD"/>
    <w:rsid w:val="00D27122"/>
    <w:rsid w:val="00D3059E"/>
    <w:rsid w:val="00D30AFD"/>
    <w:rsid w:val="00D30B9C"/>
    <w:rsid w:val="00D30EE8"/>
    <w:rsid w:val="00D379B4"/>
    <w:rsid w:val="00D40316"/>
    <w:rsid w:val="00D413BF"/>
    <w:rsid w:val="00D426B1"/>
    <w:rsid w:val="00D429B7"/>
    <w:rsid w:val="00D42D47"/>
    <w:rsid w:val="00D43055"/>
    <w:rsid w:val="00D431D5"/>
    <w:rsid w:val="00D43232"/>
    <w:rsid w:val="00D43BD4"/>
    <w:rsid w:val="00D44AD6"/>
    <w:rsid w:val="00D44E66"/>
    <w:rsid w:val="00D513B3"/>
    <w:rsid w:val="00D5247A"/>
    <w:rsid w:val="00D537FB"/>
    <w:rsid w:val="00D5404C"/>
    <w:rsid w:val="00D54736"/>
    <w:rsid w:val="00D54B65"/>
    <w:rsid w:val="00D54C22"/>
    <w:rsid w:val="00D5591C"/>
    <w:rsid w:val="00D60635"/>
    <w:rsid w:val="00D60660"/>
    <w:rsid w:val="00D62A21"/>
    <w:rsid w:val="00D637D0"/>
    <w:rsid w:val="00D6383F"/>
    <w:rsid w:val="00D6526E"/>
    <w:rsid w:val="00D703FE"/>
    <w:rsid w:val="00D7165F"/>
    <w:rsid w:val="00D719E5"/>
    <w:rsid w:val="00D74A62"/>
    <w:rsid w:val="00D74E0C"/>
    <w:rsid w:val="00D750EB"/>
    <w:rsid w:val="00D7639F"/>
    <w:rsid w:val="00D76B8D"/>
    <w:rsid w:val="00D77944"/>
    <w:rsid w:val="00D77BBA"/>
    <w:rsid w:val="00D8487F"/>
    <w:rsid w:val="00D84F53"/>
    <w:rsid w:val="00D8517F"/>
    <w:rsid w:val="00D86EAE"/>
    <w:rsid w:val="00D874E3"/>
    <w:rsid w:val="00D876BF"/>
    <w:rsid w:val="00D936C9"/>
    <w:rsid w:val="00D94AF5"/>
    <w:rsid w:val="00D95834"/>
    <w:rsid w:val="00D95F0F"/>
    <w:rsid w:val="00D96B8B"/>
    <w:rsid w:val="00DA2205"/>
    <w:rsid w:val="00DA26DF"/>
    <w:rsid w:val="00DA2FC4"/>
    <w:rsid w:val="00DA4772"/>
    <w:rsid w:val="00DA4FD4"/>
    <w:rsid w:val="00DA58BE"/>
    <w:rsid w:val="00DA6EC8"/>
    <w:rsid w:val="00DA7D84"/>
    <w:rsid w:val="00DA7E22"/>
    <w:rsid w:val="00DB0521"/>
    <w:rsid w:val="00DB237C"/>
    <w:rsid w:val="00DB32C6"/>
    <w:rsid w:val="00DB537B"/>
    <w:rsid w:val="00DB623E"/>
    <w:rsid w:val="00DB65E4"/>
    <w:rsid w:val="00DC0A38"/>
    <w:rsid w:val="00DC15F1"/>
    <w:rsid w:val="00DC220C"/>
    <w:rsid w:val="00DC285B"/>
    <w:rsid w:val="00DC40E4"/>
    <w:rsid w:val="00DC4D20"/>
    <w:rsid w:val="00DD022C"/>
    <w:rsid w:val="00DD0473"/>
    <w:rsid w:val="00DD0B1F"/>
    <w:rsid w:val="00DD281C"/>
    <w:rsid w:val="00DD2E70"/>
    <w:rsid w:val="00DD3878"/>
    <w:rsid w:val="00DD53BD"/>
    <w:rsid w:val="00DD7D50"/>
    <w:rsid w:val="00DE03BF"/>
    <w:rsid w:val="00DE0C29"/>
    <w:rsid w:val="00DE4CF1"/>
    <w:rsid w:val="00DE5C73"/>
    <w:rsid w:val="00DE64A2"/>
    <w:rsid w:val="00DE71AF"/>
    <w:rsid w:val="00DF27DD"/>
    <w:rsid w:val="00DF6642"/>
    <w:rsid w:val="00DF6E4F"/>
    <w:rsid w:val="00E01F22"/>
    <w:rsid w:val="00E02BE4"/>
    <w:rsid w:val="00E04238"/>
    <w:rsid w:val="00E049B4"/>
    <w:rsid w:val="00E0514B"/>
    <w:rsid w:val="00E05A3F"/>
    <w:rsid w:val="00E05FB1"/>
    <w:rsid w:val="00E06DAD"/>
    <w:rsid w:val="00E103B0"/>
    <w:rsid w:val="00E10D36"/>
    <w:rsid w:val="00E1107B"/>
    <w:rsid w:val="00E147DD"/>
    <w:rsid w:val="00E16E00"/>
    <w:rsid w:val="00E21237"/>
    <w:rsid w:val="00E21B88"/>
    <w:rsid w:val="00E2569F"/>
    <w:rsid w:val="00E2614B"/>
    <w:rsid w:val="00E268D5"/>
    <w:rsid w:val="00E26E2E"/>
    <w:rsid w:val="00E32DD6"/>
    <w:rsid w:val="00E33FE5"/>
    <w:rsid w:val="00E34A2A"/>
    <w:rsid w:val="00E35AF0"/>
    <w:rsid w:val="00E362B3"/>
    <w:rsid w:val="00E37EE7"/>
    <w:rsid w:val="00E406E4"/>
    <w:rsid w:val="00E41E3B"/>
    <w:rsid w:val="00E422E3"/>
    <w:rsid w:val="00E43688"/>
    <w:rsid w:val="00E4452B"/>
    <w:rsid w:val="00E44559"/>
    <w:rsid w:val="00E45616"/>
    <w:rsid w:val="00E456C6"/>
    <w:rsid w:val="00E467FA"/>
    <w:rsid w:val="00E47526"/>
    <w:rsid w:val="00E47B5C"/>
    <w:rsid w:val="00E5289B"/>
    <w:rsid w:val="00E535FA"/>
    <w:rsid w:val="00E55CF2"/>
    <w:rsid w:val="00E564E5"/>
    <w:rsid w:val="00E56BA7"/>
    <w:rsid w:val="00E5771D"/>
    <w:rsid w:val="00E5772B"/>
    <w:rsid w:val="00E5794E"/>
    <w:rsid w:val="00E57C52"/>
    <w:rsid w:val="00E60187"/>
    <w:rsid w:val="00E606E9"/>
    <w:rsid w:val="00E6382D"/>
    <w:rsid w:val="00E63FCD"/>
    <w:rsid w:val="00E64F8A"/>
    <w:rsid w:val="00E65894"/>
    <w:rsid w:val="00E663C9"/>
    <w:rsid w:val="00E67750"/>
    <w:rsid w:val="00E677E7"/>
    <w:rsid w:val="00E71190"/>
    <w:rsid w:val="00E72CE7"/>
    <w:rsid w:val="00E73A7A"/>
    <w:rsid w:val="00E75CA7"/>
    <w:rsid w:val="00E763F4"/>
    <w:rsid w:val="00E76523"/>
    <w:rsid w:val="00E766F9"/>
    <w:rsid w:val="00E76A46"/>
    <w:rsid w:val="00E76B5C"/>
    <w:rsid w:val="00E7701B"/>
    <w:rsid w:val="00E80A39"/>
    <w:rsid w:val="00E81989"/>
    <w:rsid w:val="00E81B24"/>
    <w:rsid w:val="00E836AF"/>
    <w:rsid w:val="00E85601"/>
    <w:rsid w:val="00E85EF4"/>
    <w:rsid w:val="00E85EFB"/>
    <w:rsid w:val="00E85F80"/>
    <w:rsid w:val="00E86E91"/>
    <w:rsid w:val="00E90083"/>
    <w:rsid w:val="00E92B55"/>
    <w:rsid w:val="00E92CEE"/>
    <w:rsid w:val="00E94566"/>
    <w:rsid w:val="00E94800"/>
    <w:rsid w:val="00E94860"/>
    <w:rsid w:val="00E96491"/>
    <w:rsid w:val="00E97B7C"/>
    <w:rsid w:val="00E97C4F"/>
    <w:rsid w:val="00EA19C9"/>
    <w:rsid w:val="00EA63A7"/>
    <w:rsid w:val="00EA659F"/>
    <w:rsid w:val="00EA739D"/>
    <w:rsid w:val="00EB02F7"/>
    <w:rsid w:val="00EB146E"/>
    <w:rsid w:val="00EB1E10"/>
    <w:rsid w:val="00EB3F54"/>
    <w:rsid w:val="00EB4B23"/>
    <w:rsid w:val="00EB61B9"/>
    <w:rsid w:val="00EB7547"/>
    <w:rsid w:val="00EB7684"/>
    <w:rsid w:val="00EC008D"/>
    <w:rsid w:val="00EC0FD6"/>
    <w:rsid w:val="00EC2B23"/>
    <w:rsid w:val="00EC49C5"/>
    <w:rsid w:val="00EC4A17"/>
    <w:rsid w:val="00EC58CC"/>
    <w:rsid w:val="00EC6D2F"/>
    <w:rsid w:val="00EC744D"/>
    <w:rsid w:val="00ED10BE"/>
    <w:rsid w:val="00ED1D3A"/>
    <w:rsid w:val="00ED256B"/>
    <w:rsid w:val="00ED2850"/>
    <w:rsid w:val="00ED44D2"/>
    <w:rsid w:val="00ED4C2B"/>
    <w:rsid w:val="00ED65A6"/>
    <w:rsid w:val="00ED74DD"/>
    <w:rsid w:val="00EE0440"/>
    <w:rsid w:val="00EE08E8"/>
    <w:rsid w:val="00EE1EE0"/>
    <w:rsid w:val="00EE6196"/>
    <w:rsid w:val="00EE6349"/>
    <w:rsid w:val="00EE6AC5"/>
    <w:rsid w:val="00EE77A2"/>
    <w:rsid w:val="00EF0742"/>
    <w:rsid w:val="00EF0867"/>
    <w:rsid w:val="00EF09B6"/>
    <w:rsid w:val="00EF0A2F"/>
    <w:rsid w:val="00EF1536"/>
    <w:rsid w:val="00EF31CF"/>
    <w:rsid w:val="00EF478C"/>
    <w:rsid w:val="00EF4C0F"/>
    <w:rsid w:val="00EF5557"/>
    <w:rsid w:val="00EF5966"/>
    <w:rsid w:val="00EF63BE"/>
    <w:rsid w:val="00EF7692"/>
    <w:rsid w:val="00F00A6C"/>
    <w:rsid w:val="00F0224C"/>
    <w:rsid w:val="00F02806"/>
    <w:rsid w:val="00F02A49"/>
    <w:rsid w:val="00F02C16"/>
    <w:rsid w:val="00F07EF1"/>
    <w:rsid w:val="00F115B7"/>
    <w:rsid w:val="00F11F96"/>
    <w:rsid w:val="00F126CB"/>
    <w:rsid w:val="00F12DCE"/>
    <w:rsid w:val="00F12FAD"/>
    <w:rsid w:val="00F13B57"/>
    <w:rsid w:val="00F141EC"/>
    <w:rsid w:val="00F142CB"/>
    <w:rsid w:val="00F16571"/>
    <w:rsid w:val="00F16A17"/>
    <w:rsid w:val="00F16E74"/>
    <w:rsid w:val="00F20BE3"/>
    <w:rsid w:val="00F20E96"/>
    <w:rsid w:val="00F21E44"/>
    <w:rsid w:val="00F245E4"/>
    <w:rsid w:val="00F25A51"/>
    <w:rsid w:val="00F260C9"/>
    <w:rsid w:val="00F272B2"/>
    <w:rsid w:val="00F27CCD"/>
    <w:rsid w:val="00F30B11"/>
    <w:rsid w:val="00F30F4A"/>
    <w:rsid w:val="00F31418"/>
    <w:rsid w:val="00F32DEE"/>
    <w:rsid w:val="00F34519"/>
    <w:rsid w:val="00F34A43"/>
    <w:rsid w:val="00F3522A"/>
    <w:rsid w:val="00F35998"/>
    <w:rsid w:val="00F41FCA"/>
    <w:rsid w:val="00F423D6"/>
    <w:rsid w:val="00F44C19"/>
    <w:rsid w:val="00F44F26"/>
    <w:rsid w:val="00F455C2"/>
    <w:rsid w:val="00F457C3"/>
    <w:rsid w:val="00F45C7C"/>
    <w:rsid w:val="00F45F79"/>
    <w:rsid w:val="00F470C5"/>
    <w:rsid w:val="00F47CAA"/>
    <w:rsid w:val="00F502BA"/>
    <w:rsid w:val="00F5059C"/>
    <w:rsid w:val="00F5362C"/>
    <w:rsid w:val="00F5385D"/>
    <w:rsid w:val="00F538CE"/>
    <w:rsid w:val="00F55B9C"/>
    <w:rsid w:val="00F573A4"/>
    <w:rsid w:val="00F57711"/>
    <w:rsid w:val="00F615E4"/>
    <w:rsid w:val="00F6247F"/>
    <w:rsid w:val="00F630EF"/>
    <w:rsid w:val="00F63AC4"/>
    <w:rsid w:val="00F64960"/>
    <w:rsid w:val="00F65186"/>
    <w:rsid w:val="00F656FE"/>
    <w:rsid w:val="00F65A4D"/>
    <w:rsid w:val="00F67987"/>
    <w:rsid w:val="00F67DD9"/>
    <w:rsid w:val="00F7009B"/>
    <w:rsid w:val="00F708FB"/>
    <w:rsid w:val="00F70C0E"/>
    <w:rsid w:val="00F7137F"/>
    <w:rsid w:val="00F71B25"/>
    <w:rsid w:val="00F71CE2"/>
    <w:rsid w:val="00F724E2"/>
    <w:rsid w:val="00F72EDC"/>
    <w:rsid w:val="00F73835"/>
    <w:rsid w:val="00F73A5A"/>
    <w:rsid w:val="00F742F9"/>
    <w:rsid w:val="00F7764C"/>
    <w:rsid w:val="00F80A20"/>
    <w:rsid w:val="00F819EA"/>
    <w:rsid w:val="00F82744"/>
    <w:rsid w:val="00F828C2"/>
    <w:rsid w:val="00F82F67"/>
    <w:rsid w:val="00F83463"/>
    <w:rsid w:val="00F8507F"/>
    <w:rsid w:val="00F85329"/>
    <w:rsid w:val="00F864B6"/>
    <w:rsid w:val="00F90544"/>
    <w:rsid w:val="00F922F9"/>
    <w:rsid w:val="00F92F4E"/>
    <w:rsid w:val="00F9421B"/>
    <w:rsid w:val="00F94818"/>
    <w:rsid w:val="00F94FF9"/>
    <w:rsid w:val="00F95D36"/>
    <w:rsid w:val="00F96A35"/>
    <w:rsid w:val="00F9791A"/>
    <w:rsid w:val="00FA02D8"/>
    <w:rsid w:val="00FA0BA7"/>
    <w:rsid w:val="00FA2355"/>
    <w:rsid w:val="00FA2933"/>
    <w:rsid w:val="00FA5990"/>
    <w:rsid w:val="00FA59BC"/>
    <w:rsid w:val="00FA5EEA"/>
    <w:rsid w:val="00FA6422"/>
    <w:rsid w:val="00FA7181"/>
    <w:rsid w:val="00FA72B1"/>
    <w:rsid w:val="00FB05EA"/>
    <w:rsid w:val="00FB21F4"/>
    <w:rsid w:val="00FB2AE2"/>
    <w:rsid w:val="00FB3A54"/>
    <w:rsid w:val="00FB3D04"/>
    <w:rsid w:val="00FB43F5"/>
    <w:rsid w:val="00FB71FE"/>
    <w:rsid w:val="00FC3370"/>
    <w:rsid w:val="00FC372B"/>
    <w:rsid w:val="00FC3C0B"/>
    <w:rsid w:val="00FC43F4"/>
    <w:rsid w:val="00FC527B"/>
    <w:rsid w:val="00FC619E"/>
    <w:rsid w:val="00FC62E0"/>
    <w:rsid w:val="00FD0195"/>
    <w:rsid w:val="00FD1831"/>
    <w:rsid w:val="00FD2859"/>
    <w:rsid w:val="00FD2AD5"/>
    <w:rsid w:val="00FD41F9"/>
    <w:rsid w:val="00FD4657"/>
    <w:rsid w:val="00FD489F"/>
    <w:rsid w:val="00FD6F36"/>
    <w:rsid w:val="00FD778C"/>
    <w:rsid w:val="00FD78CF"/>
    <w:rsid w:val="00FD7E27"/>
    <w:rsid w:val="00FE0CE3"/>
    <w:rsid w:val="00FE18BF"/>
    <w:rsid w:val="00FE1BEC"/>
    <w:rsid w:val="00FE3E5B"/>
    <w:rsid w:val="00FE49B3"/>
    <w:rsid w:val="00FE5AB7"/>
    <w:rsid w:val="00FE6063"/>
    <w:rsid w:val="00FF1C46"/>
    <w:rsid w:val="00FF3A79"/>
    <w:rsid w:val="00FF5537"/>
    <w:rsid w:val="00FF6478"/>
    <w:rsid w:val="00FF7BC4"/>
  </w:rsids>
  <m:mathPr>
    <m:mathFont m:val="Cambria Math"/>
    <m:brkBin m:val="before"/>
    <m:brkBinSub m:val="--"/>
    <m:smallFrac m:val="0"/>
    <m:dispDef/>
    <m:lMargin m:val="0"/>
    <m:rMargin m:val="0"/>
    <m:defJc m:val="centerGroup"/>
    <m:wrapIndent m:val="1440"/>
    <m:intLim m:val="subSup"/>
    <m:naryLim m:val="undOvr"/>
  </m:mathPr>
  <w:themeFontLang w:val="es-ES" w:eastAsia="zh-TW"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5F279CDD"/>
  <w14:defaultImageDpi w14:val="96"/>
  <w15:docId w15:val="{34E966F6-D1C2-4BC6-A03F-A4D68C5C1B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zh-TW"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pPr>
      <w:suppressAutoHyphens/>
      <w:spacing w:line="240" w:lineRule="exact"/>
    </w:pPr>
    <w:rPr>
      <w:spacing w:val="4"/>
      <w:w w:val="103"/>
      <w:kern w:val="14"/>
      <w:lang w:val="en-GB" w:eastAsia="es-ES"/>
    </w:rPr>
  </w:style>
  <w:style w:type="paragraph" w:styleId="Heading7">
    <w:name w:val="heading 7"/>
    <w:basedOn w:val="Normal"/>
    <w:next w:val="Normal"/>
    <w:link w:val="Heading7Char"/>
    <w:uiPriority w:val="9"/>
    <w:semiHidden/>
    <w:unhideWhenUsed/>
    <w:qFormat/>
    <w:rsid w:val="00603BDA"/>
    <w:pPr>
      <w:keepNext/>
      <w:keepLines/>
      <w:numPr>
        <w:ilvl w:val="6"/>
        <w:numId w:val="18"/>
      </w:numPr>
      <w:spacing w:before="200"/>
      <w:outlineLvl w:val="6"/>
    </w:pPr>
    <w:rPr>
      <w:rFonts w:ascii="Cambria" w:eastAsia="SimSun" w:hAnsi="Cambria"/>
      <w:i/>
      <w:iCs/>
      <w:color w:val="404040"/>
      <w:lang w:val="es-ES" w:eastAsia="en-US"/>
    </w:rPr>
  </w:style>
  <w:style w:type="paragraph" w:styleId="Heading8">
    <w:name w:val="heading 8"/>
    <w:basedOn w:val="Normal"/>
    <w:next w:val="Normal"/>
    <w:link w:val="Heading8Char"/>
    <w:uiPriority w:val="9"/>
    <w:semiHidden/>
    <w:unhideWhenUsed/>
    <w:qFormat/>
    <w:rsid w:val="00603BDA"/>
    <w:pPr>
      <w:keepNext/>
      <w:keepLines/>
      <w:numPr>
        <w:ilvl w:val="7"/>
        <w:numId w:val="18"/>
      </w:numPr>
      <w:spacing w:before="200"/>
      <w:outlineLvl w:val="7"/>
    </w:pPr>
    <w:rPr>
      <w:rFonts w:ascii="Cambria" w:eastAsia="SimSun" w:hAnsi="Cambria"/>
      <w:color w:val="404040"/>
      <w:lang w:val="es-ES" w:eastAsia="en-US"/>
    </w:rPr>
  </w:style>
  <w:style w:type="paragraph" w:styleId="Heading9">
    <w:name w:val="heading 9"/>
    <w:basedOn w:val="Normal"/>
    <w:next w:val="Normal"/>
    <w:link w:val="Heading9Char"/>
    <w:uiPriority w:val="9"/>
    <w:semiHidden/>
    <w:unhideWhenUsed/>
    <w:qFormat/>
    <w:rsid w:val="00603BDA"/>
    <w:pPr>
      <w:keepNext/>
      <w:keepLines/>
      <w:numPr>
        <w:ilvl w:val="8"/>
        <w:numId w:val="18"/>
      </w:numPr>
      <w:spacing w:before="200"/>
      <w:outlineLvl w:val="8"/>
    </w:pPr>
    <w:rPr>
      <w:rFonts w:ascii="Cambria" w:eastAsia="SimSun" w:hAnsi="Cambria"/>
      <w:i/>
      <w:iCs/>
      <w:color w:val="404040"/>
      <w:lang w:val="es-E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uiPriority w:val="9"/>
    <w:semiHidden/>
    <w:locked/>
    <w:rsid w:val="00603BDA"/>
    <w:rPr>
      <w:rFonts w:ascii="Cambria" w:eastAsia="SimSun" w:hAnsi="Cambria"/>
      <w:i/>
      <w:iCs/>
      <w:color w:val="404040"/>
      <w:spacing w:val="4"/>
      <w:w w:val="103"/>
      <w:kern w:val="14"/>
      <w:lang w:eastAsia="en-US"/>
    </w:rPr>
  </w:style>
  <w:style w:type="character" w:customStyle="1" w:styleId="Heading8Char">
    <w:name w:val="Heading 8 Char"/>
    <w:basedOn w:val="DefaultParagraphFont"/>
    <w:link w:val="Heading8"/>
    <w:uiPriority w:val="9"/>
    <w:semiHidden/>
    <w:locked/>
    <w:rsid w:val="00603BDA"/>
    <w:rPr>
      <w:rFonts w:ascii="Cambria" w:eastAsia="SimSun" w:hAnsi="Cambria"/>
      <w:color w:val="404040"/>
      <w:spacing w:val="4"/>
      <w:w w:val="103"/>
      <w:kern w:val="14"/>
      <w:lang w:eastAsia="en-US"/>
    </w:rPr>
  </w:style>
  <w:style w:type="character" w:customStyle="1" w:styleId="Heading9Char">
    <w:name w:val="Heading 9 Char"/>
    <w:basedOn w:val="DefaultParagraphFont"/>
    <w:link w:val="Heading9"/>
    <w:uiPriority w:val="9"/>
    <w:semiHidden/>
    <w:locked/>
    <w:rsid w:val="00603BDA"/>
    <w:rPr>
      <w:rFonts w:ascii="Cambria" w:eastAsia="SimSun" w:hAnsi="Cambria"/>
      <w:i/>
      <w:iCs/>
      <w:color w:val="404040"/>
      <w:spacing w:val="4"/>
      <w:w w:val="103"/>
      <w:kern w:val="14"/>
      <w:lang w:eastAsia="en-US"/>
    </w:rPr>
  </w:style>
  <w:style w:type="paragraph" w:customStyle="1" w:styleId="H1">
    <w:name w:val="_ H_1"/>
    <w:basedOn w:val="Normal"/>
    <w:next w:val="SingleTxt"/>
    <w:qFormat/>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bCs/>
      <w:sz w:val="24"/>
      <w:szCs w:val="24"/>
    </w:rPr>
  </w:style>
  <w:style w:type="paragraph" w:customStyle="1" w:styleId="HCh">
    <w:name w:val="_ H _Ch"/>
    <w:basedOn w:val="H1"/>
    <w:next w:val="SingleTxt"/>
    <w:qFormat/>
    <w:pPr>
      <w:spacing w:line="300" w:lineRule="exact"/>
      <w:ind w:left="0" w:right="0" w:firstLine="0"/>
    </w:pPr>
    <w:rPr>
      <w:spacing w:val="-2"/>
      <w:sz w:val="28"/>
      <w:szCs w:val="28"/>
    </w:rPr>
  </w:style>
  <w:style w:type="paragraph" w:customStyle="1" w:styleId="HM">
    <w:name w:val="_ H __M"/>
    <w:basedOn w:val="HCh"/>
    <w:next w:val="Normal"/>
    <w:qFormat/>
    <w:pPr>
      <w:spacing w:line="360" w:lineRule="exact"/>
    </w:pPr>
    <w:rPr>
      <w:spacing w:val="-3"/>
      <w:w w:val="99"/>
      <w:sz w:val="34"/>
      <w:szCs w:val="34"/>
    </w:rPr>
  </w:style>
  <w:style w:type="paragraph" w:customStyle="1" w:styleId="H23">
    <w:name w:val="_ H_2/3"/>
    <w:basedOn w:val="H1"/>
    <w:next w:val="SingleTxt"/>
    <w:qFormat/>
    <w:pPr>
      <w:spacing w:line="240" w:lineRule="exact"/>
      <w:outlineLvl w:val="1"/>
    </w:pPr>
    <w:rPr>
      <w:spacing w:val="2"/>
      <w:sz w:val="20"/>
      <w:szCs w:val="20"/>
    </w:rPr>
  </w:style>
  <w:style w:type="paragraph" w:customStyle="1" w:styleId="H4">
    <w:name w:val="_ H_4"/>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iCs/>
      <w:spacing w:val="3"/>
    </w:rPr>
  </w:style>
  <w:style w:type="paragraph" w:customStyle="1" w:styleId="H56">
    <w:name w:val="_ H_5/6"/>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bCs/>
      <w:spacing w:val="-4"/>
      <w:w w:val="98"/>
      <w:sz w:val="40"/>
      <w:szCs w:val="40"/>
    </w:rPr>
  </w:style>
  <w:style w:type="paragraph" w:customStyle="1" w:styleId="SL">
    <w:name w:val="__S_L"/>
    <w:basedOn w:val="SM"/>
    <w:next w:val="Normal"/>
    <w:pPr>
      <w:spacing w:line="540" w:lineRule="exact"/>
    </w:pPr>
    <w:rPr>
      <w:spacing w:val="-8"/>
      <w:w w:val="96"/>
      <w:sz w:val="57"/>
      <w:szCs w:val="57"/>
    </w:rPr>
  </w:style>
  <w:style w:type="paragraph" w:customStyle="1" w:styleId="SS">
    <w:name w:val="__S_S"/>
    <w:basedOn w:val="HCh"/>
    <w:next w:val="Normal"/>
    <w:pPr>
      <w:ind w:left="1267" w:right="1267"/>
    </w:pPr>
  </w:style>
  <w:style w:type="paragraph" w:customStyle="1" w:styleId="SingleTxt">
    <w:name w:val="__Single Txt"/>
    <w:basedOn w:val="Normal"/>
    <w:link w:val="SingleTxtChar"/>
    <w:qFormat/>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link w:val="BalloonTextChar"/>
    <w:uiPriority w:val="99"/>
    <w:semiHidden/>
    <w:rPr>
      <w:rFonts w:eastAsia="SimSun"/>
      <w:b/>
      <w:sz w:val="18"/>
      <w:szCs w:val="16"/>
    </w:rPr>
  </w:style>
  <w:style w:type="character" w:customStyle="1" w:styleId="BalloonTextChar">
    <w:name w:val="Balloon Text Char"/>
    <w:basedOn w:val="DefaultParagraphFont"/>
    <w:link w:val="BalloonText"/>
    <w:uiPriority w:val="99"/>
    <w:semiHidden/>
    <w:locked/>
    <w:rPr>
      <w:rFonts w:eastAsia="SimSun"/>
      <w:b/>
      <w:spacing w:val="4"/>
      <w:w w:val="103"/>
      <w:kern w:val="14"/>
      <w:sz w:val="18"/>
      <w:szCs w:val="16"/>
      <w:lang w:val="en-GB" w:eastAsia="es-ES"/>
    </w:rPr>
  </w:style>
  <w:style w:type="character" w:styleId="CommentReference">
    <w:name w:val="annotation reference"/>
    <w:basedOn w:val="DefaultParagraphFont"/>
    <w:uiPriority w:val="99"/>
    <w:semiHidden/>
    <w:rPr>
      <w:rFonts w:cs="Times New Roman"/>
      <w:sz w:val="6"/>
    </w:rPr>
  </w:style>
  <w:style w:type="character" w:styleId="FootnoteReference">
    <w:name w:val="footnote reference"/>
    <w:aliases w:val="4_G,Ref,de nota al pie,Footnote Reference Number,ftref,Footnotes refss,Footnote Reference1,16 Point,Superscript 6 Point,Times 10 Point,Exposant 3 Point,Footnote symbol,Footnote reference number,EN Footnote Reference,note TESI,сноска"/>
    <w:basedOn w:val="DefaultParagraphFont"/>
    <w:qFormat/>
    <w:rPr>
      <w:rFonts w:cs="Times New Roman"/>
      <w:color w:val="auto"/>
      <w:spacing w:val="5"/>
      <w:w w:val="103"/>
      <w:kern w:val="14"/>
      <w:position w:val="0"/>
      <w:vertAlign w:val="superscript"/>
    </w:rPr>
  </w:style>
  <w:style w:type="character" w:styleId="EndnoteReference">
    <w:name w:val="endnote reference"/>
    <w:basedOn w:val="DefaultParagraphFont"/>
    <w:uiPriority w:val="99"/>
    <w:semiHidden/>
    <w:rPr>
      <w:rFonts w:cs="Times New Roman"/>
      <w:color w:val="auto"/>
      <w:spacing w:val="5"/>
      <w:w w:val="103"/>
      <w:kern w:val="14"/>
      <w:position w:val="0"/>
      <w:vertAlign w:val="superscript"/>
    </w:rPr>
  </w:style>
  <w:style w:type="paragraph" w:styleId="FootnoteText">
    <w:name w:val="footnote text"/>
    <w:aliases w:val="5_G,fn,Footnote Text Char Char Char,single space,Текст сноски Знак,Footnote Reference2,FA Fu,Footnote Text Char Char Char Char Char,Footnote Text Char Char Char Car,Footnote Text Char Char Char Car Car Car Car Car Car,Fußnote,Char,f,ADB"/>
    <w:basedOn w:val="Normal"/>
    <w:link w:val="FootnoteTextChar"/>
    <w:uiPriority w:val="99"/>
    <w:qFormat/>
    <w:pPr>
      <w:widowControl w:val="0"/>
      <w:tabs>
        <w:tab w:val="right" w:pos="418"/>
      </w:tabs>
      <w:spacing w:line="210" w:lineRule="exact"/>
      <w:ind w:left="475" w:hanging="475"/>
    </w:pPr>
    <w:rPr>
      <w:spacing w:val="5"/>
      <w:sz w:val="17"/>
      <w:szCs w:val="17"/>
    </w:rPr>
  </w:style>
  <w:style w:type="character" w:customStyle="1" w:styleId="FootnoteTextChar">
    <w:name w:val="Footnote Text Char"/>
    <w:aliases w:val="5_G Char,fn Char,Footnote Text Char Char Char Char,single space Char,Текст сноски Знак Char,Footnote Reference2 Char,FA Fu Char,Footnote Text Char Char Char Char Char Char,Footnote Text Char Char Char Car Char,Fußnote Char,Char Char"/>
    <w:basedOn w:val="DefaultParagraphFont"/>
    <w:link w:val="FootnoteText"/>
    <w:uiPriority w:val="99"/>
    <w:locked/>
    <w:rPr>
      <w:rFonts w:cs="Times New Roman"/>
      <w:spacing w:val="4"/>
      <w:w w:val="103"/>
      <w:kern w:val="14"/>
      <w:lang w:val="en-GB" w:eastAsia="x-none"/>
    </w:rPr>
  </w:style>
  <w:style w:type="paragraph" w:styleId="EndnoteText">
    <w:name w:val="endnote text"/>
    <w:basedOn w:val="FootnoteText"/>
    <w:link w:val="EndnoteTextChar"/>
    <w:uiPriority w:val="99"/>
    <w:semiHidden/>
  </w:style>
  <w:style w:type="character" w:customStyle="1" w:styleId="EndnoteTextChar">
    <w:name w:val="Endnote Text Char"/>
    <w:basedOn w:val="DefaultParagraphFont"/>
    <w:link w:val="EndnoteText"/>
    <w:uiPriority w:val="99"/>
    <w:semiHidden/>
    <w:locked/>
    <w:rPr>
      <w:rFonts w:cs="Times New Roman"/>
      <w:spacing w:val="4"/>
      <w:w w:val="103"/>
      <w:kern w:val="14"/>
      <w:lang w:val="en-GB" w:eastAsia="x-none"/>
    </w:rPr>
  </w:style>
  <w:style w:type="paragraph" w:styleId="Footer">
    <w:name w:val="footer"/>
    <w:basedOn w:val="Normal"/>
    <w:link w:val="FooterChar"/>
    <w:uiPriority w:val="99"/>
    <w:pPr>
      <w:tabs>
        <w:tab w:val="center" w:pos="4320"/>
        <w:tab w:val="right" w:pos="8640"/>
      </w:tabs>
      <w:suppressAutoHyphens w:val="0"/>
      <w:spacing w:line="240" w:lineRule="auto"/>
    </w:pPr>
    <w:rPr>
      <w:b/>
      <w:bCs/>
      <w:noProof/>
      <w:spacing w:val="0"/>
      <w:w w:val="100"/>
      <w:kern w:val="0"/>
      <w:sz w:val="17"/>
      <w:szCs w:val="17"/>
      <w:lang w:val="es-ES"/>
    </w:rPr>
  </w:style>
  <w:style w:type="character" w:customStyle="1" w:styleId="FooterChar">
    <w:name w:val="Footer Char"/>
    <w:basedOn w:val="DefaultParagraphFont"/>
    <w:link w:val="Footer"/>
    <w:uiPriority w:val="99"/>
    <w:semiHidden/>
    <w:locked/>
    <w:rPr>
      <w:rFonts w:cs="Times New Roman"/>
      <w:spacing w:val="4"/>
      <w:w w:val="103"/>
      <w:kern w:val="14"/>
      <w:lang w:val="en-GB" w:eastAsia="x-none"/>
    </w:rPr>
  </w:style>
  <w:style w:type="paragraph" w:styleId="Header">
    <w:name w:val="header"/>
    <w:basedOn w:val="Normal"/>
    <w:link w:val="HeaderChar"/>
    <w:uiPriority w:val="99"/>
    <w:pPr>
      <w:tabs>
        <w:tab w:val="center" w:pos="4320"/>
        <w:tab w:val="right" w:pos="8640"/>
      </w:tabs>
      <w:suppressAutoHyphens w:val="0"/>
      <w:spacing w:line="240" w:lineRule="auto"/>
    </w:pPr>
    <w:rPr>
      <w:noProof/>
      <w:spacing w:val="0"/>
      <w:w w:val="100"/>
      <w:kern w:val="0"/>
      <w:sz w:val="17"/>
      <w:szCs w:val="17"/>
      <w:lang w:val="es-ES"/>
    </w:rPr>
  </w:style>
  <w:style w:type="character" w:customStyle="1" w:styleId="HeaderChar">
    <w:name w:val="Header Char"/>
    <w:basedOn w:val="DefaultParagraphFont"/>
    <w:link w:val="Header"/>
    <w:uiPriority w:val="99"/>
    <w:semiHidden/>
    <w:locked/>
    <w:rPr>
      <w:rFonts w:cs="Times New Roman"/>
      <w:spacing w:val="4"/>
      <w:w w:val="103"/>
      <w:kern w:val="14"/>
      <w:lang w:val="en-GB" w:eastAsia="x-none"/>
    </w:rPr>
  </w:style>
  <w:style w:type="character" w:styleId="LineNumber">
    <w:name w:val="line number"/>
    <w:basedOn w:val="DefaultParagraphFont"/>
    <w:uiPriority w:val="99"/>
    <w:rPr>
      <w:rFonts w:cs="Times New Roman"/>
      <w:sz w:val="14"/>
    </w:rPr>
  </w:style>
  <w:style w:type="paragraph" w:customStyle="1" w:styleId="Small">
    <w:name w:val="Small"/>
    <w:basedOn w:val="Normal"/>
    <w:next w:val="Normal"/>
    <w:pPr>
      <w:tabs>
        <w:tab w:val="right" w:pos="9965"/>
      </w:tabs>
      <w:spacing w:line="210" w:lineRule="exact"/>
    </w:pPr>
    <w:rPr>
      <w:spacing w:val="5"/>
      <w:w w:val="104"/>
      <w:sz w:val="17"/>
      <w:szCs w:val="17"/>
    </w:rPr>
  </w:style>
  <w:style w:type="paragraph" w:customStyle="1" w:styleId="SmallX">
    <w:name w:val="SmallX"/>
    <w:basedOn w:val="Small"/>
    <w:next w:val="Normal"/>
    <w:pPr>
      <w:spacing w:line="180" w:lineRule="exact"/>
      <w:jc w:val="right"/>
    </w:pPr>
    <w:rPr>
      <w:spacing w:val="6"/>
      <w:w w:val="106"/>
      <w:sz w:val="14"/>
      <w:szCs w:val="14"/>
    </w:rPr>
  </w:style>
  <w:style w:type="paragraph" w:customStyle="1" w:styleId="XLarge">
    <w:name w:val="XLarge"/>
    <w:basedOn w:val="HM"/>
    <w:pPr>
      <w:spacing w:line="390" w:lineRule="exact"/>
    </w:pPr>
    <w:rPr>
      <w:spacing w:val="-4"/>
      <w:w w:val="98"/>
      <w:sz w:val="40"/>
      <w:szCs w:val="40"/>
    </w:rPr>
  </w:style>
  <w:style w:type="paragraph" w:styleId="PlainText">
    <w:name w:val="Plain Text"/>
    <w:basedOn w:val="Normal"/>
    <w:link w:val="PlainTextChar"/>
    <w:uiPriority w:val="99"/>
    <w:pPr>
      <w:suppressAutoHyphens w:val="0"/>
      <w:spacing w:line="240" w:lineRule="auto"/>
    </w:pPr>
    <w:rPr>
      <w:rFonts w:ascii="Courier New" w:hAnsi="Courier New" w:cs="Courier New"/>
      <w:spacing w:val="0"/>
      <w:w w:val="100"/>
      <w:kern w:val="0"/>
      <w:lang w:val="en-US"/>
    </w:rPr>
  </w:style>
  <w:style w:type="character" w:customStyle="1" w:styleId="PlainTextChar">
    <w:name w:val="Plain Text Char"/>
    <w:basedOn w:val="DefaultParagraphFont"/>
    <w:link w:val="PlainText"/>
    <w:uiPriority w:val="99"/>
    <w:semiHidden/>
    <w:locked/>
    <w:rPr>
      <w:rFonts w:ascii="Courier New" w:hAnsi="Courier New" w:cs="Times New Roman"/>
      <w:spacing w:val="4"/>
      <w:w w:val="103"/>
      <w:kern w:val="14"/>
      <w:lang w:val="en-GB" w:eastAsia="x-none"/>
    </w:rPr>
  </w:style>
  <w:style w:type="table" w:styleId="TableGrid">
    <w:name w:val="Table Grid"/>
    <w:basedOn w:val="TableNormal"/>
    <w:uiPriority w:val="59"/>
    <w:pPr>
      <w:suppressAutoHyphens/>
      <w:spacing w:line="240" w:lineRule="exac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ItemNormal">
    <w:name w:val="Agenda_Item_Normal"/>
    <w:next w:val="Normal"/>
    <w:rPr>
      <w:spacing w:val="4"/>
      <w:w w:val="103"/>
      <w:kern w:val="14"/>
      <w:lang w:val="en-GB" w:eastAsia="es-ES"/>
    </w:rPr>
  </w:style>
  <w:style w:type="paragraph" w:customStyle="1" w:styleId="TitleH1">
    <w:name w:val="Title_H1"/>
    <w:basedOn w:val="H1"/>
    <w:next w:val="Normal"/>
    <w:qFormat/>
    <w:pPr>
      <w:keepNext w:val="0"/>
      <w:keepLines w:val="0"/>
    </w:pPr>
  </w:style>
  <w:style w:type="paragraph" w:customStyle="1" w:styleId="Session">
    <w:name w:val="Session"/>
    <w:basedOn w:val="H23"/>
    <w:pPr>
      <w:ind w:left="0" w:firstLine="0"/>
    </w:pPr>
    <w:rPr>
      <w:spacing w:val="4"/>
    </w:rPr>
  </w:style>
  <w:style w:type="paragraph" w:customStyle="1" w:styleId="AgendaTitleH2">
    <w:name w:val="Agenda_Title_H2"/>
    <w:basedOn w:val="TitleH1"/>
    <w:next w:val="Normal"/>
    <w:pPr>
      <w:keepNext/>
      <w:keepLines/>
      <w:spacing w:line="240" w:lineRule="exact"/>
      <w:ind w:left="0" w:firstLine="0"/>
      <w:outlineLvl w:val="1"/>
    </w:pPr>
    <w:rPr>
      <w:sz w:val="20"/>
      <w:szCs w:val="20"/>
    </w:rPr>
  </w:style>
  <w:style w:type="paragraph" w:customStyle="1" w:styleId="TitleHCH">
    <w:name w:val="Title_H_CH"/>
    <w:basedOn w:val="HCh"/>
    <w:next w:val="SingleTxt"/>
    <w:qFormat/>
    <w:pPr>
      <w:ind w:left="1267" w:right="1267" w:hanging="1267"/>
    </w:pPr>
  </w:style>
  <w:style w:type="paragraph" w:customStyle="1" w:styleId="TitleH2">
    <w:name w:val="Title_H2"/>
    <w:basedOn w:val="H23"/>
    <w:qFormat/>
  </w:style>
  <w:style w:type="paragraph" w:customStyle="1" w:styleId="Distribution">
    <w:name w:val="Distribution"/>
    <w:next w:val="Normal"/>
    <w:pPr>
      <w:spacing w:before="240"/>
    </w:pPr>
    <w:rPr>
      <w:spacing w:val="4"/>
      <w:w w:val="103"/>
      <w:kern w:val="14"/>
      <w:lang w:val="en-GB" w:eastAsia="es-ES"/>
    </w:rPr>
  </w:style>
  <w:style w:type="paragraph" w:customStyle="1" w:styleId="Publication">
    <w:name w:val="Publication"/>
    <w:next w:val="Normal"/>
    <w:rPr>
      <w:spacing w:val="4"/>
      <w:w w:val="103"/>
      <w:kern w:val="14"/>
      <w:lang w:val="en-GB" w:eastAsia="es-ES"/>
    </w:rPr>
  </w:style>
  <w:style w:type="paragraph" w:customStyle="1" w:styleId="Original">
    <w:name w:val="Original"/>
    <w:next w:val="Normal"/>
    <w:rPr>
      <w:spacing w:val="4"/>
      <w:w w:val="103"/>
      <w:kern w:val="14"/>
      <w:lang w:val="en-GB" w:eastAsia="es-ES"/>
    </w:rPr>
  </w:style>
  <w:style w:type="paragraph" w:customStyle="1" w:styleId="ReleaseDate">
    <w:name w:val="Release Date"/>
    <w:next w:val="Footer"/>
    <w:rPr>
      <w:spacing w:val="4"/>
      <w:w w:val="103"/>
      <w:kern w:val="14"/>
      <w:lang w:val="en-GB" w:eastAsia="es-ES"/>
    </w:rPr>
  </w:style>
  <w:style w:type="character" w:styleId="Hyperlink">
    <w:name w:val="Hyperlink"/>
    <w:basedOn w:val="DefaultParagraphFont"/>
    <w:uiPriority w:val="99"/>
    <w:rPr>
      <w:rFonts w:cs="Times New Roman"/>
      <w:color w:val="0000FF"/>
      <w:u w:val="none"/>
    </w:rPr>
  </w:style>
  <w:style w:type="paragraph" w:customStyle="1" w:styleId="Bullet1">
    <w:name w:val="Bullet 1"/>
    <w:basedOn w:val="Normal"/>
    <w:pPr>
      <w:numPr>
        <w:numId w:val="12"/>
      </w:numPr>
      <w:spacing w:after="120" w:line="240" w:lineRule="atLeast"/>
      <w:ind w:left="1743" w:right="1267" w:hanging="130"/>
      <w:jc w:val="both"/>
    </w:pPr>
  </w:style>
  <w:style w:type="paragraph" w:customStyle="1" w:styleId="Bullet2">
    <w:name w:val="Bullet 2"/>
    <w:basedOn w:val="Normal"/>
    <w:pPr>
      <w:numPr>
        <w:numId w:val="11"/>
      </w:numPr>
      <w:spacing w:after="120"/>
      <w:ind w:left="2217" w:right="1264" w:hanging="130"/>
      <w:jc w:val="both"/>
    </w:pPr>
  </w:style>
  <w:style w:type="paragraph" w:customStyle="1" w:styleId="Bullet3">
    <w:name w:val="Bullet 3"/>
    <w:basedOn w:val="SingleTxt"/>
    <w:pPr>
      <w:numPr>
        <w:numId w:val="1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uiPriority w:val="99"/>
    <w:semiHidden/>
    <w:pPr>
      <w:spacing w:line="240" w:lineRule="auto"/>
    </w:pPr>
    <w:rPr>
      <w:rFonts w:eastAsia="SimSun"/>
      <w:sz w:val="18"/>
    </w:rPr>
  </w:style>
  <w:style w:type="character" w:customStyle="1" w:styleId="CommentTextChar">
    <w:name w:val="Comment Text Char"/>
    <w:basedOn w:val="DefaultParagraphFont"/>
    <w:link w:val="CommentText"/>
    <w:uiPriority w:val="99"/>
    <w:semiHidden/>
    <w:locked/>
    <w:rPr>
      <w:rFonts w:eastAsia="SimSun"/>
      <w:spacing w:val="4"/>
      <w:w w:val="103"/>
      <w:kern w:val="14"/>
      <w:sz w:val="18"/>
      <w:lang w:val="en-GB" w:eastAsia="es-ES"/>
    </w:rPr>
  </w:style>
  <w:style w:type="character" w:customStyle="1" w:styleId="CarCar1">
    <w:name w:val="Car Car1"/>
    <w:locked/>
    <w:rPr>
      <w:spacing w:val="4"/>
      <w:w w:val="103"/>
      <w:kern w:val="14"/>
      <w:lang w:val="en-GB" w:eastAsia="x-none"/>
    </w:rPr>
  </w:style>
  <w:style w:type="paragraph" w:styleId="CommentSubject">
    <w:name w:val="annotation subject"/>
    <w:basedOn w:val="CommentText"/>
    <w:next w:val="CommentText"/>
    <w:link w:val="CommentSubjectChar"/>
    <w:uiPriority w:val="99"/>
    <w:semiHidden/>
    <w:rPr>
      <w:b/>
      <w:bCs/>
    </w:rPr>
  </w:style>
  <w:style w:type="character" w:customStyle="1" w:styleId="CommentSubjectChar">
    <w:name w:val="Comment Subject Char"/>
    <w:basedOn w:val="CommentTextChar"/>
    <w:link w:val="CommentSubject"/>
    <w:uiPriority w:val="99"/>
    <w:semiHidden/>
    <w:locked/>
    <w:rPr>
      <w:rFonts w:eastAsia="SimSun" w:cs="Times New Roman"/>
      <w:b/>
      <w:spacing w:val="4"/>
      <w:w w:val="103"/>
      <w:kern w:val="14"/>
      <w:sz w:val="18"/>
      <w:lang w:val="en-GB" w:eastAsia="x-none"/>
    </w:rPr>
  </w:style>
  <w:style w:type="character" w:customStyle="1" w:styleId="CarCar">
    <w:name w:val="Car Car"/>
    <w:locked/>
    <w:rPr>
      <w:b/>
      <w:spacing w:val="4"/>
      <w:w w:val="103"/>
      <w:kern w:val="14"/>
      <w:lang w:val="en-GB" w:eastAsia="x-none"/>
    </w:rPr>
  </w:style>
  <w:style w:type="character" w:styleId="FollowedHyperlink">
    <w:name w:val="FollowedHyperlink"/>
    <w:basedOn w:val="DefaultParagraphFont"/>
    <w:uiPriority w:val="99"/>
    <w:rPr>
      <w:rFonts w:cs="Times New Roman"/>
      <w:color w:val="0000FF"/>
      <w:u w:val="none"/>
    </w:rPr>
  </w:style>
  <w:style w:type="character" w:customStyle="1" w:styleId="tw4winMark">
    <w:name w:val="tw4winMark"/>
    <w:rPr>
      <w:rFonts w:ascii="Courier New" w:hAnsi="Courier New"/>
      <w:vanish/>
      <w:color w:val="800080"/>
      <w:sz w:val="24"/>
      <w:vertAlign w:val="subscript"/>
    </w:rPr>
  </w:style>
  <w:style w:type="character" w:customStyle="1" w:styleId="preferred">
    <w:name w:val="preferred"/>
  </w:style>
  <w:style w:type="character" w:customStyle="1" w:styleId="tw4winError">
    <w:name w:val="tw4winError"/>
    <w:rPr>
      <w:rFonts w:ascii="Courier New" w:hAnsi="Courier New"/>
      <w:color w:val="00FF00"/>
      <w:sz w:val="40"/>
    </w:rPr>
  </w:style>
  <w:style w:type="character" w:customStyle="1" w:styleId="tw4winTerm">
    <w:name w:val="tw4winTerm"/>
    <w:rPr>
      <w:color w:val="0000FF"/>
    </w:rPr>
  </w:style>
  <w:style w:type="character" w:customStyle="1" w:styleId="tw4winPopup">
    <w:name w:val="tw4winPopup"/>
    <w:rPr>
      <w:rFonts w:ascii="Courier New" w:hAnsi="Courier New"/>
      <w:noProof/>
      <w:color w:val="008000"/>
    </w:rPr>
  </w:style>
  <w:style w:type="character" w:customStyle="1" w:styleId="tw4winJump">
    <w:name w:val="tw4winJump"/>
    <w:rPr>
      <w:rFonts w:ascii="Courier New" w:hAnsi="Courier New"/>
      <w:noProof/>
      <w:color w:val="008080"/>
    </w:rPr>
  </w:style>
  <w:style w:type="character" w:customStyle="1" w:styleId="tw4winExternal">
    <w:name w:val="tw4winExternal"/>
    <w:rPr>
      <w:rFonts w:ascii="Courier New" w:hAnsi="Courier New"/>
      <w:noProof/>
      <w:color w:val="808080"/>
    </w:rPr>
  </w:style>
  <w:style w:type="character" w:customStyle="1" w:styleId="tw4winInternal">
    <w:name w:val="tw4winInternal"/>
    <w:rPr>
      <w:rFonts w:ascii="Courier New" w:hAnsi="Courier New"/>
      <w:noProof/>
      <w:color w:val="FF0000"/>
    </w:rPr>
  </w:style>
  <w:style w:type="character" w:customStyle="1" w:styleId="DONOTTRANSLATE">
    <w:name w:val="DO_NOT_TRANSLATE"/>
    <w:rPr>
      <w:rFonts w:ascii="Courier New" w:hAnsi="Courier New"/>
      <w:noProof/>
      <w:color w:val="800000"/>
    </w:rPr>
  </w:style>
  <w:style w:type="paragraph" w:styleId="ListNumber2">
    <w:name w:val="List Number 2"/>
    <w:basedOn w:val="Normal"/>
    <w:uiPriority w:val="99"/>
    <w:rsid w:val="00352A6C"/>
    <w:pPr>
      <w:tabs>
        <w:tab w:val="num" w:pos="643"/>
      </w:tabs>
      <w:spacing w:line="240" w:lineRule="atLeast"/>
      <w:ind w:left="643" w:hanging="360"/>
    </w:pPr>
    <w:rPr>
      <w:spacing w:val="0"/>
      <w:w w:val="100"/>
      <w:kern w:val="0"/>
      <w:lang w:eastAsia="en-US"/>
    </w:rPr>
  </w:style>
  <w:style w:type="paragraph" w:customStyle="1" w:styleId="7P">
    <w:name w:val="_ 7_ P"/>
    <w:basedOn w:val="Normal"/>
    <w:next w:val="Normal"/>
    <w:qFormat/>
    <w:rsid w:val="00BA204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iCs/>
      <w:spacing w:val="3"/>
      <w:sz w:val="14"/>
      <w:szCs w:val="24"/>
      <w:lang w:val="es-ES" w:eastAsia="en-US"/>
    </w:rPr>
  </w:style>
  <w:style w:type="paragraph" w:styleId="ListParagraph">
    <w:name w:val="List Paragraph"/>
    <w:basedOn w:val="Normal"/>
    <w:link w:val="ListParagraphChar"/>
    <w:uiPriority w:val="34"/>
    <w:qFormat/>
    <w:rsid w:val="00603BDA"/>
    <w:pPr>
      <w:ind w:left="720"/>
      <w:contextualSpacing/>
    </w:pPr>
    <w:rPr>
      <w:lang w:val="es-ES" w:eastAsia="en-US"/>
    </w:rPr>
  </w:style>
  <w:style w:type="character" w:customStyle="1" w:styleId="ListParagraphChar">
    <w:name w:val="List Paragraph Char"/>
    <w:link w:val="ListParagraph"/>
    <w:uiPriority w:val="34"/>
    <w:locked/>
    <w:rsid w:val="00603BDA"/>
    <w:rPr>
      <w:spacing w:val="4"/>
      <w:w w:val="103"/>
      <w:kern w:val="14"/>
      <w:lang w:val="x-none" w:eastAsia="en-US"/>
    </w:rPr>
  </w:style>
  <w:style w:type="character" w:customStyle="1" w:styleId="SingleTxtChar">
    <w:name w:val="__Single Txt Char"/>
    <w:link w:val="SingleTxt"/>
    <w:locked/>
    <w:rsid w:val="00ED74DD"/>
    <w:rPr>
      <w:spacing w:val="4"/>
      <w:w w:val="103"/>
      <w:kern w:val="14"/>
      <w:lang w:val="en-GB" w:eastAsia="es-ES"/>
    </w:rPr>
  </w:style>
  <w:style w:type="table" w:customStyle="1" w:styleId="TableGrid2">
    <w:name w:val="Table Grid2"/>
    <w:basedOn w:val="TableNormal"/>
    <w:next w:val="TableGrid"/>
    <w:uiPriority w:val="39"/>
    <w:rsid w:val="009A52B5"/>
    <w:pPr>
      <w:suppressAutoHyphens/>
      <w:spacing w:line="240" w:lineRule="atLeast"/>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BodyA">
    <w:name w:val="Body A"/>
    <w:rsid w:val="005E4AC4"/>
    <w:pPr>
      <w:suppressAutoHyphens/>
      <w:spacing w:line="240" w:lineRule="atLeast"/>
    </w:pPr>
    <w:rPr>
      <w:rFonts w:eastAsia="Arial Unicode MS" w:cs="Arial Unicode MS"/>
      <w:color w:val="000000"/>
      <w:u w:color="000000"/>
      <w:lang w:val="en-US" w:eastAsia="en-GB"/>
    </w:rPr>
  </w:style>
  <w:style w:type="character" w:styleId="PlaceholderText">
    <w:name w:val="Placeholder Text"/>
    <w:basedOn w:val="DefaultParagraphFont"/>
    <w:uiPriority w:val="99"/>
    <w:semiHidden/>
    <w:rsid w:val="00EC6D2F"/>
    <w:rPr>
      <w:color w:val="808080"/>
    </w:rPr>
  </w:style>
  <w:style w:type="paragraph" w:styleId="Revision">
    <w:name w:val="Revision"/>
    <w:hidden/>
    <w:uiPriority w:val="99"/>
    <w:semiHidden/>
    <w:rsid w:val="00361B06"/>
    <w:rPr>
      <w:spacing w:val="4"/>
      <w:w w:val="103"/>
      <w:kern w:val="14"/>
      <w:lang w:val="en-GB"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oter" Target="footer2.xml"/><Relationship Id="rId18" Type="http://schemas.openxmlformats.org/officeDocument/2006/relationships/hyperlink" Target="https://undocs.org/es/CEDAW/C/BFA/Q/7" TargetMode="External"/><Relationship Id="rId26" Type="http://schemas.openxmlformats.org/officeDocument/2006/relationships/hyperlink" Target="https://undocs.org/es/S/RES/1820(2008)" TargetMode="External"/><Relationship Id="rId3" Type="http://schemas.openxmlformats.org/officeDocument/2006/relationships/styles" Target="styles.xml"/><Relationship Id="rId21" Type="http://schemas.openxmlformats.org/officeDocument/2006/relationships/hyperlink" Target="https://undocs.org/es/CEDAW/C/BFA/6"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s://undocs.org/CEDAW/C/SR.1532" TargetMode="External"/><Relationship Id="rId25" Type="http://schemas.openxmlformats.org/officeDocument/2006/relationships/hyperlink" Target="https://undocs.org/es/S/RES/1325(2000)"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undocs.org/es/CEDAW/C/BFA/7" TargetMode="External"/><Relationship Id="rId20" Type="http://schemas.openxmlformats.org/officeDocument/2006/relationships/hyperlink" Target="https://undocs.org/es/CEDAW/C/BFA/CO/6/Add.1" TargetMode="External"/><Relationship Id="rId29" Type="http://schemas.openxmlformats.org/officeDocument/2006/relationships/hyperlink" Target="https://undocs.org/A/HRC/21/22/Corr.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yperlink" Target="https://undocs.org/es/S/RES/1820(2008)"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yperlink" Target="https://undocs.org/es/S/RES/1325(2000)" TargetMode="External"/><Relationship Id="rId28" Type="http://schemas.openxmlformats.org/officeDocument/2006/relationships/hyperlink" Target="https://undocs.org/es/A/HRC/21/22" TargetMode="External"/><Relationship Id="rId10" Type="http://schemas.openxmlformats.org/officeDocument/2006/relationships/header" Target="header1.xml"/><Relationship Id="rId19" Type="http://schemas.openxmlformats.org/officeDocument/2006/relationships/hyperlink" Target="https://undocs.org/es/CEDAW/C/BFA/Q/7/Add.1" TargetMode="External"/><Relationship Id="rId31" Type="http://schemas.openxmlformats.org/officeDocument/2006/relationships/hyperlink" Target="https://undocs.org/es/HRI/GEN/2/Rev.6" TargetMode="Externa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header" Target="header3.xml"/><Relationship Id="rId22" Type="http://schemas.openxmlformats.org/officeDocument/2006/relationships/hyperlink" Target="https://undocs.org/es/CEDAW/C/BFA/CO/6/Add.1" TargetMode="External"/><Relationship Id="rId27" Type="http://schemas.openxmlformats.org/officeDocument/2006/relationships/hyperlink" Target="https://undocs.org/es/CEDAW/C/BFA/CO/6" TargetMode="External"/><Relationship Id="rId30" Type="http://schemas.openxmlformats.org/officeDocument/2006/relationships/hyperlink" Target="https://undocs.org/A/HRC/21/22/Corr.2"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50B88A-C540-43CF-93C6-2144CFF583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8609</Words>
  <Characters>45620</Characters>
  <Application>Microsoft Office Word</Application>
  <DocSecurity>0</DocSecurity>
  <Lines>380</Lines>
  <Paragraphs>108</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54121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creator>Morgan Greene</dc:creator>
  <cp:lastModifiedBy>Victoria Villalobos Ayala De Rivera</cp:lastModifiedBy>
  <cp:revision>2</cp:revision>
  <cp:lastPrinted>2016-03-30T20:24:00Z</cp:lastPrinted>
  <dcterms:created xsi:type="dcterms:W3CDTF">2018-01-17T16:25:00Z</dcterms:created>
  <dcterms:modified xsi:type="dcterms:W3CDTF">2018-01-17T16:25:00Z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1720373S</vt:lpwstr>
  </property>
  <property fmtid="{D5CDD505-2E9C-101B-9397-08002B2CF9AE}" pid="3" name="ODSRefJobNo">
    <vt:lpwstr>1739441S</vt:lpwstr>
  </property>
  <property fmtid="{D5CDD505-2E9C-101B-9397-08002B2CF9AE}" pid="4" name="Symbol1">
    <vt:lpwstr>CEDAW/C/BFA/CO/7</vt:lpwstr>
  </property>
  <property fmtid="{D5CDD505-2E9C-101B-9397-08002B2CF9AE}" pid="5" name="Symbol2">
    <vt:lpwstr/>
  </property>
  <property fmtid="{D5CDD505-2E9C-101B-9397-08002B2CF9AE}" pid="6" name="Category">
    <vt:lpwstr>Document</vt:lpwstr>
  </property>
  <property fmtid="{D5CDD505-2E9C-101B-9397-08002B2CF9AE}" pid="7" name="Original">
    <vt:lpwstr>inglés</vt:lpwstr>
  </property>
  <property fmtid="{D5CDD505-2E9C-101B-9397-08002B2CF9AE}" pid="8" name="Title1">
    <vt:lpwstr>Comité para la Eliminación de la Discriminación contra la Mujer_x000d_</vt:lpwstr>
  </property>
  <property fmtid="{D5CDD505-2E9C-101B-9397-08002B2CF9AE}" pid="9" name="Title2">
    <vt:lpwstr>		Observaciones finales sobre el séptimo informe periódico de Burkina Faso*_x000d_</vt:lpwstr>
  </property>
</Properties>
</file>