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C175A6" w14:paraId="076CD916" w14:textId="77777777" w:rsidTr="005B51C4">
        <w:trPr>
          <w:trHeight w:hRule="exact" w:val="851"/>
        </w:trPr>
        <w:tc>
          <w:tcPr>
            <w:tcW w:w="1274" w:type="dxa"/>
            <w:tcBorders>
              <w:bottom w:val="single" w:sz="4" w:space="0" w:color="auto"/>
            </w:tcBorders>
            <w:shd w:val="clear" w:color="auto" w:fill="auto"/>
          </w:tcPr>
          <w:p w14:paraId="3EBB6BAA" w14:textId="77777777" w:rsidR="006B3E27" w:rsidRPr="00C175A6" w:rsidRDefault="006B3E27" w:rsidP="00E6596C">
            <w:pPr>
              <w:kinsoku w:val="0"/>
              <w:overflowPunct w:val="0"/>
              <w:autoSpaceDE w:val="0"/>
              <w:autoSpaceDN w:val="0"/>
              <w:adjustRightInd w:val="0"/>
              <w:snapToGrid w:val="0"/>
              <w:jc w:val="center"/>
              <w:rPr>
                <w:rFonts w:hint="cs"/>
                <w:sz w:val="56"/>
                <w:szCs w:val="56"/>
                <w:rtl/>
              </w:rPr>
            </w:pPr>
          </w:p>
        </w:tc>
        <w:tc>
          <w:tcPr>
            <w:tcW w:w="4537" w:type="dxa"/>
            <w:tcBorders>
              <w:bottom w:val="single" w:sz="4" w:space="0" w:color="auto"/>
            </w:tcBorders>
            <w:shd w:val="clear" w:color="auto" w:fill="auto"/>
            <w:vAlign w:val="bottom"/>
          </w:tcPr>
          <w:p w14:paraId="371E35F8" w14:textId="77777777" w:rsidR="006B3E27" w:rsidRPr="00C175A6" w:rsidRDefault="006B3E27" w:rsidP="00730446">
            <w:pPr>
              <w:spacing w:after="80" w:line="480" w:lineRule="exact"/>
              <w:ind w:left="57"/>
              <w:rPr>
                <w:sz w:val="30"/>
                <w:szCs w:val="30"/>
                <w:rtl/>
              </w:rPr>
            </w:pPr>
            <w:r w:rsidRPr="00C175A6">
              <w:rPr>
                <w:rFonts w:hint="cs"/>
                <w:sz w:val="30"/>
                <w:szCs w:val="30"/>
                <w:rtl/>
              </w:rPr>
              <w:t>الأمم المتحدة</w:t>
            </w:r>
          </w:p>
        </w:tc>
        <w:tc>
          <w:tcPr>
            <w:tcW w:w="3828" w:type="dxa"/>
            <w:tcBorders>
              <w:bottom w:val="single" w:sz="4" w:space="0" w:color="auto"/>
            </w:tcBorders>
            <w:shd w:val="clear" w:color="auto" w:fill="auto"/>
            <w:vAlign w:val="bottom"/>
          </w:tcPr>
          <w:p w14:paraId="1D094370" w14:textId="78A40976" w:rsidR="006B3E27" w:rsidRPr="00BE3171" w:rsidRDefault="00BE3171" w:rsidP="00BE3171">
            <w:pPr>
              <w:bidi w:val="0"/>
              <w:rPr>
                <w:szCs w:val="20"/>
              </w:rPr>
            </w:pPr>
            <w:r w:rsidRPr="005D2B82">
              <w:rPr>
                <w:sz w:val="40"/>
                <w:szCs w:val="20"/>
              </w:rPr>
              <w:t>CCPR</w:t>
            </w:r>
            <w:r w:rsidRPr="005D2B82">
              <w:rPr>
                <w:szCs w:val="20"/>
              </w:rPr>
              <w:t>/C/DEU/CO/</w:t>
            </w:r>
            <w:r w:rsidRPr="004471BA">
              <w:t>7</w:t>
            </w:r>
            <w:r w:rsidR="00950D62" w:rsidRPr="00950D62">
              <w:rPr>
                <w:rStyle w:val="FootnoteReference"/>
                <w:sz w:val="22"/>
                <w:szCs w:val="22"/>
                <w:vertAlign w:val="baseline"/>
                <w:rtl/>
              </w:rPr>
              <w:footnoteReference w:customMarkFollows="1" w:id="1"/>
              <w:t>*</w:t>
            </w:r>
          </w:p>
        </w:tc>
      </w:tr>
      <w:tr w:rsidR="006B3E27" w:rsidRPr="00C175A6" w14:paraId="6F051023" w14:textId="77777777" w:rsidTr="005B51C4">
        <w:trPr>
          <w:trHeight w:hRule="exact" w:val="2835"/>
        </w:trPr>
        <w:tc>
          <w:tcPr>
            <w:tcW w:w="1274" w:type="dxa"/>
            <w:tcBorders>
              <w:top w:val="single" w:sz="4" w:space="0" w:color="auto"/>
              <w:bottom w:val="single" w:sz="12" w:space="0" w:color="auto"/>
            </w:tcBorders>
            <w:shd w:val="clear" w:color="auto" w:fill="auto"/>
          </w:tcPr>
          <w:p w14:paraId="75D0D9B6" w14:textId="77777777" w:rsidR="006B3E27" w:rsidRPr="00C175A6" w:rsidRDefault="00E2228E" w:rsidP="009A0CFB">
            <w:pPr>
              <w:spacing w:before="120"/>
              <w:jc w:val="center"/>
              <w:rPr>
                <w:sz w:val="56"/>
                <w:szCs w:val="56"/>
                <w:rtl/>
              </w:rPr>
            </w:pPr>
            <w:r w:rsidRPr="00C175A6">
              <w:rPr>
                <w:noProof/>
                <w:sz w:val="56"/>
                <w:szCs w:val="56"/>
              </w:rPr>
              <w:drawing>
                <wp:inline distT="0" distB="0" distL="0" distR="0" wp14:anchorId="793F139F" wp14:editId="03E0B2A7">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683D0836" w14:textId="77777777" w:rsidR="006B3E27" w:rsidRPr="004471BA" w:rsidRDefault="00ED7442" w:rsidP="00730446">
            <w:pPr>
              <w:spacing w:before="120" w:after="40" w:line="640" w:lineRule="exact"/>
              <w:ind w:left="57"/>
              <w:rPr>
                <w:b/>
                <w:bCs/>
                <w:sz w:val="46"/>
                <w:szCs w:val="46"/>
              </w:rPr>
            </w:pPr>
            <w:r w:rsidRPr="004471BA">
              <w:rPr>
                <w:rFonts w:hint="cs"/>
                <w:b/>
                <w:bCs/>
                <w:sz w:val="46"/>
                <w:szCs w:val="4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14:paraId="13805926" w14:textId="77777777" w:rsidR="006B3E27" w:rsidRDefault="00BE3171" w:rsidP="004B27E0">
            <w:pPr>
              <w:bidi w:val="0"/>
              <w:spacing w:before="240"/>
              <w:rPr>
                <w:szCs w:val="20"/>
              </w:rPr>
            </w:pPr>
            <w:r>
              <w:rPr>
                <w:szCs w:val="20"/>
              </w:rPr>
              <w:t>Distr.: General</w:t>
            </w:r>
          </w:p>
          <w:p w14:paraId="2384563D" w14:textId="07F7F7FA" w:rsidR="00BE3171" w:rsidRDefault="00E24B0E" w:rsidP="00BE3171">
            <w:pPr>
              <w:bidi w:val="0"/>
              <w:spacing w:line="240" w:lineRule="exact"/>
              <w:jc w:val="left"/>
              <w:rPr>
                <w:szCs w:val="20"/>
              </w:rPr>
            </w:pPr>
            <w:r w:rsidRPr="004471BA">
              <w:t>30</w:t>
            </w:r>
            <w:r>
              <w:t xml:space="preserve"> November </w:t>
            </w:r>
            <w:r w:rsidRPr="004471BA">
              <w:t>2021</w:t>
            </w:r>
          </w:p>
          <w:p w14:paraId="4C70AC7E" w14:textId="77777777" w:rsidR="00BE3171" w:rsidRDefault="00BE3171" w:rsidP="00BE3171">
            <w:pPr>
              <w:bidi w:val="0"/>
              <w:spacing w:line="240" w:lineRule="exact"/>
              <w:jc w:val="left"/>
              <w:rPr>
                <w:szCs w:val="20"/>
              </w:rPr>
            </w:pPr>
            <w:r>
              <w:rPr>
                <w:szCs w:val="20"/>
              </w:rPr>
              <w:t>Arabic</w:t>
            </w:r>
          </w:p>
          <w:p w14:paraId="0870EB71" w14:textId="3610AEFB" w:rsidR="00BE3171" w:rsidRPr="00BE3171" w:rsidRDefault="00BE3171" w:rsidP="00BE3171">
            <w:pPr>
              <w:bidi w:val="0"/>
              <w:spacing w:line="240" w:lineRule="exact"/>
              <w:jc w:val="left"/>
              <w:rPr>
                <w:szCs w:val="20"/>
              </w:rPr>
            </w:pPr>
            <w:r>
              <w:rPr>
                <w:szCs w:val="20"/>
              </w:rPr>
              <w:t>Original: English</w:t>
            </w:r>
          </w:p>
        </w:tc>
      </w:tr>
    </w:tbl>
    <w:p w14:paraId="27608FC8" w14:textId="77777777" w:rsidR="00A946B8" w:rsidRPr="004471BA" w:rsidRDefault="00A946B8" w:rsidP="003A7777">
      <w:pPr>
        <w:spacing w:before="120" w:line="360" w:lineRule="exact"/>
        <w:textDirection w:val="tbRlV"/>
        <w:rPr>
          <w:b/>
          <w:sz w:val="26"/>
          <w:szCs w:val="26"/>
          <w:lang w:val="ar-SA" w:eastAsia="zh-TW" w:bidi="en-GB"/>
        </w:rPr>
      </w:pPr>
      <w:r w:rsidRPr="004471BA">
        <w:rPr>
          <w:b/>
          <w:bCs/>
          <w:sz w:val="26"/>
          <w:szCs w:val="26"/>
          <w:rtl/>
        </w:rPr>
        <w:t>اللجنة المعنية بحقوق الإنسان</w:t>
      </w:r>
    </w:p>
    <w:p w14:paraId="3E78BB73" w14:textId="72F34C83" w:rsidR="00A946B8" w:rsidRPr="004471BA" w:rsidRDefault="00A946B8" w:rsidP="00A946B8">
      <w:pPr>
        <w:pStyle w:val="HChGA"/>
        <w:rPr>
          <w:szCs w:val="20"/>
          <w:rtl/>
          <w:lang w:val="ar-SA" w:eastAsia="zh-TW" w:bidi="en-GB"/>
        </w:rPr>
      </w:pPr>
      <w:r w:rsidRPr="004471BA">
        <w:rPr>
          <w:rtl/>
        </w:rPr>
        <w:tab/>
      </w:r>
      <w:r w:rsidRPr="004471BA">
        <w:rPr>
          <w:rtl/>
        </w:rPr>
        <w:tab/>
        <w:t>الملاحظات الختامية بشأن التقرير الدوري السابع لألمانيا</w:t>
      </w:r>
      <w:r w:rsidR="003A7777" w:rsidRPr="004471BA">
        <w:rPr>
          <w:rStyle w:val="FootnoteReference"/>
          <w:sz w:val="22"/>
          <w:szCs w:val="22"/>
          <w:vertAlign w:val="baseline"/>
          <w:rtl/>
        </w:rPr>
        <w:footnoteReference w:customMarkFollows="1" w:id="2"/>
        <w:t>*</w:t>
      </w:r>
      <w:r w:rsidR="00950D62">
        <w:rPr>
          <w:rStyle w:val="FootnoteReference"/>
          <w:rFonts w:hint="cs"/>
          <w:sz w:val="22"/>
          <w:szCs w:val="22"/>
          <w:vertAlign w:val="baseline"/>
          <w:rtl/>
        </w:rPr>
        <w:t>*</w:t>
      </w:r>
    </w:p>
    <w:p w14:paraId="38BC02A2" w14:textId="6ED35864" w:rsidR="00A946B8" w:rsidRPr="00950D62" w:rsidRDefault="00A946B8" w:rsidP="00A946B8">
      <w:pPr>
        <w:pStyle w:val="SingleTxtGA"/>
        <w:rPr>
          <w:szCs w:val="20"/>
          <w:lang w:val="en-US" w:eastAsia="zh-TW" w:bidi="en-GB"/>
        </w:rPr>
      </w:pPr>
      <w:r w:rsidRPr="004471BA">
        <w:rPr>
          <w:rtl/>
        </w:rPr>
        <w:t>1</w:t>
      </w:r>
      <w:r>
        <w:rPr>
          <w:rFonts w:ascii="Traditional Arabic"/>
          <w:szCs w:val="20"/>
          <w:rtl/>
        </w:rPr>
        <w:t>-</w:t>
      </w:r>
      <w:r>
        <w:rPr>
          <w:rtl/>
        </w:rPr>
        <w:tab/>
        <w:t>نظرت اللجنة في التقرير الدوري السابع لألمانيا</w:t>
      </w:r>
      <w:r w:rsidR="008C0B42">
        <w:rPr>
          <w:rStyle w:val="FootnoteReference"/>
          <w:rtl/>
        </w:rPr>
        <w:t>(</w:t>
      </w:r>
      <w:r w:rsidR="008C0B42" w:rsidRPr="004471BA">
        <w:rPr>
          <w:rStyle w:val="FootnoteReference"/>
          <w:lang w:val="en-US"/>
        </w:rPr>
        <w:footnoteReference w:id="3"/>
      </w:r>
      <w:r w:rsidR="008C0B42">
        <w:rPr>
          <w:rStyle w:val="FootnoteReference"/>
          <w:rtl/>
        </w:rPr>
        <w:t>)</w:t>
      </w:r>
      <w:r>
        <w:rPr>
          <w:rtl/>
        </w:rPr>
        <w:t xml:space="preserve"> في </w:t>
      </w:r>
      <w:proofErr w:type="spellStart"/>
      <w:r>
        <w:rPr>
          <w:rtl/>
        </w:rPr>
        <w:t>جلسيتها</w:t>
      </w:r>
      <w:proofErr w:type="spellEnd"/>
      <w:r>
        <w:rPr>
          <w:rtl/>
        </w:rPr>
        <w:t xml:space="preserve"> </w:t>
      </w:r>
      <w:r w:rsidRPr="004471BA">
        <w:rPr>
          <w:rtl/>
        </w:rPr>
        <w:t>3801</w:t>
      </w:r>
      <w:r>
        <w:rPr>
          <w:rtl/>
        </w:rPr>
        <w:t xml:space="preserve"> </w:t>
      </w:r>
      <w:proofErr w:type="spellStart"/>
      <w:r>
        <w:rPr>
          <w:rtl/>
        </w:rPr>
        <w:t>و</w:t>
      </w:r>
      <w:r w:rsidRPr="004471BA">
        <w:rPr>
          <w:rtl/>
        </w:rPr>
        <w:t>3802</w:t>
      </w:r>
      <w:proofErr w:type="spellEnd"/>
      <w:r w:rsidR="008C0B42">
        <w:rPr>
          <w:rStyle w:val="FootnoteReference"/>
          <w:rtl/>
        </w:rPr>
        <w:t>(</w:t>
      </w:r>
      <w:r w:rsidR="008C0B42" w:rsidRPr="004471BA">
        <w:rPr>
          <w:rStyle w:val="FootnoteReference"/>
          <w:lang w:val="en-US"/>
        </w:rPr>
        <w:footnoteReference w:id="4"/>
      </w:r>
      <w:r w:rsidR="008C0B42">
        <w:rPr>
          <w:rStyle w:val="FootnoteReference"/>
          <w:rtl/>
        </w:rPr>
        <w:t>)</w:t>
      </w:r>
      <w:r w:rsidR="003A7777">
        <w:rPr>
          <w:rFonts w:hint="cs"/>
          <w:rtl/>
        </w:rPr>
        <w:t>،</w:t>
      </w:r>
      <w:r>
        <w:rPr>
          <w:rtl/>
        </w:rPr>
        <w:t xml:space="preserve"> المعقودتين يومي </w:t>
      </w:r>
      <w:r w:rsidRPr="004471BA">
        <w:rPr>
          <w:rtl/>
        </w:rPr>
        <w:t>11</w:t>
      </w:r>
      <w:r>
        <w:rPr>
          <w:rtl/>
        </w:rPr>
        <w:t xml:space="preserve"> و</w:t>
      </w:r>
      <w:r w:rsidRPr="004471BA">
        <w:rPr>
          <w:rtl/>
        </w:rPr>
        <w:t>12</w:t>
      </w:r>
      <w:r>
        <w:rPr>
          <w:rtl/>
        </w:rPr>
        <w:t xml:space="preserve"> تشرين الأول/أكتوبر </w:t>
      </w:r>
      <w:r w:rsidRPr="004471BA">
        <w:rPr>
          <w:rtl/>
        </w:rPr>
        <w:t>2021</w:t>
      </w:r>
      <w:r>
        <w:rPr>
          <w:rtl/>
        </w:rPr>
        <w:t xml:space="preserve"> في شكل هجين بسبب القيود المفروضة في سياق جائحة فيروس كورونا (كوفيد-</w:t>
      </w:r>
      <w:r w:rsidRPr="004471BA">
        <w:rPr>
          <w:rtl/>
        </w:rPr>
        <w:t>19</w:t>
      </w:r>
      <w:r>
        <w:rPr>
          <w:rFonts w:ascii="Traditional Arabic"/>
          <w:szCs w:val="20"/>
          <w:rtl/>
        </w:rPr>
        <w:t>)</w:t>
      </w:r>
      <w:r>
        <w:rPr>
          <w:rtl/>
        </w:rPr>
        <w:t xml:space="preserve">. واعتمدت هذه الملاحظات الختامية في جلستها </w:t>
      </w:r>
      <w:r w:rsidRPr="004471BA">
        <w:rPr>
          <w:rtl/>
        </w:rPr>
        <w:t>3828</w:t>
      </w:r>
      <w:r>
        <w:rPr>
          <w:rtl/>
        </w:rPr>
        <w:t xml:space="preserve">، المعقودة في </w:t>
      </w:r>
      <w:r w:rsidRPr="004471BA">
        <w:rPr>
          <w:rtl/>
        </w:rPr>
        <w:t>1</w:t>
      </w:r>
      <w:r>
        <w:rPr>
          <w:rtl/>
        </w:rPr>
        <w:t xml:space="preserve"> تشرين الثاني/نوفمبر </w:t>
      </w:r>
      <w:r w:rsidRPr="004471BA">
        <w:rPr>
          <w:rtl/>
        </w:rPr>
        <w:t>2021</w:t>
      </w:r>
      <w:r>
        <w:rPr>
          <w:rtl/>
        </w:rPr>
        <w:t>.</w:t>
      </w:r>
    </w:p>
    <w:p w14:paraId="1FBDC68A" w14:textId="0B0C017B" w:rsidR="00A946B8" w:rsidRPr="00950D62" w:rsidRDefault="00A946B8" w:rsidP="00A946B8">
      <w:pPr>
        <w:pStyle w:val="H1GA"/>
        <w:rPr>
          <w:szCs w:val="20"/>
          <w:lang w:val="en-US" w:eastAsia="zh-TW"/>
        </w:rPr>
      </w:pPr>
      <w:r w:rsidRPr="004471BA">
        <w:rPr>
          <w:rtl/>
        </w:rPr>
        <w:tab/>
        <w:t>ألف-</w:t>
      </w:r>
      <w:r w:rsidRPr="004471BA">
        <w:rPr>
          <w:rtl/>
        </w:rPr>
        <w:tab/>
        <w:t>مقدمة</w:t>
      </w:r>
    </w:p>
    <w:p w14:paraId="4E764CC3" w14:textId="2A6139B7" w:rsidR="00A946B8" w:rsidRPr="00C3791E" w:rsidRDefault="00A946B8" w:rsidP="00A946B8">
      <w:pPr>
        <w:pStyle w:val="SingleTxtGA"/>
        <w:rPr>
          <w:szCs w:val="20"/>
          <w:lang w:val="ar-SA" w:eastAsia="zh-TW" w:bidi="en-GB"/>
        </w:rPr>
      </w:pPr>
      <w:r w:rsidRPr="004471BA">
        <w:rPr>
          <w:rtl/>
        </w:rPr>
        <w:t>2</w:t>
      </w:r>
      <w:r>
        <w:rPr>
          <w:rFonts w:ascii="Traditional Arabic"/>
          <w:szCs w:val="20"/>
          <w:rtl/>
        </w:rPr>
        <w:t>-</w:t>
      </w:r>
      <w:r>
        <w:rPr>
          <w:rtl/>
        </w:rPr>
        <w:tab/>
        <w:t>ترحب اللجنة بتقديم تقرير ألمانيا الدوري السابع وبالمعلومات الواردة فيه. وتعرب عن تقديرها للفرصة التي أتيحت لها لتجديد حوارها البناء مع وفد الدولة الطرف بشأن التدابير المتخذة خلال الفترة المشمولة بالتقرير من أجل تنفيذ أحكام العهد. وتعرب اللجنة عن امتنانها للدولة الطرف لما قدمته من ردود كتابية</w:t>
      </w:r>
      <w:r w:rsidR="008C0B42">
        <w:rPr>
          <w:rStyle w:val="FootnoteReference"/>
          <w:rtl/>
        </w:rPr>
        <w:t>(</w:t>
      </w:r>
      <w:r w:rsidR="008C0B42" w:rsidRPr="004471BA">
        <w:rPr>
          <w:rStyle w:val="FootnoteReference"/>
          <w:lang w:val="en-US"/>
        </w:rPr>
        <w:footnoteReference w:id="5"/>
      </w:r>
      <w:r w:rsidR="008C0B42">
        <w:rPr>
          <w:rStyle w:val="FootnoteReference"/>
          <w:rtl/>
        </w:rPr>
        <w:t>)</w:t>
      </w:r>
      <w:r>
        <w:rPr>
          <w:rtl/>
        </w:rPr>
        <w:t xml:space="preserve"> على قائمة المسائل المحالة قبل تقديم التقرير</w:t>
      </w:r>
      <w:r w:rsidR="008C0B42">
        <w:rPr>
          <w:rStyle w:val="FootnoteReference"/>
          <w:rtl/>
        </w:rPr>
        <w:t>(</w:t>
      </w:r>
      <w:r w:rsidR="008C0B42" w:rsidRPr="004471BA">
        <w:rPr>
          <w:rStyle w:val="FootnoteReference"/>
          <w:lang w:val="en-US"/>
        </w:rPr>
        <w:footnoteReference w:id="6"/>
      </w:r>
      <w:r w:rsidR="008C0B42">
        <w:rPr>
          <w:rStyle w:val="FootnoteReference"/>
          <w:rtl/>
        </w:rPr>
        <w:t>)</w:t>
      </w:r>
      <w:r>
        <w:rPr>
          <w:rtl/>
        </w:rPr>
        <w:t>، التي استكُملت بالردود الشفوية التي قدمها الوفد، وللمعلومات التكميلية المقدمة إليها كتابةً.</w:t>
      </w:r>
    </w:p>
    <w:p w14:paraId="2B6BAA42" w14:textId="66A18A52" w:rsidR="00A946B8" w:rsidRPr="004471BA" w:rsidRDefault="00A946B8" w:rsidP="00A946B8">
      <w:pPr>
        <w:pStyle w:val="H1GA"/>
        <w:rPr>
          <w:rFonts w:eastAsiaTheme="minorEastAsia"/>
          <w:szCs w:val="20"/>
          <w:lang w:val="ar-SA" w:eastAsia="zh-TW" w:bidi="en-GB"/>
        </w:rPr>
      </w:pPr>
      <w:r w:rsidRPr="004471BA">
        <w:rPr>
          <w:rtl/>
        </w:rPr>
        <w:tab/>
        <w:t>باء-</w:t>
      </w:r>
      <w:r w:rsidRPr="004471BA">
        <w:rPr>
          <w:rtl/>
        </w:rPr>
        <w:tab/>
        <w:t>الجوانب الإيجابية</w:t>
      </w:r>
    </w:p>
    <w:p w14:paraId="5C6F8283" w14:textId="77777777" w:rsidR="00A946B8" w:rsidRDefault="00A946B8" w:rsidP="00A946B8">
      <w:pPr>
        <w:pStyle w:val="SingleTxtGA"/>
        <w:rPr>
          <w:szCs w:val="20"/>
          <w:lang w:val="ar-SA" w:eastAsia="zh-TW" w:bidi="en-GB"/>
        </w:rPr>
      </w:pPr>
      <w:r w:rsidRPr="004471BA">
        <w:rPr>
          <w:rtl/>
        </w:rPr>
        <w:t>3</w:t>
      </w:r>
      <w:r>
        <w:rPr>
          <w:rFonts w:ascii="Traditional Arabic"/>
          <w:szCs w:val="20"/>
          <w:rtl/>
        </w:rPr>
        <w:t>-</w:t>
      </w:r>
      <w:r>
        <w:rPr>
          <w:rtl/>
        </w:rPr>
        <w:tab/>
        <w:t>ترحب اللجنة باعتماد الدولة الطرف التدابير التشريعية التالية:</w:t>
      </w:r>
    </w:p>
    <w:p w14:paraId="3CEEC1F1" w14:textId="5E44664C" w:rsidR="00A946B8" w:rsidRPr="002B0E47" w:rsidRDefault="00A946B8" w:rsidP="00A946B8">
      <w:pPr>
        <w:pStyle w:val="SingleTxtGA"/>
        <w:rPr>
          <w:szCs w:val="20"/>
          <w:lang w:val="ar-SA" w:eastAsia="zh-TW" w:bidi="en-GB"/>
        </w:rPr>
      </w:pPr>
      <w:r>
        <w:rPr>
          <w:rtl/>
        </w:rPr>
        <w:tab/>
        <w:t>(أ)</w:t>
      </w:r>
      <w:r>
        <w:rPr>
          <w:rtl/>
        </w:rPr>
        <w:tab/>
        <w:t xml:space="preserve">قانون تعزيز إبلاغ الشركات عن المعلومات غير المالية في تقاريرها الإدارية وتقاريرها الإدارية الجماعية </w:t>
      </w:r>
      <w:r>
        <w:rPr>
          <w:rFonts w:ascii="Traditional Arabic"/>
          <w:szCs w:val="20"/>
          <w:rtl/>
        </w:rPr>
        <w:t>(</w:t>
      </w:r>
      <w:r w:rsidRPr="004471BA">
        <w:rPr>
          <w:rtl/>
        </w:rPr>
        <w:t>2017</w:t>
      </w:r>
      <w:r>
        <w:rPr>
          <w:rFonts w:ascii="Traditional Arabic"/>
          <w:szCs w:val="20"/>
          <w:rtl/>
        </w:rPr>
        <w:t>)</w:t>
      </w:r>
      <w:r>
        <w:rPr>
          <w:rtl/>
        </w:rPr>
        <w:t xml:space="preserve"> وقانون العناية الواجبة على الشركات في سلاسل التوريد </w:t>
      </w:r>
      <w:r>
        <w:rPr>
          <w:rFonts w:ascii="Traditional Arabic"/>
          <w:szCs w:val="20"/>
          <w:rtl/>
        </w:rPr>
        <w:t>(</w:t>
      </w:r>
      <w:r w:rsidRPr="004471BA">
        <w:rPr>
          <w:rtl/>
        </w:rPr>
        <w:t>2021</w:t>
      </w:r>
      <w:r>
        <w:rPr>
          <w:rFonts w:ascii="Traditional Arabic"/>
          <w:szCs w:val="20"/>
          <w:rtl/>
        </w:rPr>
        <w:t>)</w:t>
      </w:r>
      <w:r>
        <w:rPr>
          <w:rtl/>
        </w:rPr>
        <w:t>؛</w:t>
      </w:r>
    </w:p>
    <w:p w14:paraId="2E931909" w14:textId="01154AC7" w:rsidR="00A946B8" w:rsidRPr="002B0E47" w:rsidRDefault="00A946B8" w:rsidP="00A946B8">
      <w:pPr>
        <w:pStyle w:val="SingleTxtGA"/>
        <w:rPr>
          <w:szCs w:val="20"/>
          <w:lang w:val="ar-SA" w:eastAsia="zh-TW" w:bidi="en-GB"/>
        </w:rPr>
      </w:pPr>
      <w:r>
        <w:rPr>
          <w:rtl/>
        </w:rPr>
        <w:tab/>
        <w:t>(ب)</w:t>
      </w:r>
      <w:r>
        <w:rPr>
          <w:rtl/>
        </w:rPr>
        <w:tab/>
        <w:t xml:space="preserve">التصديق على اتفاقية مجلس أوروبا لمنع ومكافحة العنف بالمرأة والعنف المنزلي (اتفاقية اسطنبول) وتعزيز الإطار القانوني الوطني بشأن العنف بالمرأة، بطرق منها اعتماد قانون تحسين الحماية من المطاردة، في عام </w:t>
      </w:r>
      <w:r w:rsidRPr="004471BA">
        <w:rPr>
          <w:rtl/>
        </w:rPr>
        <w:t>2017</w:t>
      </w:r>
      <w:r>
        <w:rPr>
          <w:rtl/>
        </w:rPr>
        <w:t xml:space="preserve">، وقانون الحماية من العنف والمطاردة، في عام </w:t>
      </w:r>
      <w:r w:rsidRPr="004471BA">
        <w:rPr>
          <w:rtl/>
        </w:rPr>
        <w:t>2021</w:t>
      </w:r>
      <w:r>
        <w:rPr>
          <w:rtl/>
        </w:rPr>
        <w:t>؛</w:t>
      </w:r>
    </w:p>
    <w:p w14:paraId="5C3449FB" w14:textId="28E26D9D" w:rsidR="00A946B8" w:rsidRPr="003E6B4F" w:rsidRDefault="00A946B8" w:rsidP="00A946B8">
      <w:pPr>
        <w:pStyle w:val="SingleTxtGA"/>
        <w:rPr>
          <w:spacing w:val="-2"/>
          <w:szCs w:val="20"/>
          <w:lang w:val="ar-SA" w:eastAsia="zh-TW" w:bidi="en-GB"/>
        </w:rPr>
      </w:pPr>
      <w:r>
        <w:rPr>
          <w:rtl/>
        </w:rPr>
        <w:lastRenderedPageBreak/>
        <w:tab/>
        <w:t>(ج)</w:t>
      </w:r>
      <w:r>
        <w:rPr>
          <w:rtl/>
        </w:rPr>
        <w:tab/>
        <w:t xml:space="preserve">تنقيح المادة </w:t>
      </w:r>
      <w:r w:rsidRPr="004471BA">
        <w:rPr>
          <w:rtl/>
        </w:rPr>
        <w:t>219</w:t>
      </w:r>
      <w:r>
        <w:rPr>
          <w:rFonts w:ascii="Traditional Arabic"/>
          <w:szCs w:val="20"/>
          <w:rtl/>
        </w:rPr>
        <w:t>(</w:t>
      </w:r>
      <w:r>
        <w:rPr>
          <w:rtl/>
        </w:rPr>
        <w:t>أ</w:t>
      </w:r>
      <w:r>
        <w:rPr>
          <w:rFonts w:ascii="Traditional Arabic"/>
          <w:szCs w:val="20"/>
          <w:rtl/>
        </w:rPr>
        <w:t>)</w:t>
      </w:r>
      <w:r>
        <w:rPr>
          <w:rtl/>
        </w:rPr>
        <w:t xml:space="preserve"> من القانون الجنائي، التي تحظر إشهار المعلومات المتعلقة </w:t>
      </w:r>
      <w:r w:rsidRPr="003E6B4F">
        <w:rPr>
          <w:spacing w:val="-2"/>
          <w:rtl/>
        </w:rPr>
        <w:t xml:space="preserve">بالإجهاض، من خلال إصدار قانون تحسين الوصول إلى المعلومات المتعلقة بالإجهاض، في عام </w:t>
      </w:r>
      <w:r w:rsidRPr="004471BA">
        <w:rPr>
          <w:spacing w:val="-2"/>
          <w:rtl/>
        </w:rPr>
        <w:t>2019</w:t>
      </w:r>
      <w:r w:rsidRPr="003E6B4F">
        <w:rPr>
          <w:spacing w:val="-2"/>
          <w:rtl/>
        </w:rPr>
        <w:t>؛</w:t>
      </w:r>
    </w:p>
    <w:p w14:paraId="5D07089C" w14:textId="1193F828" w:rsidR="00A946B8" w:rsidRPr="002B0E47" w:rsidRDefault="00A946B8" w:rsidP="00A946B8">
      <w:pPr>
        <w:pStyle w:val="SingleTxtGA"/>
        <w:rPr>
          <w:szCs w:val="20"/>
          <w:lang w:val="ar-SA" w:eastAsia="zh-TW" w:bidi="en-GB"/>
        </w:rPr>
      </w:pPr>
      <w:r>
        <w:rPr>
          <w:rtl/>
        </w:rPr>
        <w:tab/>
        <w:t>(د)</w:t>
      </w:r>
      <w:r>
        <w:rPr>
          <w:rtl/>
        </w:rPr>
        <w:tab/>
        <w:t xml:space="preserve">قانون تغير المناخ </w:t>
      </w:r>
      <w:r>
        <w:rPr>
          <w:rFonts w:ascii="Traditional Arabic"/>
          <w:szCs w:val="20"/>
          <w:rtl/>
        </w:rPr>
        <w:t>(</w:t>
      </w:r>
      <w:r w:rsidRPr="004471BA">
        <w:rPr>
          <w:rtl/>
        </w:rPr>
        <w:t>2019</w:t>
      </w:r>
      <w:r>
        <w:rPr>
          <w:rFonts w:ascii="Traditional Arabic"/>
          <w:szCs w:val="20"/>
          <w:rtl/>
        </w:rPr>
        <w:t>)</w:t>
      </w:r>
      <w:r>
        <w:rPr>
          <w:rtl/>
        </w:rPr>
        <w:t>؛</w:t>
      </w:r>
    </w:p>
    <w:p w14:paraId="71E22E1F" w14:textId="74A3C685" w:rsidR="00A946B8" w:rsidRPr="002B0E47" w:rsidRDefault="00A946B8" w:rsidP="00A946B8">
      <w:pPr>
        <w:pStyle w:val="SingleTxtGA"/>
        <w:rPr>
          <w:szCs w:val="20"/>
          <w:lang w:val="ar-SA" w:eastAsia="zh-TW" w:bidi="en-GB"/>
        </w:rPr>
      </w:pPr>
      <w:r>
        <w:rPr>
          <w:rtl/>
        </w:rPr>
        <w:tab/>
        <w:t>(هـ)</w:t>
      </w:r>
      <w:r>
        <w:rPr>
          <w:rtl/>
        </w:rPr>
        <w:tab/>
        <w:t xml:space="preserve">قانون تعزيز حقوق الأشخاص المحتجزين لدى الشرطة </w:t>
      </w:r>
      <w:r>
        <w:rPr>
          <w:rFonts w:ascii="Traditional Arabic"/>
          <w:szCs w:val="20"/>
          <w:rtl/>
        </w:rPr>
        <w:t>(</w:t>
      </w:r>
      <w:r w:rsidRPr="004471BA">
        <w:rPr>
          <w:rtl/>
        </w:rPr>
        <w:t>2018</w:t>
      </w:r>
      <w:r>
        <w:rPr>
          <w:rFonts w:ascii="Traditional Arabic"/>
          <w:szCs w:val="20"/>
          <w:rtl/>
        </w:rPr>
        <w:t>)</w:t>
      </w:r>
      <w:r>
        <w:rPr>
          <w:rtl/>
        </w:rPr>
        <w:t xml:space="preserve">، وقانون تعزيز الحقوق الإجرائية للمتهمين في الدعاوى الجنائية وتعديل قانون محاكم القضاة العاديين </w:t>
      </w:r>
      <w:r>
        <w:rPr>
          <w:rFonts w:ascii="Traditional Arabic"/>
          <w:szCs w:val="20"/>
          <w:rtl/>
        </w:rPr>
        <w:t>(</w:t>
      </w:r>
      <w:r w:rsidRPr="004471BA">
        <w:rPr>
          <w:rtl/>
        </w:rPr>
        <w:t>2017</w:t>
      </w:r>
      <w:r>
        <w:rPr>
          <w:rFonts w:ascii="Traditional Arabic"/>
          <w:szCs w:val="20"/>
          <w:rtl/>
        </w:rPr>
        <w:t>)</w:t>
      </w:r>
      <w:r>
        <w:rPr>
          <w:rtl/>
        </w:rPr>
        <w:t xml:space="preserve">، وقانون إصلاح قانون التمثيل القانوني الإلزامي </w:t>
      </w:r>
      <w:r>
        <w:rPr>
          <w:rFonts w:ascii="Traditional Arabic"/>
          <w:szCs w:val="20"/>
          <w:rtl/>
        </w:rPr>
        <w:t>(</w:t>
      </w:r>
      <w:r w:rsidRPr="004471BA">
        <w:rPr>
          <w:rtl/>
        </w:rPr>
        <w:t>2019</w:t>
      </w:r>
      <w:r>
        <w:rPr>
          <w:rFonts w:ascii="Traditional Arabic"/>
          <w:szCs w:val="20"/>
          <w:rtl/>
        </w:rPr>
        <w:t>)</w:t>
      </w:r>
      <w:r>
        <w:rPr>
          <w:rtl/>
        </w:rPr>
        <w:t>؛</w:t>
      </w:r>
    </w:p>
    <w:p w14:paraId="0D105938" w14:textId="4A03D669" w:rsidR="00A946B8" w:rsidRPr="002B0E47" w:rsidRDefault="00A946B8" w:rsidP="00A946B8">
      <w:pPr>
        <w:pStyle w:val="SingleTxtGA"/>
        <w:rPr>
          <w:szCs w:val="20"/>
          <w:lang w:val="ar-SA" w:eastAsia="zh-TW" w:bidi="en-GB"/>
        </w:rPr>
      </w:pPr>
      <w:r>
        <w:rPr>
          <w:rtl/>
        </w:rPr>
        <w:tab/>
        <w:t>(و)</w:t>
      </w:r>
      <w:r>
        <w:rPr>
          <w:rtl/>
        </w:rPr>
        <w:tab/>
        <w:t xml:space="preserve">قانون تعديل قانون الانتخابات الاتحادي وتشريعات أخرى </w:t>
      </w:r>
      <w:r>
        <w:rPr>
          <w:rFonts w:ascii="Traditional Arabic"/>
          <w:szCs w:val="20"/>
          <w:rtl/>
        </w:rPr>
        <w:t>(</w:t>
      </w:r>
      <w:r w:rsidRPr="004471BA">
        <w:rPr>
          <w:rtl/>
        </w:rPr>
        <w:t>2019</w:t>
      </w:r>
      <w:r>
        <w:rPr>
          <w:rFonts w:ascii="Traditional Arabic"/>
          <w:szCs w:val="20"/>
          <w:rtl/>
        </w:rPr>
        <w:t>)</w:t>
      </w:r>
      <w:r>
        <w:rPr>
          <w:rtl/>
        </w:rPr>
        <w:t xml:space="preserve"> الذي يزيل القيود المفروضة على حقوق التصويت للأشخاص ذوي الإعاقة والأشخاص ذوي المسؤولية الجنائية المنقوصة.</w:t>
      </w:r>
    </w:p>
    <w:p w14:paraId="473B79DB" w14:textId="25BA5A02" w:rsidR="00A946B8" w:rsidRPr="004471BA" w:rsidRDefault="00A946B8" w:rsidP="00A946B8">
      <w:pPr>
        <w:pStyle w:val="H1GA"/>
        <w:rPr>
          <w:rFonts w:eastAsiaTheme="minorEastAsia"/>
          <w:szCs w:val="20"/>
          <w:lang w:val="en-US" w:eastAsia="zh-TW" w:bidi="en-GB"/>
        </w:rPr>
      </w:pPr>
      <w:r w:rsidRPr="004471BA">
        <w:rPr>
          <w:rtl/>
        </w:rPr>
        <w:tab/>
        <w:t>جيم-</w:t>
      </w:r>
      <w:r w:rsidRPr="004471BA">
        <w:rPr>
          <w:rtl/>
        </w:rPr>
        <w:tab/>
        <w:t>دواعي القلق الرئيسية والتوصيات</w:t>
      </w:r>
    </w:p>
    <w:p w14:paraId="4FBEAF75" w14:textId="77777777" w:rsidR="00A946B8" w:rsidRPr="004471BA" w:rsidRDefault="00A946B8" w:rsidP="00A946B8">
      <w:pPr>
        <w:pStyle w:val="H23GA"/>
        <w:rPr>
          <w:szCs w:val="20"/>
          <w:lang w:val="ar-SA" w:eastAsia="zh-TW" w:bidi="en-GB"/>
        </w:rPr>
      </w:pPr>
      <w:r w:rsidRPr="004471BA">
        <w:rPr>
          <w:rtl/>
        </w:rPr>
        <w:tab/>
      </w:r>
      <w:r w:rsidRPr="004471BA">
        <w:rPr>
          <w:rtl/>
        </w:rPr>
        <w:tab/>
        <w:t>التحفظات</w:t>
      </w:r>
    </w:p>
    <w:p w14:paraId="615E00BB" w14:textId="77777777" w:rsidR="00A946B8" w:rsidRPr="003E6B4F" w:rsidRDefault="00A946B8" w:rsidP="00A946B8">
      <w:pPr>
        <w:pStyle w:val="SingleTxtGA"/>
        <w:rPr>
          <w:lang w:val="ar-SA" w:eastAsia="zh-TW" w:bidi="en-GB"/>
        </w:rPr>
      </w:pPr>
      <w:r w:rsidRPr="004471BA">
        <w:rPr>
          <w:rtl/>
        </w:rPr>
        <w:t>4</w:t>
      </w:r>
      <w:r w:rsidRPr="003E6B4F">
        <w:rPr>
          <w:rFonts w:ascii="Traditional Arabic"/>
          <w:rtl/>
        </w:rPr>
        <w:t>-</w:t>
      </w:r>
      <w:r w:rsidRPr="003E6B4F">
        <w:rPr>
          <w:rtl/>
        </w:rPr>
        <w:tab/>
        <w:t xml:space="preserve">يساور اللجنة القلق لأن الدولة الطرف تبقي على عدد من التحفظات، بما في ذلك التحفظ على المادة </w:t>
      </w:r>
      <w:r w:rsidRPr="004471BA">
        <w:rPr>
          <w:rtl/>
        </w:rPr>
        <w:t>15</w:t>
      </w:r>
      <w:r w:rsidRPr="003E6B4F">
        <w:rPr>
          <w:rFonts w:ascii="Traditional Arabic"/>
          <w:rtl/>
        </w:rPr>
        <w:t>(</w:t>
      </w:r>
      <w:r w:rsidRPr="004471BA">
        <w:rPr>
          <w:rtl/>
        </w:rPr>
        <w:t>1</w:t>
      </w:r>
      <w:r w:rsidRPr="003E6B4F">
        <w:rPr>
          <w:rFonts w:ascii="Traditional Arabic"/>
          <w:rtl/>
        </w:rPr>
        <w:t>)</w:t>
      </w:r>
      <w:r w:rsidRPr="003E6B4F">
        <w:rPr>
          <w:rtl/>
        </w:rPr>
        <w:t xml:space="preserve"> من العهد والمادة </w:t>
      </w:r>
      <w:r w:rsidRPr="004471BA">
        <w:rPr>
          <w:rtl/>
        </w:rPr>
        <w:t>5</w:t>
      </w:r>
      <w:r w:rsidRPr="003E6B4F">
        <w:rPr>
          <w:rFonts w:ascii="Traditional Arabic"/>
          <w:rtl/>
        </w:rPr>
        <w:t>(</w:t>
      </w:r>
      <w:r w:rsidRPr="004471BA">
        <w:rPr>
          <w:rtl/>
        </w:rPr>
        <w:t>2</w:t>
      </w:r>
      <w:r w:rsidRPr="003E6B4F">
        <w:rPr>
          <w:rFonts w:ascii="Traditional Arabic"/>
          <w:rtl/>
        </w:rPr>
        <w:t>)(</w:t>
      </w:r>
      <w:r w:rsidRPr="003E6B4F">
        <w:rPr>
          <w:rtl/>
        </w:rPr>
        <w:t>أ</w:t>
      </w:r>
      <w:r w:rsidRPr="003E6B4F">
        <w:rPr>
          <w:rFonts w:ascii="Traditional Arabic"/>
          <w:rtl/>
        </w:rPr>
        <w:t>)</w:t>
      </w:r>
      <w:r w:rsidRPr="003E6B4F">
        <w:rPr>
          <w:rtl/>
        </w:rPr>
        <w:t xml:space="preserve"> من بروتوكوله الاختياري الأول. وفي حين ترحب اللجنة بتصريح الدولة الطرف أثناء الحوار التفاعلي بأنها ستنظر في سحب تلك التحفظات، فهي لا تزال قلقة إزاء غموض موعد إحداث هذه التغييرات وما إذا كانت جميع التحفظات ستُسحب (المادة </w:t>
      </w:r>
      <w:r w:rsidRPr="004471BA">
        <w:rPr>
          <w:rtl/>
        </w:rPr>
        <w:t>2</w:t>
      </w:r>
      <w:r w:rsidRPr="003E6B4F">
        <w:rPr>
          <w:rFonts w:ascii="Traditional Arabic"/>
          <w:rtl/>
        </w:rPr>
        <w:t>)</w:t>
      </w:r>
      <w:r w:rsidRPr="003E6B4F">
        <w:rPr>
          <w:rtl/>
        </w:rPr>
        <w:t>.</w:t>
      </w:r>
    </w:p>
    <w:p w14:paraId="6E4EEEFB" w14:textId="53BA9A4E" w:rsidR="00A946B8" w:rsidRPr="004471BA" w:rsidRDefault="00A946B8" w:rsidP="00A946B8">
      <w:pPr>
        <w:pStyle w:val="SingleTxtGA"/>
        <w:rPr>
          <w:b/>
          <w:bCs/>
          <w:lang w:val="ar-SA" w:eastAsia="zh-TW" w:bidi="en-GB"/>
        </w:rPr>
      </w:pPr>
      <w:r w:rsidRPr="004471BA">
        <w:rPr>
          <w:rtl/>
        </w:rPr>
        <w:t>5</w:t>
      </w:r>
      <w:r w:rsidRPr="003E6B4F">
        <w:rPr>
          <w:rFonts w:ascii="Traditional Arabic"/>
          <w:rtl/>
        </w:rPr>
        <w:t>-</w:t>
      </w:r>
      <w:r w:rsidRPr="003E6B4F">
        <w:rPr>
          <w:rtl/>
        </w:rPr>
        <w:tab/>
      </w:r>
      <w:r w:rsidRPr="004471BA">
        <w:rPr>
          <w:b/>
          <w:bCs/>
          <w:rtl/>
        </w:rPr>
        <w:t>تشير اللجنة إلى توصيتها السابقة</w:t>
      </w:r>
      <w:r w:rsidR="008C0B42" w:rsidRPr="004471BA">
        <w:rPr>
          <w:rStyle w:val="FootnoteReference"/>
          <w:b/>
          <w:bCs/>
          <w:szCs w:val="22"/>
          <w:rtl/>
        </w:rPr>
        <w:t>(</w:t>
      </w:r>
      <w:r w:rsidR="008C0B42" w:rsidRPr="004471BA">
        <w:rPr>
          <w:rStyle w:val="FootnoteReference"/>
          <w:b/>
          <w:bCs/>
          <w:szCs w:val="22"/>
          <w:lang w:val="en-US"/>
        </w:rPr>
        <w:footnoteReference w:id="7"/>
      </w:r>
      <w:r w:rsidR="008C0B42" w:rsidRPr="004471BA">
        <w:rPr>
          <w:rStyle w:val="FootnoteReference"/>
          <w:b/>
          <w:bCs/>
          <w:szCs w:val="22"/>
          <w:rtl/>
        </w:rPr>
        <w:t>)</w:t>
      </w:r>
      <w:r w:rsidRPr="004471BA">
        <w:rPr>
          <w:b/>
          <w:bCs/>
          <w:rtl/>
        </w:rPr>
        <w:t>، وتوصي الدولةَ الطرف بأن تولي مزيدا من الاعتبار لاتخاذ خطوات ملموسة بهدف سحب تحفظاتها، بما في ذلك على المادة 15</w:t>
      </w:r>
      <w:r w:rsidRPr="004471BA">
        <w:rPr>
          <w:rFonts w:ascii="Traditional Arabic"/>
          <w:b/>
          <w:bCs/>
          <w:rtl/>
        </w:rPr>
        <w:t>(</w:t>
      </w:r>
      <w:r w:rsidRPr="004471BA">
        <w:rPr>
          <w:b/>
          <w:bCs/>
          <w:rtl/>
        </w:rPr>
        <w:t>1</w:t>
      </w:r>
      <w:r w:rsidRPr="004471BA">
        <w:rPr>
          <w:rFonts w:ascii="Traditional Arabic"/>
          <w:b/>
          <w:bCs/>
          <w:rtl/>
        </w:rPr>
        <w:t>)</w:t>
      </w:r>
      <w:r w:rsidRPr="004471BA">
        <w:rPr>
          <w:b/>
          <w:bCs/>
          <w:rtl/>
        </w:rPr>
        <w:t xml:space="preserve"> من العهد والمادة</w:t>
      </w:r>
      <w:r w:rsidR="00BD348A" w:rsidRPr="004471BA">
        <w:rPr>
          <w:rFonts w:hint="cs"/>
          <w:b/>
          <w:bCs/>
          <w:rtl/>
        </w:rPr>
        <w:t> </w:t>
      </w:r>
      <w:r w:rsidRPr="004471BA">
        <w:rPr>
          <w:b/>
          <w:bCs/>
          <w:rtl/>
        </w:rPr>
        <w:t>5</w:t>
      </w:r>
      <w:r w:rsidRPr="004471BA">
        <w:rPr>
          <w:rFonts w:ascii="Traditional Arabic"/>
          <w:b/>
          <w:bCs/>
          <w:rtl/>
        </w:rPr>
        <w:t>(</w:t>
      </w:r>
      <w:r w:rsidRPr="004471BA">
        <w:rPr>
          <w:b/>
          <w:bCs/>
          <w:rtl/>
        </w:rPr>
        <w:t>2</w:t>
      </w:r>
      <w:r w:rsidRPr="004471BA">
        <w:rPr>
          <w:rFonts w:ascii="Traditional Arabic"/>
          <w:b/>
          <w:bCs/>
          <w:rtl/>
        </w:rPr>
        <w:t>)(</w:t>
      </w:r>
      <w:r w:rsidRPr="004471BA">
        <w:rPr>
          <w:b/>
          <w:bCs/>
          <w:rtl/>
        </w:rPr>
        <w:t>أ</w:t>
      </w:r>
      <w:r w:rsidRPr="004471BA">
        <w:rPr>
          <w:rFonts w:ascii="Traditional Arabic"/>
          <w:b/>
          <w:bCs/>
          <w:rtl/>
        </w:rPr>
        <w:t>)</w:t>
      </w:r>
      <w:r w:rsidRPr="004471BA">
        <w:rPr>
          <w:b/>
          <w:bCs/>
          <w:rtl/>
        </w:rPr>
        <w:t xml:space="preserve"> من بروتوكوله الاختياري الأول.</w:t>
      </w:r>
    </w:p>
    <w:p w14:paraId="65330659" w14:textId="77777777" w:rsidR="00A946B8" w:rsidRPr="004471BA" w:rsidRDefault="00A946B8" w:rsidP="00A946B8">
      <w:pPr>
        <w:pStyle w:val="H23GA"/>
        <w:rPr>
          <w:szCs w:val="20"/>
          <w:lang w:val="ar-SA" w:eastAsia="zh-TW" w:bidi="en-GB"/>
        </w:rPr>
      </w:pPr>
      <w:r w:rsidRPr="004471BA">
        <w:rPr>
          <w:rtl/>
        </w:rPr>
        <w:tab/>
      </w:r>
      <w:r w:rsidRPr="004471BA">
        <w:rPr>
          <w:rtl/>
        </w:rPr>
        <w:tab/>
        <w:t>الأعمال التجارية وحقوق الإنسان</w:t>
      </w:r>
    </w:p>
    <w:p w14:paraId="71876536" w14:textId="77777777" w:rsidR="00A946B8" w:rsidRPr="00A600E5" w:rsidRDefault="00A946B8" w:rsidP="00A946B8">
      <w:pPr>
        <w:pStyle w:val="SingleTxtGA"/>
        <w:rPr>
          <w:szCs w:val="20"/>
          <w:lang w:val="ar-SA" w:eastAsia="zh-TW" w:bidi="en-GB"/>
        </w:rPr>
      </w:pPr>
      <w:r w:rsidRPr="004471BA">
        <w:rPr>
          <w:rtl/>
        </w:rPr>
        <w:t>6</w:t>
      </w:r>
      <w:r>
        <w:rPr>
          <w:rFonts w:ascii="Traditional Arabic"/>
          <w:szCs w:val="20"/>
          <w:rtl/>
        </w:rPr>
        <w:t>-</w:t>
      </w:r>
      <w:r>
        <w:rPr>
          <w:rtl/>
        </w:rPr>
        <w:tab/>
        <w:t xml:space="preserve">يساور اللجنة القلق إزاء استمرار الادعاءات المتعلقة بانتهاكات حقوق الإنسان من جانب الشركات الخاضعة للولاية القضائية الألمانية العاملة في الخارج، والتقارير التي تفيد بأن ضحايا الانتهاكات المزعومة يواجهون صعوبات في الوصول إلى سبل الانتصاف القانونية (المادة </w:t>
      </w:r>
      <w:r w:rsidRPr="004471BA">
        <w:rPr>
          <w:rtl/>
        </w:rPr>
        <w:t>2</w:t>
      </w:r>
      <w:r>
        <w:rPr>
          <w:rFonts w:ascii="Traditional Arabic"/>
          <w:szCs w:val="20"/>
          <w:rtl/>
        </w:rPr>
        <w:t>)</w:t>
      </w:r>
      <w:r>
        <w:rPr>
          <w:rtl/>
        </w:rPr>
        <w:t>.</w:t>
      </w:r>
    </w:p>
    <w:p w14:paraId="7242C37F" w14:textId="455D2037" w:rsidR="00A946B8" w:rsidRPr="00950D62" w:rsidRDefault="00A946B8" w:rsidP="00A946B8">
      <w:pPr>
        <w:pStyle w:val="SingleTxtGA"/>
        <w:rPr>
          <w:b/>
          <w:bCs/>
          <w:szCs w:val="20"/>
          <w:lang w:val="en-US" w:eastAsia="zh-TW" w:bidi="en-GB"/>
        </w:rPr>
      </w:pPr>
      <w:r w:rsidRPr="004471BA">
        <w:rPr>
          <w:rtl/>
        </w:rPr>
        <w:t>7</w:t>
      </w:r>
      <w:r>
        <w:rPr>
          <w:rFonts w:ascii="Traditional Arabic"/>
          <w:szCs w:val="20"/>
          <w:rtl/>
        </w:rPr>
        <w:t>-</w:t>
      </w:r>
      <w:r>
        <w:rPr>
          <w:rtl/>
        </w:rPr>
        <w:tab/>
      </w:r>
      <w:r w:rsidRPr="004471BA">
        <w:rPr>
          <w:b/>
          <w:bCs/>
          <w:rtl/>
        </w:rPr>
        <w:t>إذ تأخذ الدولة الطرف في اعتبارها التوصيات السابقة الصادرة عن اللجنة،</w:t>
      </w:r>
      <w:r w:rsidR="008C0B42" w:rsidRPr="004471BA">
        <w:rPr>
          <w:rStyle w:val="FootnoteReference"/>
          <w:b/>
          <w:bCs/>
          <w:rtl/>
        </w:rPr>
        <w:t>(</w:t>
      </w:r>
      <w:r w:rsidR="008C0B42" w:rsidRPr="004471BA">
        <w:rPr>
          <w:rStyle w:val="FootnoteReference"/>
          <w:b/>
          <w:bCs/>
          <w:lang w:val="en-US"/>
        </w:rPr>
        <w:footnoteReference w:id="8"/>
      </w:r>
      <w:r w:rsidR="008C0B42" w:rsidRPr="004471BA">
        <w:rPr>
          <w:rStyle w:val="FootnoteReference"/>
          <w:b/>
          <w:bCs/>
          <w:rtl/>
        </w:rPr>
        <w:t>)</w:t>
      </w:r>
      <w:r w:rsidRPr="004471BA">
        <w:rPr>
          <w:b/>
          <w:bCs/>
          <w:rtl/>
        </w:rPr>
        <w:t xml:space="preserve"> فينبغي لها أن تقوم بما يلي:</w:t>
      </w:r>
    </w:p>
    <w:p w14:paraId="0652DB26" w14:textId="791BD3C4" w:rsidR="00A946B8" w:rsidRPr="004471BA" w:rsidRDefault="00A946B8" w:rsidP="00A946B8">
      <w:pPr>
        <w:pStyle w:val="SingleTxtGA"/>
        <w:rPr>
          <w:b/>
          <w:bCs/>
          <w:szCs w:val="20"/>
          <w:lang w:val="ar-SA" w:eastAsia="zh-TW" w:bidi="en-GB"/>
        </w:rPr>
      </w:pPr>
      <w:r w:rsidRPr="004471BA">
        <w:rPr>
          <w:b/>
          <w:bCs/>
          <w:rtl/>
        </w:rPr>
        <w:tab/>
        <w:t>(أ)</w:t>
      </w:r>
      <w:r w:rsidRPr="004471BA">
        <w:rPr>
          <w:b/>
          <w:bCs/>
          <w:rtl/>
        </w:rPr>
        <w:tab/>
        <w:t xml:space="preserve">تعزيز فعالية الآليات القائمة لضمان احترام جميع الشركات الخاضعة لولايتها لمعايير حقوق الإنسان عند العمل في الخارج؛ </w:t>
      </w:r>
    </w:p>
    <w:p w14:paraId="33ADE598" w14:textId="3B980CA0" w:rsidR="00A946B8" w:rsidRPr="004471BA" w:rsidRDefault="00A946B8" w:rsidP="00A946B8">
      <w:pPr>
        <w:pStyle w:val="SingleTxtGA"/>
        <w:rPr>
          <w:b/>
          <w:bCs/>
          <w:szCs w:val="20"/>
          <w:lang w:val="ar-SA" w:eastAsia="zh-TW" w:bidi="en-GB"/>
        </w:rPr>
      </w:pPr>
      <w:r w:rsidRPr="004471BA">
        <w:rPr>
          <w:b/>
          <w:bCs/>
          <w:rtl/>
        </w:rPr>
        <w:tab/>
        <w:t>(ب)</w:t>
      </w:r>
      <w:r w:rsidRPr="004471BA">
        <w:rPr>
          <w:b/>
          <w:bCs/>
          <w:rtl/>
        </w:rPr>
        <w:tab/>
        <w:t>النظر في إنشاء آلية مستقلة لها سلطة التحقيق في تجاوزات حقوق الإنسان المرتكبة في الخارج؛</w:t>
      </w:r>
    </w:p>
    <w:p w14:paraId="314DD92D" w14:textId="53292ADE" w:rsidR="00A946B8" w:rsidRPr="004471BA" w:rsidRDefault="00A946B8" w:rsidP="00A946B8">
      <w:pPr>
        <w:pStyle w:val="SingleTxtGA"/>
        <w:rPr>
          <w:b/>
          <w:bCs/>
          <w:szCs w:val="20"/>
          <w:lang w:val="ar-SA" w:eastAsia="zh-TW" w:bidi="en-GB"/>
        </w:rPr>
      </w:pPr>
      <w:r w:rsidRPr="004471BA">
        <w:rPr>
          <w:b/>
          <w:bCs/>
          <w:rtl/>
        </w:rPr>
        <w:tab/>
        <w:t>(ج)</w:t>
      </w:r>
      <w:r w:rsidRPr="004471BA">
        <w:rPr>
          <w:b/>
          <w:bCs/>
          <w:rtl/>
        </w:rPr>
        <w:tab/>
        <w:t>اتخاذ خطوات إضافية لإزالة أي حواجز تعوق وصول ضحايا أنشطة هذه الشركات العاملة في الخارج إلى سبل الانتصاف القانونية، بما في ذلك القضائية.</w:t>
      </w:r>
    </w:p>
    <w:p w14:paraId="12916ED7" w14:textId="77777777" w:rsidR="00A946B8" w:rsidRPr="004471BA" w:rsidRDefault="00A946B8" w:rsidP="00A946B8">
      <w:pPr>
        <w:pStyle w:val="H23GA"/>
        <w:rPr>
          <w:szCs w:val="20"/>
          <w:lang w:val="ar-SA" w:eastAsia="zh-TW" w:bidi="en-GB"/>
        </w:rPr>
      </w:pPr>
      <w:r w:rsidRPr="004471BA">
        <w:rPr>
          <w:rtl/>
        </w:rPr>
        <w:lastRenderedPageBreak/>
        <w:tab/>
      </w:r>
      <w:r w:rsidRPr="004471BA">
        <w:rPr>
          <w:rtl/>
        </w:rPr>
        <w:tab/>
        <w:t>عدم التمييز</w:t>
      </w:r>
    </w:p>
    <w:p w14:paraId="7055D943" w14:textId="77777777" w:rsidR="00A946B8" w:rsidRPr="00366411" w:rsidRDefault="00A946B8" w:rsidP="00A946B8">
      <w:pPr>
        <w:pStyle w:val="SingleTxtGA"/>
        <w:rPr>
          <w:szCs w:val="20"/>
          <w:lang w:val="ar-SA" w:eastAsia="zh-TW" w:bidi="en-GB"/>
        </w:rPr>
      </w:pPr>
      <w:r w:rsidRPr="004471BA">
        <w:rPr>
          <w:rtl/>
        </w:rPr>
        <w:t>8</w:t>
      </w:r>
      <w:r>
        <w:rPr>
          <w:rFonts w:ascii="Traditional Arabic"/>
          <w:szCs w:val="20"/>
          <w:rtl/>
        </w:rPr>
        <w:t>-</w:t>
      </w:r>
      <w:r>
        <w:rPr>
          <w:rtl/>
        </w:rPr>
        <w:tab/>
        <w:t xml:space="preserve">يساور اللجنة القلق لأن القانون العام للمساواة في المعاملة لعام </w:t>
      </w:r>
      <w:r w:rsidRPr="004471BA">
        <w:rPr>
          <w:rtl/>
        </w:rPr>
        <w:t>2006</w:t>
      </w:r>
      <w:r>
        <w:rPr>
          <w:rFonts w:ascii="Traditional Arabic"/>
          <w:szCs w:val="20"/>
          <w:rtl/>
        </w:rPr>
        <w:t>:</w:t>
      </w:r>
    </w:p>
    <w:p w14:paraId="287CD128" w14:textId="6D5E7132" w:rsidR="00A946B8" w:rsidRPr="0033437B" w:rsidRDefault="00A946B8" w:rsidP="00A946B8">
      <w:pPr>
        <w:pStyle w:val="SingleTxtGA"/>
        <w:rPr>
          <w:szCs w:val="20"/>
          <w:lang w:val="ar-SA" w:eastAsia="zh-TW" w:bidi="en-GB"/>
        </w:rPr>
      </w:pPr>
      <w:r>
        <w:rPr>
          <w:rtl/>
        </w:rPr>
        <w:tab/>
        <w:t>(أ)</w:t>
      </w:r>
      <w:r>
        <w:rPr>
          <w:rtl/>
        </w:rPr>
        <w:tab/>
        <w:t xml:space="preserve">لا يحمي صراحة الأفراد من التمييز على أساس اللغة والجنسية؛ </w:t>
      </w:r>
    </w:p>
    <w:p w14:paraId="5770C213" w14:textId="5B29703E" w:rsidR="00A946B8" w:rsidRPr="0033437B" w:rsidRDefault="00A946B8" w:rsidP="00A946B8">
      <w:pPr>
        <w:pStyle w:val="SingleTxtGA"/>
        <w:rPr>
          <w:szCs w:val="20"/>
          <w:lang w:val="ar-SA" w:eastAsia="zh-TW" w:bidi="en-GB"/>
        </w:rPr>
      </w:pPr>
      <w:r>
        <w:rPr>
          <w:rtl/>
        </w:rPr>
        <w:tab/>
        <w:t>(ب)</w:t>
      </w:r>
      <w:r>
        <w:rPr>
          <w:rtl/>
        </w:rPr>
        <w:tab/>
        <w:t>لا يعالج التمييز لأسباب متعددة معالجة فعالة؛</w:t>
      </w:r>
    </w:p>
    <w:p w14:paraId="1BD224E0" w14:textId="5FC3D5B6" w:rsidR="00A946B8" w:rsidRPr="0033437B" w:rsidRDefault="00A946B8" w:rsidP="00A946B8">
      <w:pPr>
        <w:pStyle w:val="SingleTxtGA"/>
        <w:rPr>
          <w:szCs w:val="20"/>
          <w:lang w:val="ar-SA" w:eastAsia="zh-TW" w:bidi="en-GB"/>
        </w:rPr>
      </w:pPr>
      <w:r>
        <w:rPr>
          <w:rtl/>
        </w:rPr>
        <w:tab/>
        <w:t>(ج)</w:t>
      </w:r>
      <w:r>
        <w:rPr>
          <w:rtl/>
        </w:rPr>
        <w:tab/>
        <w:t>ينص على مهلة ستة أشهر لتقديم شكاوى التمييز؛</w:t>
      </w:r>
    </w:p>
    <w:p w14:paraId="67DD7446" w14:textId="1D4828AF" w:rsidR="00A946B8" w:rsidRPr="0033437B" w:rsidRDefault="00A946B8" w:rsidP="00A946B8">
      <w:pPr>
        <w:pStyle w:val="SingleTxtGA"/>
        <w:rPr>
          <w:szCs w:val="20"/>
          <w:lang w:val="ar-SA" w:eastAsia="zh-TW" w:bidi="en-GB"/>
        </w:rPr>
      </w:pPr>
      <w:r>
        <w:rPr>
          <w:rtl/>
        </w:rPr>
        <w:tab/>
        <w:t>(د)</w:t>
      </w:r>
      <w:r>
        <w:rPr>
          <w:rtl/>
        </w:rPr>
        <w:tab/>
        <w:t>لا يوفر أساسا</w:t>
      </w:r>
      <w:r w:rsidR="003E0F00">
        <w:rPr>
          <w:rFonts w:hint="cs"/>
          <w:rtl/>
        </w:rPr>
        <w:t>ً</w:t>
      </w:r>
      <w:r>
        <w:rPr>
          <w:rtl/>
        </w:rPr>
        <w:t xml:space="preserve"> لتقديم الدعاوى الجماعية المتعلقة بأسباب التمييز إلى المحاكم؛</w:t>
      </w:r>
    </w:p>
    <w:p w14:paraId="35C28589" w14:textId="1DB564ED" w:rsidR="00A946B8" w:rsidRPr="0033437B" w:rsidRDefault="00A946B8" w:rsidP="00A946B8">
      <w:pPr>
        <w:pStyle w:val="SingleTxtGA"/>
        <w:rPr>
          <w:szCs w:val="20"/>
          <w:lang w:val="ar-SA" w:eastAsia="zh-TW" w:bidi="en-GB"/>
        </w:rPr>
      </w:pPr>
      <w:r>
        <w:rPr>
          <w:rtl/>
        </w:rPr>
        <w:tab/>
        <w:t>(هـ)</w:t>
      </w:r>
      <w:r>
        <w:rPr>
          <w:rtl/>
        </w:rPr>
        <w:tab/>
        <w:t>يمنح الوكالة الاتحادية لمنع التمييز سلطات محدودة للتحقيق ولا يمنحها صلاحية رفع القضايا إلى المحاكم، ما قد يحد من إمكانية حصول الضحايا على الانتصاف؛</w:t>
      </w:r>
    </w:p>
    <w:p w14:paraId="0289A606" w14:textId="52EDAD24" w:rsidR="00A946B8" w:rsidRPr="0033437B" w:rsidRDefault="00A946B8" w:rsidP="00A946B8">
      <w:pPr>
        <w:pStyle w:val="SingleTxtGA"/>
        <w:rPr>
          <w:szCs w:val="20"/>
          <w:lang w:val="ar-SA" w:eastAsia="zh-TW" w:bidi="en-GB"/>
        </w:rPr>
      </w:pPr>
      <w:r>
        <w:rPr>
          <w:rtl/>
        </w:rPr>
        <w:tab/>
        <w:t>(و)</w:t>
      </w:r>
      <w:r>
        <w:rPr>
          <w:rtl/>
        </w:rPr>
        <w:tab/>
        <w:t xml:space="preserve">أدى، وفقا لبعض التقارير، إلى التمييز في سوق الإسكان (المادتان </w:t>
      </w:r>
      <w:r w:rsidRPr="004471BA">
        <w:rPr>
          <w:rtl/>
        </w:rPr>
        <w:t>2</w:t>
      </w:r>
      <w:r>
        <w:rPr>
          <w:rtl/>
        </w:rPr>
        <w:t xml:space="preserve"> و</w:t>
      </w:r>
      <w:r w:rsidRPr="004471BA">
        <w:rPr>
          <w:rtl/>
        </w:rPr>
        <w:t>3</w:t>
      </w:r>
      <w:r>
        <w:rPr>
          <w:rFonts w:ascii="Traditional Arabic"/>
          <w:szCs w:val="20"/>
          <w:rtl/>
        </w:rPr>
        <w:t>)</w:t>
      </w:r>
      <w:r>
        <w:rPr>
          <w:rtl/>
        </w:rPr>
        <w:t>.</w:t>
      </w:r>
    </w:p>
    <w:p w14:paraId="75B2F211" w14:textId="4FE02C83" w:rsidR="00A946B8" w:rsidRPr="004471BA" w:rsidRDefault="00A946B8" w:rsidP="00A946B8">
      <w:pPr>
        <w:pStyle w:val="SingleTxtGA"/>
        <w:rPr>
          <w:b/>
          <w:bCs/>
          <w:szCs w:val="20"/>
          <w:lang w:val="ar-SA" w:eastAsia="zh-TW" w:bidi="en-GB"/>
        </w:rPr>
      </w:pPr>
      <w:r w:rsidRPr="004471BA">
        <w:rPr>
          <w:rtl/>
        </w:rPr>
        <w:t>9</w:t>
      </w:r>
      <w:r>
        <w:rPr>
          <w:rFonts w:ascii="Traditional Arabic"/>
          <w:szCs w:val="20"/>
          <w:rtl/>
        </w:rPr>
        <w:t>-</w:t>
      </w:r>
      <w:r>
        <w:rPr>
          <w:rtl/>
        </w:rPr>
        <w:tab/>
      </w:r>
      <w:r w:rsidRPr="004471BA">
        <w:rPr>
          <w:b/>
          <w:bCs/>
          <w:rtl/>
        </w:rPr>
        <w:t>إذ تأخذ الدولة في اعتبارها التوصيات السابقة الصادرة عن اللجنة</w:t>
      </w:r>
      <w:r w:rsidR="008C0B42" w:rsidRPr="004471BA">
        <w:rPr>
          <w:rStyle w:val="FootnoteReference"/>
          <w:b/>
          <w:bCs/>
          <w:rtl/>
        </w:rPr>
        <w:t>(</w:t>
      </w:r>
      <w:r w:rsidR="008C0B42" w:rsidRPr="004471BA">
        <w:rPr>
          <w:rStyle w:val="FootnoteReference"/>
          <w:b/>
          <w:bCs/>
          <w:lang w:val="en-US"/>
        </w:rPr>
        <w:footnoteReference w:id="9"/>
      </w:r>
      <w:r w:rsidR="008C0B42" w:rsidRPr="004471BA">
        <w:rPr>
          <w:rStyle w:val="FootnoteReference"/>
          <w:b/>
          <w:bCs/>
          <w:rtl/>
        </w:rPr>
        <w:t>)</w:t>
      </w:r>
      <w:r w:rsidR="00E67BCA" w:rsidRPr="004471BA">
        <w:rPr>
          <w:rFonts w:hint="cs"/>
          <w:b/>
          <w:bCs/>
          <w:rtl/>
        </w:rPr>
        <w:t>،</w:t>
      </w:r>
      <w:r w:rsidRPr="004471BA">
        <w:rPr>
          <w:b/>
          <w:bCs/>
          <w:rtl/>
        </w:rPr>
        <w:t xml:space="preserve"> فينبغي لها أن تنظر في إدخال تعديلات على القانون العام للمساواة في المعاملة من أجل:</w:t>
      </w:r>
    </w:p>
    <w:p w14:paraId="6CFD77BA" w14:textId="03181E24" w:rsidR="00A946B8" w:rsidRPr="004471BA" w:rsidRDefault="00A946B8" w:rsidP="00A946B8">
      <w:pPr>
        <w:pStyle w:val="SingleTxtGA"/>
        <w:rPr>
          <w:b/>
          <w:bCs/>
          <w:szCs w:val="20"/>
          <w:lang w:val="ar-SA" w:eastAsia="zh-TW" w:bidi="en-GB"/>
        </w:rPr>
      </w:pPr>
      <w:r w:rsidRPr="004471BA">
        <w:rPr>
          <w:b/>
          <w:bCs/>
          <w:rtl/>
        </w:rPr>
        <w:tab/>
        <w:t>(أ)</w:t>
      </w:r>
      <w:r w:rsidRPr="004471BA">
        <w:rPr>
          <w:b/>
          <w:bCs/>
          <w:rtl/>
        </w:rPr>
        <w:tab/>
        <w:t>توفير حماية صريحة من التمييز على أساس اللغة والجنسية ومعالجة التمييز لأسباب متعددة؛</w:t>
      </w:r>
    </w:p>
    <w:p w14:paraId="52E70D96" w14:textId="4F48F94F" w:rsidR="00A946B8" w:rsidRPr="004471BA" w:rsidRDefault="00A946B8" w:rsidP="00A946B8">
      <w:pPr>
        <w:pStyle w:val="SingleTxtGA"/>
        <w:rPr>
          <w:b/>
          <w:bCs/>
          <w:szCs w:val="20"/>
          <w:lang w:val="ar-SA" w:eastAsia="zh-TW" w:bidi="en-GB"/>
        </w:rPr>
      </w:pPr>
      <w:r w:rsidRPr="004471BA">
        <w:rPr>
          <w:b/>
          <w:bCs/>
          <w:rtl/>
        </w:rPr>
        <w:tab/>
        <w:t>(ب)</w:t>
      </w:r>
      <w:r w:rsidRPr="004471BA">
        <w:rPr>
          <w:b/>
          <w:bCs/>
          <w:rtl/>
        </w:rPr>
        <w:tab/>
        <w:t>ضمان عدم عرقلة وصول ضحايا التمييز إلى العدالة بسبب مهلة الأشهر الستة المتاحة لتقديم الشكاوى؛</w:t>
      </w:r>
    </w:p>
    <w:p w14:paraId="05010671" w14:textId="3D912850" w:rsidR="00A946B8" w:rsidRPr="004471BA" w:rsidRDefault="00A946B8" w:rsidP="00A946B8">
      <w:pPr>
        <w:pStyle w:val="SingleTxtGA"/>
        <w:rPr>
          <w:b/>
          <w:bCs/>
          <w:szCs w:val="20"/>
          <w:lang w:val="ar-SA" w:eastAsia="zh-TW" w:bidi="en-GB"/>
        </w:rPr>
      </w:pPr>
      <w:r w:rsidRPr="004471BA">
        <w:rPr>
          <w:b/>
          <w:bCs/>
          <w:rtl/>
        </w:rPr>
        <w:tab/>
        <w:t>(ج)</w:t>
      </w:r>
      <w:r w:rsidRPr="004471BA">
        <w:rPr>
          <w:b/>
          <w:bCs/>
          <w:rtl/>
        </w:rPr>
        <w:tab/>
        <w:t>السماح بتقديم الدعاوى الجماعية المتعلقة بأسباب التمييز إلى المحاكم؛</w:t>
      </w:r>
    </w:p>
    <w:p w14:paraId="1360D374" w14:textId="04C46307" w:rsidR="00A946B8" w:rsidRPr="004471BA" w:rsidRDefault="00A946B8" w:rsidP="00A946B8">
      <w:pPr>
        <w:pStyle w:val="SingleTxtGA"/>
        <w:rPr>
          <w:b/>
          <w:bCs/>
          <w:szCs w:val="20"/>
          <w:lang w:val="ar-SA" w:eastAsia="zh-TW" w:bidi="en-GB"/>
        </w:rPr>
      </w:pPr>
      <w:r w:rsidRPr="004471BA">
        <w:rPr>
          <w:b/>
          <w:bCs/>
          <w:rtl/>
        </w:rPr>
        <w:tab/>
        <w:t>(د)</w:t>
      </w:r>
      <w:r w:rsidRPr="004471BA">
        <w:rPr>
          <w:b/>
          <w:bCs/>
          <w:rtl/>
        </w:rPr>
        <w:tab/>
        <w:t>تعزيز صلاحيات الوكالة الاتحادية لمكافحة التمييز لتيسير وصول ضحايا التمييز إلى العدالة على نحو أفضل؛</w:t>
      </w:r>
    </w:p>
    <w:p w14:paraId="049CB7AD" w14:textId="7D17AE79" w:rsidR="00A946B8" w:rsidRPr="004471BA" w:rsidRDefault="00A946B8" w:rsidP="00A946B8">
      <w:pPr>
        <w:pStyle w:val="SingleTxtGA"/>
        <w:rPr>
          <w:b/>
          <w:bCs/>
          <w:szCs w:val="20"/>
          <w:lang w:val="ar-SA" w:eastAsia="zh-TW" w:bidi="en-GB"/>
        </w:rPr>
      </w:pPr>
      <w:r w:rsidRPr="004471BA">
        <w:rPr>
          <w:b/>
          <w:bCs/>
          <w:rtl/>
        </w:rPr>
        <w:tab/>
        <w:t>(هـ)</w:t>
      </w:r>
      <w:r w:rsidRPr="004471BA">
        <w:rPr>
          <w:b/>
          <w:bCs/>
          <w:rtl/>
        </w:rPr>
        <w:tab/>
        <w:t>ضمان ألا يؤدي تطبيق القانون إلى التمييز في سوق الإسكان.</w:t>
      </w:r>
    </w:p>
    <w:p w14:paraId="0B3F139C" w14:textId="77777777" w:rsidR="00A946B8" w:rsidRPr="004471BA" w:rsidRDefault="00A946B8" w:rsidP="00A946B8">
      <w:pPr>
        <w:pStyle w:val="H23GA"/>
        <w:rPr>
          <w:szCs w:val="20"/>
          <w:lang w:val="ar-SA" w:eastAsia="zh-TW" w:bidi="en-GB"/>
        </w:rPr>
      </w:pPr>
      <w:r w:rsidRPr="004471BA">
        <w:rPr>
          <w:rtl/>
        </w:rPr>
        <w:tab/>
      </w:r>
      <w:r w:rsidRPr="004471BA">
        <w:rPr>
          <w:rtl/>
        </w:rPr>
        <w:tab/>
        <w:t>خطاب الكراهية وجرائم الكراهية</w:t>
      </w:r>
    </w:p>
    <w:p w14:paraId="0DDFFE26" w14:textId="77777777" w:rsidR="00A946B8" w:rsidRPr="003F6D84" w:rsidRDefault="00A946B8" w:rsidP="00A946B8">
      <w:pPr>
        <w:pStyle w:val="SingleTxtGA"/>
        <w:rPr>
          <w:lang w:val="ar-SA" w:eastAsia="zh-TW" w:bidi="en-GB"/>
        </w:rPr>
      </w:pPr>
      <w:r w:rsidRPr="004471BA">
        <w:rPr>
          <w:rtl/>
        </w:rPr>
        <w:t>10</w:t>
      </w:r>
      <w:r w:rsidRPr="003F6D84">
        <w:rPr>
          <w:rFonts w:ascii="Traditional Arabic"/>
          <w:rtl/>
        </w:rPr>
        <w:t>-</w:t>
      </w:r>
      <w:r w:rsidRPr="003F6D84">
        <w:rPr>
          <w:rtl/>
        </w:rPr>
        <w:tab/>
        <w:t xml:space="preserve">ترحب اللجنة بالمعلومات التي قدمتها الدولة الطرف عن الالتزام السياسي الرفيع المستوى بالتصدي لخطاب الكراهية وجرائم الكراهية، بما في ذلك تشكيل لجنة وزارية لمكافحة التطرف اليميني والعنصرية، وباستراتيجية الحكومة الاتحادية لمنع التطرف وتعزيز الديمقراطية. ومع ذلك، لا يزال القلق يساورها إزاء التقارير المستمرة عن خطاب الكراهية، بما في ذلك الاعتداء اللفظية والكراهية على الإنترنت وخطاب الكراهية في سياق الخطاب السياسي، وكذلك إزاء التقارير المتعلقة بمجموعة من جرائم الكراهية، بما في ذلك الهجمات العنيفة وتدنيس المواقع الدينية، وهي هجمات استهدفت المنحدرين من أصل أفريقي، والمثليات والمثليين ومزدوجي الميل الجنسي ومغايري الهوية الجنسانية وحاملي صفات الجنسين، وأفراد </w:t>
      </w:r>
      <w:proofErr w:type="spellStart"/>
      <w:r w:rsidRPr="003F6D84">
        <w:rPr>
          <w:rtl/>
        </w:rPr>
        <w:t>السينتي</w:t>
      </w:r>
      <w:proofErr w:type="spellEnd"/>
      <w:r w:rsidRPr="003F6D84">
        <w:rPr>
          <w:rtl/>
        </w:rPr>
        <w:t xml:space="preserve"> </w:t>
      </w:r>
      <w:proofErr w:type="spellStart"/>
      <w:r w:rsidRPr="003F6D84">
        <w:rPr>
          <w:rtl/>
        </w:rPr>
        <w:t>والروما</w:t>
      </w:r>
      <w:proofErr w:type="spellEnd"/>
      <w:r w:rsidRPr="003F6D84">
        <w:rPr>
          <w:rtl/>
        </w:rPr>
        <w:t xml:space="preserve">، والمسلمين، واليهود، واللاجئين والمهاجرين. كما أنها قلقة إزاء تصريح الدولة الطرف بأنها لا تنظر في إدخال تعديلات قانونية لإزالة شرط الإخلال بالسلم العام من تعريف التحريض على الكراهية (المواد </w:t>
      </w:r>
      <w:r w:rsidRPr="004471BA">
        <w:rPr>
          <w:rtl/>
        </w:rPr>
        <w:t>2</w:t>
      </w:r>
      <w:r w:rsidRPr="003F6D84">
        <w:rPr>
          <w:rtl/>
        </w:rPr>
        <w:t xml:space="preserve"> و</w:t>
      </w:r>
      <w:r w:rsidRPr="004471BA">
        <w:rPr>
          <w:rtl/>
        </w:rPr>
        <w:t>19</w:t>
      </w:r>
      <w:r w:rsidRPr="003F6D84">
        <w:rPr>
          <w:rtl/>
        </w:rPr>
        <w:t xml:space="preserve"> و</w:t>
      </w:r>
      <w:r w:rsidRPr="004471BA">
        <w:rPr>
          <w:rtl/>
        </w:rPr>
        <w:t>20</w:t>
      </w:r>
      <w:r w:rsidRPr="003F6D84">
        <w:rPr>
          <w:rtl/>
        </w:rPr>
        <w:t xml:space="preserve"> و</w:t>
      </w:r>
      <w:r w:rsidRPr="004471BA">
        <w:rPr>
          <w:rtl/>
        </w:rPr>
        <w:t>26</w:t>
      </w:r>
      <w:r w:rsidRPr="003F6D84">
        <w:rPr>
          <w:rFonts w:ascii="Traditional Arabic"/>
          <w:rtl/>
        </w:rPr>
        <w:t>)</w:t>
      </w:r>
      <w:r w:rsidRPr="003F6D84">
        <w:rPr>
          <w:rtl/>
        </w:rPr>
        <w:t>.</w:t>
      </w:r>
    </w:p>
    <w:p w14:paraId="6525AD4D" w14:textId="1D44DB66" w:rsidR="00A946B8" w:rsidRPr="004471BA" w:rsidRDefault="00A946B8" w:rsidP="00E67BCA">
      <w:pPr>
        <w:pStyle w:val="SingleTxtGA"/>
        <w:spacing w:line="350" w:lineRule="exact"/>
        <w:rPr>
          <w:b/>
          <w:bCs/>
          <w:szCs w:val="20"/>
          <w:lang w:val="ar-SA" w:eastAsia="zh-TW" w:bidi="en-GB"/>
        </w:rPr>
      </w:pPr>
      <w:r w:rsidRPr="004471BA">
        <w:rPr>
          <w:rtl/>
        </w:rPr>
        <w:lastRenderedPageBreak/>
        <w:t>11</w:t>
      </w:r>
      <w:r>
        <w:rPr>
          <w:rFonts w:ascii="Traditional Arabic"/>
          <w:szCs w:val="20"/>
          <w:rtl/>
        </w:rPr>
        <w:t>-</w:t>
      </w:r>
      <w:r>
        <w:rPr>
          <w:rtl/>
        </w:rPr>
        <w:tab/>
      </w:r>
      <w:r w:rsidRPr="004471BA">
        <w:rPr>
          <w:b/>
          <w:bCs/>
          <w:rtl/>
        </w:rPr>
        <w:t>بالرجوع إلى التوصية السابقة الصادرة عن اللجنة</w:t>
      </w:r>
      <w:r w:rsidR="008C0B42" w:rsidRPr="004471BA">
        <w:rPr>
          <w:rStyle w:val="FootnoteReference"/>
          <w:b/>
          <w:bCs/>
          <w:rtl/>
        </w:rPr>
        <w:t>(</w:t>
      </w:r>
      <w:r w:rsidR="008C0B42" w:rsidRPr="004471BA">
        <w:rPr>
          <w:rStyle w:val="FootnoteReference"/>
          <w:b/>
          <w:bCs/>
          <w:lang w:val="en-US"/>
        </w:rPr>
        <w:footnoteReference w:id="10"/>
      </w:r>
      <w:r w:rsidR="008C0B42" w:rsidRPr="004471BA">
        <w:rPr>
          <w:rStyle w:val="FootnoteReference"/>
          <w:b/>
          <w:bCs/>
          <w:rtl/>
        </w:rPr>
        <w:t>)</w:t>
      </w:r>
      <w:r w:rsidRPr="004471BA">
        <w:rPr>
          <w:b/>
          <w:bCs/>
          <w:rtl/>
        </w:rPr>
        <w:t>، ينبغي للدولة الطرف القيام بما يلي:</w:t>
      </w:r>
    </w:p>
    <w:p w14:paraId="71765755" w14:textId="108D5B3C" w:rsidR="00A946B8" w:rsidRPr="004471BA" w:rsidRDefault="00A946B8" w:rsidP="00E67BCA">
      <w:pPr>
        <w:pStyle w:val="SingleTxtGA"/>
        <w:spacing w:line="346" w:lineRule="exact"/>
        <w:rPr>
          <w:b/>
          <w:bCs/>
          <w:szCs w:val="20"/>
          <w:lang w:val="ar-SA" w:eastAsia="zh-TW" w:bidi="en-GB"/>
        </w:rPr>
      </w:pPr>
      <w:r w:rsidRPr="004471BA">
        <w:rPr>
          <w:rtl/>
        </w:rPr>
        <w:tab/>
        <w:t>(أ)</w:t>
      </w:r>
      <w:r w:rsidRPr="004471BA">
        <w:rPr>
          <w:rtl/>
        </w:rPr>
        <w:tab/>
      </w:r>
      <w:r w:rsidRPr="004471BA">
        <w:rPr>
          <w:b/>
          <w:bCs/>
          <w:rtl/>
        </w:rPr>
        <w:t>تحسين جمع البيانات عن خطاب الكراهية على الإنترنت وخارجها واتخاذ تدابير فعالة لمنع هذه الظواهر والمعاقبة عليها؛</w:t>
      </w:r>
    </w:p>
    <w:p w14:paraId="64015B73" w14:textId="19F1C944" w:rsidR="00A946B8" w:rsidRPr="00950D62" w:rsidRDefault="00A946B8" w:rsidP="00E67BCA">
      <w:pPr>
        <w:pStyle w:val="SingleTxtGA"/>
        <w:spacing w:line="346" w:lineRule="exact"/>
        <w:rPr>
          <w:b/>
          <w:bCs/>
          <w:szCs w:val="20"/>
          <w:lang w:val="en-US" w:eastAsia="zh-TW" w:bidi="en-GB"/>
        </w:rPr>
      </w:pPr>
      <w:r w:rsidRPr="004471BA">
        <w:rPr>
          <w:rtl/>
        </w:rPr>
        <w:tab/>
        <w:t>(ب)</w:t>
      </w:r>
      <w:r w:rsidRPr="004471BA">
        <w:rPr>
          <w:rtl/>
        </w:rPr>
        <w:tab/>
      </w:r>
      <w:r w:rsidRPr="004471BA">
        <w:rPr>
          <w:b/>
          <w:bCs/>
          <w:rtl/>
        </w:rPr>
        <w:t>النظر في إدخال تعديلات قانونية لإزالة شرط الإخلال بالسلم العام من تعريف التحريض على الكراهية؛</w:t>
      </w:r>
    </w:p>
    <w:p w14:paraId="231E497C" w14:textId="6BC2FF94" w:rsidR="00A946B8" w:rsidRPr="004471BA" w:rsidRDefault="00A946B8" w:rsidP="00E67BCA">
      <w:pPr>
        <w:pStyle w:val="SingleTxtGA"/>
        <w:spacing w:line="346" w:lineRule="exact"/>
        <w:rPr>
          <w:b/>
          <w:bCs/>
          <w:szCs w:val="20"/>
          <w:lang w:val="ar-SA" w:eastAsia="zh-TW" w:bidi="en-GB"/>
        </w:rPr>
      </w:pPr>
      <w:r w:rsidRPr="004471BA">
        <w:rPr>
          <w:rtl/>
        </w:rPr>
        <w:tab/>
        <w:t>(ج)</w:t>
      </w:r>
      <w:r w:rsidRPr="004471BA">
        <w:rPr>
          <w:rtl/>
        </w:rPr>
        <w:tab/>
      </w:r>
      <w:r w:rsidRPr="004471BA">
        <w:rPr>
          <w:b/>
          <w:bCs/>
          <w:rtl/>
        </w:rPr>
        <w:t xml:space="preserve">تعزيز جهود التوعية الرامية إلى تعزيز احترام حقوق الإنسان والتسامح تجاه التنوع، والتفكير في أوجه التحيز </w:t>
      </w:r>
      <w:proofErr w:type="spellStart"/>
      <w:r w:rsidRPr="004471BA">
        <w:rPr>
          <w:b/>
          <w:bCs/>
          <w:rtl/>
        </w:rPr>
        <w:t>التنميطية</w:t>
      </w:r>
      <w:proofErr w:type="spellEnd"/>
      <w:r w:rsidRPr="004471BA">
        <w:rPr>
          <w:b/>
          <w:bCs/>
          <w:rtl/>
        </w:rPr>
        <w:t xml:space="preserve"> والقضاء عليها؛</w:t>
      </w:r>
    </w:p>
    <w:p w14:paraId="5BF5D371" w14:textId="32D3D4B7" w:rsidR="00A946B8" w:rsidRPr="004471BA" w:rsidRDefault="00A946B8" w:rsidP="00E67BCA">
      <w:pPr>
        <w:pStyle w:val="SingleTxtGA"/>
        <w:spacing w:line="346" w:lineRule="exact"/>
        <w:rPr>
          <w:b/>
          <w:bCs/>
          <w:szCs w:val="20"/>
          <w:lang w:val="ar-SA" w:eastAsia="zh-TW" w:bidi="en-GB"/>
        </w:rPr>
      </w:pPr>
      <w:r w:rsidRPr="004471BA">
        <w:rPr>
          <w:rtl/>
        </w:rPr>
        <w:tab/>
        <w:t>(د)</w:t>
      </w:r>
      <w:r w:rsidRPr="004471BA">
        <w:rPr>
          <w:rtl/>
        </w:rPr>
        <w:tab/>
      </w:r>
      <w:r w:rsidRPr="004471BA">
        <w:rPr>
          <w:b/>
          <w:bCs/>
          <w:rtl/>
        </w:rPr>
        <w:t>تشجيع الإبلاغ عن جرائم الكراهية، وضمان إجراء تحقيقات شاملة في جرائم الكراهية، ومقاضاة الجناة ومعاقبتهم، وتوفير سبل انتصاف فعالة للضحايا؛</w:t>
      </w:r>
    </w:p>
    <w:p w14:paraId="00BD7524" w14:textId="03944561" w:rsidR="00A946B8" w:rsidRPr="004471BA" w:rsidRDefault="00A946B8" w:rsidP="00E67BCA">
      <w:pPr>
        <w:pStyle w:val="SingleTxtGA"/>
        <w:spacing w:line="346" w:lineRule="exact"/>
        <w:rPr>
          <w:b/>
          <w:bCs/>
          <w:szCs w:val="20"/>
          <w:lang w:val="ar-SA" w:eastAsia="zh-TW" w:bidi="en-GB"/>
        </w:rPr>
      </w:pPr>
      <w:r w:rsidRPr="004471BA">
        <w:rPr>
          <w:rtl/>
        </w:rPr>
        <w:tab/>
        <w:t>(هـ)</w:t>
      </w:r>
      <w:r w:rsidRPr="004471BA">
        <w:rPr>
          <w:rtl/>
        </w:rPr>
        <w:tab/>
      </w:r>
      <w:r w:rsidRPr="004471BA">
        <w:rPr>
          <w:b/>
          <w:bCs/>
          <w:rtl/>
        </w:rPr>
        <w:t>توطيد التعاون بين الجهات المعنية، بما يشمل المجتمع المدني، وتوفير التدريب المناسب للسلطات المركزية والمحلية، وموظفي إنفاذ القانون، والقضاة والمدعين العامين بشأن التصدي لخطاب الكراهية وجرائم الكراهية، وللعاملين في وسائط الإعلام بشأن تعزيز قبول التنوع.</w:t>
      </w:r>
    </w:p>
    <w:p w14:paraId="7F438672" w14:textId="77777777" w:rsidR="00A946B8" w:rsidRPr="004471BA" w:rsidRDefault="00A946B8" w:rsidP="00E67BCA">
      <w:pPr>
        <w:pStyle w:val="H23GA"/>
        <w:spacing w:line="360" w:lineRule="exact"/>
        <w:rPr>
          <w:szCs w:val="20"/>
          <w:lang w:val="ar-SA" w:eastAsia="zh-TW" w:bidi="en-GB"/>
        </w:rPr>
      </w:pPr>
      <w:r w:rsidRPr="004471BA">
        <w:rPr>
          <w:rtl/>
        </w:rPr>
        <w:tab/>
      </w:r>
      <w:r w:rsidRPr="004471BA">
        <w:rPr>
          <w:rtl/>
        </w:rPr>
        <w:tab/>
        <w:t>عدم التمييز في إنفاذ القانون</w:t>
      </w:r>
    </w:p>
    <w:p w14:paraId="5C89AF3C" w14:textId="77777777" w:rsidR="00A946B8" w:rsidRPr="00F14523" w:rsidRDefault="00A946B8" w:rsidP="00E67BCA">
      <w:pPr>
        <w:pStyle w:val="SingleTxtGA"/>
        <w:spacing w:line="342" w:lineRule="exact"/>
        <w:rPr>
          <w:szCs w:val="20"/>
          <w:lang w:val="ar-SA" w:eastAsia="zh-TW" w:bidi="en-GB"/>
        </w:rPr>
      </w:pPr>
      <w:r w:rsidRPr="004471BA">
        <w:rPr>
          <w:rtl/>
        </w:rPr>
        <w:t>12</w:t>
      </w:r>
      <w:r>
        <w:rPr>
          <w:rFonts w:ascii="Traditional Arabic"/>
          <w:szCs w:val="20"/>
          <w:rtl/>
        </w:rPr>
        <w:t>-</w:t>
      </w:r>
      <w:r>
        <w:rPr>
          <w:rtl/>
        </w:rPr>
        <w:tab/>
        <w:t xml:space="preserve">يساور اللجنة القلق إزاء التقارير التي تفيد بأن ضباط الشرطة يضطلعون بأنشطة لإنفاذ القانون في سياق تنفيذ المادة </w:t>
      </w:r>
      <w:r w:rsidRPr="004471BA">
        <w:rPr>
          <w:rtl/>
        </w:rPr>
        <w:t>22</w:t>
      </w:r>
      <w:r>
        <w:rPr>
          <w:rFonts w:ascii="Traditional Arabic"/>
          <w:szCs w:val="20"/>
          <w:rtl/>
        </w:rPr>
        <w:t>(</w:t>
      </w:r>
      <w:r w:rsidRPr="004471BA">
        <w:rPr>
          <w:rtl/>
        </w:rPr>
        <w:t>1</w:t>
      </w:r>
      <w:r>
        <w:rPr>
          <w:rFonts w:ascii="Traditional Arabic"/>
          <w:szCs w:val="20"/>
          <w:rtl/>
        </w:rPr>
        <w:t>)</w:t>
      </w:r>
      <w:r>
        <w:rPr>
          <w:rtl/>
        </w:rPr>
        <w:t xml:space="preserve"> من قانون الشرطة الاتحادية لأغراض مراقبة الهجرة دون اشتباه معقول، وأن ذلك أدى إلى تنميط عنصري (المواد </w:t>
      </w:r>
      <w:r w:rsidRPr="004471BA">
        <w:rPr>
          <w:rtl/>
        </w:rPr>
        <w:t>2</w:t>
      </w:r>
      <w:r>
        <w:rPr>
          <w:rtl/>
        </w:rPr>
        <w:t xml:space="preserve"> و</w:t>
      </w:r>
      <w:r w:rsidRPr="004471BA">
        <w:rPr>
          <w:rtl/>
        </w:rPr>
        <w:t>3</w:t>
      </w:r>
      <w:r>
        <w:rPr>
          <w:rtl/>
        </w:rPr>
        <w:t xml:space="preserve"> و</w:t>
      </w:r>
      <w:r w:rsidRPr="004471BA">
        <w:rPr>
          <w:rtl/>
        </w:rPr>
        <w:t>12</w:t>
      </w:r>
      <w:r>
        <w:rPr>
          <w:rFonts w:ascii="Traditional Arabic"/>
          <w:szCs w:val="20"/>
          <w:rtl/>
        </w:rPr>
        <w:t>)</w:t>
      </w:r>
      <w:r>
        <w:rPr>
          <w:rtl/>
        </w:rPr>
        <w:t>.</w:t>
      </w:r>
    </w:p>
    <w:p w14:paraId="291484DD" w14:textId="5760F138" w:rsidR="00A946B8" w:rsidRPr="004471BA" w:rsidRDefault="00A946B8" w:rsidP="00E67BCA">
      <w:pPr>
        <w:pStyle w:val="SingleTxtGA"/>
        <w:spacing w:line="342" w:lineRule="exact"/>
        <w:rPr>
          <w:rFonts w:ascii="Times New Roman Bold" w:hAnsi="Times New Roman Bold" w:hint="eastAsia"/>
          <w:b/>
          <w:bCs/>
          <w:spacing w:val="-2"/>
          <w:szCs w:val="20"/>
          <w:lang w:val="ar-SA" w:eastAsia="zh-TW" w:bidi="en-GB"/>
        </w:rPr>
      </w:pPr>
      <w:r w:rsidRPr="004471BA">
        <w:rPr>
          <w:rtl/>
        </w:rPr>
        <w:t>13</w:t>
      </w:r>
      <w:r>
        <w:rPr>
          <w:rFonts w:ascii="Traditional Arabic"/>
          <w:szCs w:val="20"/>
          <w:rtl/>
        </w:rPr>
        <w:t>-</w:t>
      </w:r>
      <w:r>
        <w:rPr>
          <w:rtl/>
        </w:rPr>
        <w:tab/>
      </w:r>
      <w:r w:rsidRPr="004471BA">
        <w:rPr>
          <w:b/>
          <w:bCs/>
          <w:rtl/>
        </w:rPr>
        <w:t xml:space="preserve">ينبغي للدولة الطرف أن تواصل استعراضها الشامل للأطر السياساتية والقانونية التي تحكم </w:t>
      </w:r>
      <w:r w:rsidRPr="004471BA">
        <w:rPr>
          <w:b/>
          <w:bCs/>
          <w:spacing w:val="-2"/>
          <w:rtl/>
        </w:rPr>
        <w:t>سلوك الشرطة، بما في ذلك تقييم تطبيق معيار معقول للاشتباه في الأشخاص في سياق إنفاذ المادة</w:t>
      </w:r>
      <w:r w:rsidR="0061236A" w:rsidRPr="004471BA">
        <w:rPr>
          <w:rFonts w:hint="cs"/>
          <w:b/>
          <w:bCs/>
          <w:spacing w:val="-2"/>
          <w:rtl/>
        </w:rPr>
        <w:t> </w:t>
      </w:r>
      <w:r w:rsidRPr="004471BA">
        <w:rPr>
          <w:b/>
          <w:bCs/>
          <w:spacing w:val="-2"/>
          <w:rtl/>
        </w:rPr>
        <w:t>22</w:t>
      </w:r>
      <w:r w:rsidRPr="004471BA">
        <w:rPr>
          <w:rFonts w:ascii="Traditional Arabic"/>
          <w:b/>
          <w:bCs/>
          <w:spacing w:val="-2"/>
          <w:szCs w:val="20"/>
          <w:rtl/>
        </w:rPr>
        <w:t>(</w:t>
      </w:r>
      <w:r w:rsidRPr="004471BA">
        <w:rPr>
          <w:b/>
          <w:bCs/>
          <w:spacing w:val="-2"/>
          <w:rtl/>
        </w:rPr>
        <w:t>1</w:t>
      </w:r>
      <w:r w:rsidRPr="004471BA">
        <w:rPr>
          <w:rFonts w:ascii="Traditional Arabic"/>
          <w:b/>
          <w:bCs/>
          <w:spacing w:val="-2"/>
          <w:szCs w:val="20"/>
          <w:rtl/>
        </w:rPr>
        <w:t>)</w:t>
      </w:r>
      <w:r w:rsidRPr="004471BA">
        <w:rPr>
          <w:b/>
          <w:bCs/>
          <w:spacing w:val="-2"/>
          <w:rtl/>
        </w:rPr>
        <w:t xml:space="preserve"> من قانون الشرطة الاتحادية، وذلك لضمان توافق تلك الأطر مع مبادئ حقوق الإنسان، بما</w:t>
      </w:r>
      <w:r w:rsidR="00E67BCA" w:rsidRPr="004471BA">
        <w:rPr>
          <w:rFonts w:hint="cs"/>
          <w:b/>
          <w:bCs/>
          <w:spacing w:val="-2"/>
          <w:rtl/>
        </w:rPr>
        <w:t> </w:t>
      </w:r>
      <w:r w:rsidRPr="004471BA">
        <w:rPr>
          <w:b/>
          <w:bCs/>
          <w:spacing w:val="-2"/>
          <w:rtl/>
        </w:rPr>
        <w:t>في ذلك حظر التمييز. وينبغي للدولة الطرف أيضا أن تواصل تدريب موظفي إنفاذ القوانين وأن تكثفه من أجل زيادة وعيهم بضرورة التصرف بطريقة لا تؤدي، ولو عن غير قصد، إلى أعمال تنميط عنصري، فضلا</w:t>
      </w:r>
      <w:r w:rsidR="00E67BCA" w:rsidRPr="004471BA">
        <w:rPr>
          <w:rFonts w:hint="cs"/>
          <w:b/>
          <w:bCs/>
          <w:spacing w:val="-2"/>
          <w:rtl/>
        </w:rPr>
        <w:t>ً</w:t>
      </w:r>
      <w:r w:rsidRPr="004471BA">
        <w:rPr>
          <w:rFonts w:ascii="Times New Roman Bold" w:hAnsi="Times New Roman Bold"/>
          <w:b/>
          <w:bCs/>
          <w:spacing w:val="-4"/>
          <w:rtl/>
        </w:rPr>
        <w:t xml:space="preserve"> عن رصد فعالية هذه الأنشطة بإنشاء آلية لجمع البيانات عن ممارسة موظفي إنفاذ القوانين سلطات </w:t>
      </w:r>
      <w:r w:rsidRPr="004471BA">
        <w:rPr>
          <w:rFonts w:ascii="Times New Roman Bold" w:hAnsi="Times New Roman Bold"/>
          <w:b/>
          <w:bCs/>
          <w:spacing w:val="-2"/>
          <w:rtl/>
        </w:rPr>
        <w:t>التوقيف والتفتيش. وعلاوة على ذلك، ينبغي لها الحرص على أن تكون المعلومات المتعلقة بإجراءات الإبلاغ وسبل الانتصاف المتعلقة بالتمييز في سياق أنشطة إنفاذ القانون متاحة لجميع الضحايا.</w:t>
      </w:r>
    </w:p>
    <w:p w14:paraId="1339D3A0" w14:textId="77777777" w:rsidR="00A946B8" w:rsidRPr="004471BA" w:rsidRDefault="00A946B8" w:rsidP="00E67BCA">
      <w:pPr>
        <w:pStyle w:val="H23GA"/>
        <w:spacing w:line="360" w:lineRule="exact"/>
        <w:rPr>
          <w:szCs w:val="20"/>
          <w:lang w:val="ar-SA" w:eastAsia="zh-TW" w:bidi="en-GB"/>
        </w:rPr>
      </w:pPr>
      <w:r w:rsidRPr="004471BA">
        <w:rPr>
          <w:rtl/>
        </w:rPr>
        <w:tab/>
      </w:r>
      <w:r w:rsidRPr="004471BA">
        <w:rPr>
          <w:rtl/>
        </w:rPr>
        <w:tab/>
        <w:t>مكافحة الإرهاب</w:t>
      </w:r>
    </w:p>
    <w:p w14:paraId="2C786397" w14:textId="77777777" w:rsidR="00A946B8" w:rsidRDefault="00A946B8" w:rsidP="00E67BCA">
      <w:pPr>
        <w:pStyle w:val="SingleTxtGA"/>
        <w:spacing w:line="342" w:lineRule="exact"/>
        <w:rPr>
          <w:szCs w:val="20"/>
          <w:lang w:val="ar-SA" w:eastAsia="zh-TW" w:bidi="en-GB"/>
        </w:rPr>
      </w:pPr>
      <w:r w:rsidRPr="004471BA">
        <w:rPr>
          <w:rtl/>
        </w:rPr>
        <w:t>14</w:t>
      </w:r>
      <w:r>
        <w:rPr>
          <w:rFonts w:ascii="Traditional Arabic"/>
          <w:szCs w:val="20"/>
          <w:rtl/>
        </w:rPr>
        <w:t>-</w:t>
      </w:r>
      <w:r>
        <w:rPr>
          <w:rtl/>
        </w:rPr>
        <w:tab/>
        <w:t xml:space="preserve">يساور اللجنة القلق لأن الإطار القانوني الذي ينظم مكافحة الإرهاب يمنح موظفي إنفاذ القانون سلطات واسعة النطاق، لا سيما بعد التنقيح القانوني للقوانين الاتحادية وقوانين الولايات في عامي </w:t>
      </w:r>
      <w:r w:rsidRPr="004471BA">
        <w:rPr>
          <w:rtl/>
        </w:rPr>
        <w:t>2017</w:t>
      </w:r>
      <w:r>
        <w:rPr>
          <w:rtl/>
        </w:rPr>
        <w:t xml:space="preserve"> و</w:t>
      </w:r>
      <w:r w:rsidRPr="004471BA">
        <w:rPr>
          <w:rtl/>
        </w:rPr>
        <w:t>2018</w:t>
      </w:r>
      <w:r>
        <w:rPr>
          <w:rFonts w:ascii="Traditional Arabic"/>
          <w:szCs w:val="20"/>
          <w:rtl/>
        </w:rPr>
        <w:t>.</w:t>
      </w:r>
      <w:r>
        <w:rPr>
          <w:rtl/>
        </w:rPr>
        <w:t xml:space="preserve"> كما يساورها القلق إزاء ما يلي:</w:t>
      </w:r>
    </w:p>
    <w:p w14:paraId="21914FC1" w14:textId="6A3645FF" w:rsidR="00A946B8" w:rsidRDefault="00A946B8" w:rsidP="00E67BCA">
      <w:pPr>
        <w:pStyle w:val="SingleTxtGA"/>
        <w:spacing w:line="342" w:lineRule="exact"/>
        <w:rPr>
          <w:szCs w:val="20"/>
          <w:lang w:val="ar-SA" w:eastAsia="zh-TW" w:bidi="en-GB"/>
        </w:rPr>
      </w:pPr>
      <w:r>
        <w:rPr>
          <w:rtl/>
        </w:rPr>
        <w:tab/>
        <w:t>(أ)</w:t>
      </w:r>
      <w:r>
        <w:rPr>
          <w:rtl/>
        </w:rPr>
        <w:tab/>
        <w:t>توافر تدابير الرقابة الإدارية للأفراد الذين يعتبرون "مهاجمين محتملين"، بما في ذلك رصد العلامات الإلكترونية، وحظر الاتصال والتواصل الاجتماعي، ومراقبة الاتصالات؛</w:t>
      </w:r>
    </w:p>
    <w:p w14:paraId="5EAD65EB" w14:textId="3F282479" w:rsidR="00A946B8" w:rsidRDefault="00A946B8" w:rsidP="00E67BCA">
      <w:pPr>
        <w:pStyle w:val="SingleTxtGA"/>
        <w:spacing w:line="342" w:lineRule="exact"/>
        <w:rPr>
          <w:szCs w:val="20"/>
          <w:lang w:val="ar-SA" w:eastAsia="zh-TW" w:bidi="en-GB"/>
        </w:rPr>
      </w:pPr>
      <w:r>
        <w:rPr>
          <w:rtl/>
        </w:rPr>
        <w:tab/>
        <w:t>(ب)</w:t>
      </w:r>
      <w:r>
        <w:rPr>
          <w:rtl/>
        </w:rPr>
        <w:tab/>
        <w:t>تمديد آجال الاحتجاز لدى الشرطة؛</w:t>
      </w:r>
    </w:p>
    <w:p w14:paraId="3D2BDB29" w14:textId="020C11D3" w:rsidR="00A946B8" w:rsidRDefault="00A946B8" w:rsidP="00E67BCA">
      <w:pPr>
        <w:pStyle w:val="SingleTxtGA"/>
        <w:spacing w:line="342" w:lineRule="exact"/>
        <w:rPr>
          <w:szCs w:val="20"/>
          <w:lang w:val="ar-SA" w:eastAsia="zh-TW" w:bidi="en-GB"/>
        </w:rPr>
      </w:pPr>
      <w:r>
        <w:rPr>
          <w:rtl/>
        </w:rPr>
        <w:tab/>
        <w:t>(ج)</w:t>
      </w:r>
      <w:r>
        <w:rPr>
          <w:rtl/>
        </w:rPr>
        <w:tab/>
        <w:t>توسيع نطاق استخدام الاحتجاز الوقائي بعد الإدانة لإدراج "المجرمين المتطرفين" وزيادة الفترة الزمنية التي يمكن فيها الاحتفاظ بمن يعتبرون "مهاجمين محتملين" قيد الاحتجاز الإداري دون توجيه تهم إليهم؛</w:t>
      </w:r>
    </w:p>
    <w:p w14:paraId="56839839" w14:textId="43E64701" w:rsidR="00A946B8" w:rsidRDefault="00A946B8" w:rsidP="00A946B8">
      <w:pPr>
        <w:pStyle w:val="SingleTxtGA"/>
        <w:rPr>
          <w:szCs w:val="20"/>
          <w:lang w:val="ar-SA" w:eastAsia="zh-TW" w:bidi="en-GB"/>
        </w:rPr>
      </w:pPr>
      <w:r>
        <w:rPr>
          <w:rtl/>
        </w:rPr>
        <w:lastRenderedPageBreak/>
        <w:tab/>
        <w:t>(د)</w:t>
      </w:r>
      <w:r>
        <w:rPr>
          <w:rtl/>
        </w:rPr>
        <w:tab/>
        <w:t>تخفيض الاشتراطات الدنيا المتصلة باحتجاز الأفراد الذين يمثلون "تهديدا</w:t>
      </w:r>
      <w:r w:rsidR="00E67BCA">
        <w:rPr>
          <w:rFonts w:hint="cs"/>
          <w:rtl/>
        </w:rPr>
        <w:t>ً</w:t>
      </w:r>
      <w:r>
        <w:rPr>
          <w:rtl/>
        </w:rPr>
        <w:t xml:space="preserve"> أمنيا</w:t>
      </w:r>
      <w:r w:rsidR="00E67BCA">
        <w:rPr>
          <w:rFonts w:hint="cs"/>
          <w:rtl/>
        </w:rPr>
        <w:t>ً</w:t>
      </w:r>
      <w:r>
        <w:rPr>
          <w:rtl/>
        </w:rPr>
        <w:t>" كبيرا</w:t>
      </w:r>
      <w:r w:rsidR="00E67BCA">
        <w:rPr>
          <w:rFonts w:hint="cs"/>
          <w:rtl/>
        </w:rPr>
        <w:t>ً</w:t>
      </w:r>
      <w:r>
        <w:rPr>
          <w:rtl/>
        </w:rPr>
        <w:t xml:space="preserve"> في انتظار ترحيلهم وفقا للمادة </w:t>
      </w:r>
      <w:r w:rsidRPr="004471BA">
        <w:rPr>
          <w:rtl/>
        </w:rPr>
        <w:t>62</w:t>
      </w:r>
      <w:r>
        <w:rPr>
          <w:rtl/>
        </w:rPr>
        <w:t xml:space="preserve"> من قانون الإقامة؛</w:t>
      </w:r>
    </w:p>
    <w:p w14:paraId="1173A4DE" w14:textId="3F97BB19" w:rsidR="00A946B8" w:rsidRDefault="00A946B8" w:rsidP="00A946B8">
      <w:pPr>
        <w:pStyle w:val="SingleTxtGA"/>
        <w:rPr>
          <w:szCs w:val="20"/>
          <w:lang w:val="ar-SA" w:eastAsia="zh-TW" w:bidi="en-GB"/>
        </w:rPr>
      </w:pPr>
      <w:r w:rsidRPr="00E67BCA">
        <w:rPr>
          <w:spacing w:val="-2"/>
          <w:rtl/>
        </w:rPr>
        <w:tab/>
        <w:t>(هـ)</w:t>
      </w:r>
      <w:r w:rsidRPr="00E67BCA">
        <w:rPr>
          <w:spacing w:val="-2"/>
          <w:rtl/>
        </w:rPr>
        <w:tab/>
        <w:t xml:space="preserve">عدم وجود معلومات مفصلة عن الضمانات الإجرائية المعمول بها لضمان احترام مبادئ </w:t>
      </w:r>
      <w:r>
        <w:rPr>
          <w:rtl/>
        </w:rPr>
        <w:t xml:space="preserve">الشرعية والتناسب (المواد </w:t>
      </w:r>
      <w:r w:rsidRPr="004471BA">
        <w:rPr>
          <w:rtl/>
        </w:rPr>
        <w:t>2</w:t>
      </w:r>
      <w:r>
        <w:rPr>
          <w:rtl/>
        </w:rPr>
        <w:t xml:space="preserve"> و</w:t>
      </w:r>
      <w:r w:rsidRPr="004471BA">
        <w:rPr>
          <w:rtl/>
        </w:rPr>
        <w:t>9</w:t>
      </w:r>
      <w:r>
        <w:rPr>
          <w:rtl/>
        </w:rPr>
        <w:t xml:space="preserve"> و</w:t>
      </w:r>
      <w:r w:rsidRPr="004471BA">
        <w:rPr>
          <w:rtl/>
        </w:rPr>
        <w:t>12</w:t>
      </w:r>
      <w:r>
        <w:rPr>
          <w:rtl/>
        </w:rPr>
        <w:t xml:space="preserve"> و</w:t>
      </w:r>
      <w:r w:rsidRPr="004471BA">
        <w:rPr>
          <w:rtl/>
        </w:rPr>
        <w:t>14</w:t>
      </w:r>
      <w:r>
        <w:rPr>
          <w:rFonts w:ascii="Traditional Arabic"/>
          <w:szCs w:val="20"/>
          <w:rtl/>
        </w:rPr>
        <w:t>)</w:t>
      </w:r>
      <w:r>
        <w:rPr>
          <w:rtl/>
        </w:rPr>
        <w:t>.</w:t>
      </w:r>
    </w:p>
    <w:p w14:paraId="1C888A2E" w14:textId="0E53C4BB" w:rsidR="00A946B8" w:rsidRPr="004471BA" w:rsidRDefault="00A946B8" w:rsidP="00026086">
      <w:pPr>
        <w:pStyle w:val="SingleTxtGA"/>
        <w:rPr>
          <w:b/>
          <w:bCs/>
          <w:szCs w:val="20"/>
          <w:lang w:val="ar-SA" w:eastAsia="zh-TW" w:bidi="en-GB"/>
        </w:rPr>
      </w:pPr>
      <w:r w:rsidRPr="004471BA">
        <w:rPr>
          <w:rtl/>
        </w:rPr>
        <w:t>15</w:t>
      </w:r>
      <w:r>
        <w:rPr>
          <w:rFonts w:ascii="Traditional Arabic"/>
          <w:szCs w:val="20"/>
          <w:rtl/>
        </w:rPr>
        <w:t>-</w:t>
      </w:r>
      <w:r>
        <w:rPr>
          <w:rtl/>
        </w:rPr>
        <w:tab/>
      </w:r>
      <w:r w:rsidRPr="004471BA">
        <w:rPr>
          <w:rFonts w:ascii="Times New Roman Bold" w:hAnsi="Times New Roman Bold"/>
          <w:b/>
          <w:bCs/>
          <w:spacing w:val="-2"/>
          <w:rtl/>
        </w:rPr>
        <w:t>ينبغي للدولة الطرف الحرص على أن تكون السلطة المسندة إلى موظفي إنفاذ القانون بموجب</w:t>
      </w:r>
      <w:r w:rsidRPr="004471BA">
        <w:rPr>
          <w:b/>
          <w:bCs/>
          <w:rtl/>
        </w:rPr>
        <w:t xml:space="preserve"> تشريعات مكافحة الإرهاب على الصعيدين الاتحادي والمقاطعات ممتثلة للعهد، ولمبادئ الشرعية والتناسب، امتثالا</w:t>
      </w:r>
      <w:r w:rsidR="008C0B42" w:rsidRPr="004471BA">
        <w:rPr>
          <w:rFonts w:hint="cs"/>
          <w:b/>
          <w:bCs/>
          <w:rtl/>
        </w:rPr>
        <w:t>ً</w:t>
      </w:r>
      <w:r w:rsidRPr="004471BA">
        <w:rPr>
          <w:b/>
          <w:bCs/>
          <w:rtl/>
        </w:rPr>
        <w:t xml:space="preserve"> تاما</w:t>
      </w:r>
      <w:r w:rsidR="008C0B42" w:rsidRPr="004471BA">
        <w:rPr>
          <w:rFonts w:hint="cs"/>
          <w:b/>
          <w:bCs/>
          <w:rtl/>
        </w:rPr>
        <w:t>ً</w:t>
      </w:r>
      <w:r w:rsidRPr="004471BA">
        <w:rPr>
          <w:b/>
          <w:bCs/>
          <w:rtl/>
        </w:rPr>
        <w:t>. وينبغي لها أيضا أن تكفل توفير ضمانات إجرائية مناسبة، في القانون وفي الممارسة العملية، للأشخاص المشتبه في ارتكابهم - أو المتهمين بارتكاب - أعمال إرهابية أو جرائم ذات صلة، وذلك وفقا للعهد، لا سيما المادتين 9 و14 منه.</w:t>
      </w:r>
    </w:p>
    <w:p w14:paraId="3D29BCA9" w14:textId="77777777" w:rsidR="00A946B8" w:rsidRPr="00950D62" w:rsidRDefault="00A946B8" w:rsidP="00026086">
      <w:pPr>
        <w:pStyle w:val="H23GA"/>
        <w:rPr>
          <w:szCs w:val="20"/>
          <w:lang w:val="en-US" w:eastAsia="zh-TW" w:bidi="en-GB"/>
        </w:rPr>
      </w:pPr>
      <w:r w:rsidRPr="004471BA">
        <w:rPr>
          <w:rtl/>
        </w:rPr>
        <w:tab/>
      </w:r>
      <w:r w:rsidRPr="004471BA">
        <w:rPr>
          <w:rtl/>
        </w:rPr>
        <w:tab/>
        <w:t>العنف بالمرأة</w:t>
      </w:r>
    </w:p>
    <w:p w14:paraId="053770D8" w14:textId="77777777" w:rsidR="00A946B8" w:rsidRPr="00E465C2" w:rsidRDefault="00A946B8" w:rsidP="00026086">
      <w:pPr>
        <w:pStyle w:val="SingleTxtGA"/>
        <w:rPr>
          <w:szCs w:val="20"/>
          <w:lang w:val="ar-SA" w:eastAsia="zh-TW" w:bidi="en-GB"/>
        </w:rPr>
      </w:pPr>
      <w:r w:rsidRPr="004471BA">
        <w:rPr>
          <w:rtl/>
        </w:rPr>
        <w:t>16</w:t>
      </w:r>
      <w:r>
        <w:rPr>
          <w:rFonts w:ascii="Traditional Arabic"/>
          <w:szCs w:val="20"/>
          <w:rtl/>
        </w:rPr>
        <w:t>-</w:t>
      </w:r>
      <w:r>
        <w:rPr>
          <w:rtl/>
        </w:rPr>
        <w:tab/>
      </w:r>
      <w:r w:rsidRPr="00E67BCA">
        <w:rPr>
          <w:spacing w:val="-2"/>
          <w:rtl/>
        </w:rPr>
        <w:t>تشيد اللجنة بالدولة الطرف لاعتمادها تدابير للتصدي للعنف بالمرأة، بما في ذلك العنف المنزلي،</w:t>
      </w:r>
      <w:r>
        <w:rPr>
          <w:rtl/>
        </w:rPr>
        <w:t xml:space="preserve"> مثل الإصلاحات القانونية والاستثمار المالي الكبير في زيادة عدد الملاجئ. ومع ذلك، يساور اللجنة القلق إزاء التقارير التي تفيد بما يلي:</w:t>
      </w:r>
    </w:p>
    <w:p w14:paraId="3AF0D2F4" w14:textId="2D56F059" w:rsidR="00A946B8" w:rsidRDefault="00026086" w:rsidP="00026086">
      <w:pPr>
        <w:pStyle w:val="SingleTxtGA"/>
        <w:rPr>
          <w:szCs w:val="20"/>
          <w:lang w:val="ar-SA" w:eastAsia="zh-TW" w:bidi="en-GB"/>
        </w:rPr>
      </w:pPr>
      <w:r>
        <w:rPr>
          <w:rtl/>
        </w:rPr>
        <w:tab/>
      </w:r>
      <w:r w:rsidR="00A946B8">
        <w:rPr>
          <w:rtl/>
        </w:rPr>
        <w:t>(أ)</w:t>
      </w:r>
      <w:r w:rsidR="00A946B8">
        <w:rPr>
          <w:rtl/>
        </w:rPr>
        <w:tab/>
        <w:t>نقص الإبلاغ عن حوادث العنف بالمرأة؛</w:t>
      </w:r>
    </w:p>
    <w:p w14:paraId="43D9B53B" w14:textId="7B4F4C89" w:rsidR="00A946B8" w:rsidRDefault="00026086" w:rsidP="00026086">
      <w:pPr>
        <w:pStyle w:val="SingleTxtGA"/>
        <w:rPr>
          <w:szCs w:val="20"/>
          <w:lang w:val="ar-SA" w:eastAsia="zh-TW" w:bidi="en-GB"/>
        </w:rPr>
      </w:pPr>
      <w:r>
        <w:rPr>
          <w:rtl/>
        </w:rPr>
        <w:tab/>
      </w:r>
      <w:r w:rsidR="00A946B8">
        <w:rPr>
          <w:rtl/>
        </w:rPr>
        <w:t>(ب)</w:t>
      </w:r>
      <w:r w:rsidR="00A946B8">
        <w:rPr>
          <w:rtl/>
        </w:rPr>
        <w:tab/>
        <w:t>انخفاض نسبة مقاضاة الجناة وإدانتهم في هذه الجرائم؛</w:t>
      </w:r>
    </w:p>
    <w:p w14:paraId="120A6311" w14:textId="2C382B8B" w:rsidR="00A946B8" w:rsidRDefault="00026086" w:rsidP="00026086">
      <w:pPr>
        <w:pStyle w:val="SingleTxtGA"/>
        <w:rPr>
          <w:szCs w:val="20"/>
          <w:lang w:val="ar-SA" w:eastAsia="zh-TW" w:bidi="en-GB"/>
        </w:rPr>
      </w:pPr>
      <w:r>
        <w:rPr>
          <w:rtl/>
        </w:rPr>
        <w:tab/>
      </w:r>
      <w:r w:rsidR="00A946B8">
        <w:rPr>
          <w:rtl/>
        </w:rPr>
        <w:t>(ج)</w:t>
      </w:r>
      <w:r w:rsidR="00A946B8">
        <w:rPr>
          <w:rtl/>
        </w:rPr>
        <w:tab/>
        <w:t>استمرار النقص في توفير الملاجئ، على الرغم من برنامج الاستثمار الاتحادي، والمشاكل التي تحد من وصول بعض النساء إليها، بمن في ذلك المهاجرات واللاجئات وملتمسات اللجوء وبعض ضحايا الاتجار؛</w:t>
      </w:r>
    </w:p>
    <w:p w14:paraId="3387335B" w14:textId="01EB2C12" w:rsidR="00A946B8" w:rsidRDefault="00026086" w:rsidP="00026086">
      <w:pPr>
        <w:pStyle w:val="SingleTxtGA"/>
        <w:rPr>
          <w:szCs w:val="20"/>
          <w:lang w:val="ar-SA" w:eastAsia="zh-TW" w:bidi="en-GB"/>
        </w:rPr>
      </w:pPr>
      <w:r>
        <w:rPr>
          <w:rtl/>
        </w:rPr>
        <w:tab/>
      </w:r>
      <w:r w:rsidR="00A946B8">
        <w:rPr>
          <w:rtl/>
        </w:rPr>
        <w:t>(د)</w:t>
      </w:r>
      <w:r w:rsidR="00A946B8">
        <w:rPr>
          <w:rtl/>
        </w:rPr>
        <w:tab/>
        <w:t>زيادة العنف الأسري في أثناء جائحة كوفيد-</w:t>
      </w:r>
      <w:r w:rsidR="00A946B8" w:rsidRPr="004471BA">
        <w:rPr>
          <w:rtl/>
        </w:rPr>
        <w:t>19</w:t>
      </w:r>
      <w:r w:rsidR="00A946B8">
        <w:rPr>
          <w:rFonts w:ascii="Traditional Arabic"/>
          <w:szCs w:val="20"/>
          <w:rtl/>
        </w:rPr>
        <w:t xml:space="preserve"> (</w:t>
      </w:r>
      <w:r w:rsidR="00A946B8">
        <w:rPr>
          <w:rtl/>
        </w:rPr>
        <w:t xml:space="preserve">المواد </w:t>
      </w:r>
      <w:r w:rsidR="00A946B8" w:rsidRPr="004471BA">
        <w:rPr>
          <w:rtl/>
        </w:rPr>
        <w:t>2</w:t>
      </w:r>
      <w:r w:rsidR="00A946B8">
        <w:rPr>
          <w:rtl/>
        </w:rPr>
        <w:t xml:space="preserve"> و</w:t>
      </w:r>
      <w:r w:rsidR="00A946B8" w:rsidRPr="004471BA">
        <w:rPr>
          <w:rtl/>
        </w:rPr>
        <w:t>3</w:t>
      </w:r>
      <w:r w:rsidR="00A946B8">
        <w:rPr>
          <w:rtl/>
        </w:rPr>
        <w:t xml:space="preserve"> و</w:t>
      </w:r>
      <w:r w:rsidR="00A946B8" w:rsidRPr="004471BA">
        <w:rPr>
          <w:rtl/>
        </w:rPr>
        <w:t>6</w:t>
      </w:r>
      <w:r w:rsidR="00A946B8">
        <w:rPr>
          <w:rtl/>
        </w:rPr>
        <w:t xml:space="preserve"> و</w:t>
      </w:r>
      <w:r w:rsidR="00A946B8" w:rsidRPr="004471BA">
        <w:rPr>
          <w:rtl/>
        </w:rPr>
        <w:t>7</w:t>
      </w:r>
      <w:r w:rsidR="00A946B8">
        <w:rPr>
          <w:rtl/>
        </w:rPr>
        <w:t xml:space="preserve"> و</w:t>
      </w:r>
      <w:r w:rsidR="00A946B8" w:rsidRPr="004471BA">
        <w:rPr>
          <w:rtl/>
        </w:rPr>
        <w:t>26</w:t>
      </w:r>
      <w:r w:rsidR="00A946B8">
        <w:rPr>
          <w:rFonts w:ascii="Traditional Arabic"/>
          <w:szCs w:val="20"/>
          <w:rtl/>
        </w:rPr>
        <w:t>)</w:t>
      </w:r>
      <w:r w:rsidR="00A946B8">
        <w:rPr>
          <w:rtl/>
        </w:rPr>
        <w:t>.</w:t>
      </w:r>
    </w:p>
    <w:p w14:paraId="64C9FC07" w14:textId="2FD4978A" w:rsidR="00A946B8" w:rsidRPr="004471BA" w:rsidRDefault="00A946B8" w:rsidP="00026086">
      <w:pPr>
        <w:pStyle w:val="SingleTxtGA"/>
        <w:rPr>
          <w:b/>
          <w:bCs/>
          <w:szCs w:val="20"/>
          <w:lang w:val="ar-SA" w:eastAsia="zh-TW" w:bidi="en-GB"/>
        </w:rPr>
      </w:pPr>
      <w:r w:rsidRPr="004471BA">
        <w:rPr>
          <w:rtl/>
        </w:rPr>
        <w:t>17</w:t>
      </w:r>
      <w:r>
        <w:rPr>
          <w:rFonts w:ascii="Traditional Arabic"/>
          <w:szCs w:val="20"/>
          <w:rtl/>
        </w:rPr>
        <w:t>-</w:t>
      </w:r>
      <w:r>
        <w:rPr>
          <w:rtl/>
        </w:rPr>
        <w:tab/>
      </w:r>
      <w:r w:rsidRPr="004471BA">
        <w:rPr>
          <w:b/>
          <w:bCs/>
          <w:rtl/>
        </w:rPr>
        <w:t>بالرجوع إلى التوصية السابقة الصادرة عن اللجنة</w:t>
      </w:r>
      <w:r w:rsidR="008C0B42" w:rsidRPr="004471BA">
        <w:rPr>
          <w:rStyle w:val="FootnoteReference"/>
          <w:b/>
          <w:bCs/>
          <w:rtl/>
        </w:rPr>
        <w:t>(</w:t>
      </w:r>
      <w:r w:rsidR="008C0B42" w:rsidRPr="004471BA">
        <w:rPr>
          <w:rStyle w:val="FootnoteReference"/>
          <w:b/>
          <w:bCs/>
          <w:lang w:val="en-US"/>
        </w:rPr>
        <w:footnoteReference w:id="11"/>
      </w:r>
      <w:r w:rsidR="008C0B42" w:rsidRPr="004471BA">
        <w:rPr>
          <w:rStyle w:val="FootnoteReference"/>
          <w:b/>
          <w:bCs/>
          <w:rtl/>
        </w:rPr>
        <w:t>)</w:t>
      </w:r>
      <w:r w:rsidR="008C0B42" w:rsidRPr="004471BA">
        <w:rPr>
          <w:rFonts w:hint="cs"/>
          <w:b/>
          <w:bCs/>
          <w:rtl/>
        </w:rPr>
        <w:t>،</w:t>
      </w:r>
      <w:r w:rsidRPr="004471BA">
        <w:rPr>
          <w:b/>
          <w:bCs/>
          <w:rtl/>
        </w:rPr>
        <w:t xml:space="preserve"> ينبغي للدولة الطرف القيام بما يلي:</w:t>
      </w:r>
    </w:p>
    <w:p w14:paraId="33D68DCF" w14:textId="36066756" w:rsidR="00A946B8" w:rsidRPr="004471BA" w:rsidRDefault="00026086" w:rsidP="00026086">
      <w:pPr>
        <w:pStyle w:val="SingleTxtGA"/>
        <w:rPr>
          <w:b/>
          <w:bCs/>
          <w:szCs w:val="20"/>
          <w:lang w:val="ar-SA" w:eastAsia="zh-TW" w:bidi="en-GB"/>
        </w:rPr>
      </w:pPr>
      <w:r w:rsidRPr="004471BA">
        <w:rPr>
          <w:b/>
          <w:bCs/>
          <w:rtl/>
        </w:rPr>
        <w:tab/>
      </w:r>
      <w:r w:rsidR="00A946B8" w:rsidRPr="004471BA">
        <w:rPr>
          <w:b/>
          <w:bCs/>
          <w:rtl/>
        </w:rPr>
        <w:t>(أ)</w:t>
      </w:r>
      <w:r w:rsidR="00A946B8" w:rsidRPr="004471BA">
        <w:rPr>
          <w:b/>
          <w:bCs/>
          <w:rtl/>
        </w:rPr>
        <w:tab/>
        <w:t>التصدي لمسألة نقص الإبلاغ عن العنف بالمرأة، بما في ذلك ضمان حصول جميع النساء على المعلومات المتعلقة بحقوقهن وبسبل الانتصاف المتاحة؛</w:t>
      </w:r>
    </w:p>
    <w:p w14:paraId="490AFBF1" w14:textId="2EB71BF2" w:rsidR="00A946B8" w:rsidRPr="004471BA" w:rsidRDefault="00026086" w:rsidP="00026086">
      <w:pPr>
        <w:pStyle w:val="SingleTxtGA"/>
        <w:rPr>
          <w:b/>
          <w:bCs/>
          <w:szCs w:val="20"/>
          <w:lang w:val="ar-SA" w:eastAsia="zh-TW" w:bidi="en-GB"/>
        </w:rPr>
      </w:pPr>
      <w:r w:rsidRPr="004471BA">
        <w:rPr>
          <w:b/>
          <w:bCs/>
          <w:rtl/>
        </w:rPr>
        <w:tab/>
      </w:r>
      <w:r w:rsidR="00A946B8" w:rsidRPr="004471BA">
        <w:rPr>
          <w:b/>
          <w:bCs/>
          <w:rtl/>
        </w:rPr>
        <w:t>(ب)</w:t>
      </w:r>
      <w:r w:rsidR="00A946B8" w:rsidRPr="004471BA">
        <w:rPr>
          <w:b/>
          <w:bCs/>
          <w:rtl/>
        </w:rPr>
        <w:tab/>
        <w:t>تكثيف الجهود الرامية إلى مقاضاة مرتكبي أعمال العنف بالنساء والفتيات وضمان إدانتهم، بطرق منها مواصلة وتكثيف تدريب الموظفين العموميين المعنيين، بمن فيهم القضاة والمحامون والمدعون العامون وموظفو إنفاذ القانون؛</w:t>
      </w:r>
    </w:p>
    <w:p w14:paraId="457019CD" w14:textId="41B7EB41" w:rsidR="00A946B8" w:rsidRPr="004471BA" w:rsidRDefault="00026086" w:rsidP="00026086">
      <w:pPr>
        <w:pStyle w:val="SingleTxtGA"/>
        <w:rPr>
          <w:b/>
          <w:bCs/>
          <w:szCs w:val="20"/>
          <w:lang w:val="ar-SA" w:eastAsia="zh-TW" w:bidi="en-GB"/>
        </w:rPr>
      </w:pPr>
      <w:r w:rsidRPr="004471BA">
        <w:rPr>
          <w:b/>
          <w:bCs/>
          <w:rtl/>
        </w:rPr>
        <w:tab/>
      </w:r>
      <w:r w:rsidR="00A946B8" w:rsidRPr="004471BA">
        <w:rPr>
          <w:b/>
          <w:bCs/>
          <w:rtl/>
        </w:rPr>
        <w:t>(ج)</w:t>
      </w:r>
      <w:r w:rsidR="00A946B8" w:rsidRPr="004471BA">
        <w:rPr>
          <w:b/>
          <w:bCs/>
          <w:rtl/>
        </w:rPr>
        <w:tab/>
        <w:t>مواصلة وتكثيف الجهود الرامية إلى زيادة توافر الملاجئ وضمان وصول جميع النساء، بمن فيهن المهاجرات واللاجئات وملتمسات اللجوء وضحايا الاتجار بالبشر والأفراد الذين يفتقرون إلى وضع آمن من حيث الإقامة، إلى هذه المرافق دون خوف من العقاب؛</w:t>
      </w:r>
    </w:p>
    <w:p w14:paraId="789AB1B9" w14:textId="47C8FC5F" w:rsidR="00A946B8" w:rsidRPr="004471BA" w:rsidRDefault="00026086" w:rsidP="00026086">
      <w:pPr>
        <w:pStyle w:val="SingleTxtGA"/>
        <w:rPr>
          <w:b/>
          <w:bCs/>
          <w:szCs w:val="20"/>
          <w:lang w:val="en-US" w:eastAsia="zh-TW" w:bidi="en-GB"/>
        </w:rPr>
      </w:pPr>
      <w:r w:rsidRPr="004471BA">
        <w:rPr>
          <w:b/>
          <w:bCs/>
          <w:rtl/>
        </w:rPr>
        <w:tab/>
      </w:r>
      <w:r w:rsidR="00A946B8" w:rsidRPr="004471BA">
        <w:rPr>
          <w:b/>
          <w:bCs/>
          <w:rtl/>
        </w:rPr>
        <w:t>(د)</w:t>
      </w:r>
      <w:r w:rsidR="00A946B8" w:rsidRPr="004471BA">
        <w:rPr>
          <w:b/>
          <w:bCs/>
          <w:rtl/>
        </w:rPr>
        <w:tab/>
        <w:t>اتخاذ تدابير محددة الأهداف لحماية المرأة من العنف المنزلي، لا سيما في أثناء حالات الطوارئ مثل جائحة كوفيد-19.</w:t>
      </w:r>
    </w:p>
    <w:p w14:paraId="61A107C2" w14:textId="77777777" w:rsidR="00A946B8" w:rsidRPr="004471BA" w:rsidRDefault="00A946B8" w:rsidP="00026086">
      <w:pPr>
        <w:pStyle w:val="H23GA"/>
        <w:rPr>
          <w:szCs w:val="20"/>
          <w:lang w:val="ar-SA" w:eastAsia="zh-TW" w:bidi="en-GB"/>
        </w:rPr>
      </w:pPr>
      <w:r w:rsidRPr="004471BA">
        <w:rPr>
          <w:rtl/>
        </w:rPr>
        <w:lastRenderedPageBreak/>
        <w:tab/>
      </w:r>
      <w:r w:rsidRPr="004471BA">
        <w:rPr>
          <w:rtl/>
        </w:rPr>
        <w:tab/>
        <w:t>الإجهاض الطوعي والحقوق الجنسية والإنجابية</w:t>
      </w:r>
    </w:p>
    <w:p w14:paraId="79B3798F" w14:textId="3F7AF725" w:rsidR="00A946B8" w:rsidRPr="008C0B42" w:rsidRDefault="00A946B8" w:rsidP="00026086">
      <w:pPr>
        <w:pStyle w:val="SingleTxtGA"/>
        <w:rPr>
          <w:spacing w:val="-6"/>
          <w:lang w:val="ar-SA" w:eastAsia="zh-TW" w:bidi="en-GB"/>
        </w:rPr>
      </w:pPr>
      <w:r w:rsidRPr="004471BA">
        <w:rPr>
          <w:rtl/>
        </w:rPr>
        <w:t>18</w:t>
      </w:r>
      <w:r w:rsidRPr="008C0B42">
        <w:rPr>
          <w:rFonts w:ascii="Traditional Arabic"/>
          <w:rtl/>
        </w:rPr>
        <w:t>-</w:t>
      </w:r>
      <w:r w:rsidRPr="008C0B42">
        <w:rPr>
          <w:rtl/>
        </w:rPr>
        <w:tab/>
        <w:t xml:space="preserve">تشيد اللجنة بالدولة الطرف لتعديلها المادة </w:t>
      </w:r>
      <w:r w:rsidRPr="004471BA">
        <w:rPr>
          <w:rtl/>
        </w:rPr>
        <w:t>219</w:t>
      </w:r>
      <w:r w:rsidRPr="008C0B42">
        <w:rPr>
          <w:rFonts w:ascii="Traditional Arabic"/>
          <w:rtl/>
        </w:rPr>
        <w:t>(</w:t>
      </w:r>
      <w:r w:rsidRPr="008C0B42">
        <w:rPr>
          <w:rtl/>
        </w:rPr>
        <w:t>أ</w:t>
      </w:r>
      <w:r w:rsidRPr="008C0B42">
        <w:rPr>
          <w:rFonts w:ascii="Traditional Arabic"/>
          <w:rtl/>
        </w:rPr>
        <w:t>)</w:t>
      </w:r>
      <w:r w:rsidRPr="008C0B42">
        <w:rPr>
          <w:rtl/>
        </w:rPr>
        <w:t xml:space="preserve"> من القانون الجنائي للسماح بنشر معلومات عن الإجهاض الطوعي. غير أنها لا تزال قلقة إزاء الأحكام التي تخضع المرأة لفترة انتظار إلزامية قبل إنهاء الحمل والتي لا تزال تصنف الإجهاض جريمة (المادة </w:t>
      </w:r>
      <w:r w:rsidRPr="004471BA">
        <w:rPr>
          <w:rtl/>
        </w:rPr>
        <w:t>218</w:t>
      </w:r>
      <w:r w:rsidRPr="008C0B42">
        <w:rPr>
          <w:rFonts w:ascii="Traditional Arabic"/>
          <w:rtl/>
        </w:rPr>
        <w:t>(</w:t>
      </w:r>
      <w:r w:rsidRPr="008C0B42">
        <w:rPr>
          <w:rtl/>
        </w:rPr>
        <w:t>أ</w:t>
      </w:r>
      <w:r w:rsidRPr="008C0B42">
        <w:rPr>
          <w:rFonts w:ascii="Traditional Arabic"/>
          <w:rtl/>
        </w:rPr>
        <w:t>)</w:t>
      </w:r>
      <w:r w:rsidRPr="008C0B42">
        <w:rPr>
          <w:rtl/>
        </w:rPr>
        <w:t xml:space="preserve"> من القانون الجنائي). كما يساور اللجنة القلق لأن النساء اللاتي يلتمسن المشورة بشأن الإجهاض الطوعي ما زلن يتعرضن للمضايقة، رغم الجهود التي تبذلها الدولة الطرف، ولا تزال هناك بعض العوائق التي تحول دون المساواة في الحصول </w:t>
      </w:r>
      <w:r w:rsidRPr="008C0B42">
        <w:rPr>
          <w:spacing w:val="-6"/>
          <w:rtl/>
        </w:rPr>
        <w:t xml:space="preserve">على خدمات الصحة الجنسية والإنجابية، بما في ذلك وسائل منع الحمل المقبولة التكلفة (المواد </w:t>
      </w:r>
      <w:r w:rsidRPr="004471BA">
        <w:rPr>
          <w:spacing w:val="-6"/>
          <w:rtl/>
        </w:rPr>
        <w:t>2</w:t>
      </w:r>
      <w:r w:rsidRPr="008C0B42">
        <w:rPr>
          <w:spacing w:val="-6"/>
          <w:rtl/>
        </w:rPr>
        <w:t xml:space="preserve"> و</w:t>
      </w:r>
      <w:r w:rsidRPr="004471BA">
        <w:rPr>
          <w:spacing w:val="-6"/>
          <w:rtl/>
        </w:rPr>
        <w:t>3</w:t>
      </w:r>
      <w:r w:rsidRPr="008C0B42">
        <w:rPr>
          <w:spacing w:val="-6"/>
          <w:rtl/>
        </w:rPr>
        <w:t xml:space="preserve"> و</w:t>
      </w:r>
      <w:r w:rsidRPr="004471BA">
        <w:rPr>
          <w:spacing w:val="-6"/>
          <w:rtl/>
        </w:rPr>
        <w:t>6</w:t>
      </w:r>
      <w:r w:rsidRPr="008C0B42">
        <w:rPr>
          <w:spacing w:val="-6"/>
          <w:rtl/>
        </w:rPr>
        <w:t xml:space="preserve"> و</w:t>
      </w:r>
      <w:r w:rsidRPr="004471BA">
        <w:rPr>
          <w:spacing w:val="-6"/>
          <w:rtl/>
        </w:rPr>
        <w:t>17</w:t>
      </w:r>
      <w:r w:rsidRPr="008C0B42">
        <w:rPr>
          <w:rFonts w:ascii="Traditional Arabic"/>
          <w:spacing w:val="-6"/>
          <w:rtl/>
        </w:rPr>
        <w:t>)</w:t>
      </w:r>
      <w:r w:rsidRPr="008C0B42">
        <w:rPr>
          <w:spacing w:val="-6"/>
          <w:rtl/>
        </w:rPr>
        <w:t>.</w:t>
      </w:r>
    </w:p>
    <w:p w14:paraId="754B6C37" w14:textId="77777777" w:rsidR="00A946B8" w:rsidRPr="004471BA" w:rsidRDefault="00A946B8" w:rsidP="00026086">
      <w:pPr>
        <w:pStyle w:val="SingleTxtGA"/>
        <w:rPr>
          <w:b/>
          <w:bCs/>
          <w:szCs w:val="20"/>
          <w:lang w:val="ar-SA" w:eastAsia="zh-TW" w:bidi="en-GB"/>
        </w:rPr>
      </w:pPr>
      <w:r w:rsidRPr="004471BA">
        <w:rPr>
          <w:rtl/>
        </w:rPr>
        <w:t>19</w:t>
      </w:r>
      <w:r>
        <w:rPr>
          <w:rFonts w:ascii="Traditional Arabic"/>
          <w:szCs w:val="20"/>
          <w:rtl/>
        </w:rPr>
        <w:t>-</w:t>
      </w:r>
      <w:r>
        <w:rPr>
          <w:rtl/>
        </w:rPr>
        <w:tab/>
      </w:r>
      <w:r w:rsidRPr="004471BA">
        <w:rPr>
          <w:b/>
          <w:bCs/>
          <w:rtl/>
        </w:rPr>
        <w:t>ينبغي للدولة الطرف أن تكفل تنفيذ التعديلات المدخلة على المادة 219</w:t>
      </w:r>
      <w:r w:rsidRPr="004471BA">
        <w:rPr>
          <w:rFonts w:ascii="Traditional Arabic"/>
          <w:b/>
          <w:bCs/>
          <w:szCs w:val="20"/>
          <w:rtl/>
        </w:rPr>
        <w:t>(</w:t>
      </w:r>
      <w:r w:rsidRPr="004471BA">
        <w:rPr>
          <w:b/>
          <w:bCs/>
          <w:rtl/>
        </w:rPr>
        <w:t>أ</w:t>
      </w:r>
      <w:r w:rsidRPr="004471BA">
        <w:rPr>
          <w:rFonts w:ascii="Traditional Arabic"/>
          <w:b/>
          <w:bCs/>
          <w:szCs w:val="20"/>
          <w:rtl/>
        </w:rPr>
        <w:t>)</w:t>
      </w:r>
      <w:r w:rsidRPr="004471BA">
        <w:rPr>
          <w:b/>
          <w:bCs/>
          <w:rtl/>
        </w:rPr>
        <w:t xml:space="preserve"> من القانون الجنائي تنفيذا كاملا وفعالا لتيسير حصول المرأة على المعلومات المتعلقة بالإجهاض الطوعي، وتعزيز توفير خدمات الصحة الجنسية والإنجابية، بما في ذلك الحصول على وسائل منع الحمل على قدم المساواة وبتكلفة معقولة، وتكثيف التدابير الرامية إلى حماية المرأة التي تلتمس المشورة من المضايقة. وعلاوة على ذلك، ينبغي للدولة الطرف أن تنظر في إلغاء الأحكام التي يمكن أن تشكل حواجز أمام النساء اللائي يسعين إلى الإجهاض المأمون، مثل تلك التي تحدد فترات انتظار إلزامية.</w:t>
      </w:r>
    </w:p>
    <w:p w14:paraId="69837130" w14:textId="77777777" w:rsidR="00A946B8" w:rsidRPr="004471BA" w:rsidRDefault="00A946B8" w:rsidP="00026086">
      <w:pPr>
        <w:pStyle w:val="H23GA"/>
        <w:rPr>
          <w:szCs w:val="20"/>
          <w:lang w:val="ar-SA" w:eastAsia="zh-TW" w:bidi="en-GB"/>
        </w:rPr>
      </w:pPr>
      <w:r w:rsidRPr="004471BA">
        <w:rPr>
          <w:rtl/>
        </w:rPr>
        <w:tab/>
      </w:r>
      <w:r w:rsidRPr="004471BA">
        <w:rPr>
          <w:rtl/>
        </w:rPr>
        <w:tab/>
        <w:t>حاملو صفات الجنسين</w:t>
      </w:r>
    </w:p>
    <w:p w14:paraId="729A3E56" w14:textId="5FFE2143" w:rsidR="00A946B8" w:rsidRDefault="00A946B8" w:rsidP="00026086">
      <w:pPr>
        <w:pStyle w:val="SingleTxtGA"/>
        <w:rPr>
          <w:szCs w:val="20"/>
          <w:lang w:val="ar-SA" w:eastAsia="zh-TW" w:bidi="en-GB"/>
        </w:rPr>
      </w:pPr>
      <w:r w:rsidRPr="004471BA">
        <w:rPr>
          <w:rtl/>
        </w:rPr>
        <w:t>20</w:t>
      </w:r>
      <w:r>
        <w:rPr>
          <w:rFonts w:ascii="Traditional Arabic"/>
          <w:szCs w:val="20"/>
          <w:rtl/>
        </w:rPr>
        <w:t>-</w:t>
      </w:r>
      <w:r>
        <w:rPr>
          <w:rtl/>
        </w:rPr>
        <w:tab/>
        <w:t>يساور اللجنة القلق إزاء التقارير التي تفيد بأن أطفالا</w:t>
      </w:r>
      <w:r w:rsidR="00BC5EB1">
        <w:rPr>
          <w:rFonts w:hint="cs"/>
          <w:rtl/>
        </w:rPr>
        <w:t>ً</w:t>
      </w:r>
      <w:r>
        <w:rPr>
          <w:rtl/>
        </w:rPr>
        <w:t xml:space="preserve"> من الجنسين قد تعرضوا أحيانا</w:t>
      </w:r>
      <w:r w:rsidR="00BC5EB1">
        <w:rPr>
          <w:rFonts w:hint="cs"/>
          <w:rtl/>
        </w:rPr>
        <w:t>ً</w:t>
      </w:r>
      <w:r>
        <w:rPr>
          <w:rtl/>
        </w:rPr>
        <w:t xml:space="preserve"> لإجراءات طبية </w:t>
      </w:r>
      <w:proofErr w:type="spellStart"/>
      <w:r>
        <w:rPr>
          <w:rtl/>
        </w:rPr>
        <w:t>اقتحامية</w:t>
      </w:r>
      <w:proofErr w:type="spellEnd"/>
      <w:r>
        <w:rPr>
          <w:rtl/>
        </w:rPr>
        <w:t xml:space="preserve"> وغير ضرورية من الناحية الطبية ولا رجعة فيها تهدف إلى إسناد جنس إليهم. ويساورها القلق أيضا لأن هذه الأعمال كثيرا</w:t>
      </w:r>
      <w:r w:rsidR="0054231A">
        <w:rPr>
          <w:rFonts w:hint="cs"/>
          <w:rtl/>
        </w:rPr>
        <w:t>ً</w:t>
      </w:r>
      <w:r>
        <w:rPr>
          <w:rtl/>
        </w:rPr>
        <w:t xml:space="preserve"> ما تستند إلى رؤية نمطية لأدوار الجنسين وتنطوي على إجراءات مهينة ومؤلمة، وتنفذ قبل بلوغ الأشخاص المعنيين سن الرشد التي تمكنهم من التعبير عن موافقتهم الحرة والمستنيرة. كما يساورها القلق لأن ضحايا هذه الممارسات يواجهون عقبات كأداء في الوصول إلى سبل الانتصاف، على الرغم من معاناتهم ضررا بدنيا ونفسيا دائما، وذلك لأسباب منها قوانين التقادم التي تمنع الأطفال الضحايا من التماس الجبر عندما يكبرون، والصعوبات في الوصول إلى السجلات الصحية، وعدم توفر التعويضات. وتشيد اللجنة بالدولة الطرف لاعتمادها قانون حماية الأطفال ذوي الاختلافات في النمو الجنسي في عام </w:t>
      </w:r>
      <w:r w:rsidRPr="004471BA">
        <w:rPr>
          <w:rtl/>
        </w:rPr>
        <w:t>2021</w:t>
      </w:r>
      <w:r>
        <w:rPr>
          <w:rFonts w:ascii="Traditional Arabic"/>
          <w:szCs w:val="20"/>
          <w:rtl/>
        </w:rPr>
        <w:t>.</w:t>
      </w:r>
      <w:r>
        <w:rPr>
          <w:rtl/>
        </w:rPr>
        <w:t xml:space="preserve"> ومع ذلك، لا تزال اللجنة منشغلة إزاء التقارير التي تفيد بأن القانون لا يقيد تحديدا جميع الممارسات الإشكالية، أو يحدد المسؤولية الجنائية، أو يعالج بفعالية جميع الحواجز التي تحول دون وصول الضحايا إلى سبل الانتصاف (المواد </w:t>
      </w:r>
      <w:r w:rsidRPr="004471BA">
        <w:rPr>
          <w:rtl/>
        </w:rPr>
        <w:t>2</w:t>
      </w:r>
      <w:r>
        <w:rPr>
          <w:rtl/>
        </w:rPr>
        <w:t xml:space="preserve"> و</w:t>
      </w:r>
      <w:r w:rsidRPr="004471BA">
        <w:rPr>
          <w:rtl/>
        </w:rPr>
        <w:t>3</w:t>
      </w:r>
      <w:r>
        <w:rPr>
          <w:rtl/>
        </w:rPr>
        <w:t xml:space="preserve"> و</w:t>
      </w:r>
      <w:r w:rsidRPr="004471BA">
        <w:rPr>
          <w:rtl/>
        </w:rPr>
        <w:t>7</w:t>
      </w:r>
      <w:r>
        <w:rPr>
          <w:rtl/>
        </w:rPr>
        <w:t xml:space="preserve"> و</w:t>
      </w:r>
      <w:r w:rsidRPr="004471BA">
        <w:rPr>
          <w:rtl/>
        </w:rPr>
        <w:t>17</w:t>
      </w:r>
      <w:r>
        <w:rPr>
          <w:rtl/>
        </w:rPr>
        <w:t xml:space="preserve"> و</w:t>
      </w:r>
      <w:r w:rsidRPr="004471BA">
        <w:rPr>
          <w:rtl/>
        </w:rPr>
        <w:t>24</w:t>
      </w:r>
      <w:r>
        <w:rPr>
          <w:rtl/>
        </w:rPr>
        <w:t xml:space="preserve"> و</w:t>
      </w:r>
      <w:r w:rsidRPr="004471BA">
        <w:rPr>
          <w:rtl/>
        </w:rPr>
        <w:t>26</w:t>
      </w:r>
      <w:r>
        <w:rPr>
          <w:rFonts w:ascii="Traditional Arabic"/>
          <w:szCs w:val="20"/>
          <w:rtl/>
        </w:rPr>
        <w:t>)</w:t>
      </w:r>
      <w:r>
        <w:rPr>
          <w:rtl/>
        </w:rPr>
        <w:t>.</w:t>
      </w:r>
    </w:p>
    <w:p w14:paraId="22566BC5" w14:textId="77777777" w:rsidR="00A946B8" w:rsidRPr="004471BA" w:rsidRDefault="00A946B8" w:rsidP="00026086">
      <w:pPr>
        <w:pStyle w:val="SingleTxtGA"/>
        <w:rPr>
          <w:b/>
          <w:bCs/>
          <w:szCs w:val="20"/>
          <w:lang w:val="ar-SA" w:eastAsia="zh-TW" w:bidi="en-GB"/>
        </w:rPr>
      </w:pPr>
      <w:r w:rsidRPr="004471BA">
        <w:rPr>
          <w:rtl/>
        </w:rPr>
        <w:t>21</w:t>
      </w:r>
      <w:r>
        <w:rPr>
          <w:rFonts w:ascii="Traditional Arabic"/>
          <w:szCs w:val="20"/>
          <w:rtl/>
        </w:rPr>
        <w:t>-</w:t>
      </w:r>
      <w:r>
        <w:rPr>
          <w:rtl/>
        </w:rPr>
        <w:tab/>
      </w:r>
      <w:r w:rsidRPr="004471BA">
        <w:rPr>
          <w:b/>
          <w:bCs/>
          <w:rtl/>
        </w:rPr>
        <w:t xml:space="preserve">ينبغي للدولة الطرف أن تتخذ جميع الخطوات اللازمة لفرض حظر محدد على جميع الأفعال المتصلة بتخصيص جنس للأطفال الحاملين صفات الجنسين دون موافقتهم الحرة والمستنيرة، فيما عدا الحالات التي تكون فيها هذه التدخلات ضرورية للغاية لأسباب طبية وتؤخذ فيها مصالح الطفل الفضلى في الاعتبار على النحو الواجب. وينبغي أن يشمل ذلك النظر في إدخال تعديلات على قانون حماية الأطفال ذوي الاختلافات في النمو الجنسي </w:t>
      </w:r>
      <w:r w:rsidRPr="004471BA">
        <w:rPr>
          <w:rFonts w:ascii="Traditional Arabic"/>
          <w:b/>
          <w:bCs/>
          <w:szCs w:val="20"/>
          <w:rtl/>
        </w:rPr>
        <w:t>(</w:t>
      </w:r>
      <w:r w:rsidRPr="004471BA">
        <w:rPr>
          <w:b/>
          <w:bCs/>
          <w:rtl/>
        </w:rPr>
        <w:t>2021</w:t>
      </w:r>
      <w:r w:rsidRPr="004471BA">
        <w:rPr>
          <w:rFonts w:ascii="Traditional Arabic"/>
          <w:b/>
          <w:bCs/>
          <w:szCs w:val="20"/>
          <w:rtl/>
        </w:rPr>
        <w:t>)</w:t>
      </w:r>
      <w:r w:rsidRPr="004471BA">
        <w:rPr>
          <w:b/>
          <w:bCs/>
          <w:rtl/>
        </w:rPr>
        <w:t xml:space="preserve"> في غضون فترة السنوات الخمس المخصصة لاستعراضه، إن لزم الأمر. وينبغي للدولة الطرف أيضا أن تكفل وصول جميع الضحايا إلى سبل الانتصاف، بما في ذلك من خلال تنقيح تطبيق قوانين التقادم على الانتهاكات المرتكبة في مرحلة الطفولة، مع اتخاذ خطوات لضمان وصول جميع الضحايا إلى سجلاتهم الصحية والنظر في إنشاء صندوق مخصص للتعويضات.</w:t>
      </w:r>
    </w:p>
    <w:p w14:paraId="68712839" w14:textId="7EF895E6" w:rsidR="00A946B8" w:rsidRPr="004471BA" w:rsidRDefault="00A946B8" w:rsidP="00026086">
      <w:pPr>
        <w:pStyle w:val="H23GA"/>
        <w:rPr>
          <w:szCs w:val="20"/>
          <w:lang w:val="ar-SA" w:eastAsia="zh-TW" w:bidi="en-GB"/>
        </w:rPr>
      </w:pPr>
      <w:r w:rsidRPr="004471BA">
        <w:rPr>
          <w:rtl/>
        </w:rPr>
        <w:lastRenderedPageBreak/>
        <w:tab/>
      </w:r>
      <w:r w:rsidRPr="004471BA">
        <w:rPr>
          <w:rtl/>
        </w:rPr>
        <w:tab/>
        <w:t>عمليات القتل المحددة الأهداف باستخدام طائرات بلا طيّار</w:t>
      </w:r>
    </w:p>
    <w:p w14:paraId="582113BB" w14:textId="77777777" w:rsidR="00A946B8" w:rsidRPr="00F71E90" w:rsidRDefault="00A946B8" w:rsidP="00026086">
      <w:pPr>
        <w:pStyle w:val="SingleTxtGA"/>
        <w:rPr>
          <w:szCs w:val="20"/>
          <w:lang w:val="ar-SA" w:eastAsia="zh-TW" w:bidi="en-GB"/>
        </w:rPr>
      </w:pPr>
      <w:r w:rsidRPr="004471BA">
        <w:rPr>
          <w:rtl/>
        </w:rPr>
        <w:t>22</w:t>
      </w:r>
      <w:r>
        <w:rPr>
          <w:rFonts w:ascii="Traditional Arabic"/>
          <w:szCs w:val="20"/>
          <w:rtl/>
        </w:rPr>
        <w:t>-</w:t>
      </w:r>
      <w:r>
        <w:rPr>
          <w:rtl/>
        </w:rPr>
        <w:tab/>
        <w:t xml:space="preserve">تأسف اللجنة لعدم كفاية المعلومات المقدمة عن نتائج الخطوات التي اتخذتها الدولة الطرف لضمان ألا يسهم الدعم العسكري، بما في ذلك استخدام قاعدة </w:t>
      </w:r>
      <w:proofErr w:type="spellStart"/>
      <w:r>
        <w:rPr>
          <w:rtl/>
        </w:rPr>
        <w:t>رامشتاين</w:t>
      </w:r>
      <w:proofErr w:type="spellEnd"/>
      <w:r>
        <w:rPr>
          <w:rtl/>
        </w:rPr>
        <w:t xml:space="preserve"> الجوية ونقل البيانات في الوقت الحقيقي في الأراضي الألمانية، في استخدام طائرات بلا طيار خارج مناطق النزاع المعترف بها، مما يسفر عن وقوع خسائر في صفوف المدنيين (الفقرتان </w:t>
      </w:r>
      <w:r w:rsidRPr="004471BA">
        <w:rPr>
          <w:rtl/>
        </w:rPr>
        <w:t>2</w:t>
      </w:r>
      <w:r>
        <w:rPr>
          <w:rtl/>
        </w:rPr>
        <w:t xml:space="preserve"> و</w:t>
      </w:r>
      <w:r w:rsidRPr="004471BA">
        <w:rPr>
          <w:rtl/>
        </w:rPr>
        <w:t>6</w:t>
      </w:r>
      <w:r>
        <w:rPr>
          <w:rFonts w:ascii="Traditional Arabic"/>
          <w:szCs w:val="20"/>
          <w:rtl/>
        </w:rPr>
        <w:t>)</w:t>
      </w:r>
      <w:r>
        <w:rPr>
          <w:rtl/>
        </w:rPr>
        <w:t>.</w:t>
      </w:r>
    </w:p>
    <w:p w14:paraId="07FEE4E6" w14:textId="5F0D933F" w:rsidR="00A946B8" w:rsidRPr="004471BA" w:rsidRDefault="00A946B8" w:rsidP="00026086">
      <w:pPr>
        <w:pStyle w:val="SingleTxtGA"/>
        <w:rPr>
          <w:b/>
          <w:bCs/>
          <w:szCs w:val="20"/>
          <w:lang w:val="ar-SA" w:eastAsia="zh-TW" w:bidi="en-GB"/>
        </w:rPr>
      </w:pPr>
      <w:r w:rsidRPr="004471BA">
        <w:rPr>
          <w:rtl/>
        </w:rPr>
        <w:t>23</w:t>
      </w:r>
      <w:r>
        <w:rPr>
          <w:rFonts w:ascii="Traditional Arabic"/>
          <w:szCs w:val="20"/>
          <w:rtl/>
        </w:rPr>
        <w:t>-</w:t>
      </w:r>
      <w:r>
        <w:rPr>
          <w:rtl/>
        </w:rPr>
        <w:tab/>
      </w:r>
      <w:r w:rsidRPr="004471BA">
        <w:rPr>
          <w:b/>
          <w:bCs/>
          <w:rtl/>
        </w:rPr>
        <w:t>ينبغي للدولة الطرف أن تتخذ جميع الخطوات اللازمة لضمان أن يكون استخدام طائرات مسلحة بلا طيار مدعومة بهياكل أساسية داخل أراضيها متوافقا</w:t>
      </w:r>
      <w:r w:rsidR="000278FA" w:rsidRPr="004471BA">
        <w:rPr>
          <w:rFonts w:hint="cs"/>
          <w:b/>
          <w:bCs/>
          <w:rtl/>
        </w:rPr>
        <w:t>ً</w:t>
      </w:r>
      <w:r w:rsidRPr="004471BA">
        <w:rPr>
          <w:b/>
          <w:bCs/>
          <w:rtl/>
        </w:rPr>
        <w:t xml:space="preserve"> تماما</w:t>
      </w:r>
      <w:r w:rsidR="000278FA" w:rsidRPr="004471BA">
        <w:rPr>
          <w:rFonts w:hint="cs"/>
          <w:b/>
          <w:bCs/>
          <w:rtl/>
        </w:rPr>
        <w:t>ً</w:t>
      </w:r>
      <w:r w:rsidRPr="004471BA">
        <w:rPr>
          <w:b/>
          <w:bCs/>
          <w:rtl/>
        </w:rPr>
        <w:t xml:space="preserve"> مع التزاماتها بموجب المادة 6 من العهد، بما في ذلك، على وجه الخصوص، التدابير الرامية إلى تقييد استخدامها خارج مناطق النزاع المعترف بها مما قد يسفر عن سلب الحياة تعسفا</w:t>
      </w:r>
      <w:r w:rsidR="0054231A" w:rsidRPr="004471BA">
        <w:rPr>
          <w:rFonts w:hint="cs"/>
          <w:b/>
          <w:bCs/>
          <w:rtl/>
        </w:rPr>
        <w:t>ً</w:t>
      </w:r>
      <w:r w:rsidRPr="004471BA">
        <w:rPr>
          <w:b/>
          <w:bCs/>
          <w:rtl/>
        </w:rPr>
        <w:t>.</w:t>
      </w:r>
    </w:p>
    <w:p w14:paraId="589FF79D" w14:textId="77777777" w:rsidR="00A946B8" w:rsidRPr="004471BA" w:rsidRDefault="00A946B8" w:rsidP="00026086">
      <w:pPr>
        <w:pStyle w:val="H23GA"/>
        <w:rPr>
          <w:szCs w:val="20"/>
          <w:lang w:val="ar-SA" w:eastAsia="zh-TW" w:bidi="en-GB"/>
        </w:rPr>
      </w:pPr>
      <w:r w:rsidRPr="004471BA">
        <w:rPr>
          <w:rtl/>
        </w:rPr>
        <w:tab/>
      </w:r>
      <w:r w:rsidRPr="004471BA">
        <w:rPr>
          <w:rtl/>
        </w:rPr>
        <w:tab/>
        <w:t>تغير المناخ والتدهور البيئي</w:t>
      </w:r>
    </w:p>
    <w:p w14:paraId="0BEB1463" w14:textId="1952715E" w:rsidR="00A946B8" w:rsidRPr="00964DC5" w:rsidRDefault="00A946B8" w:rsidP="00026086">
      <w:pPr>
        <w:pStyle w:val="SingleTxtGA"/>
        <w:rPr>
          <w:szCs w:val="20"/>
          <w:lang w:val="ar-SA" w:eastAsia="zh-TW" w:bidi="en-GB"/>
        </w:rPr>
      </w:pPr>
      <w:r w:rsidRPr="004471BA">
        <w:rPr>
          <w:rtl/>
        </w:rPr>
        <w:t>24</w:t>
      </w:r>
      <w:r>
        <w:rPr>
          <w:rFonts w:ascii="Traditional Arabic"/>
          <w:szCs w:val="20"/>
          <w:rtl/>
        </w:rPr>
        <w:t>-</w:t>
      </w:r>
      <w:r>
        <w:rPr>
          <w:rtl/>
        </w:rPr>
        <w:tab/>
        <w:t xml:space="preserve">تشيد اللجنة بالدولة الطرف لما بذلته من جهود في التصدي لتغير المناخ وتدهور البيئة، بما في ذلك اعتماد قانون تغير المناخ في عام </w:t>
      </w:r>
      <w:r w:rsidRPr="004471BA">
        <w:rPr>
          <w:rtl/>
        </w:rPr>
        <w:t>2019</w:t>
      </w:r>
      <w:r>
        <w:rPr>
          <w:rtl/>
        </w:rPr>
        <w:t xml:space="preserve"> وخطة العمل المتعلقة بالمناخ لعام </w:t>
      </w:r>
      <w:r w:rsidRPr="004471BA">
        <w:rPr>
          <w:rtl/>
        </w:rPr>
        <w:t>2050</w:t>
      </w:r>
      <w:r>
        <w:rPr>
          <w:rFonts w:ascii="Traditional Arabic"/>
          <w:szCs w:val="20"/>
          <w:rtl/>
        </w:rPr>
        <w:t>.</w:t>
      </w:r>
      <w:r>
        <w:rPr>
          <w:rtl/>
        </w:rPr>
        <w:t xml:space="preserve"> وترحب اللجنة بالمعلومات التي قدمتها الدولة الطرف خلال حوارها التفاعلي مع اللجنة بشأن الجهود المبذولة لتشجيع نهج قائم على حقوق الإنسان إزاء تغير المناخ وتنفيذ المشاريع ذات الصلة على الصعيد الدولي. كما تحيط اللجنة علما بالاستنتاجات الهامة التي توصلت إليها المحكمة الدستورية الاتحادية في حكمها الصادر في </w:t>
      </w:r>
      <w:r w:rsidRPr="004471BA">
        <w:rPr>
          <w:rtl/>
        </w:rPr>
        <w:t>24</w:t>
      </w:r>
      <w:r>
        <w:rPr>
          <w:rtl/>
        </w:rPr>
        <w:t xml:space="preserve"> آذار/مارس </w:t>
      </w:r>
      <w:r w:rsidRPr="004471BA">
        <w:rPr>
          <w:rtl/>
        </w:rPr>
        <w:t>2021</w:t>
      </w:r>
      <w:r w:rsidR="008C0B42">
        <w:rPr>
          <w:rStyle w:val="FootnoteReference"/>
          <w:rtl/>
        </w:rPr>
        <w:t>(</w:t>
      </w:r>
      <w:r w:rsidR="008C0B42" w:rsidRPr="004471BA">
        <w:rPr>
          <w:rStyle w:val="FootnoteReference"/>
          <w:lang w:val="en-US"/>
        </w:rPr>
        <w:footnoteReference w:id="12"/>
      </w:r>
      <w:r w:rsidR="008C0B42">
        <w:rPr>
          <w:rStyle w:val="FootnoteReference"/>
          <w:rtl/>
        </w:rPr>
        <w:t>)</w:t>
      </w:r>
      <w:r w:rsidR="000278FA">
        <w:rPr>
          <w:rFonts w:hint="cs"/>
          <w:rtl/>
        </w:rPr>
        <w:t>.</w:t>
      </w:r>
      <w:r>
        <w:rPr>
          <w:rtl/>
        </w:rPr>
        <w:t xml:space="preserve"> ومع ذلك، تأسف اللجنة لعدم وجود معلومات محددة عن التدابير المتخذة لوضع آليات ونظم لضمان الاستخدام المستدام للموارد الطبيعية واعتماد نهج تحوطي لحماية الأشخاص، بمن فيهم أضعف الفئات، من الآثار السلبية لتغير المناخ والكوارث الطبيعية، مثل الفيضانات الشديدة التي واجهتها الدولة الطرف داخل أراضيها في عام </w:t>
      </w:r>
      <w:r w:rsidRPr="004471BA">
        <w:rPr>
          <w:rtl/>
        </w:rPr>
        <w:t>2021</w:t>
      </w:r>
      <w:r>
        <w:rPr>
          <w:rFonts w:ascii="Traditional Arabic"/>
          <w:szCs w:val="20"/>
          <w:rtl/>
        </w:rPr>
        <w:t xml:space="preserve"> (</w:t>
      </w:r>
      <w:r>
        <w:rPr>
          <w:rtl/>
        </w:rPr>
        <w:t xml:space="preserve">المادة </w:t>
      </w:r>
      <w:r w:rsidRPr="004471BA">
        <w:rPr>
          <w:rtl/>
        </w:rPr>
        <w:t>6</w:t>
      </w:r>
      <w:r>
        <w:rPr>
          <w:rFonts w:ascii="Traditional Arabic"/>
          <w:szCs w:val="20"/>
          <w:rtl/>
        </w:rPr>
        <w:t>)</w:t>
      </w:r>
      <w:r>
        <w:rPr>
          <w:rtl/>
        </w:rPr>
        <w:t>.</w:t>
      </w:r>
    </w:p>
    <w:p w14:paraId="5479BEFA" w14:textId="219B8427" w:rsidR="00A946B8" w:rsidRPr="004471BA" w:rsidRDefault="00A946B8" w:rsidP="00026086">
      <w:pPr>
        <w:pStyle w:val="SingleTxtGA"/>
        <w:rPr>
          <w:b/>
          <w:bCs/>
          <w:szCs w:val="20"/>
          <w:lang w:val="en-US" w:eastAsia="zh-TW" w:bidi="en-GB"/>
        </w:rPr>
      </w:pPr>
      <w:r w:rsidRPr="004471BA">
        <w:rPr>
          <w:rtl/>
        </w:rPr>
        <w:t>25</w:t>
      </w:r>
      <w:r>
        <w:rPr>
          <w:rFonts w:ascii="Traditional Arabic"/>
          <w:szCs w:val="20"/>
          <w:rtl/>
        </w:rPr>
        <w:t>-</w:t>
      </w:r>
      <w:r>
        <w:rPr>
          <w:rtl/>
        </w:rPr>
        <w:tab/>
      </w:r>
      <w:r w:rsidRPr="004471BA">
        <w:rPr>
          <w:b/>
          <w:bCs/>
          <w:rtl/>
        </w:rPr>
        <w:t>ينبغي للدولة الطرف أن تواصل وتكثف جهودها الرامية إلى تعزيز الإطار القانوني لتغير المناخ، بطرق منها اتخاذ جميع الخطوات اللازمة لتنفيذ النتائج التي توصلت إليها المحكمة الدستورية الاتحادية في الحكم المذكور أعلاه الصادر في 24 آذار/مارس 2021</w:t>
      </w:r>
      <w:r w:rsidRPr="004471BA">
        <w:rPr>
          <w:rFonts w:ascii="Traditional Arabic"/>
          <w:b/>
          <w:bCs/>
          <w:szCs w:val="20"/>
          <w:rtl/>
        </w:rPr>
        <w:t>.</w:t>
      </w:r>
      <w:r w:rsidRPr="004471BA">
        <w:rPr>
          <w:b/>
          <w:bCs/>
          <w:rtl/>
        </w:rPr>
        <w:t xml:space="preserve"> وينبغي للدولة الطرف أيضا</w:t>
      </w:r>
      <w:r w:rsidR="00ED6F27" w:rsidRPr="004471BA">
        <w:rPr>
          <w:rFonts w:hint="cs"/>
          <w:b/>
          <w:bCs/>
          <w:rtl/>
        </w:rPr>
        <w:t>ً</w:t>
      </w:r>
      <w:r w:rsidRPr="004471BA">
        <w:rPr>
          <w:b/>
          <w:bCs/>
          <w:rtl/>
        </w:rPr>
        <w:t xml:space="preserve"> أن تتخذ خطوات كافية لوضع آليات لضمان الاستخدام المستدام للموارد الطبيعية واعتماد نهج تحوطي لحماية الأشخاص، بمن فيهم أضعف الناس، من الآثار السلبية لتغير المناخ والكوارث الطبيعية. وفي هذا الصدد، توجه اللجنة اهتمام الدولة الطرف إلى الفقرة 62 من تعليقها العام رقم 36</w:t>
      </w:r>
      <w:r w:rsidRPr="004471BA">
        <w:rPr>
          <w:rFonts w:ascii="Traditional Arabic"/>
          <w:b/>
          <w:bCs/>
          <w:szCs w:val="20"/>
          <w:rtl/>
        </w:rPr>
        <w:t>(</w:t>
      </w:r>
      <w:r w:rsidRPr="004471BA">
        <w:rPr>
          <w:b/>
          <w:bCs/>
          <w:rtl/>
        </w:rPr>
        <w:t>2018</w:t>
      </w:r>
      <w:r w:rsidRPr="004471BA">
        <w:rPr>
          <w:rFonts w:ascii="Traditional Arabic"/>
          <w:b/>
          <w:bCs/>
          <w:szCs w:val="20"/>
          <w:rtl/>
        </w:rPr>
        <w:t>).</w:t>
      </w:r>
    </w:p>
    <w:p w14:paraId="5DA072AE" w14:textId="77777777" w:rsidR="00A946B8" w:rsidRPr="004471BA" w:rsidRDefault="00A946B8" w:rsidP="00026086">
      <w:pPr>
        <w:pStyle w:val="H23GA"/>
        <w:rPr>
          <w:szCs w:val="20"/>
          <w:lang w:val="ar-SA" w:eastAsia="zh-TW" w:bidi="en-GB"/>
        </w:rPr>
      </w:pPr>
      <w:r w:rsidRPr="004471BA">
        <w:rPr>
          <w:rtl/>
        </w:rPr>
        <w:tab/>
      </w:r>
      <w:r w:rsidRPr="004471BA">
        <w:rPr>
          <w:rtl/>
        </w:rPr>
        <w:tab/>
        <w:t>الإفراط في استعمال القوة</w:t>
      </w:r>
    </w:p>
    <w:p w14:paraId="6F5C72B2" w14:textId="7FDF27D2" w:rsidR="00A946B8" w:rsidRDefault="00A946B8" w:rsidP="00026086">
      <w:pPr>
        <w:pStyle w:val="SingleTxtGA"/>
        <w:rPr>
          <w:szCs w:val="20"/>
          <w:lang w:val="ar-SA" w:eastAsia="zh-TW" w:bidi="en-GB"/>
        </w:rPr>
      </w:pPr>
      <w:r w:rsidRPr="004471BA">
        <w:rPr>
          <w:rtl/>
        </w:rPr>
        <w:t>26</w:t>
      </w:r>
      <w:r>
        <w:rPr>
          <w:rFonts w:ascii="Traditional Arabic"/>
          <w:szCs w:val="20"/>
          <w:rtl/>
        </w:rPr>
        <w:t>-</w:t>
      </w:r>
      <w:r>
        <w:rPr>
          <w:rtl/>
        </w:rPr>
        <w:tab/>
        <w:t xml:space="preserve">يساور اللجنة القلق إزاء التقارير التي تفيد بإفراط موظفي إنفاذ القانون في استخدام القوة في الدولة الطرف، بما في ذلك في سياق ضبط التجمعات، مثل مؤتمر قمة مجموعة العشرين الذي عقد في هامبورغ في عام </w:t>
      </w:r>
      <w:r w:rsidRPr="004471BA">
        <w:rPr>
          <w:rtl/>
        </w:rPr>
        <w:t>2017</w:t>
      </w:r>
      <w:r>
        <w:rPr>
          <w:rFonts w:ascii="Traditional Arabic"/>
          <w:szCs w:val="20"/>
          <w:rtl/>
        </w:rPr>
        <w:t>.</w:t>
      </w:r>
      <w:r>
        <w:rPr>
          <w:rtl/>
        </w:rPr>
        <w:t xml:space="preserve"> كما يساورها القلق لأن ضباط الشرطة الاتحادية، فضلا</w:t>
      </w:r>
      <w:r w:rsidR="00CF5008">
        <w:rPr>
          <w:rFonts w:hint="cs"/>
          <w:rtl/>
        </w:rPr>
        <w:t>ً</w:t>
      </w:r>
      <w:r>
        <w:rPr>
          <w:rtl/>
        </w:rPr>
        <w:t xml:space="preserve"> عن بعض موظفي إنفاذ القانون على مستوى الولايات، لا يطلب منهم ارتداء شارات الهوية، وهو ما يعوق التحقيق في ادعاءات الإفراط في اس</w:t>
      </w:r>
      <w:r w:rsidR="00ED6F27">
        <w:rPr>
          <w:rFonts w:hint="cs"/>
          <w:rtl/>
        </w:rPr>
        <w:t>ت</w:t>
      </w:r>
      <w:r>
        <w:rPr>
          <w:rtl/>
        </w:rPr>
        <w:t>عمال القوة. كما يساورها القلق لأن عددا</w:t>
      </w:r>
      <w:r w:rsidR="00ED6F27">
        <w:rPr>
          <w:rFonts w:hint="cs"/>
          <w:rtl/>
        </w:rPr>
        <w:t>ً</w:t>
      </w:r>
      <w:r>
        <w:rPr>
          <w:rtl/>
        </w:rPr>
        <w:t xml:space="preserve"> كبيرا</w:t>
      </w:r>
      <w:r w:rsidR="00ED6F27">
        <w:rPr>
          <w:rFonts w:hint="cs"/>
          <w:rtl/>
        </w:rPr>
        <w:t>ً</w:t>
      </w:r>
      <w:r>
        <w:rPr>
          <w:rtl/>
        </w:rPr>
        <w:t xml:space="preserve"> من الشكاوى المتعلقة بإساءة المعاملة من جانب موظفي إنفاذ القانون لا تصل إلى المحاكم (المواد </w:t>
      </w:r>
      <w:r w:rsidRPr="004471BA">
        <w:rPr>
          <w:rtl/>
        </w:rPr>
        <w:t>6</w:t>
      </w:r>
      <w:r>
        <w:rPr>
          <w:rtl/>
        </w:rPr>
        <w:t xml:space="preserve"> و</w:t>
      </w:r>
      <w:r w:rsidRPr="004471BA">
        <w:rPr>
          <w:rtl/>
        </w:rPr>
        <w:t>7</w:t>
      </w:r>
      <w:r>
        <w:rPr>
          <w:rtl/>
        </w:rPr>
        <w:t xml:space="preserve"> و</w:t>
      </w:r>
      <w:r w:rsidRPr="004471BA">
        <w:rPr>
          <w:rtl/>
        </w:rPr>
        <w:t>21</w:t>
      </w:r>
      <w:r>
        <w:rPr>
          <w:rFonts w:ascii="Traditional Arabic"/>
          <w:szCs w:val="20"/>
          <w:rtl/>
        </w:rPr>
        <w:t>)</w:t>
      </w:r>
      <w:r>
        <w:rPr>
          <w:rtl/>
        </w:rPr>
        <w:t>.</w:t>
      </w:r>
    </w:p>
    <w:p w14:paraId="48A90FAC" w14:textId="2F07A0CC" w:rsidR="00A946B8" w:rsidRPr="004471BA" w:rsidRDefault="00A946B8" w:rsidP="00026086">
      <w:pPr>
        <w:pStyle w:val="SingleTxtGA"/>
        <w:rPr>
          <w:rFonts w:ascii="Times New Roman Bold" w:hAnsi="Times New Roman Bold" w:hint="eastAsia"/>
          <w:b/>
          <w:bCs/>
          <w:spacing w:val="-2"/>
          <w:szCs w:val="20"/>
          <w:lang w:val="ar-SA" w:eastAsia="zh-TW" w:bidi="en-GB"/>
        </w:rPr>
      </w:pPr>
      <w:r w:rsidRPr="004471BA">
        <w:rPr>
          <w:spacing w:val="-4"/>
          <w:rtl/>
        </w:rPr>
        <w:lastRenderedPageBreak/>
        <w:t>27</w:t>
      </w:r>
      <w:r w:rsidRPr="00CF5008">
        <w:rPr>
          <w:rFonts w:ascii="Traditional Arabic"/>
          <w:spacing w:val="-4"/>
          <w:szCs w:val="20"/>
          <w:rtl/>
        </w:rPr>
        <w:t>-</w:t>
      </w:r>
      <w:r w:rsidRPr="00CF5008">
        <w:rPr>
          <w:spacing w:val="-4"/>
          <w:rtl/>
        </w:rPr>
        <w:tab/>
      </w:r>
      <w:r w:rsidRPr="004471BA">
        <w:rPr>
          <w:b/>
          <w:bCs/>
          <w:spacing w:val="-4"/>
          <w:rtl/>
        </w:rPr>
        <w:t>ينبغي أن يتماشى استعمال القوة من جانب موظفي إنفاذ القانون، بما في ذلك أثناء التجمعات السلمية، مع التوجيهات المتعلقة بحقوق الإنسان الصادرة عن الأمم المتحدة بشأن استخدام الأسلحة الأقل فتكاً في سياق إنفاذ القانون، والمبادئ الأساسية بشأن استخدام القوة والأسلحة النارية من جانب الموظفين المكلفين بإنفاذ القوانين. وينبغي للدولة الطرف أيضا</w:t>
      </w:r>
      <w:r w:rsidR="00CF5008" w:rsidRPr="004471BA">
        <w:rPr>
          <w:rFonts w:hint="cs"/>
          <w:b/>
          <w:bCs/>
          <w:spacing w:val="-4"/>
          <w:rtl/>
        </w:rPr>
        <w:t>ً</w:t>
      </w:r>
      <w:r w:rsidRPr="004471BA">
        <w:rPr>
          <w:b/>
          <w:bCs/>
          <w:spacing w:val="-4"/>
          <w:rtl/>
        </w:rPr>
        <w:t xml:space="preserve"> أن تتخذ جميع الخطوات اللازمة، بما في ذلك النظر في </w:t>
      </w:r>
      <w:r w:rsidRPr="004471BA">
        <w:rPr>
          <w:rFonts w:ascii="Times New Roman Bold" w:hAnsi="Times New Roman Bold"/>
          <w:b/>
          <w:bCs/>
          <w:spacing w:val="-2"/>
          <w:rtl/>
        </w:rPr>
        <w:t>فرض شارات الهوية الإلزامية على جميع الموظفين المكلفين بإنفاذ القوانين، لضمان إجراء تحقيقات فعالة في الادعاءات المتعلقة بالإفراط في استعمال القوة ومحاكمة المسؤولين عن ذلك ومعاقبتهم.</w:t>
      </w:r>
    </w:p>
    <w:p w14:paraId="18CB20D0" w14:textId="77777777" w:rsidR="00A946B8" w:rsidRPr="004471BA" w:rsidRDefault="00A946B8" w:rsidP="00026086">
      <w:pPr>
        <w:pStyle w:val="H23GA"/>
        <w:rPr>
          <w:szCs w:val="20"/>
          <w:lang w:val="ar-SA" w:eastAsia="zh-TW" w:bidi="en-GB"/>
        </w:rPr>
      </w:pPr>
      <w:r w:rsidRPr="004471BA">
        <w:rPr>
          <w:rtl/>
        </w:rPr>
        <w:tab/>
      </w:r>
      <w:r w:rsidRPr="004471BA">
        <w:rPr>
          <w:rtl/>
        </w:rPr>
        <w:tab/>
        <w:t>تقييد حركة الأشخاص المحتجزين لدى الشرطة</w:t>
      </w:r>
    </w:p>
    <w:p w14:paraId="43B6918C" w14:textId="2BC6817C" w:rsidR="00A946B8" w:rsidRPr="00E46A9D" w:rsidRDefault="00A946B8" w:rsidP="00026086">
      <w:pPr>
        <w:pStyle w:val="SingleTxtGA"/>
        <w:rPr>
          <w:spacing w:val="-4"/>
          <w:szCs w:val="20"/>
          <w:lang w:val="ar-SA" w:eastAsia="zh-TW" w:bidi="en-GB"/>
        </w:rPr>
      </w:pPr>
      <w:r w:rsidRPr="004471BA">
        <w:rPr>
          <w:spacing w:val="-4"/>
          <w:rtl/>
        </w:rPr>
        <w:t>28</w:t>
      </w:r>
      <w:r w:rsidRPr="00E46A9D">
        <w:rPr>
          <w:rFonts w:ascii="Traditional Arabic"/>
          <w:spacing w:val="-4"/>
          <w:szCs w:val="20"/>
          <w:rtl/>
        </w:rPr>
        <w:t>-</w:t>
      </w:r>
      <w:r w:rsidRPr="00E46A9D">
        <w:rPr>
          <w:spacing w:val="-4"/>
          <w:rtl/>
        </w:rPr>
        <w:tab/>
        <w:t xml:space="preserve">ترحب اللجنة بسن قانون تعزيز حقوق الأشخاص المحتجزين في عام </w:t>
      </w:r>
      <w:r w:rsidRPr="004471BA">
        <w:rPr>
          <w:spacing w:val="-4"/>
          <w:rtl/>
        </w:rPr>
        <w:t>2018</w:t>
      </w:r>
      <w:r w:rsidRPr="00E46A9D">
        <w:rPr>
          <w:spacing w:val="-4"/>
          <w:rtl/>
        </w:rPr>
        <w:t>، الذي ينص على شروط أكثر صرامة لتقييد حركة الأشخاص المحتجزين لدى الشرطة. بيد أنها تلاحظ أن الدولة الطرف لم توضح النطاق المادي الدقيق للمتطلبات المشددة أو تأثيرها. كما تشعر اللجنة بالقلق لأن استخدام ضباط الشرطة لوسائل تقييد الحرك</w:t>
      </w:r>
      <w:r w:rsidR="00CF5008" w:rsidRPr="00E46A9D">
        <w:rPr>
          <w:rFonts w:hint="cs"/>
          <w:spacing w:val="-4"/>
          <w:rtl/>
        </w:rPr>
        <w:t>ة</w:t>
      </w:r>
      <w:r w:rsidRPr="00E46A9D">
        <w:rPr>
          <w:spacing w:val="-4"/>
          <w:rtl/>
        </w:rPr>
        <w:t xml:space="preserve"> مستمر في القانون وفي الممارسة العملية في بعض الولايات (المواد </w:t>
      </w:r>
      <w:r w:rsidRPr="004471BA">
        <w:rPr>
          <w:spacing w:val="-4"/>
          <w:rtl/>
        </w:rPr>
        <w:t>7</w:t>
      </w:r>
      <w:r w:rsidRPr="00E46A9D">
        <w:rPr>
          <w:spacing w:val="-4"/>
          <w:rtl/>
        </w:rPr>
        <w:t xml:space="preserve"> و</w:t>
      </w:r>
      <w:r w:rsidRPr="004471BA">
        <w:rPr>
          <w:spacing w:val="-4"/>
          <w:rtl/>
        </w:rPr>
        <w:t>9</w:t>
      </w:r>
      <w:r w:rsidRPr="00E46A9D">
        <w:rPr>
          <w:spacing w:val="-4"/>
          <w:rtl/>
        </w:rPr>
        <w:t xml:space="preserve"> و</w:t>
      </w:r>
      <w:r w:rsidRPr="004471BA">
        <w:rPr>
          <w:spacing w:val="-4"/>
          <w:rtl/>
        </w:rPr>
        <w:t>10</w:t>
      </w:r>
      <w:r w:rsidRPr="00E46A9D">
        <w:rPr>
          <w:rFonts w:ascii="Traditional Arabic"/>
          <w:spacing w:val="-4"/>
          <w:szCs w:val="20"/>
          <w:rtl/>
        </w:rPr>
        <w:t>)</w:t>
      </w:r>
      <w:r w:rsidRPr="00E46A9D">
        <w:rPr>
          <w:spacing w:val="-4"/>
          <w:rtl/>
        </w:rPr>
        <w:t>.</w:t>
      </w:r>
    </w:p>
    <w:p w14:paraId="4DFA745C" w14:textId="77777777" w:rsidR="00A946B8" w:rsidRPr="004471BA" w:rsidRDefault="00A946B8" w:rsidP="00026086">
      <w:pPr>
        <w:pStyle w:val="SingleTxtGA"/>
        <w:rPr>
          <w:b/>
          <w:bCs/>
          <w:szCs w:val="20"/>
          <w:lang w:val="en-US" w:eastAsia="zh-TW" w:bidi="en-GB"/>
        </w:rPr>
      </w:pPr>
      <w:r w:rsidRPr="004471BA">
        <w:rPr>
          <w:rtl/>
        </w:rPr>
        <w:t>29</w:t>
      </w:r>
      <w:r>
        <w:rPr>
          <w:rFonts w:ascii="Traditional Arabic"/>
          <w:szCs w:val="20"/>
          <w:rtl/>
        </w:rPr>
        <w:t>-</w:t>
      </w:r>
      <w:r>
        <w:rPr>
          <w:rtl/>
        </w:rPr>
        <w:tab/>
      </w:r>
      <w:r w:rsidRPr="004471BA">
        <w:rPr>
          <w:b/>
          <w:bCs/>
          <w:rtl/>
        </w:rPr>
        <w:t>ينبغي للدولة الطرف أن تواصل وتكثف جهودها الرامية إلى تجنب تقييد حركة الأشخاص المحتجزين لدى الشرطة، بما في ذلك النظر في إجراء مزيد من الإصلاحات القانونية وتحسين التنسيق مع مختلف الولايات وفيما بينها.</w:t>
      </w:r>
    </w:p>
    <w:p w14:paraId="1C4ED8B9" w14:textId="77777777" w:rsidR="00A946B8" w:rsidRPr="004471BA" w:rsidRDefault="00A946B8" w:rsidP="00026086">
      <w:pPr>
        <w:pStyle w:val="H23GA"/>
        <w:rPr>
          <w:szCs w:val="20"/>
          <w:lang w:val="ar-SA" w:eastAsia="zh-TW" w:bidi="en-GB"/>
        </w:rPr>
      </w:pPr>
      <w:r w:rsidRPr="004471BA">
        <w:rPr>
          <w:rtl/>
        </w:rPr>
        <w:tab/>
      </w:r>
      <w:r w:rsidRPr="004471BA">
        <w:rPr>
          <w:rtl/>
        </w:rPr>
        <w:tab/>
        <w:t>الرعاية المؤسسية</w:t>
      </w:r>
    </w:p>
    <w:p w14:paraId="17DCE8E2" w14:textId="77777777" w:rsidR="00A946B8" w:rsidRPr="004C109C" w:rsidRDefault="00A946B8" w:rsidP="00026086">
      <w:pPr>
        <w:pStyle w:val="SingleTxtGA"/>
        <w:rPr>
          <w:szCs w:val="20"/>
          <w:lang w:val="ar-SA" w:eastAsia="zh-TW" w:bidi="en-GB"/>
        </w:rPr>
      </w:pPr>
      <w:r w:rsidRPr="004471BA">
        <w:rPr>
          <w:rtl/>
        </w:rPr>
        <w:t>30</w:t>
      </w:r>
      <w:r>
        <w:rPr>
          <w:rFonts w:ascii="Traditional Arabic"/>
          <w:szCs w:val="20"/>
          <w:rtl/>
        </w:rPr>
        <w:t>-</w:t>
      </w:r>
      <w:r>
        <w:rPr>
          <w:rtl/>
        </w:rPr>
        <w:tab/>
        <w:t>يساور اللجنة القلق إزاء ما يلي:</w:t>
      </w:r>
    </w:p>
    <w:p w14:paraId="10DED802" w14:textId="0486A79A" w:rsidR="00A946B8" w:rsidRPr="004C109C" w:rsidRDefault="00026086" w:rsidP="00026086">
      <w:pPr>
        <w:pStyle w:val="SingleTxtGA"/>
        <w:rPr>
          <w:szCs w:val="20"/>
          <w:lang w:val="ar-SA" w:eastAsia="zh-TW" w:bidi="en-GB"/>
        </w:rPr>
      </w:pPr>
      <w:r>
        <w:rPr>
          <w:rtl/>
        </w:rPr>
        <w:tab/>
      </w:r>
      <w:r w:rsidR="00A946B8">
        <w:rPr>
          <w:rtl/>
        </w:rPr>
        <w:t>(أ)</w:t>
      </w:r>
      <w:r w:rsidR="00A946B8">
        <w:rPr>
          <w:rtl/>
        </w:rPr>
        <w:tab/>
        <w:t>استخدام القيود الآلية والكيميائية على الأشخاص ذوي الإعاقات النفسية والاجتماعية وكبار السن في مرافق الرعاية الداخلية؛</w:t>
      </w:r>
    </w:p>
    <w:p w14:paraId="50117727" w14:textId="3CD85F51" w:rsidR="00A946B8" w:rsidRDefault="00026086" w:rsidP="00026086">
      <w:pPr>
        <w:pStyle w:val="SingleTxtGA"/>
        <w:rPr>
          <w:szCs w:val="20"/>
          <w:lang w:val="ar-SA" w:eastAsia="zh-TW" w:bidi="en-GB"/>
        </w:rPr>
      </w:pPr>
      <w:r>
        <w:rPr>
          <w:rtl/>
        </w:rPr>
        <w:tab/>
      </w:r>
      <w:r w:rsidR="00A946B8">
        <w:rPr>
          <w:rtl/>
        </w:rPr>
        <w:t>(ب)</w:t>
      </w:r>
      <w:r w:rsidR="00A946B8">
        <w:rPr>
          <w:rtl/>
        </w:rPr>
        <w:tab/>
        <w:t>ادعاءات إساءة المعاملة، بما في ذلك الإهمال، وكذلك الاعتداء البدني والنفسي والجنسي على كبار السن في مرافق الرعاية الداخلية؛</w:t>
      </w:r>
    </w:p>
    <w:p w14:paraId="4914F65F" w14:textId="53CD6BE2" w:rsidR="00A946B8" w:rsidRDefault="00026086" w:rsidP="00026086">
      <w:pPr>
        <w:pStyle w:val="SingleTxtGA"/>
        <w:rPr>
          <w:szCs w:val="20"/>
          <w:lang w:val="ar-SA" w:eastAsia="zh-TW" w:bidi="en-GB"/>
        </w:rPr>
      </w:pPr>
      <w:r>
        <w:rPr>
          <w:rtl/>
        </w:rPr>
        <w:tab/>
      </w:r>
      <w:r w:rsidR="00A946B8">
        <w:rPr>
          <w:rtl/>
        </w:rPr>
        <w:t>(ج)</w:t>
      </w:r>
      <w:r w:rsidR="00A946B8">
        <w:rPr>
          <w:rtl/>
        </w:rPr>
        <w:tab/>
        <w:t>اختلاف المعايير والممارسات القانونية في مختلف الولايات فيما يتعلق بالاستشفاء غير الطوعي وإيداع الأشخاص ذوي الإعاقات النفسية والاجتماعية قسرا؛</w:t>
      </w:r>
    </w:p>
    <w:p w14:paraId="443C873C" w14:textId="0AB0A58E" w:rsidR="00A946B8" w:rsidRDefault="00026086" w:rsidP="00026086">
      <w:pPr>
        <w:pStyle w:val="SingleTxtGA"/>
        <w:rPr>
          <w:szCs w:val="20"/>
          <w:lang w:val="ar-SA" w:eastAsia="zh-TW" w:bidi="en-GB"/>
        </w:rPr>
      </w:pPr>
      <w:r>
        <w:rPr>
          <w:rtl/>
        </w:rPr>
        <w:tab/>
      </w:r>
      <w:r w:rsidR="00A946B8">
        <w:rPr>
          <w:rtl/>
        </w:rPr>
        <w:t>(د)</w:t>
      </w:r>
      <w:r w:rsidR="00A946B8">
        <w:rPr>
          <w:rtl/>
        </w:rPr>
        <w:tab/>
        <w:t>القانون الذي ينص على الظروف التي تجيز التعقيم القسري للكبار ذوي الإعاقة؛</w:t>
      </w:r>
    </w:p>
    <w:p w14:paraId="611CD1C6" w14:textId="35CBF401" w:rsidR="00A946B8" w:rsidRPr="004C109C" w:rsidRDefault="00026086" w:rsidP="00026086">
      <w:pPr>
        <w:pStyle w:val="SingleTxtGA"/>
        <w:rPr>
          <w:szCs w:val="20"/>
          <w:lang w:val="ar-SA" w:eastAsia="zh-TW" w:bidi="en-GB"/>
        </w:rPr>
      </w:pPr>
      <w:r>
        <w:rPr>
          <w:rtl/>
        </w:rPr>
        <w:tab/>
      </w:r>
      <w:r w:rsidR="00A946B8">
        <w:rPr>
          <w:rtl/>
        </w:rPr>
        <w:t>(هـ)</w:t>
      </w:r>
      <w:r w:rsidR="00A946B8">
        <w:rPr>
          <w:rtl/>
        </w:rPr>
        <w:tab/>
        <w:t>المعلومات المتعلقة بعدم كفاية آليات الشكاوى المحددة لتلقي الشكاوى والتحقيق فيها وتيسير الملاحقة القضائية ومعاقبة المسؤولين عن جميع أشكال الإساءة في مؤسسات الرعاية؛</w:t>
      </w:r>
    </w:p>
    <w:p w14:paraId="29A895FD" w14:textId="6C5CA5C6" w:rsidR="00A946B8" w:rsidRPr="004C109C" w:rsidRDefault="00026086" w:rsidP="00026086">
      <w:pPr>
        <w:pStyle w:val="SingleTxtGA"/>
        <w:rPr>
          <w:szCs w:val="20"/>
          <w:lang w:val="ar-SA" w:eastAsia="zh-TW" w:bidi="en-GB"/>
        </w:rPr>
      </w:pPr>
      <w:r w:rsidRPr="00E46A9D">
        <w:rPr>
          <w:spacing w:val="-4"/>
          <w:rtl/>
        </w:rPr>
        <w:tab/>
      </w:r>
      <w:r w:rsidR="00A946B8" w:rsidRPr="00E46A9D">
        <w:rPr>
          <w:spacing w:val="-4"/>
          <w:rtl/>
        </w:rPr>
        <w:t>(و)</w:t>
      </w:r>
      <w:r w:rsidR="00A946B8" w:rsidRPr="00E46A9D">
        <w:rPr>
          <w:spacing w:val="-4"/>
          <w:rtl/>
        </w:rPr>
        <w:tab/>
        <w:t>المعلومات التي قدمتها الدولة الطرف خلال الحوار التفاعلي عن تأثير جائحة كوفيد-</w:t>
      </w:r>
      <w:r w:rsidR="00A946B8" w:rsidRPr="004471BA">
        <w:rPr>
          <w:spacing w:val="-4"/>
          <w:rtl/>
        </w:rPr>
        <w:t>19</w:t>
      </w:r>
      <w:r w:rsidR="00A946B8">
        <w:rPr>
          <w:rtl/>
        </w:rPr>
        <w:t xml:space="preserve"> على مرافق الرعاية الداخلية، بما في ذلك تعطيل الرقابة التنظيمية (الفقرات </w:t>
      </w:r>
      <w:r w:rsidR="00A946B8" w:rsidRPr="004471BA">
        <w:rPr>
          <w:rtl/>
        </w:rPr>
        <w:t>7</w:t>
      </w:r>
      <w:r w:rsidR="00A946B8">
        <w:rPr>
          <w:rtl/>
        </w:rPr>
        <w:t xml:space="preserve"> و</w:t>
      </w:r>
      <w:r w:rsidR="00A946B8" w:rsidRPr="004471BA">
        <w:rPr>
          <w:rtl/>
        </w:rPr>
        <w:t>9</w:t>
      </w:r>
      <w:r w:rsidR="00A946B8">
        <w:rPr>
          <w:rtl/>
        </w:rPr>
        <w:t xml:space="preserve"> و</w:t>
      </w:r>
      <w:r w:rsidR="00A946B8" w:rsidRPr="004471BA">
        <w:rPr>
          <w:rtl/>
        </w:rPr>
        <w:t>10</w:t>
      </w:r>
      <w:r w:rsidR="00A946B8">
        <w:rPr>
          <w:rFonts w:ascii="Traditional Arabic"/>
          <w:szCs w:val="20"/>
          <w:rtl/>
        </w:rPr>
        <w:t>)</w:t>
      </w:r>
      <w:r w:rsidR="00A946B8">
        <w:rPr>
          <w:rtl/>
        </w:rPr>
        <w:t>.</w:t>
      </w:r>
    </w:p>
    <w:p w14:paraId="438EC475" w14:textId="33079BEB" w:rsidR="00A946B8" w:rsidRPr="004471BA" w:rsidRDefault="00A946B8" w:rsidP="00026086">
      <w:pPr>
        <w:pStyle w:val="SingleTxtGA"/>
        <w:rPr>
          <w:b/>
          <w:bCs/>
          <w:szCs w:val="20"/>
          <w:lang w:val="ar-SA" w:eastAsia="zh-TW" w:bidi="en-GB"/>
        </w:rPr>
      </w:pPr>
      <w:r w:rsidRPr="004471BA">
        <w:rPr>
          <w:rtl/>
        </w:rPr>
        <w:t>31</w:t>
      </w:r>
      <w:r>
        <w:rPr>
          <w:rFonts w:ascii="Traditional Arabic"/>
          <w:szCs w:val="20"/>
          <w:rtl/>
        </w:rPr>
        <w:t>-</w:t>
      </w:r>
      <w:r>
        <w:rPr>
          <w:rtl/>
        </w:rPr>
        <w:tab/>
      </w:r>
      <w:r w:rsidRPr="004471BA">
        <w:rPr>
          <w:b/>
          <w:bCs/>
          <w:rtl/>
        </w:rPr>
        <w:t>بالرجوع إلى التوصية السابقة الصادرة عن اللجنة</w:t>
      </w:r>
      <w:r w:rsidR="008C0B42" w:rsidRPr="004471BA">
        <w:rPr>
          <w:rStyle w:val="FootnoteReference"/>
          <w:b/>
          <w:bCs/>
          <w:rtl/>
        </w:rPr>
        <w:t>(</w:t>
      </w:r>
      <w:r w:rsidR="008C0B42" w:rsidRPr="004471BA">
        <w:rPr>
          <w:rStyle w:val="FootnoteReference"/>
          <w:b/>
          <w:bCs/>
          <w:lang w:val="en-US"/>
        </w:rPr>
        <w:footnoteReference w:id="13"/>
      </w:r>
      <w:r w:rsidR="008C0B42" w:rsidRPr="004471BA">
        <w:rPr>
          <w:rStyle w:val="FootnoteReference"/>
          <w:b/>
          <w:bCs/>
          <w:rtl/>
        </w:rPr>
        <w:t>)</w:t>
      </w:r>
      <w:r w:rsidR="00E46A9D" w:rsidRPr="004471BA">
        <w:rPr>
          <w:rFonts w:hint="cs"/>
          <w:b/>
          <w:bCs/>
          <w:rtl/>
        </w:rPr>
        <w:t>،</w:t>
      </w:r>
      <w:r w:rsidRPr="004471BA">
        <w:rPr>
          <w:b/>
          <w:bCs/>
          <w:rtl/>
        </w:rPr>
        <w:t xml:space="preserve"> ينبغي للدولة الطرف القيام بما يلي:</w:t>
      </w:r>
    </w:p>
    <w:p w14:paraId="57138329" w14:textId="625E8D7B" w:rsidR="00A946B8" w:rsidRPr="004471BA" w:rsidRDefault="00026086" w:rsidP="00026086">
      <w:pPr>
        <w:pStyle w:val="SingleTxtGA"/>
        <w:rPr>
          <w:b/>
          <w:bCs/>
          <w:szCs w:val="20"/>
          <w:lang w:val="ar-SA" w:eastAsia="zh-TW" w:bidi="en-GB"/>
        </w:rPr>
      </w:pPr>
      <w:r w:rsidRPr="004471BA">
        <w:rPr>
          <w:b/>
          <w:bCs/>
          <w:rtl/>
        </w:rPr>
        <w:tab/>
      </w:r>
      <w:r w:rsidR="00A946B8" w:rsidRPr="004471BA">
        <w:rPr>
          <w:b/>
          <w:bCs/>
          <w:rtl/>
        </w:rPr>
        <w:t>(أ)</w:t>
      </w:r>
      <w:r w:rsidR="00A946B8" w:rsidRPr="004471BA">
        <w:rPr>
          <w:b/>
          <w:bCs/>
          <w:rtl/>
        </w:rPr>
        <w:tab/>
        <w:t>مواصلة وتكثيف الجهود الرامية إلى رصد ومنع وإلغاء استخدام القيود المادية والكيميائية في أماكن الرعاية المؤسسية؛</w:t>
      </w:r>
    </w:p>
    <w:p w14:paraId="229BA0C0" w14:textId="1BA462E9" w:rsidR="00A946B8" w:rsidRPr="004471BA" w:rsidRDefault="00A132E4" w:rsidP="00A132E4">
      <w:pPr>
        <w:pStyle w:val="SingleTxtGA"/>
        <w:rPr>
          <w:b/>
          <w:bCs/>
          <w:szCs w:val="20"/>
          <w:lang w:val="ar-SA" w:eastAsia="zh-TW" w:bidi="en-GB"/>
        </w:rPr>
      </w:pPr>
      <w:r w:rsidRPr="004471BA">
        <w:rPr>
          <w:b/>
          <w:bCs/>
          <w:rtl/>
        </w:rPr>
        <w:tab/>
      </w:r>
      <w:r w:rsidR="00A946B8" w:rsidRPr="004471BA">
        <w:rPr>
          <w:b/>
          <w:bCs/>
          <w:rtl/>
        </w:rPr>
        <w:t>(ب)</w:t>
      </w:r>
      <w:r w:rsidR="00A946B8" w:rsidRPr="004471BA">
        <w:rPr>
          <w:b/>
          <w:bCs/>
          <w:rtl/>
        </w:rPr>
        <w:tab/>
        <w:t>تكثيف الجهود الرامية إلى رصد ومنع وإلغاء جميع أشكال الإساءة إلى كبار السن وذوي الإعاقات النفسية والاجتماعية في مرافق الرعاية الداخلية؛</w:t>
      </w:r>
    </w:p>
    <w:p w14:paraId="4772ABF5" w14:textId="0C733EDE" w:rsidR="00A946B8" w:rsidRPr="004471BA" w:rsidRDefault="00A132E4" w:rsidP="00A132E4">
      <w:pPr>
        <w:pStyle w:val="SingleTxtGA"/>
        <w:rPr>
          <w:b/>
          <w:bCs/>
          <w:szCs w:val="20"/>
          <w:lang w:val="ar-SA" w:eastAsia="zh-TW" w:bidi="en-GB"/>
        </w:rPr>
      </w:pPr>
      <w:r w:rsidRPr="004471BA">
        <w:rPr>
          <w:b/>
          <w:bCs/>
          <w:rtl/>
        </w:rPr>
        <w:lastRenderedPageBreak/>
        <w:tab/>
      </w:r>
      <w:r w:rsidR="00A946B8" w:rsidRPr="004471BA">
        <w:rPr>
          <w:b/>
          <w:bCs/>
          <w:rtl/>
        </w:rPr>
        <w:t>(ج)</w:t>
      </w:r>
      <w:r w:rsidR="00A946B8" w:rsidRPr="004471BA">
        <w:rPr>
          <w:b/>
          <w:bCs/>
          <w:rtl/>
        </w:rPr>
        <w:tab/>
        <w:t>النظر في زيادة مواءمة المعايير القانونية في مختلف الولايات بشأن الاستشفاء القسري وإيداع الأشخاص ذوي الإعاقات النفسية والاجتماعية قسرا، وضمان أن تحترم جميع هذه المعايير وآليات الرقابة القضائية مبدأي الضرورة والتناسب؛</w:t>
      </w:r>
    </w:p>
    <w:p w14:paraId="153BB76A" w14:textId="3C3F834B" w:rsidR="00A946B8" w:rsidRPr="004471BA" w:rsidRDefault="00A132E4" w:rsidP="00A132E4">
      <w:pPr>
        <w:pStyle w:val="SingleTxtGA"/>
        <w:rPr>
          <w:b/>
          <w:bCs/>
          <w:szCs w:val="20"/>
          <w:lang w:val="ar-SA" w:eastAsia="zh-TW" w:bidi="en-GB"/>
        </w:rPr>
      </w:pPr>
      <w:r w:rsidRPr="004471BA">
        <w:rPr>
          <w:b/>
          <w:bCs/>
          <w:rtl/>
        </w:rPr>
        <w:tab/>
      </w:r>
      <w:r w:rsidR="00A946B8" w:rsidRPr="004471BA">
        <w:rPr>
          <w:b/>
          <w:bCs/>
          <w:rtl/>
        </w:rPr>
        <w:t>(د)</w:t>
      </w:r>
      <w:r w:rsidR="00A946B8" w:rsidRPr="004471BA">
        <w:rPr>
          <w:b/>
          <w:bCs/>
          <w:rtl/>
        </w:rPr>
        <w:tab/>
        <w:t>إزالة أي استثناء في القانون من الحظر المفروض على التعقيم القسري للكبار ذوي الإعاقة وضمان تنفيذ هذه المعايير تنفيذا فعالا؛</w:t>
      </w:r>
    </w:p>
    <w:p w14:paraId="2EF81614" w14:textId="6B9CBA5F" w:rsidR="00A946B8" w:rsidRPr="004471BA" w:rsidRDefault="00A132E4" w:rsidP="00A132E4">
      <w:pPr>
        <w:pStyle w:val="SingleTxtGA"/>
        <w:rPr>
          <w:b/>
          <w:bCs/>
          <w:szCs w:val="20"/>
          <w:lang w:val="ar-SA" w:eastAsia="zh-TW" w:bidi="en-GB"/>
        </w:rPr>
      </w:pPr>
      <w:r w:rsidRPr="004471BA">
        <w:rPr>
          <w:b/>
          <w:bCs/>
          <w:rtl/>
        </w:rPr>
        <w:tab/>
      </w:r>
      <w:r w:rsidR="00A946B8" w:rsidRPr="004471BA">
        <w:rPr>
          <w:b/>
          <w:bCs/>
          <w:rtl/>
        </w:rPr>
        <w:t>(هـ)</w:t>
      </w:r>
      <w:r w:rsidR="00A946B8" w:rsidRPr="004471BA">
        <w:rPr>
          <w:b/>
          <w:bCs/>
          <w:rtl/>
        </w:rPr>
        <w:tab/>
        <w:t>النظر في زيادة توافر آليات الشكاوى المحددة لتلقي الشكاوى والتحقيق فيها وتيسير الملاحقة القضائية ومعاقبة المسؤولين عن جميع أشكال الإساءة في مؤسسات الرعاية؛</w:t>
      </w:r>
    </w:p>
    <w:p w14:paraId="7E73DC6C" w14:textId="76A6BE74" w:rsidR="00A946B8" w:rsidRPr="004471BA" w:rsidRDefault="00A132E4" w:rsidP="00A132E4">
      <w:pPr>
        <w:pStyle w:val="SingleTxtGA"/>
        <w:rPr>
          <w:b/>
          <w:bCs/>
          <w:szCs w:val="20"/>
          <w:lang w:val="ar-SA" w:eastAsia="zh-TW" w:bidi="en-GB"/>
        </w:rPr>
      </w:pPr>
      <w:r w:rsidRPr="004471BA">
        <w:rPr>
          <w:b/>
          <w:bCs/>
          <w:rtl/>
        </w:rPr>
        <w:tab/>
      </w:r>
      <w:r w:rsidR="00A946B8" w:rsidRPr="004471BA">
        <w:rPr>
          <w:b/>
          <w:bCs/>
          <w:rtl/>
        </w:rPr>
        <w:t>(و)</w:t>
      </w:r>
      <w:r w:rsidR="00A946B8" w:rsidRPr="004471BA">
        <w:rPr>
          <w:b/>
          <w:bCs/>
          <w:rtl/>
        </w:rPr>
        <w:tab/>
        <w:t>اتخاذ تدابير محددة الأهداف لحماية كبار السن من وباء كوفيد-19 و/أو الطوارئ الرئيسية الأخرى في مجال الصحة العامة وإعادة فرض الرقابة التنظيمية الكاملة في أقرب وقت ممكن.</w:t>
      </w:r>
    </w:p>
    <w:p w14:paraId="3DDC0F4C" w14:textId="77777777" w:rsidR="00A946B8" w:rsidRPr="004471BA" w:rsidRDefault="00A946B8" w:rsidP="00A132E4">
      <w:pPr>
        <w:pStyle w:val="H23GA"/>
        <w:rPr>
          <w:szCs w:val="20"/>
          <w:lang w:val="ar-SA" w:eastAsia="zh-TW" w:bidi="en-GB"/>
        </w:rPr>
      </w:pPr>
      <w:r w:rsidRPr="004471BA">
        <w:rPr>
          <w:rtl/>
        </w:rPr>
        <w:tab/>
      </w:r>
      <w:r w:rsidRPr="004471BA">
        <w:rPr>
          <w:rtl/>
        </w:rPr>
        <w:tab/>
        <w:t>الحبس الانفرادي والاحتجاز التأديبي</w:t>
      </w:r>
    </w:p>
    <w:p w14:paraId="3E43BE63" w14:textId="6B680AC6" w:rsidR="00A946B8" w:rsidRDefault="00A946B8" w:rsidP="00A132E4">
      <w:pPr>
        <w:pStyle w:val="SingleTxtGA"/>
        <w:rPr>
          <w:szCs w:val="20"/>
          <w:lang w:val="ar-SA" w:eastAsia="zh-TW" w:bidi="en-GB"/>
        </w:rPr>
      </w:pPr>
      <w:r w:rsidRPr="004471BA">
        <w:rPr>
          <w:rtl/>
        </w:rPr>
        <w:t>32</w:t>
      </w:r>
      <w:r>
        <w:rPr>
          <w:rFonts w:ascii="Traditional Arabic"/>
          <w:szCs w:val="20"/>
          <w:rtl/>
        </w:rPr>
        <w:t>-</w:t>
      </w:r>
      <w:r>
        <w:rPr>
          <w:rtl/>
        </w:rPr>
        <w:tab/>
      </w:r>
      <w:r>
        <w:rPr>
          <w:rtl/>
          <w:lang w:val="fr-CH"/>
        </w:rPr>
        <w:t>ي</w:t>
      </w:r>
      <w:r>
        <w:rPr>
          <w:rtl/>
        </w:rPr>
        <w:t xml:space="preserve">ساور اللجنة القلق إزاء استخدام الدولة الطرف الحبس الانفرادي والاحتجاز التأديبي. وتلاحظ أن هذه التدابير تستخدم كحل أخير وكما تنص عليه القوانين. ومع ذلك، تشعر اللجنة بالقلق إزاء المعلومات التي قدمتها الدولة الطرف خلال الحوار التفاعلي، والتي تشير إلى أن الحبس الانفرادي يمكن أن يستخدم لفترة غير محددة وأن الاحتجاز التأديبي يمكن أن يستمر أربعة أسابيع. كما يساورها القلق لأن الأحداث يتعرضون أحيانا للحبس الانفرادي والاحتجاز التأديبي. وبالإضافة إلى ذلك، تفهم اللجنة أن الاختصاص في إدارة السجون مفوض، وفقا للنظام الاتحادي، لكنها تلاحظ أن الحدود القانونية للاحتجاز التأديبي تتراوح بين صفر وأربعة أسابيع بحسب الولايات المختلفة (المواد </w:t>
      </w:r>
      <w:r w:rsidRPr="004471BA">
        <w:rPr>
          <w:rtl/>
        </w:rPr>
        <w:t>7</w:t>
      </w:r>
      <w:r>
        <w:rPr>
          <w:rtl/>
        </w:rPr>
        <w:t xml:space="preserve"> و</w:t>
      </w:r>
      <w:r w:rsidRPr="004471BA">
        <w:rPr>
          <w:rtl/>
        </w:rPr>
        <w:t>9</w:t>
      </w:r>
      <w:r>
        <w:rPr>
          <w:rtl/>
        </w:rPr>
        <w:t xml:space="preserve"> و</w:t>
      </w:r>
      <w:r w:rsidRPr="004471BA">
        <w:rPr>
          <w:rtl/>
        </w:rPr>
        <w:t>10</w:t>
      </w:r>
      <w:r>
        <w:rPr>
          <w:rtl/>
        </w:rPr>
        <w:t xml:space="preserve"> و</w:t>
      </w:r>
      <w:r w:rsidRPr="004471BA">
        <w:rPr>
          <w:rtl/>
        </w:rPr>
        <w:t>24</w:t>
      </w:r>
      <w:r>
        <w:rPr>
          <w:rFonts w:ascii="Traditional Arabic"/>
          <w:szCs w:val="20"/>
          <w:rtl/>
        </w:rPr>
        <w:t>)</w:t>
      </w:r>
      <w:r>
        <w:rPr>
          <w:rtl/>
        </w:rPr>
        <w:t>.</w:t>
      </w:r>
    </w:p>
    <w:p w14:paraId="47EBA565" w14:textId="3EA23359" w:rsidR="00A946B8" w:rsidRPr="004471BA" w:rsidRDefault="00A946B8" w:rsidP="00A132E4">
      <w:pPr>
        <w:pStyle w:val="SingleTxtGA"/>
        <w:rPr>
          <w:b/>
          <w:bCs/>
          <w:szCs w:val="20"/>
          <w:lang w:val="ar-SA" w:eastAsia="zh-TW" w:bidi="en-GB"/>
        </w:rPr>
      </w:pPr>
      <w:r w:rsidRPr="004471BA">
        <w:rPr>
          <w:rtl/>
        </w:rPr>
        <w:t>33</w:t>
      </w:r>
      <w:r>
        <w:rPr>
          <w:rFonts w:ascii="Traditional Arabic"/>
          <w:szCs w:val="20"/>
          <w:rtl/>
        </w:rPr>
        <w:t>-</w:t>
      </w:r>
      <w:r>
        <w:rPr>
          <w:rtl/>
        </w:rPr>
        <w:tab/>
      </w:r>
      <w:r w:rsidRPr="004471BA">
        <w:rPr>
          <w:b/>
          <w:bCs/>
          <w:rtl/>
        </w:rPr>
        <w:t>ينبغي للدولة الطرف أن توائم جميع التشريعات والممارسات المتعلقة بالحبس الانفرادي والاحتجاز التأديبي مع أحكام العهد والمعايير الدولية كما هو مبين في قواعد الأمم المتحدة النموذجية الدنيا لمعاملة السجناء (قواعد نيلسون مانديلا). وينبغي لها أن تفعل ذلك بإلغاء احتجاز الأحداث في الحبس الانفرادي، وبمراجعة طول فترة الحبس الانفرادي والاحتجاز التأديبي، حتى عندما تستخدم هذه الممارسات كحل أخير. وينبغي للدولة الطرف أيضا</w:t>
      </w:r>
      <w:r w:rsidR="00734794" w:rsidRPr="004471BA">
        <w:rPr>
          <w:rFonts w:hint="cs"/>
          <w:b/>
          <w:bCs/>
          <w:rtl/>
        </w:rPr>
        <w:t>ً</w:t>
      </w:r>
      <w:r w:rsidRPr="004471BA">
        <w:rPr>
          <w:b/>
          <w:bCs/>
          <w:rtl/>
        </w:rPr>
        <w:t xml:space="preserve"> أن تعزز التنسيق والمواءمة القانونية مع مختلف الولايات وفيما بينها وأن تقيم بانتظام آثار الحبس الانفرادي والاحتجاز التأديبي بغية مواصلة الحد من استخدامهما ووضع تدابير بديلة عند الاقتضاء.</w:t>
      </w:r>
    </w:p>
    <w:p w14:paraId="3634EDD5" w14:textId="354AB89C" w:rsidR="00A946B8" w:rsidRPr="004471BA" w:rsidRDefault="00A946B8" w:rsidP="00A132E4">
      <w:pPr>
        <w:pStyle w:val="H23GA"/>
        <w:rPr>
          <w:szCs w:val="20"/>
          <w:lang w:val="ar-SA" w:eastAsia="zh-TW" w:bidi="en-GB"/>
        </w:rPr>
      </w:pPr>
      <w:r w:rsidRPr="004471BA">
        <w:rPr>
          <w:rtl/>
        </w:rPr>
        <w:tab/>
      </w:r>
      <w:r w:rsidRPr="004471BA">
        <w:rPr>
          <w:rtl/>
        </w:rPr>
        <w:tab/>
        <w:t>الاحتجاز الوقائي بعد الإدانة</w:t>
      </w:r>
    </w:p>
    <w:p w14:paraId="2794CB90" w14:textId="5250124B" w:rsidR="00A946B8" w:rsidRDefault="00A946B8" w:rsidP="00A132E4">
      <w:pPr>
        <w:pStyle w:val="SingleTxtGA"/>
        <w:rPr>
          <w:szCs w:val="20"/>
          <w:lang w:val="ar-SA" w:eastAsia="zh-TW" w:bidi="en-GB"/>
        </w:rPr>
      </w:pPr>
      <w:r w:rsidRPr="004471BA">
        <w:rPr>
          <w:rtl/>
        </w:rPr>
        <w:t>34</w:t>
      </w:r>
      <w:r>
        <w:rPr>
          <w:rFonts w:ascii="Traditional Arabic"/>
          <w:szCs w:val="20"/>
          <w:rtl/>
        </w:rPr>
        <w:t>-</w:t>
      </w:r>
      <w:r>
        <w:rPr>
          <w:rtl/>
        </w:rPr>
        <w:tab/>
        <w:t>تحيط اللجنة علما</w:t>
      </w:r>
      <w:r w:rsidR="00734794">
        <w:rPr>
          <w:rFonts w:hint="cs"/>
          <w:rtl/>
        </w:rPr>
        <w:t>ً</w:t>
      </w:r>
      <w:r>
        <w:rPr>
          <w:rtl/>
        </w:rPr>
        <w:t xml:space="preserve"> بالبيانات التي قدمتها الدولة الطرف عن الإصلاحات المدخلة على الإطار القانوني والتحسينات في ظروف الاحتجاز في أعقاب الأحكام ذات الصلة الصادرة عن المحكمة الأوروبية لحقوق الإنسان، وعن إخضاع الاحتجاز الوقائي لرقابة قضائية صارمة. ومع ذلك، يساور اللجنة القلق لأن القانون الاتحادي الذي ينص على تنفيذ شرط المسافة في قانون الاحتجاز الوقائي، الذي سن في عام</w:t>
      </w:r>
      <w:r w:rsidR="008C0B42">
        <w:rPr>
          <w:rFonts w:hint="cs"/>
          <w:rtl/>
        </w:rPr>
        <w:t> </w:t>
      </w:r>
      <w:r w:rsidRPr="004471BA">
        <w:rPr>
          <w:rtl/>
        </w:rPr>
        <w:t>2013</w:t>
      </w:r>
      <w:r>
        <w:rPr>
          <w:rtl/>
        </w:rPr>
        <w:t>، يسمح بالاحتجاز الوقائي بعد الإدانة لعدد من الأسباب، بما في ذلك في حالة الأشخاص الذين يعتبرون مصابين بـ</w:t>
      </w:r>
      <w:r w:rsidR="008C0B42">
        <w:rPr>
          <w:rFonts w:hint="cs"/>
          <w:rtl/>
        </w:rPr>
        <w:t xml:space="preserve"> </w:t>
      </w:r>
      <w:r>
        <w:rPr>
          <w:rtl/>
        </w:rPr>
        <w:t>"اضطراب عقلي" أو الذين أبدوا سلوكا</w:t>
      </w:r>
      <w:r w:rsidR="00734794">
        <w:rPr>
          <w:rFonts w:hint="cs"/>
          <w:rtl/>
        </w:rPr>
        <w:t>ً</w:t>
      </w:r>
      <w:r>
        <w:rPr>
          <w:rtl/>
        </w:rPr>
        <w:t xml:space="preserve"> يدل على وجود خطر كبير لأن </w:t>
      </w:r>
      <w:proofErr w:type="spellStart"/>
      <w:r>
        <w:rPr>
          <w:rtl/>
        </w:rPr>
        <w:t>يرتكبوا</w:t>
      </w:r>
      <w:proofErr w:type="spellEnd"/>
      <w:r>
        <w:rPr>
          <w:rtl/>
        </w:rPr>
        <w:t xml:space="preserve"> جرائم عنيفة للغاية أو جرائم جنسية وفي حالة "المجرمين المتطرفين". كما يساورها القلق لأنه من غير الواضح بالضبط كيف تضمن الرقابة القضائية عدم استخدام الاحتجاز الوقائي إلا كحل أخير في جميع الحالات (المواد </w:t>
      </w:r>
      <w:r w:rsidRPr="004471BA">
        <w:rPr>
          <w:rtl/>
        </w:rPr>
        <w:t>9</w:t>
      </w:r>
      <w:r>
        <w:rPr>
          <w:rtl/>
        </w:rPr>
        <w:t xml:space="preserve"> و</w:t>
      </w:r>
      <w:r w:rsidRPr="004471BA">
        <w:rPr>
          <w:rtl/>
        </w:rPr>
        <w:t>14</w:t>
      </w:r>
      <w:r>
        <w:rPr>
          <w:rtl/>
        </w:rPr>
        <w:t xml:space="preserve"> و</w:t>
      </w:r>
      <w:r w:rsidRPr="004471BA">
        <w:rPr>
          <w:rtl/>
        </w:rPr>
        <w:t>15</w:t>
      </w:r>
      <w:r>
        <w:rPr>
          <w:rFonts w:ascii="Traditional Arabic"/>
          <w:szCs w:val="20"/>
          <w:rtl/>
        </w:rPr>
        <w:t>)</w:t>
      </w:r>
      <w:r>
        <w:rPr>
          <w:rtl/>
        </w:rPr>
        <w:t>.</w:t>
      </w:r>
      <w:bookmarkStart w:id="0" w:name="_Hlk88730022"/>
      <w:bookmarkEnd w:id="0"/>
    </w:p>
    <w:p w14:paraId="12521C39" w14:textId="22489878" w:rsidR="00A946B8" w:rsidRPr="004471BA" w:rsidRDefault="00A946B8" w:rsidP="00A132E4">
      <w:pPr>
        <w:pStyle w:val="SingleTxtGA"/>
        <w:rPr>
          <w:b/>
          <w:bCs/>
          <w:szCs w:val="20"/>
          <w:lang w:val="ar-SA" w:eastAsia="zh-TW" w:bidi="en-GB"/>
        </w:rPr>
      </w:pPr>
      <w:r w:rsidRPr="004471BA">
        <w:rPr>
          <w:rtl/>
        </w:rPr>
        <w:lastRenderedPageBreak/>
        <w:t>35</w:t>
      </w:r>
      <w:r>
        <w:rPr>
          <w:rFonts w:ascii="Traditional Arabic"/>
          <w:szCs w:val="20"/>
          <w:rtl/>
        </w:rPr>
        <w:t>-</w:t>
      </w:r>
      <w:r>
        <w:rPr>
          <w:rtl/>
        </w:rPr>
        <w:tab/>
      </w:r>
      <w:r w:rsidRPr="004471BA">
        <w:rPr>
          <w:b/>
          <w:bCs/>
          <w:rtl/>
        </w:rPr>
        <w:t>بالرجوع إلى التوصية السابقة الصادرة عن اللجنة</w:t>
      </w:r>
      <w:r w:rsidR="008C0B42" w:rsidRPr="004471BA">
        <w:rPr>
          <w:rStyle w:val="FootnoteReference"/>
          <w:b/>
          <w:bCs/>
          <w:rtl/>
        </w:rPr>
        <w:t>(</w:t>
      </w:r>
      <w:r w:rsidR="008C0B42" w:rsidRPr="004471BA">
        <w:rPr>
          <w:rStyle w:val="FootnoteReference"/>
          <w:b/>
          <w:bCs/>
          <w:lang w:val="en-US"/>
        </w:rPr>
        <w:footnoteReference w:id="14"/>
      </w:r>
      <w:r w:rsidR="008C0B42" w:rsidRPr="004471BA">
        <w:rPr>
          <w:rStyle w:val="FootnoteReference"/>
          <w:b/>
          <w:bCs/>
          <w:rtl/>
        </w:rPr>
        <w:t>)</w:t>
      </w:r>
      <w:r w:rsidR="00E67BCA" w:rsidRPr="004471BA">
        <w:rPr>
          <w:rFonts w:hint="cs"/>
          <w:b/>
          <w:bCs/>
          <w:rtl/>
        </w:rPr>
        <w:t>،</w:t>
      </w:r>
      <w:r w:rsidRPr="004471BA">
        <w:rPr>
          <w:b/>
          <w:bCs/>
          <w:rtl/>
        </w:rPr>
        <w:t xml:space="preserve"> ينبغي للدولة الطرف أن تتخذ تدابير إضافية لضمان ألا يستخدم الاحتجاز الوقائي بعد الإدانة إلا كحلّ أخير. وينبغي لها أيضا</w:t>
      </w:r>
      <w:r w:rsidR="00734794" w:rsidRPr="004471BA">
        <w:rPr>
          <w:rFonts w:hint="cs"/>
          <w:b/>
          <w:bCs/>
          <w:rtl/>
        </w:rPr>
        <w:t>ً</w:t>
      </w:r>
      <w:r w:rsidRPr="004471BA">
        <w:rPr>
          <w:b/>
          <w:bCs/>
          <w:rtl/>
        </w:rPr>
        <w:t xml:space="preserve"> أن تواصل وتكثف جهودها الرامية إلى ضمان أن تكون ظروف الاحتجاز مختلفة عن ظروف احتجاز السجناء المدانين وأن تستهدف العلاج وإعادة التأهيل وإعادة إدماج الأشخاص الخاضعين للاحتجاز الوقائي في المجتمع. وفي هذا الصدد، توجه اللجنة انتباه الدولة الطرف إلى الفقرة 21 من تعليقها العام رقم</w:t>
      </w:r>
      <w:r w:rsidR="008C0B42" w:rsidRPr="004471BA">
        <w:rPr>
          <w:rFonts w:hint="cs"/>
          <w:b/>
          <w:bCs/>
          <w:rtl/>
        </w:rPr>
        <w:t> </w:t>
      </w:r>
      <w:r w:rsidRPr="004471BA">
        <w:rPr>
          <w:b/>
          <w:bCs/>
          <w:rtl/>
        </w:rPr>
        <w:t>35</w:t>
      </w:r>
      <w:r w:rsidRPr="004471BA">
        <w:rPr>
          <w:rFonts w:ascii="Traditional Arabic"/>
          <w:b/>
          <w:bCs/>
          <w:szCs w:val="20"/>
          <w:rtl/>
        </w:rPr>
        <w:t>(</w:t>
      </w:r>
      <w:r w:rsidRPr="004471BA">
        <w:rPr>
          <w:b/>
          <w:bCs/>
          <w:rtl/>
        </w:rPr>
        <w:t>2014</w:t>
      </w:r>
      <w:r w:rsidRPr="004471BA">
        <w:rPr>
          <w:rFonts w:ascii="Traditional Arabic"/>
          <w:b/>
          <w:bCs/>
          <w:szCs w:val="20"/>
          <w:rtl/>
        </w:rPr>
        <w:t>)</w:t>
      </w:r>
      <w:r w:rsidRPr="004471BA">
        <w:rPr>
          <w:b/>
          <w:bCs/>
          <w:rtl/>
        </w:rPr>
        <w:t>.</w:t>
      </w:r>
    </w:p>
    <w:p w14:paraId="73116011" w14:textId="77777777" w:rsidR="00A946B8" w:rsidRPr="004471BA" w:rsidRDefault="00A946B8" w:rsidP="00A132E4">
      <w:pPr>
        <w:pStyle w:val="H23GA"/>
        <w:rPr>
          <w:szCs w:val="20"/>
          <w:lang w:val="ar-SA" w:eastAsia="zh-TW" w:bidi="en-GB"/>
        </w:rPr>
      </w:pPr>
      <w:r w:rsidRPr="004471BA">
        <w:rPr>
          <w:rtl/>
        </w:rPr>
        <w:tab/>
      </w:r>
      <w:r w:rsidRPr="004471BA">
        <w:rPr>
          <w:rtl/>
        </w:rPr>
        <w:tab/>
        <w:t>التصدي لجائحة كوفيد-19</w:t>
      </w:r>
    </w:p>
    <w:p w14:paraId="7C9F5034" w14:textId="30DBAC41" w:rsidR="00A946B8" w:rsidRDefault="00A946B8" w:rsidP="00A132E4">
      <w:pPr>
        <w:pStyle w:val="SingleTxtGA"/>
        <w:rPr>
          <w:szCs w:val="20"/>
          <w:lang w:val="ar-SA" w:eastAsia="zh-TW" w:bidi="en-GB"/>
        </w:rPr>
      </w:pPr>
      <w:r w:rsidRPr="004471BA">
        <w:rPr>
          <w:rtl/>
        </w:rPr>
        <w:t>36</w:t>
      </w:r>
      <w:r>
        <w:rPr>
          <w:rFonts w:ascii="Traditional Arabic"/>
          <w:szCs w:val="20"/>
          <w:rtl/>
        </w:rPr>
        <w:t>-</w:t>
      </w:r>
      <w:r>
        <w:rPr>
          <w:rtl/>
        </w:rPr>
        <w:tab/>
        <w:t>تحيط اللجنة علما</w:t>
      </w:r>
      <w:r w:rsidR="00734794">
        <w:rPr>
          <w:rFonts w:hint="cs"/>
          <w:rtl/>
        </w:rPr>
        <w:t>ً</w:t>
      </w:r>
      <w:r>
        <w:rPr>
          <w:rtl/>
        </w:rPr>
        <w:t xml:space="preserve"> بالبيانات التي قدمتها الدولة الطرف والتي تشير إلى وضع قيود على بعض </w:t>
      </w:r>
      <w:r w:rsidRPr="004471BA">
        <w:rPr>
          <w:spacing w:val="-2"/>
          <w:rtl/>
        </w:rPr>
        <w:t>مواد العهد، مثل المواد 12 و21 و22، بهدف حماية صحة الناس في سياق جائحة كوفيد-19، وأن تطبيق</w:t>
      </w:r>
      <w:r>
        <w:rPr>
          <w:rtl/>
        </w:rPr>
        <w:t xml:space="preserve"> التدابير ذات الصلة على مستوى الولايات يخضع لاستعراض قضائي اتحادي. ومع ذلك، تشعر اللجنة بالقلق إزاء التقارير التي تفيد باعتماد تدابير تقليص كبير للحقوق المدنية والسياسية تطلبت تنقيح الإطار القانوني الوطني، في سياق استجابة الدولة الطرف إلى الجائحة (المواد </w:t>
      </w:r>
      <w:r w:rsidRPr="004471BA">
        <w:rPr>
          <w:rtl/>
        </w:rPr>
        <w:t>4</w:t>
      </w:r>
      <w:r>
        <w:rPr>
          <w:rtl/>
        </w:rPr>
        <w:t xml:space="preserve"> و</w:t>
      </w:r>
      <w:r w:rsidRPr="004471BA">
        <w:rPr>
          <w:rtl/>
        </w:rPr>
        <w:t>12</w:t>
      </w:r>
      <w:r>
        <w:rPr>
          <w:rtl/>
        </w:rPr>
        <w:t xml:space="preserve"> و</w:t>
      </w:r>
      <w:r w:rsidRPr="004471BA">
        <w:rPr>
          <w:rtl/>
        </w:rPr>
        <w:t>21</w:t>
      </w:r>
      <w:r>
        <w:rPr>
          <w:rtl/>
        </w:rPr>
        <w:t xml:space="preserve"> و</w:t>
      </w:r>
      <w:r w:rsidRPr="004471BA">
        <w:rPr>
          <w:rtl/>
        </w:rPr>
        <w:t>22</w:t>
      </w:r>
      <w:r>
        <w:rPr>
          <w:rFonts w:ascii="Traditional Arabic"/>
          <w:szCs w:val="20"/>
          <w:rtl/>
        </w:rPr>
        <w:t>)</w:t>
      </w:r>
      <w:r>
        <w:rPr>
          <w:rtl/>
        </w:rPr>
        <w:t>.</w:t>
      </w:r>
    </w:p>
    <w:p w14:paraId="06D4C79E" w14:textId="4CFFF606" w:rsidR="00A946B8" w:rsidRPr="004471BA" w:rsidRDefault="00A946B8" w:rsidP="00A132E4">
      <w:pPr>
        <w:pStyle w:val="SingleTxtGA"/>
        <w:rPr>
          <w:rFonts w:ascii="Times New Roman Bold" w:hAnsi="Times New Roman Bold" w:hint="eastAsia"/>
          <w:b/>
          <w:bCs/>
          <w:spacing w:val="-4"/>
          <w:szCs w:val="20"/>
          <w:lang w:val="ar-SA" w:eastAsia="zh-TW" w:bidi="en-GB"/>
        </w:rPr>
      </w:pPr>
      <w:r w:rsidRPr="004471BA">
        <w:rPr>
          <w:rtl/>
        </w:rPr>
        <w:t>37</w:t>
      </w:r>
      <w:r>
        <w:rPr>
          <w:rFonts w:ascii="Traditional Arabic"/>
          <w:szCs w:val="20"/>
          <w:rtl/>
        </w:rPr>
        <w:t>-</w:t>
      </w:r>
      <w:r>
        <w:rPr>
          <w:rtl/>
        </w:rPr>
        <w:tab/>
      </w:r>
      <w:r w:rsidRPr="004471BA">
        <w:rPr>
          <w:b/>
          <w:bCs/>
          <w:rtl/>
        </w:rPr>
        <w:t>ينبغي للدولة الطرف أن تكفل توافق إطارها القانوني الوطني المتعلق بحالات الطوارئ، بما في ذلك حماية الصحة العامة، مع جميع أحكام العهد. وينبغي للدولة الطرف أيضا</w:t>
      </w:r>
      <w:r w:rsidR="00734794" w:rsidRPr="004471BA">
        <w:rPr>
          <w:rFonts w:hint="cs"/>
          <w:b/>
          <w:bCs/>
          <w:rtl/>
        </w:rPr>
        <w:t>ً</w:t>
      </w:r>
      <w:r w:rsidRPr="004471BA">
        <w:rPr>
          <w:b/>
          <w:bCs/>
          <w:rtl/>
        </w:rPr>
        <w:t xml:space="preserve"> أن تكفل توافق أي قيود على حرية التنقل وحرية التجمع وتكوين الجمعيات تو</w:t>
      </w:r>
      <w:r w:rsidR="00734794" w:rsidRPr="004471BA">
        <w:rPr>
          <w:rFonts w:hint="cs"/>
          <w:b/>
          <w:bCs/>
          <w:rtl/>
        </w:rPr>
        <w:t>ا</w:t>
      </w:r>
      <w:r w:rsidRPr="004471BA">
        <w:rPr>
          <w:b/>
          <w:bCs/>
          <w:rtl/>
        </w:rPr>
        <w:t>فقا</w:t>
      </w:r>
      <w:r w:rsidR="00734794" w:rsidRPr="004471BA">
        <w:rPr>
          <w:rFonts w:hint="cs"/>
          <w:b/>
          <w:bCs/>
          <w:rtl/>
        </w:rPr>
        <w:t>ً</w:t>
      </w:r>
      <w:r w:rsidRPr="004471BA">
        <w:rPr>
          <w:b/>
          <w:bCs/>
          <w:rtl/>
        </w:rPr>
        <w:t xml:space="preserve"> صارما</w:t>
      </w:r>
      <w:r w:rsidR="00734794" w:rsidRPr="004471BA">
        <w:rPr>
          <w:rFonts w:hint="cs"/>
          <w:b/>
          <w:bCs/>
          <w:rtl/>
        </w:rPr>
        <w:t>ً</w:t>
      </w:r>
      <w:r w:rsidRPr="004471BA">
        <w:rPr>
          <w:b/>
          <w:bCs/>
          <w:rtl/>
        </w:rPr>
        <w:t xml:space="preserve"> مع الشروط المبينة في المواد 12</w:t>
      </w:r>
      <w:r w:rsidRPr="004471BA">
        <w:rPr>
          <w:rFonts w:ascii="Traditional Arabic"/>
          <w:b/>
          <w:bCs/>
          <w:szCs w:val="20"/>
          <w:rtl/>
        </w:rPr>
        <w:t>(</w:t>
      </w:r>
      <w:r w:rsidRPr="004471BA">
        <w:rPr>
          <w:b/>
          <w:bCs/>
          <w:rtl/>
        </w:rPr>
        <w:t>3</w:t>
      </w:r>
      <w:r w:rsidRPr="004471BA">
        <w:rPr>
          <w:rFonts w:ascii="Traditional Arabic"/>
          <w:b/>
          <w:bCs/>
          <w:szCs w:val="20"/>
          <w:rtl/>
        </w:rPr>
        <w:t>)</w:t>
      </w:r>
      <w:r w:rsidRPr="004471BA">
        <w:rPr>
          <w:b/>
          <w:bCs/>
          <w:rtl/>
        </w:rPr>
        <w:t xml:space="preserve"> و21 و22</w:t>
      </w:r>
      <w:r w:rsidRPr="004471BA">
        <w:rPr>
          <w:rFonts w:ascii="Traditional Arabic"/>
          <w:b/>
          <w:bCs/>
          <w:szCs w:val="20"/>
          <w:rtl/>
        </w:rPr>
        <w:t>(</w:t>
      </w:r>
      <w:r w:rsidRPr="004471BA">
        <w:rPr>
          <w:b/>
          <w:bCs/>
          <w:rtl/>
        </w:rPr>
        <w:t>2</w:t>
      </w:r>
      <w:r w:rsidRPr="004471BA">
        <w:rPr>
          <w:rFonts w:ascii="Traditional Arabic"/>
          <w:b/>
          <w:bCs/>
          <w:szCs w:val="20"/>
          <w:rtl/>
        </w:rPr>
        <w:t>).</w:t>
      </w:r>
      <w:r w:rsidRPr="004471BA">
        <w:rPr>
          <w:b/>
          <w:bCs/>
          <w:rtl/>
        </w:rPr>
        <w:t xml:space="preserve"> وعلاوة على ذلك، فإذا تجاوز النطاق المادي لأي تقليص للحقوق المكرسة في العهد القيود المنصوص عليها في المواد 12</w:t>
      </w:r>
      <w:r w:rsidRPr="004471BA">
        <w:rPr>
          <w:rFonts w:ascii="Traditional Arabic"/>
          <w:b/>
          <w:bCs/>
          <w:szCs w:val="20"/>
          <w:rtl/>
        </w:rPr>
        <w:t>(</w:t>
      </w:r>
      <w:r w:rsidRPr="004471BA">
        <w:rPr>
          <w:b/>
          <w:bCs/>
          <w:rtl/>
        </w:rPr>
        <w:t>3</w:t>
      </w:r>
      <w:r w:rsidRPr="004471BA">
        <w:rPr>
          <w:rFonts w:ascii="Traditional Arabic"/>
          <w:b/>
          <w:bCs/>
          <w:szCs w:val="20"/>
          <w:rtl/>
        </w:rPr>
        <w:t>)</w:t>
      </w:r>
      <w:r w:rsidRPr="004471BA">
        <w:rPr>
          <w:b/>
          <w:bCs/>
          <w:rtl/>
        </w:rPr>
        <w:t xml:space="preserve"> و21 و22</w:t>
      </w:r>
      <w:r w:rsidRPr="004471BA">
        <w:rPr>
          <w:rFonts w:ascii="Traditional Arabic"/>
          <w:b/>
          <w:bCs/>
          <w:szCs w:val="20"/>
          <w:rtl/>
        </w:rPr>
        <w:t>(</w:t>
      </w:r>
      <w:r w:rsidRPr="004471BA">
        <w:rPr>
          <w:b/>
          <w:bCs/>
          <w:rtl/>
        </w:rPr>
        <w:t>2</w:t>
      </w:r>
      <w:r w:rsidRPr="004471BA">
        <w:rPr>
          <w:rFonts w:ascii="Traditional Arabic"/>
          <w:b/>
          <w:bCs/>
          <w:szCs w:val="20"/>
          <w:rtl/>
        </w:rPr>
        <w:t>)</w:t>
      </w:r>
      <w:r w:rsidRPr="004471BA">
        <w:rPr>
          <w:b/>
          <w:bCs/>
          <w:rtl/>
        </w:rPr>
        <w:t xml:space="preserve"> منه وأي مواد أخرى ذات صلة، ينبغي للدولة </w:t>
      </w:r>
      <w:r w:rsidRPr="004471BA">
        <w:rPr>
          <w:rFonts w:ascii="Times New Roman Bold" w:hAnsi="Times New Roman Bold"/>
          <w:b/>
          <w:bCs/>
          <w:spacing w:val="-4"/>
          <w:rtl/>
        </w:rPr>
        <w:t>الطرف أن تستفيد من حق عدم التقيد وأن تبلغ الدول الأطراف الأخرى في العهد فورا</w:t>
      </w:r>
      <w:r w:rsidR="00C05230" w:rsidRPr="004471BA">
        <w:rPr>
          <w:rFonts w:ascii="Times New Roman Bold" w:hAnsi="Times New Roman Bold" w:hint="cs"/>
          <w:b/>
          <w:bCs/>
          <w:spacing w:val="-4"/>
          <w:rtl/>
        </w:rPr>
        <w:t>ً</w:t>
      </w:r>
      <w:r w:rsidRPr="004471BA">
        <w:rPr>
          <w:rFonts w:ascii="Times New Roman Bold" w:hAnsi="Times New Roman Bold"/>
          <w:b/>
          <w:bCs/>
          <w:spacing w:val="-4"/>
          <w:rtl/>
        </w:rPr>
        <w:t xml:space="preserve"> بوساطة الأمين العام.</w:t>
      </w:r>
    </w:p>
    <w:p w14:paraId="2BFA9B17" w14:textId="77777777" w:rsidR="00A946B8" w:rsidRPr="004471BA" w:rsidRDefault="00A946B8" w:rsidP="00A132E4">
      <w:pPr>
        <w:pStyle w:val="H23GA"/>
        <w:rPr>
          <w:szCs w:val="20"/>
          <w:lang w:val="ar-SA" w:eastAsia="zh-TW" w:bidi="en-GB"/>
        </w:rPr>
      </w:pPr>
      <w:r w:rsidRPr="004471BA">
        <w:rPr>
          <w:rtl/>
        </w:rPr>
        <w:tab/>
      </w:r>
      <w:r w:rsidRPr="004471BA">
        <w:rPr>
          <w:rtl/>
        </w:rPr>
        <w:tab/>
        <w:t>معاملة الأجانب، بمن فيهم اللاجئون وملتمسو اللجوء والمهاجرون</w:t>
      </w:r>
    </w:p>
    <w:p w14:paraId="481C9F04" w14:textId="77777777" w:rsidR="00A946B8" w:rsidRPr="0045629A" w:rsidRDefault="00A946B8" w:rsidP="00A132E4">
      <w:pPr>
        <w:pStyle w:val="SingleTxtGA"/>
        <w:rPr>
          <w:szCs w:val="20"/>
          <w:lang w:val="ar-SA" w:eastAsia="zh-TW" w:bidi="en-GB"/>
        </w:rPr>
      </w:pPr>
      <w:r w:rsidRPr="004471BA">
        <w:rPr>
          <w:rtl/>
        </w:rPr>
        <w:t>38</w:t>
      </w:r>
      <w:r>
        <w:rPr>
          <w:rFonts w:ascii="Traditional Arabic"/>
          <w:szCs w:val="20"/>
          <w:rtl/>
        </w:rPr>
        <w:t>-</w:t>
      </w:r>
      <w:r>
        <w:rPr>
          <w:rtl/>
        </w:rPr>
        <w:tab/>
        <w:t>تثني اللجنة على الدولة الطرف لما أبدته من تضامن في استقبال اللاجئين وعلى استمرارها في اتباع نهجه يدمج المجتمع بأسره في حماية اللاجئين. غير أنه يساورها القلق مما يلي:</w:t>
      </w:r>
    </w:p>
    <w:p w14:paraId="0D0D383E" w14:textId="4C9A0E45" w:rsidR="00A946B8" w:rsidRPr="00950D62" w:rsidRDefault="00A132E4" w:rsidP="00A132E4">
      <w:pPr>
        <w:pStyle w:val="SingleTxtGA"/>
        <w:rPr>
          <w:szCs w:val="20"/>
          <w:lang w:val="en-US" w:eastAsia="zh-TW" w:bidi="en-GB"/>
        </w:rPr>
      </w:pPr>
      <w:r>
        <w:rPr>
          <w:rtl/>
        </w:rPr>
        <w:tab/>
      </w:r>
      <w:r w:rsidR="00A946B8">
        <w:rPr>
          <w:rtl/>
        </w:rPr>
        <w:t>(أ)</w:t>
      </w:r>
      <w:r w:rsidR="00A946B8">
        <w:rPr>
          <w:rtl/>
        </w:rPr>
        <w:tab/>
        <w:t>القيود المفروضة على جمع شمل الأسر للمستفيدين من الحماية الفرعية على أساس نظام الحصص، وكذلك الحواجز الإدارية التي يواجهها مقدمو الطلبات المؤهلون في الحصول على التأشيرات ذات الصلة؛</w:t>
      </w:r>
    </w:p>
    <w:p w14:paraId="4F33698E" w14:textId="4D224A80" w:rsidR="00A946B8" w:rsidRPr="00950D62" w:rsidRDefault="00A132E4" w:rsidP="00A132E4">
      <w:pPr>
        <w:pStyle w:val="SingleTxtGA"/>
        <w:rPr>
          <w:szCs w:val="20"/>
          <w:lang w:val="en-US" w:eastAsia="zh-TW" w:bidi="en-GB"/>
        </w:rPr>
      </w:pPr>
      <w:r>
        <w:rPr>
          <w:rtl/>
        </w:rPr>
        <w:tab/>
      </w:r>
      <w:r w:rsidR="00A946B8">
        <w:rPr>
          <w:rtl/>
        </w:rPr>
        <w:t>(ب)</w:t>
      </w:r>
      <w:r w:rsidR="00A946B8">
        <w:rPr>
          <w:rtl/>
        </w:rPr>
        <w:tab/>
        <w:t>القيود غير المبررة على تعريف الأسرة لغرض لم الشمل، بما في ذلك استبعاد أشقاء الأطفال غير المصحوبين؛</w:t>
      </w:r>
    </w:p>
    <w:p w14:paraId="02654DEC" w14:textId="1B955822" w:rsidR="00A946B8" w:rsidRDefault="00A132E4" w:rsidP="00A132E4">
      <w:pPr>
        <w:pStyle w:val="SingleTxtGA"/>
        <w:rPr>
          <w:szCs w:val="20"/>
          <w:lang w:val="ar-SA" w:eastAsia="zh-TW" w:bidi="en-GB"/>
        </w:rPr>
      </w:pPr>
      <w:r>
        <w:rPr>
          <w:rtl/>
        </w:rPr>
        <w:tab/>
      </w:r>
      <w:r w:rsidR="00A946B8">
        <w:rPr>
          <w:rtl/>
        </w:rPr>
        <w:t>(ج)</w:t>
      </w:r>
      <w:r w:rsidR="00A946B8">
        <w:rPr>
          <w:rtl/>
        </w:rPr>
        <w:tab/>
        <w:t xml:space="preserve">عدم حظر المادة </w:t>
      </w:r>
      <w:r w:rsidR="00A946B8" w:rsidRPr="004471BA">
        <w:rPr>
          <w:rtl/>
        </w:rPr>
        <w:t>62</w:t>
      </w:r>
      <w:r w:rsidR="00950D62" w:rsidRPr="00950D62">
        <w:rPr>
          <w:rFonts w:ascii="Traditional Arabic" w:hint="cs"/>
          <w:sz w:val="10"/>
          <w:szCs w:val="8"/>
          <w:rtl/>
        </w:rPr>
        <w:t xml:space="preserve"> </w:t>
      </w:r>
      <w:r w:rsidR="00950D62">
        <w:rPr>
          <w:rFonts w:ascii="Traditional Arabic" w:hint="cs"/>
          <w:szCs w:val="20"/>
          <w:rtl/>
        </w:rPr>
        <w:t>أ</w:t>
      </w:r>
      <w:r w:rsidR="00950D62" w:rsidRPr="00950D62">
        <w:rPr>
          <w:rFonts w:ascii="Traditional Arabic" w:hint="cs"/>
          <w:sz w:val="10"/>
          <w:szCs w:val="8"/>
          <w:rtl/>
        </w:rPr>
        <w:t xml:space="preserve"> </w:t>
      </w:r>
      <w:r w:rsidR="00A946B8">
        <w:rPr>
          <w:rFonts w:ascii="Traditional Arabic"/>
          <w:szCs w:val="20"/>
          <w:rtl/>
        </w:rPr>
        <w:t>(</w:t>
      </w:r>
      <w:r w:rsidR="00A946B8" w:rsidRPr="004471BA">
        <w:rPr>
          <w:rtl/>
        </w:rPr>
        <w:t>1</w:t>
      </w:r>
      <w:r w:rsidR="00A946B8">
        <w:rPr>
          <w:rFonts w:ascii="Traditional Arabic"/>
          <w:szCs w:val="20"/>
          <w:rtl/>
        </w:rPr>
        <w:t>)</w:t>
      </w:r>
      <w:r w:rsidR="00A946B8">
        <w:rPr>
          <w:rtl/>
        </w:rPr>
        <w:t xml:space="preserve"> من قانون الإقامة إيداع الأفراد الذين يمكن ترحيلهم في السجون في انتظار ترحيلهم؛</w:t>
      </w:r>
    </w:p>
    <w:p w14:paraId="036B0857" w14:textId="50635BC8" w:rsidR="00A946B8" w:rsidRDefault="00A132E4" w:rsidP="00A132E4">
      <w:pPr>
        <w:pStyle w:val="SingleTxtGA"/>
        <w:rPr>
          <w:szCs w:val="20"/>
          <w:lang w:val="ar-SA" w:eastAsia="zh-TW" w:bidi="en-GB"/>
        </w:rPr>
      </w:pPr>
      <w:r>
        <w:rPr>
          <w:rtl/>
        </w:rPr>
        <w:tab/>
      </w:r>
      <w:r w:rsidR="00A946B8">
        <w:rPr>
          <w:rtl/>
        </w:rPr>
        <w:t>(د)</w:t>
      </w:r>
      <w:r w:rsidR="00A946B8">
        <w:rPr>
          <w:rtl/>
        </w:rPr>
        <w:tab/>
        <w:t>التقارير المتعلقة بعمليات الترحيل التي تنفذ دون توفير إجراءات تقييم فردية، في انتهاك محتمل لمبدأ عدم الردّ؛</w:t>
      </w:r>
    </w:p>
    <w:p w14:paraId="3C2BAE86" w14:textId="44813AD2" w:rsidR="00A946B8" w:rsidRDefault="00A132E4" w:rsidP="00A132E4">
      <w:pPr>
        <w:pStyle w:val="SingleTxtGA"/>
        <w:rPr>
          <w:szCs w:val="20"/>
          <w:lang w:val="ar-SA" w:eastAsia="zh-TW" w:bidi="en-GB"/>
        </w:rPr>
      </w:pPr>
      <w:r>
        <w:rPr>
          <w:rtl/>
        </w:rPr>
        <w:tab/>
      </w:r>
      <w:r w:rsidR="00A946B8">
        <w:rPr>
          <w:rtl/>
        </w:rPr>
        <w:t>(هـ)</w:t>
      </w:r>
      <w:r w:rsidR="00A946B8">
        <w:rPr>
          <w:rtl/>
        </w:rPr>
        <w:tab/>
        <w:t>التقارير المتعلقة بسوء الأحوال في مراكز "أنكير" (مرافق الوصول والقرار والعودة)، فضلا</w:t>
      </w:r>
      <w:r w:rsidR="002412FD">
        <w:rPr>
          <w:rFonts w:hint="cs"/>
          <w:rtl/>
        </w:rPr>
        <w:t>ً</w:t>
      </w:r>
      <w:r w:rsidR="00A946B8">
        <w:rPr>
          <w:rtl/>
        </w:rPr>
        <w:t xml:space="preserve"> عن وجود هذه المراكز في مناطق نائية جغرافيا، وهو ما يحد من إمكانية الوصول إلى المرافق الأساسية؛</w:t>
      </w:r>
    </w:p>
    <w:p w14:paraId="72D32EFF" w14:textId="0EC4E7DE" w:rsidR="00A946B8" w:rsidRPr="0045629A" w:rsidRDefault="00A132E4" w:rsidP="00A132E4">
      <w:pPr>
        <w:pStyle w:val="SingleTxtGA"/>
        <w:rPr>
          <w:szCs w:val="20"/>
          <w:lang w:val="ar-SA" w:eastAsia="zh-TW" w:bidi="en-GB"/>
        </w:rPr>
      </w:pPr>
      <w:r>
        <w:rPr>
          <w:rtl/>
        </w:rPr>
        <w:lastRenderedPageBreak/>
        <w:tab/>
      </w:r>
      <w:r w:rsidR="00A946B8">
        <w:rPr>
          <w:rtl/>
        </w:rPr>
        <w:t>(و)</w:t>
      </w:r>
      <w:r w:rsidR="00A946B8">
        <w:rPr>
          <w:rtl/>
        </w:rPr>
        <w:tab/>
        <w:t>بينما يحق قانونا للمهاجرين في الحالات غير النظامية الحصول على لقاح كوفيد-</w:t>
      </w:r>
      <w:r w:rsidR="00A946B8" w:rsidRPr="004471BA">
        <w:rPr>
          <w:rtl/>
        </w:rPr>
        <w:t>19</w:t>
      </w:r>
      <w:r w:rsidR="00A946B8">
        <w:rPr>
          <w:rtl/>
        </w:rPr>
        <w:t xml:space="preserve"> بموجب المادة </w:t>
      </w:r>
      <w:r w:rsidR="00A946B8" w:rsidRPr="004471BA">
        <w:rPr>
          <w:rtl/>
        </w:rPr>
        <w:t>1</w:t>
      </w:r>
      <w:r w:rsidR="00A946B8">
        <w:rPr>
          <w:rFonts w:ascii="Traditional Arabic"/>
          <w:szCs w:val="20"/>
          <w:rtl/>
        </w:rPr>
        <w:t>(</w:t>
      </w:r>
      <w:r w:rsidR="00A946B8" w:rsidRPr="004471BA">
        <w:rPr>
          <w:rtl/>
        </w:rPr>
        <w:t>1</w:t>
      </w:r>
      <w:r w:rsidR="00A946B8">
        <w:rPr>
          <w:rFonts w:ascii="Traditional Arabic"/>
          <w:szCs w:val="20"/>
          <w:rtl/>
        </w:rPr>
        <w:t>)</w:t>
      </w:r>
      <w:r w:rsidR="00A946B8">
        <w:rPr>
          <w:rtl/>
        </w:rPr>
        <w:t xml:space="preserve"> من قانون التلقيح ضد فيروس كورونا، لا تزال هناك عقبات في الممارسة العملية تعوق الوصول الفعلي (المواد </w:t>
      </w:r>
      <w:r w:rsidR="00A946B8" w:rsidRPr="004471BA">
        <w:rPr>
          <w:rtl/>
        </w:rPr>
        <w:t>2</w:t>
      </w:r>
      <w:r w:rsidR="00A946B8">
        <w:rPr>
          <w:rtl/>
        </w:rPr>
        <w:t xml:space="preserve"> و</w:t>
      </w:r>
      <w:r w:rsidR="00A946B8" w:rsidRPr="004471BA">
        <w:rPr>
          <w:rtl/>
        </w:rPr>
        <w:t>6</w:t>
      </w:r>
      <w:r w:rsidR="00A946B8">
        <w:rPr>
          <w:rtl/>
        </w:rPr>
        <w:t xml:space="preserve"> و</w:t>
      </w:r>
      <w:r w:rsidR="00A946B8" w:rsidRPr="004471BA">
        <w:rPr>
          <w:rtl/>
        </w:rPr>
        <w:t>7</w:t>
      </w:r>
      <w:r w:rsidR="00A946B8">
        <w:rPr>
          <w:rtl/>
        </w:rPr>
        <w:t xml:space="preserve"> و</w:t>
      </w:r>
      <w:r w:rsidR="00A946B8" w:rsidRPr="004471BA">
        <w:rPr>
          <w:rtl/>
        </w:rPr>
        <w:t>9</w:t>
      </w:r>
      <w:r w:rsidR="00A946B8">
        <w:rPr>
          <w:rtl/>
        </w:rPr>
        <w:t xml:space="preserve"> و</w:t>
      </w:r>
      <w:r w:rsidR="00A946B8" w:rsidRPr="004471BA">
        <w:rPr>
          <w:rtl/>
        </w:rPr>
        <w:t>13</w:t>
      </w:r>
      <w:r w:rsidR="00A946B8">
        <w:rPr>
          <w:rtl/>
        </w:rPr>
        <w:t xml:space="preserve"> و</w:t>
      </w:r>
      <w:r w:rsidR="00A946B8" w:rsidRPr="004471BA">
        <w:rPr>
          <w:rtl/>
        </w:rPr>
        <w:t>26</w:t>
      </w:r>
      <w:r w:rsidR="00A946B8">
        <w:rPr>
          <w:rFonts w:ascii="Traditional Arabic"/>
          <w:szCs w:val="20"/>
          <w:rtl/>
        </w:rPr>
        <w:t>)</w:t>
      </w:r>
      <w:r w:rsidR="00A946B8">
        <w:rPr>
          <w:rtl/>
        </w:rPr>
        <w:t>.</w:t>
      </w:r>
    </w:p>
    <w:p w14:paraId="2ABEE5DF" w14:textId="77777777" w:rsidR="00A946B8" w:rsidRPr="004471BA" w:rsidRDefault="00A946B8" w:rsidP="00A132E4">
      <w:pPr>
        <w:pStyle w:val="SingleTxtGA"/>
        <w:rPr>
          <w:b/>
          <w:bCs/>
          <w:szCs w:val="20"/>
          <w:lang w:val="ar-SA" w:eastAsia="zh-TW" w:bidi="en-GB"/>
        </w:rPr>
      </w:pPr>
      <w:r w:rsidRPr="004471BA">
        <w:rPr>
          <w:rtl/>
        </w:rPr>
        <w:t>39</w:t>
      </w:r>
      <w:r>
        <w:rPr>
          <w:rFonts w:ascii="Traditional Arabic"/>
          <w:szCs w:val="20"/>
          <w:rtl/>
        </w:rPr>
        <w:t>-</w:t>
      </w:r>
      <w:r>
        <w:rPr>
          <w:rtl/>
        </w:rPr>
        <w:tab/>
      </w:r>
      <w:r w:rsidRPr="004471BA">
        <w:rPr>
          <w:b/>
          <w:bCs/>
          <w:rtl/>
        </w:rPr>
        <w:t>ينبغي للدولة الطرف القيام بما يلي:</w:t>
      </w:r>
    </w:p>
    <w:p w14:paraId="788571F4" w14:textId="1F06854C" w:rsidR="00A946B8" w:rsidRPr="004471BA" w:rsidRDefault="00A132E4" w:rsidP="00A132E4">
      <w:pPr>
        <w:pStyle w:val="SingleTxtGA"/>
        <w:rPr>
          <w:b/>
          <w:bCs/>
          <w:szCs w:val="20"/>
          <w:lang w:val="ar-SA" w:eastAsia="zh-TW" w:bidi="en-GB"/>
        </w:rPr>
      </w:pPr>
      <w:r w:rsidRPr="004471BA">
        <w:rPr>
          <w:rtl/>
        </w:rPr>
        <w:tab/>
      </w:r>
      <w:r w:rsidR="00A946B8" w:rsidRPr="004471BA">
        <w:rPr>
          <w:rtl/>
        </w:rPr>
        <w:t>(أ)</w:t>
      </w:r>
      <w:r w:rsidR="00A946B8" w:rsidRPr="004471BA">
        <w:rPr>
          <w:rtl/>
        </w:rPr>
        <w:tab/>
      </w:r>
      <w:r w:rsidR="00A946B8" w:rsidRPr="004471BA">
        <w:rPr>
          <w:b/>
          <w:bCs/>
          <w:rtl/>
        </w:rPr>
        <w:t>النظر في إلغاء القيود المفروضة على جمع لم الأسر على أساس نظام الحصص وضمان الحق في لم شمل الأسر من خلال تطبيق معايير موحدة، وكذلك إزالة العقبات الإدارية التي تحول دون الحصول على تأشيرات لهذه الأغراض؛</w:t>
      </w:r>
    </w:p>
    <w:p w14:paraId="32718498" w14:textId="58347C51" w:rsidR="00A946B8" w:rsidRPr="004471BA" w:rsidRDefault="00A132E4" w:rsidP="00A132E4">
      <w:pPr>
        <w:pStyle w:val="SingleTxtGA"/>
        <w:rPr>
          <w:b/>
          <w:bCs/>
          <w:szCs w:val="20"/>
          <w:lang w:val="ar-SA" w:eastAsia="zh-TW" w:bidi="en-GB"/>
        </w:rPr>
      </w:pPr>
      <w:r w:rsidRPr="004471BA">
        <w:rPr>
          <w:rtl/>
        </w:rPr>
        <w:tab/>
      </w:r>
      <w:r w:rsidR="00A946B8" w:rsidRPr="004471BA">
        <w:rPr>
          <w:rtl/>
        </w:rPr>
        <w:t>(ب)</w:t>
      </w:r>
      <w:r w:rsidR="00A946B8" w:rsidRPr="004471BA">
        <w:rPr>
          <w:rtl/>
        </w:rPr>
        <w:tab/>
      </w:r>
      <w:r w:rsidR="00A946B8" w:rsidRPr="004471BA">
        <w:rPr>
          <w:b/>
          <w:bCs/>
          <w:rtl/>
        </w:rPr>
        <w:t>النظر في استعراض تعريف الأسرة لغرض لم الشمل، ليتضمن خصوصا أشقاء القصر غير المصحوبين؛</w:t>
      </w:r>
    </w:p>
    <w:p w14:paraId="47F884E0" w14:textId="7BFE5CB1" w:rsidR="00A946B8" w:rsidRPr="004471BA" w:rsidRDefault="00A132E4" w:rsidP="00A132E4">
      <w:pPr>
        <w:pStyle w:val="SingleTxtGA"/>
        <w:rPr>
          <w:b/>
          <w:bCs/>
          <w:szCs w:val="20"/>
          <w:lang w:val="ar-SA" w:eastAsia="zh-TW" w:bidi="en-GB"/>
        </w:rPr>
      </w:pPr>
      <w:r w:rsidRPr="004471BA">
        <w:rPr>
          <w:rtl/>
        </w:rPr>
        <w:tab/>
      </w:r>
      <w:r w:rsidR="00A946B8" w:rsidRPr="004471BA">
        <w:rPr>
          <w:rtl/>
        </w:rPr>
        <w:t>(ج)</w:t>
      </w:r>
      <w:r w:rsidR="00A946B8" w:rsidRPr="004471BA">
        <w:rPr>
          <w:rtl/>
        </w:rPr>
        <w:tab/>
      </w:r>
      <w:r w:rsidR="00A946B8" w:rsidRPr="004471BA">
        <w:rPr>
          <w:b/>
          <w:bCs/>
          <w:rtl/>
        </w:rPr>
        <w:t>تعديل المادة 62</w:t>
      </w:r>
      <w:r w:rsidR="00950D62" w:rsidRPr="00950D62">
        <w:rPr>
          <w:rFonts w:ascii="Traditional Arabic" w:hint="eastAsia"/>
          <w:b/>
          <w:bCs/>
          <w:sz w:val="12"/>
          <w:szCs w:val="10"/>
          <w:rtl/>
        </w:rPr>
        <w:t> </w:t>
      </w:r>
      <w:r w:rsidR="00950D62">
        <w:rPr>
          <w:rFonts w:ascii="Traditional Arabic" w:hint="cs"/>
          <w:b/>
          <w:bCs/>
          <w:szCs w:val="20"/>
          <w:rtl/>
        </w:rPr>
        <w:t>أ</w:t>
      </w:r>
      <w:r w:rsidR="00950D62" w:rsidRPr="00950D62">
        <w:rPr>
          <w:rFonts w:ascii="Traditional Arabic" w:hint="cs"/>
          <w:b/>
          <w:bCs/>
          <w:sz w:val="4"/>
          <w:szCs w:val="2"/>
          <w:rtl/>
        </w:rPr>
        <w:t xml:space="preserve"> </w:t>
      </w:r>
      <w:r w:rsidR="00A946B8" w:rsidRPr="004471BA">
        <w:rPr>
          <w:rFonts w:ascii="Traditional Arabic"/>
          <w:b/>
          <w:bCs/>
          <w:szCs w:val="20"/>
          <w:rtl/>
        </w:rPr>
        <w:t>(</w:t>
      </w:r>
      <w:r w:rsidR="00A946B8" w:rsidRPr="004471BA">
        <w:rPr>
          <w:b/>
          <w:bCs/>
          <w:rtl/>
        </w:rPr>
        <w:t>1</w:t>
      </w:r>
      <w:r w:rsidR="00A946B8" w:rsidRPr="004471BA">
        <w:rPr>
          <w:rFonts w:ascii="Traditional Arabic"/>
          <w:b/>
          <w:bCs/>
          <w:szCs w:val="20"/>
          <w:rtl/>
        </w:rPr>
        <w:t>)</w:t>
      </w:r>
      <w:r w:rsidR="00A946B8" w:rsidRPr="004471BA">
        <w:rPr>
          <w:b/>
          <w:bCs/>
          <w:rtl/>
        </w:rPr>
        <w:t xml:space="preserve"> من قانون الإقامة لمنع سجن الأفراد في انتظار ترحيلهم؛</w:t>
      </w:r>
    </w:p>
    <w:p w14:paraId="240E4E0F" w14:textId="2C8032A1" w:rsidR="00A946B8" w:rsidRPr="00950D62" w:rsidRDefault="00A132E4" w:rsidP="00A132E4">
      <w:pPr>
        <w:pStyle w:val="SingleTxtGA"/>
        <w:rPr>
          <w:b/>
          <w:bCs/>
          <w:szCs w:val="20"/>
          <w:lang w:val="en-US" w:eastAsia="zh-TW" w:bidi="en-GB"/>
        </w:rPr>
      </w:pPr>
      <w:r w:rsidRPr="004471BA">
        <w:rPr>
          <w:rtl/>
        </w:rPr>
        <w:tab/>
      </w:r>
      <w:r w:rsidR="00A946B8" w:rsidRPr="004471BA">
        <w:rPr>
          <w:rtl/>
        </w:rPr>
        <w:t>(د)</w:t>
      </w:r>
      <w:r w:rsidR="00A946B8" w:rsidRPr="004471BA">
        <w:rPr>
          <w:rtl/>
        </w:rPr>
        <w:tab/>
      </w:r>
      <w:r w:rsidR="00A946B8" w:rsidRPr="004471BA">
        <w:rPr>
          <w:b/>
          <w:bCs/>
          <w:rtl/>
        </w:rPr>
        <w:t>ضمان أن يكون مبدأ عدم الرد مضمونا في القانون ومتقيدا به على نحو صارم في الممارسة العملية؛</w:t>
      </w:r>
    </w:p>
    <w:p w14:paraId="53D55044" w14:textId="4D230ADA" w:rsidR="00A946B8" w:rsidRPr="004471BA" w:rsidRDefault="00A132E4" w:rsidP="00A132E4">
      <w:pPr>
        <w:pStyle w:val="SingleTxtGA"/>
        <w:rPr>
          <w:b/>
          <w:bCs/>
          <w:szCs w:val="20"/>
          <w:lang w:val="ar-SA" w:eastAsia="zh-TW" w:bidi="en-GB"/>
        </w:rPr>
      </w:pPr>
      <w:r w:rsidRPr="004471BA">
        <w:rPr>
          <w:rtl/>
        </w:rPr>
        <w:tab/>
      </w:r>
      <w:r w:rsidR="00A946B8" w:rsidRPr="004471BA">
        <w:rPr>
          <w:rtl/>
        </w:rPr>
        <w:t>(هـ)</w:t>
      </w:r>
      <w:r w:rsidR="00A946B8" w:rsidRPr="004471BA">
        <w:rPr>
          <w:rtl/>
        </w:rPr>
        <w:tab/>
      </w:r>
      <w:r w:rsidR="00A946B8" w:rsidRPr="004471BA">
        <w:rPr>
          <w:b/>
          <w:bCs/>
          <w:rtl/>
        </w:rPr>
        <w:t>معالجة القضايا المثارة بشأن موقع مراكز "أنكير" وظروفها والنظر في ترتيبات استقبال بديلة؛</w:t>
      </w:r>
    </w:p>
    <w:p w14:paraId="39753119" w14:textId="54642828" w:rsidR="00A946B8" w:rsidRPr="004471BA" w:rsidRDefault="00A132E4" w:rsidP="00A132E4">
      <w:pPr>
        <w:pStyle w:val="SingleTxtGA"/>
        <w:rPr>
          <w:b/>
          <w:bCs/>
          <w:szCs w:val="20"/>
          <w:lang w:val="ar-SA" w:eastAsia="zh-TW" w:bidi="en-GB"/>
        </w:rPr>
      </w:pPr>
      <w:r w:rsidRPr="004471BA">
        <w:rPr>
          <w:rtl/>
        </w:rPr>
        <w:tab/>
      </w:r>
      <w:r w:rsidR="00A946B8" w:rsidRPr="004471BA">
        <w:rPr>
          <w:rtl/>
        </w:rPr>
        <w:t>(و)</w:t>
      </w:r>
      <w:r w:rsidR="00A946B8" w:rsidRPr="004471BA">
        <w:rPr>
          <w:rtl/>
        </w:rPr>
        <w:tab/>
      </w:r>
      <w:r w:rsidR="00A946B8" w:rsidRPr="004471BA">
        <w:rPr>
          <w:b/>
          <w:bCs/>
          <w:rtl/>
        </w:rPr>
        <w:t>ضمان حصول المهاجرين غير النظاميين على لقاح كوفيد-19 بصورة فعالة.</w:t>
      </w:r>
    </w:p>
    <w:p w14:paraId="5FE9513D" w14:textId="77777777" w:rsidR="00A946B8" w:rsidRPr="004471BA" w:rsidRDefault="00A946B8" w:rsidP="00A132E4">
      <w:pPr>
        <w:pStyle w:val="H23GA"/>
        <w:rPr>
          <w:szCs w:val="20"/>
          <w:lang w:val="ar-SA" w:eastAsia="zh-TW" w:bidi="en-GB"/>
        </w:rPr>
      </w:pPr>
      <w:r w:rsidRPr="004471BA">
        <w:rPr>
          <w:rtl/>
        </w:rPr>
        <w:tab/>
      </w:r>
      <w:r w:rsidRPr="004471BA">
        <w:rPr>
          <w:rtl/>
        </w:rPr>
        <w:tab/>
        <w:t>الجهاز القضائي وأجهزة النيابة العامة</w:t>
      </w:r>
    </w:p>
    <w:p w14:paraId="14DE841A" w14:textId="128E2A63" w:rsidR="00A946B8" w:rsidRPr="00A81EA6" w:rsidRDefault="00A946B8" w:rsidP="00A132E4">
      <w:pPr>
        <w:pStyle w:val="SingleTxtGA"/>
        <w:rPr>
          <w:szCs w:val="20"/>
          <w:lang w:val="ar-SA" w:eastAsia="zh-TW" w:bidi="en-GB"/>
        </w:rPr>
      </w:pPr>
      <w:r w:rsidRPr="004471BA">
        <w:rPr>
          <w:rtl/>
        </w:rPr>
        <w:t>40</w:t>
      </w:r>
      <w:r>
        <w:rPr>
          <w:rFonts w:ascii="Traditional Arabic"/>
          <w:szCs w:val="20"/>
          <w:rtl/>
        </w:rPr>
        <w:t>-</w:t>
      </w:r>
      <w:r>
        <w:rPr>
          <w:rtl/>
        </w:rPr>
        <w:tab/>
        <w:t>إذ تحيط اللجنة علما</w:t>
      </w:r>
      <w:r w:rsidR="00C05230">
        <w:rPr>
          <w:rFonts w:hint="cs"/>
          <w:rtl/>
        </w:rPr>
        <w:t>ً</w:t>
      </w:r>
      <w:r>
        <w:rPr>
          <w:rtl/>
        </w:rPr>
        <w:t xml:space="preserve"> بالمعلومات التي قدمتها الدولة الطرف عن نظامها القانوني الوطني، تعرب عن القلق لأن استقلال أجهزة النيابة العامة عن السلطة التنفيذية للحكومة، باعتباره نتيجة طبيعية لاستقلال القضاء، لا يكفله القانون أو الممارسة (المادتان </w:t>
      </w:r>
      <w:r w:rsidRPr="004471BA">
        <w:rPr>
          <w:rtl/>
        </w:rPr>
        <w:t>2</w:t>
      </w:r>
      <w:r>
        <w:rPr>
          <w:rtl/>
        </w:rPr>
        <w:t xml:space="preserve"> و</w:t>
      </w:r>
      <w:r w:rsidRPr="004471BA">
        <w:rPr>
          <w:rtl/>
        </w:rPr>
        <w:t>14</w:t>
      </w:r>
      <w:r>
        <w:rPr>
          <w:rFonts w:ascii="Traditional Arabic"/>
          <w:szCs w:val="20"/>
          <w:rtl/>
        </w:rPr>
        <w:t>)</w:t>
      </w:r>
      <w:r>
        <w:rPr>
          <w:rtl/>
        </w:rPr>
        <w:t>.</w:t>
      </w:r>
    </w:p>
    <w:p w14:paraId="377EA559" w14:textId="77777777" w:rsidR="00A946B8" w:rsidRPr="004471BA" w:rsidRDefault="00A946B8" w:rsidP="00A132E4">
      <w:pPr>
        <w:pStyle w:val="SingleTxtGA"/>
        <w:rPr>
          <w:b/>
          <w:bCs/>
          <w:szCs w:val="20"/>
          <w:lang w:val="ar-SA" w:eastAsia="zh-TW" w:bidi="en-GB"/>
        </w:rPr>
      </w:pPr>
      <w:r w:rsidRPr="004471BA">
        <w:rPr>
          <w:rtl/>
        </w:rPr>
        <w:t>41</w:t>
      </w:r>
      <w:r>
        <w:rPr>
          <w:rFonts w:ascii="Traditional Arabic"/>
          <w:szCs w:val="20"/>
          <w:rtl/>
        </w:rPr>
        <w:t>-</w:t>
      </w:r>
      <w:r>
        <w:rPr>
          <w:rtl/>
        </w:rPr>
        <w:tab/>
      </w:r>
      <w:r w:rsidRPr="004471BA">
        <w:rPr>
          <w:b/>
          <w:bCs/>
          <w:rtl/>
        </w:rPr>
        <w:t xml:space="preserve">ينبغي للدولة الطرف أن تنظر في إدخال إصلاحات قانونية لضمان استقلال المدعين العامين </w:t>
      </w:r>
      <w:r w:rsidRPr="004471BA">
        <w:rPr>
          <w:rFonts w:ascii="Times New Roman Bold" w:hAnsi="Times New Roman Bold"/>
          <w:b/>
          <w:bCs/>
          <w:spacing w:val="-2"/>
          <w:rtl/>
        </w:rPr>
        <w:t>عن السلطة التنفيذية للحكومة، في القانون وفي الممارسة العملية، على نحو ما يعزز استقلال القضاء.</w:t>
      </w:r>
    </w:p>
    <w:p w14:paraId="109A2140" w14:textId="77777777" w:rsidR="00A946B8" w:rsidRPr="004471BA" w:rsidRDefault="00A946B8" w:rsidP="00A132E4">
      <w:pPr>
        <w:pStyle w:val="H23GA"/>
        <w:rPr>
          <w:szCs w:val="20"/>
          <w:lang w:val="ar-SA" w:eastAsia="zh-TW" w:bidi="en-GB"/>
        </w:rPr>
      </w:pPr>
      <w:r w:rsidRPr="004471BA">
        <w:rPr>
          <w:rtl/>
        </w:rPr>
        <w:tab/>
      </w:r>
      <w:r w:rsidRPr="004471BA">
        <w:rPr>
          <w:rtl/>
        </w:rPr>
        <w:tab/>
        <w:t>الحق في الخصوصية</w:t>
      </w:r>
    </w:p>
    <w:p w14:paraId="03FA4688" w14:textId="63A980B3" w:rsidR="00A946B8" w:rsidRPr="00D55ECD" w:rsidRDefault="00A946B8" w:rsidP="00A132E4">
      <w:pPr>
        <w:pStyle w:val="SingleTxtGA"/>
        <w:rPr>
          <w:szCs w:val="20"/>
          <w:lang w:val="ar-SA" w:eastAsia="zh-TW" w:bidi="en-GB"/>
        </w:rPr>
      </w:pPr>
      <w:r w:rsidRPr="004471BA">
        <w:rPr>
          <w:rtl/>
        </w:rPr>
        <w:t>42</w:t>
      </w:r>
      <w:r>
        <w:rPr>
          <w:rFonts w:ascii="Traditional Arabic"/>
          <w:szCs w:val="20"/>
          <w:rtl/>
        </w:rPr>
        <w:t>-</w:t>
      </w:r>
      <w:r>
        <w:rPr>
          <w:rtl/>
        </w:rPr>
        <w:tab/>
        <w:t xml:space="preserve">يساور اللجنة القلق إزاء السلطات الرقابية الواسعة النطاق، بما في ذلك المراقبة على الإنترنت واختراق بيانات الاتصالات المشفرة، في أثناء التحقيقات الجنائية. كما يساورها القلق بوجه خاص لأن قانون التجسس على الأجانب في البلدان الأجنبية الخاص بجهاز الاستخبارات الاتحادي لعام </w:t>
      </w:r>
      <w:r w:rsidRPr="004471BA">
        <w:rPr>
          <w:rtl/>
        </w:rPr>
        <w:t>2016</w:t>
      </w:r>
      <w:r>
        <w:rPr>
          <w:rtl/>
        </w:rPr>
        <w:t xml:space="preserve"> يجيز المراقبة الشاملة والمحددة الهدف على نطاق واسع وبطريقة عشوائية للاتصالات الجارية خارج الحدود الإقليمية. وبينما ترحب اللجنة بالإصلاحات القانونية، بما في ذلك الإصلاح المدخل في عام </w:t>
      </w:r>
      <w:r w:rsidRPr="004471BA">
        <w:rPr>
          <w:rtl/>
        </w:rPr>
        <w:t>2021</w:t>
      </w:r>
      <w:r>
        <w:rPr>
          <w:rtl/>
        </w:rPr>
        <w:t xml:space="preserve"> على قانون جهاز الاستخبارات الاتحادي، تمشيا</w:t>
      </w:r>
      <w:r w:rsidR="00B5753E">
        <w:rPr>
          <w:rFonts w:hint="cs"/>
          <w:rtl/>
        </w:rPr>
        <w:t>ً</w:t>
      </w:r>
      <w:r>
        <w:rPr>
          <w:rtl/>
        </w:rPr>
        <w:t xml:space="preserve"> مع حكم المحكمة الدستورية الصادر في أيار/مايو من العام نفسه، فإنها تشعر بالقلق لأن امتثال لوائح المراقبة قواعد الاتحاد الأوروبي لا يزال غير واضح. كما يساورها القلق إزاء المعلومات التي تشير إلى استمرار غياب الرقابة القضائية المستقلة تماما</w:t>
      </w:r>
      <w:r w:rsidR="00B5753E">
        <w:rPr>
          <w:rFonts w:hint="cs"/>
          <w:rtl/>
        </w:rPr>
        <w:t>ً</w:t>
      </w:r>
      <w:r>
        <w:rPr>
          <w:rtl/>
        </w:rPr>
        <w:t xml:space="preserve"> (المادة </w:t>
      </w:r>
      <w:r w:rsidRPr="004471BA">
        <w:rPr>
          <w:rtl/>
        </w:rPr>
        <w:t>17</w:t>
      </w:r>
      <w:r>
        <w:rPr>
          <w:rFonts w:ascii="Traditional Arabic"/>
          <w:szCs w:val="20"/>
          <w:rtl/>
        </w:rPr>
        <w:t>)</w:t>
      </w:r>
      <w:r>
        <w:rPr>
          <w:rtl/>
        </w:rPr>
        <w:t>.</w:t>
      </w:r>
    </w:p>
    <w:p w14:paraId="33707E50" w14:textId="206D9026" w:rsidR="00A946B8" w:rsidRPr="004471BA" w:rsidRDefault="00A946B8" w:rsidP="00A132E4">
      <w:pPr>
        <w:pStyle w:val="SingleTxtGA"/>
        <w:rPr>
          <w:b/>
          <w:bCs/>
          <w:szCs w:val="20"/>
          <w:lang w:val="ar-SA" w:eastAsia="zh-TW" w:bidi="en-GB"/>
        </w:rPr>
      </w:pPr>
      <w:r w:rsidRPr="004471BA">
        <w:rPr>
          <w:rtl/>
        </w:rPr>
        <w:t>43</w:t>
      </w:r>
      <w:r>
        <w:rPr>
          <w:rFonts w:ascii="Traditional Arabic"/>
          <w:szCs w:val="20"/>
          <w:rtl/>
        </w:rPr>
        <w:t>-</w:t>
      </w:r>
      <w:r>
        <w:rPr>
          <w:rtl/>
        </w:rPr>
        <w:tab/>
      </w:r>
      <w:r w:rsidRPr="004471BA">
        <w:rPr>
          <w:b/>
          <w:bCs/>
          <w:rtl/>
        </w:rPr>
        <w:t>ينبغي للدولة الطرف أن تكفل توافق جميع أنواع أنشطة المراقبة والتدخل في الخصوصية توافقا</w:t>
      </w:r>
      <w:r w:rsidR="00B5753E" w:rsidRPr="004471BA">
        <w:rPr>
          <w:rFonts w:hint="cs"/>
          <w:b/>
          <w:bCs/>
          <w:rtl/>
        </w:rPr>
        <w:t>ً</w:t>
      </w:r>
      <w:r w:rsidRPr="004471BA">
        <w:rPr>
          <w:b/>
          <w:bCs/>
          <w:rtl/>
        </w:rPr>
        <w:t xml:space="preserve"> تاما</w:t>
      </w:r>
      <w:r w:rsidR="00B5753E" w:rsidRPr="004471BA">
        <w:rPr>
          <w:rFonts w:hint="cs"/>
          <w:b/>
          <w:bCs/>
          <w:rtl/>
        </w:rPr>
        <w:t>ً</w:t>
      </w:r>
      <w:r w:rsidRPr="004471BA">
        <w:rPr>
          <w:b/>
          <w:bCs/>
          <w:rtl/>
        </w:rPr>
        <w:t xml:space="preserve"> مع العهد، لا سيما المادة 17 منه. وينبغي أن تمتثل هذه الأنشطة مبادئ الشرعية والتناسب والضرورة وأن تخضع للترخيص القضائي. وينبغي للدولة الطرف أيضا</w:t>
      </w:r>
      <w:r w:rsidR="00B5753E" w:rsidRPr="004471BA">
        <w:rPr>
          <w:rFonts w:hint="cs"/>
          <w:b/>
          <w:bCs/>
          <w:rtl/>
        </w:rPr>
        <w:t>ً</w:t>
      </w:r>
      <w:r w:rsidRPr="004471BA">
        <w:rPr>
          <w:b/>
          <w:bCs/>
          <w:rtl/>
        </w:rPr>
        <w:t xml:space="preserve"> أن تكفل إخضاع المراقبة لآليات رقابة مستقلة فعالة، أي لآليات قضائية، وأن تكفل سبل الانتصاف الفعالة في حالات التجاوز.</w:t>
      </w:r>
    </w:p>
    <w:p w14:paraId="7DAA91A9" w14:textId="77777777" w:rsidR="00A946B8" w:rsidRPr="004471BA" w:rsidRDefault="00A946B8" w:rsidP="00A132E4">
      <w:pPr>
        <w:pStyle w:val="H23GA"/>
        <w:rPr>
          <w:szCs w:val="20"/>
          <w:lang w:val="ar-SA" w:eastAsia="zh-TW" w:bidi="en-GB"/>
        </w:rPr>
      </w:pPr>
      <w:r w:rsidRPr="004471BA">
        <w:rPr>
          <w:rtl/>
        </w:rPr>
        <w:lastRenderedPageBreak/>
        <w:tab/>
      </w:r>
      <w:r w:rsidRPr="004471BA">
        <w:rPr>
          <w:rtl/>
        </w:rPr>
        <w:tab/>
        <w:t>حرية الضمير والدين</w:t>
      </w:r>
    </w:p>
    <w:p w14:paraId="13A2EEFE" w14:textId="05E1A877" w:rsidR="00A946B8" w:rsidRPr="00D508C0" w:rsidRDefault="00A946B8" w:rsidP="00A132E4">
      <w:pPr>
        <w:pStyle w:val="SingleTxtGA"/>
        <w:rPr>
          <w:szCs w:val="20"/>
          <w:lang w:val="ar-SA" w:eastAsia="zh-TW" w:bidi="en-GB"/>
        </w:rPr>
      </w:pPr>
      <w:r w:rsidRPr="004471BA">
        <w:rPr>
          <w:rtl/>
        </w:rPr>
        <w:t>44</w:t>
      </w:r>
      <w:r>
        <w:rPr>
          <w:rFonts w:ascii="Traditional Arabic"/>
          <w:szCs w:val="20"/>
          <w:rtl/>
        </w:rPr>
        <w:t>-</w:t>
      </w:r>
      <w:r>
        <w:rPr>
          <w:rtl/>
        </w:rPr>
        <w:tab/>
        <w:t>تلاحظ اللجنة أن الأنظمة القانونية لمختلف الولايات تحظر ارتداء المعلمين و/أو موظفي الخدمة المدنية الحجاب. وتلاحظ اللجنة أيضا أن هذا الحظر يجب أن يستند حسبما ورد إلى إمكانية أن يؤدي ارتداء الحجاب إلى إخلال فعلي بالسلم أو إلى خرق حياد الدولة، وفقا لاستنتاجات المحكمة الدستورية. غير أن اللجنة ترى أن هذه القوانين تنال من حرية الفرد في التعبير عن دينه أو معتقده وتؤثر تأثيرا</w:t>
      </w:r>
      <w:r w:rsidR="00B1396B">
        <w:rPr>
          <w:rFonts w:hint="cs"/>
          <w:rtl/>
        </w:rPr>
        <w:t>ً</w:t>
      </w:r>
      <w:r>
        <w:rPr>
          <w:rtl/>
        </w:rPr>
        <w:t xml:space="preserve"> غير متناسب في النساء وفي أتباع ديانات معينة. </w:t>
      </w:r>
      <w:r>
        <w:rPr>
          <w:rFonts w:ascii="Simplified Arabic" w:hAnsi="Simplified Arabic" w:hint="cs"/>
          <w:rtl/>
        </w:rPr>
        <w:t>كما</w:t>
      </w:r>
      <w:r>
        <w:rPr>
          <w:rtl/>
        </w:rPr>
        <w:t xml:space="preserve"> </w:t>
      </w:r>
      <w:r>
        <w:rPr>
          <w:rFonts w:ascii="Simplified Arabic" w:hAnsi="Simplified Arabic" w:hint="cs"/>
          <w:rtl/>
        </w:rPr>
        <w:t>يساور</w:t>
      </w:r>
      <w:r>
        <w:rPr>
          <w:rtl/>
        </w:rPr>
        <w:t xml:space="preserve"> </w:t>
      </w:r>
      <w:r>
        <w:rPr>
          <w:rFonts w:ascii="Simplified Arabic" w:hAnsi="Simplified Arabic" w:hint="cs"/>
          <w:rtl/>
        </w:rPr>
        <w:t>اللجنة</w:t>
      </w:r>
      <w:r>
        <w:rPr>
          <w:rtl/>
        </w:rPr>
        <w:t xml:space="preserve"> </w:t>
      </w:r>
      <w:r>
        <w:rPr>
          <w:rFonts w:ascii="Simplified Arabic" w:hAnsi="Simplified Arabic" w:hint="cs"/>
          <w:rtl/>
        </w:rPr>
        <w:t>القلق</w:t>
      </w:r>
      <w:r>
        <w:rPr>
          <w:rtl/>
        </w:rPr>
        <w:t xml:space="preserve"> </w:t>
      </w:r>
      <w:r>
        <w:rPr>
          <w:rFonts w:ascii="Simplified Arabic" w:hAnsi="Simplified Arabic" w:hint="cs"/>
          <w:rtl/>
        </w:rPr>
        <w:t>لأن</w:t>
      </w:r>
      <w:r>
        <w:rPr>
          <w:rtl/>
        </w:rPr>
        <w:t xml:space="preserve"> </w:t>
      </w:r>
      <w:r>
        <w:rPr>
          <w:rFonts w:ascii="Simplified Arabic" w:hAnsi="Simplified Arabic" w:hint="cs"/>
          <w:rtl/>
        </w:rPr>
        <w:t>هذه</w:t>
      </w:r>
      <w:r>
        <w:rPr>
          <w:rtl/>
        </w:rPr>
        <w:t xml:space="preserve"> </w:t>
      </w:r>
      <w:r>
        <w:rPr>
          <w:rFonts w:ascii="Simplified Arabic" w:hAnsi="Simplified Arabic" w:hint="cs"/>
          <w:rtl/>
        </w:rPr>
        <w:t>القوانين</w:t>
      </w:r>
      <w:r>
        <w:rPr>
          <w:rtl/>
        </w:rPr>
        <w:t xml:space="preserve"> </w:t>
      </w:r>
      <w:r>
        <w:rPr>
          <w:rFonts w:ascii="Simplified Arabic" w:hAnsi="Simplified Arabic" w:hint="cs"/>
          <w:rtl/>
        </w:rPr>
        <w:t>يمكن</w:t>
      </w:r>
      <w:r>
        <w:rPr>
          <w:rtl/>
        </w:rPr>
        <w:t xml:space="preserve"> </w:t>
      </w:r>
      <w:r>
        <w:rPr>
          <w:rFonts w:ascii="Simplified Arabic" w:hAnsi="Simplified Arabic" w:hint="cs"/>
          <w:rtl/>
        </w:rPr>
        <w:t>أن</w:t>
      </w:r>
      <w:r>
        <w:rPr>
          <w:rtl/>
        </w:rPr>
        <w:t xml:space="preserve"> </w:t>
      </w:r>
      <w:r>
        <w:rPr>
          <w:rFonts w:ascii="Simplified Arabic" w:hAnsi="Simplified Arabic" w:hint="cs"/>
          <w:rtl/>
        </w:rPr>
        <w:t>تعزز</w:t>
      </w:r>
      <w:r>
        <w:rPr>
          <w:rtl/>
        </w:rPr>
        <w:t xml:space="preserve"> </w:t>
      </w:r>
      <w:r>
        <w:rPr>
          <w:rFonts w:ascii="Simplified Arabic" w:hAnsi="Simplified Arabic" w:hint="cs"/>
          <w:rtl/>
        </w:rPr>
        <w:t>الشعور</w:t>
      </w:r>
      <w:r>
        <w:rPr>
          <w:rtl/>
        </w:rPr>
        <w:t xml:space="preserve"> </w:t>
      </w:r>
      <w:r>
        <w:rPr>
          <w:rFonts w:ascii="Simplified Arabic" w:hAnsi="Simplified Arabic" w:hint="cs"/>
          <w:rtl/>
        </w:rPr>
        <w:t>بالإقصاء</w:t>
      </w:r>
      <w:r>
        <w:rPr>
          <w:rtl/>
        </w:rPr>
        <w:t xml:space="preserve"> </w:t>
      </w:r>
      <w:r>
        <w:rPr>
          <w:rFonts w:ascii="Simplified Arabic" w:hAnsi="Simplified Arabic" w:hint="cs"/>
          <w:rtl/>
        </w:rPr>
        <w:t>والتهميش</w:t>
      </w:r>
      <w:r>
        <w:rPr>
          <w:rtl/>
        </w:rPr>
        <w:t xml:space="preserve"> (</w:t>
      </w:r>
      <w:r>
        <w:rPr>
          <w:rFonts w:ascii="Simplified Arabic" w:hAnsi="Simplified Arabic" w:hint="cs"/>
          <w:rtl/>
        </w:rPr>
        <w:t>المواد</w:t>
      </w:r>
      <w:r>
        <w:rPr>
          <w:rtl/>
        </w:rPr>
        <w:t xml:space="preserve"> </w:t>
      </w:r>
      <w:r w:rsidRPr="004471BA">
        <w:rPr>
          <w:rtl/>
        </w:rPr>
        <w:t>2</w:t>
      </w:r>
      <w:r>
        <w:rPr>
          <w:rtl/>
        </w:rPr>
        <w:t xml:space="preserve"> و</w:t>
      </w:r>
      <w:r w:rsidRPr="004471BA">
        <w:rPr>
          <w:rtl/>
        </w:rPr>
        <w:t>18</w:t>
      </w:r>
      <w:r>
        <w:rPr>
          <w:rtl/>
        </w:rPr>
        <w:t xml:space="preserve"> و</w:t>
      </w:r>
      <w:r w:rsidRPr="004471BA">
        <w:rPr>
          <w:rtl/>
        </w:rPr>
        <w:t>26</w:t>
      </w:r>
      <w:r>
        <w:rPr>
          <w:rFonts w:ascii="Traditional Arabic"/>
          <w:szCs w:val="20"/>
          <w:rtl/>
        </w:rPr>
        <w:t>)</w:t>
      </w:r>
      <w:r>
        <w:rPr>
          <w:rtl/>
        </w:rPr>
        <w:t>.</w:t>
      </w:r>
    </w:p>
    <w:p w14:paraId="6CB73DA5" w14:textId="77777777" w:rsidR="00A946B8" w:rsidRPr="004471BA" w:rsidRDefault="00A946B8" w:rsidP="00A132E4">
      <w:pPr>
        <w:pStyle w:val="SingleTxtGA"/>
        <w:rPr>
          <w:b/>
          <w:bCs/>
          <w:spacing w:val="-2"/>
          <w:szCs w:val="20"/>
          <w:lang w:val="ar-SA" w:eastAsia="zh-TW" w:bidi="en-GB"/>
        </w:rPr>
      </w:pPr>
      <w:r w:rsidRPr="004471BA">
        <w:rPr>
          <w:spacing w:val="-2"/>
          <w:rtl/>
        </w:rPr>
        <w:t>45</w:t>
      </w:r>
      <w:r w:rsidRPr="00E67BCA">
        <w:rPr>
          <w:rFonts w:ascii="Traditional Arabic"/>
          <w:spacing w:val="-2"/>
          <w:szCs w:val="20"/>
          <w:rtl/>
        </w:rPr>
        <w:t>-</w:t>
      </w:r>
      <w:r w:rsidRPr="00E67BCA">
        <w:rPr>
          <w:spacing w:val="-2"/>
          <w:rtl/>
        </w:rPr>
        <w:tab/>
      </w:r>
      <w:r w:rsidRPr="004471BA">
        <w:rPr>
          <w:rFonts w:ascii="Times New Roman Bold" w:hAnsi="Times New Roman Bold"/>
          <w:b/>
          <w:bCs/>
          <w:spacing w:val="-4"/>
          <w:rtl/>
        </w:rPr>
        <w:t>ينبغي للدولة الطرف أن تنظر في استعراض الأنظمة القانونية للولايات المعنية في ضوء التزاماتها</w:t>
      </w:r>
      <w:r w:rsidRPr="004471BA">
        <w:rPr>
          <w:b/>
          <w:bCs/>
          <w:spacing w:val="-2"/>
          <w:rtl/>
        </w:rPr>
        <w:t xml:space="preserve"> بموجب العهد، لا سيما المادتين 18 المتعلقة بحرية الضمير والدين و26 التي تنص على مبدأ المساواة.</w:t>
      </w:r>
    </w:p>
    <w:p w14:paraId="4CC4C5B2" w14:textId="77777777" w:rsidR="00A946B8" w:rsidRPr="004471BA" w:rsidRDefault="00A946B8" w:rsidP="00A132E4">
      <w:pPr>
        <w:pStyle w:val="H23GA"/>
        <w:rPr>
          <w:szCs w:val="20"/>
          <w:lang w:val="ar-SA" w:eastAsia="zh-TW" w:bidi="en-GB"/>
        </w:rPr>
      </w:pPr>
      <w:r w:rsidRPr="004471BA">
        <w:rPr>
          <w:rtl/>
        </w:rPr>
        <w:tab/>
      </w:r>
      <w:r w:rsidRPr="004471BA">
        <w:rPr>
          <w:rtl/>
        </w:rPr>
        <w:tab/>
        <w:t>حرية التعبير</w:t>
      </w:r>
    </w:p>
    <w:p w14:paraId="33E12717" w14:textId="6D2978A8" w:rsidR="00A946B8" w:rsidRDefault="00A946B8" w:rsidP="00A132E4">
      <w:pPr>
        <w:pStyle w:val="SingleTxtGA"/>
        <w:rPr>
          <w:szCs w:val="20"/>
          <w:lang w:val="ar-SA" w:eastAsia="zh-TW" w:bidi="en-GB"/>
        </w:rPr>
      </w:pPr>
      <w:r w:rsidRPr="004471BA">
        <w:rPr>
          <w:rtl/>
        </w:rPr>
        <w:t>46</w:t>
      </w:r>
      <w:r>
        <w:rPr>
          <w:rFonts w:ascii="Traditional Arabic"/>
          <w:szCs w:val="20"/>
          <w:rtl/>
        </w:rPr>
        <w:t>-</w:t>
      </w:r>
      <w:r>
        <w:rPr>
          <w:rtl/>
        </w:rPr>
        <w:tab/>
        <w:t xml:space="preserve">تقدر اللجنة التزام الدولة الطرف بالتصدي لخطاب الكراهية والإساءة على الإنترنت، لكنها تشعر بالقلق إزاء السلطات الواسعة النطاق التي أقرها في عام </w:t>
      </w:r>
      <w:r w:rsidRPr="004471BA">
        <w:rPr>
          <w:rtl/>
        </w:rPr>
        <w:t>2017</w:t>
      </w:r>
      <w:r>
        <w:rPr>
          <w:rtl/>
        </w:rPr>
        <w:t xml:space="preserve"> قانون الإنفاذ على الشبكة فيما يتعلق بإزالة المحتوى الإلكتروني الذي يعتبر غير قانوني أو مسيئا</w:t>
      </w:r>
      <w:r w:rsidR="00B1396B">
        <w:rPr>
          <w:rFonts w:hint="cs"/>
          <w:rtl/>
        </w:rPr>
        <w:t>ً</w:t>
      </w:r>
      <w:r>
        <w:rPr>
          <w:rtl/>
        </w:rPr>
        <w:t xml:space="preserve">. كما تلاحظ بقلق أن المسؤولية عن إزالة هذا المحتوى تقع على عاتق شركات وسائل التواصل الاجتماعي ولا تخضع للرقابة القضائية، وهو ما يحد من إمكانية الانتصاف عندما تكون طبيعة المحتوى موضع خلاف. ويساور اللجنة القلق لأن هذه الأحكام وتطبيقها يمكن أن يكون لها أثر مثبط على حرية التعبير على شبكة الإنترنت (المادة </w:t>
      </w:r>
      <w:r w:rsidRPr="004471BA">
        <w:rPr>
          <w:rtl/>
        </w:rPr>
        <w:t>19</w:t>
      </w:r>
      <w:r>
        <w:rPr>
          <w:rFonts w:ascii="Traditional Arabic"/>
          <w:szCs w:val="20"/>
          <w:rtl/>
        </w:rPr>
        <w:t>)</w:t>
      </w:r>
      <w:r>
        <w:rPr>
          <w:rtl/>
        </w:rPr>
        <w:t>.</w:t>
      </w:r>
    </w:p>
    <w:p w14:paraId="5FA566A2" w14:textId="6F76650D" w:rsidR="00A946B8" w:rsidRPr="004471BA" w:rsidRDefault="00A946B8" w:rsidP="00A132E4">
      <w:pPr>
        <w:pStyle w:val="SingleTxtGA"/>
        <w:rPr>
          <w:b/>
          <w:bCs/>
          <w:szCs w:val="20"/>
          <w:lang w:val="ar-SA" w:eastAsia="zh-TW" w:bidi="en-GB"/>
        </w:rPr>
      </w:pPr>
      <w:r w:rsidRPr="004471BA">
        <w:rPr>
          <w:rtl/>
        </w:rPr>
        <w:t>47</w:t>
      </w:r>
      <w:r>
        <w:rPr>
          <w:rFonts w:ascii="Traditional Arabic"/>
          <w:szCs w:val="20"/>
          <w:rtl/>
        </w:rPr>
        <w:t>-</w:t>
      </w:r>
      <w:r>
        <w:rPr>
          <w:rtl/>
        </w:rPr>
        <w:tab/>
      </w:r>
      <w:r w:rsidRPr="004471BA">
        <w:rPr>
          <w:b/>
          <w:bCs/>
          <w:rtl/>
        </w:rPr>
        <w:t>ينبغي للدولة الطرف أن تكفل امتثال أي قيود مفروضة على حرية التعبير على الإنترنت من تلك المبينة في قانون الإنفاذ على الشبكة امتثالا</w:t>
      </w:r>
      <w:r w:rsidR="00BE08CA" w:rsidRPr="004471BA">
        <w:rPr>
          <w:rFonts w:hint="cs"/>
          <w:b/>
          <w:bCs/>
          <w:rtl/>
        </w:rPr>
        <w:t>ً</w:t>
      </w:r>
      <w:r w:rsidRPr="004471BA">
        <w:rPr>
          <w:b/>
          <w:bCs/>
          <w:rtl/>
        </w:rPr>
        <w:t xml:space="preserve"> صارما</w:t>
      </w:r>
      <w:r w:rsidR="00BE08CA" w:rsidRPr="004471BA">
        <w:rPr>
          <w:rFonts w:hint="cs"/>
          <w:b/>
          <w:bCs/>
          <w:rtl/>
        </w:rPr>
        <w:t>ً</w:t>
      </w:r>
      <w:r w:rsidRPr="004471BA">
        <w:rPr>
          <w:b/>
          <w:bCs/>
          <w:rtl/>
        </w:rPr>
        <w:t xml:space="preserve"> لمتطلبات المادة 19</w:t>
      </w:r>
      <w:r w:rsidRPr="004471BA">
        <w:rPr>
          <w:rFonts w:ascii="Traditional Arabic"/>
          <w:b/>
          <w:bCs/>
          <w:szCs w:val="20"/>
          <w:rtl/>
        </w:rPr>
        <w:t>(</w:t>
      </w:r>
      <w:r w:rsidRPr="004471BA">
        <w:rPr>
          <w:b/>
          <w:bCs/>
          <w:rtl/>
        </w:rPr>
        <w:t>3</w:t>
      </w:r>
      <w:r w:rsidRPr="004471BA">
        <w:rPr>
          <w:rFonts w:ascii="Traditional Arabic"/>
          <w:b/>
          <w:bCs/>
          <w:szCs w:val="20"/>
          <w:rtl/>
        </w:rPr>
        <w:t>)</w:t>
      </w:r>
      <w:r w:rsidRPr="004471BA">
        <w:rPr>
          <w:b/>
          <w:bCs/>
          <w:rtl/>
        </w:rPr>
        <w:t xml:space="preserve"> من العهد. كما ينبغي أن تنظر في تنقيح القانون لينص على الرقابة القضائية وعلى إمكانية الانتصاف عندما يكون المحتوى على الإنترنت موضع خلاف.</w:t>
      </w:r>
    </w:p>
    <w:p w14:paraId="675F476A" w14:textId="77777777" w:rsidR="00A946B8" w:rsidRDefault="00A946B8" w:rsidP="00A132E4">
      <w:pPr>
        <w:pStyle w:val="SingleTxtGA"/>
        <w:rPr>
          <w:szCs w:val="20"/>
          <w:lang w:val="ar-SA" w:eastAsia="zh-TW" w:bidi="en-GB"/>
        </w:rPr>
      </w:pPr>
      <w:r w:rsidRPr="004471BA">
        <w:rPr>
          <w:rtl/>
        </w:rPr>
        <w:t>48</w:t>
      </w:r>
      <w:r>
        <w:rPr>
          <w:rFonts w:ascii="Traditional Arabic"/>
          <w:szCs w:val="20"/>
          <w:rtl/>
        </w:rPr>
        <w:t>-</w:t>
      </w:r>
      <w:r>
        <w:rPr>
          <w:rtl/>
        </w:rPr>
        <w:tab/>
        <w:t xml:space="preserve">وتلاحظ اللجنة بقلق أن القانون الجنائي يجرم التشهير وأن الدولة الطرف لا تعتزم تعديل هذه الأحكام بل تنظر علاوة على ذلك في فرض عقوبات أشد على التشهير في سياقات معينة. ويساور اللجنة القلق إزاء الأثر المثبط الذي قد يترتب على هذه الأحكام في حرية التعبير (المادة </w:t>
      </w:r>
      <w:r w:rsidRPr="004471BA">
        <w:rPr>
          <w:rtl/>
        </w:rPr>
        <w:t>19</w:t>
      </w:r>
      <w:r>
        <w:rPr>
          <w:rFonts w:ascii="Traditional Arabic"/>
          <w:szCs w:val="20"/>
          <w:rtl/>
        </w:rPr>
        <w:t>)</w:t>
      </w:r>
      <w:r>
        <w:rPr>
          <w:rtl/>
        </w:rPr>
        <w:t>.</w:t>
      </w:r>
    </w:p>
    <w:p w14:paraId="4D43A34B" w14:textId="77777777" w:rsidR="00A946B8" w:rsidRPr="004471BA" w:rsidRDefault="00A946B8" w:rsidP="00A132E4">
      <w:pPr>
        <w:pStyle w:val="SingleTxtGA"/>
        <w:rPr>
          <w:b/>
          <w:bCs/>
          <w:szCs w:val="20"/>
          <w:lang w:val="ar-SA" w:eastAsia="zh-TW" w:bidi="en-GB"/>
        </w:rPr>
      </w:pPr>
      <w:r w:rsidRPr="004471BA">
        <w:rPr>
          <w:rtl/>
        </w:rPr>
        <w:t>49</w:t>
      </w:r>
      <w:r>
        <w:rPr>
          <w:rFonts w:ascii="Traditional Arabic"/>
          <w:szCs w:val="20"/>
          <w:rtl/>
        </w:rPr>
        <w:t>-</w:t>
      </w:r>
      <w:r>
        <w:rPr>
          <w:rtl/>
        </w:rPr>
        <w:tab/>
      </w:r>
      <w:r w:rsidRPr="004471BA">
        <w:rPr>
          <w:b/>
          <w:bCs/>
          <w:rtl/>
        </w:rPr>
        <w:t>ينبغي أن تنظر الدولة الطرف في إلغاء التجريم على التشهير، وعدم اللجوء، في أي حال من الأحوال، إلى القانون الجنائي إلا في أخطر الحالات، آخذة في اعتبارها أن السجن لا يشكل قط عقوبة مناسبة على التشهير، على النحو المبين في التعليق العام رقم 34</w:t>
      </w:r>
      <w:r w:rsidRPr="004471BA">
        <w:rPr>
          <w:rFonts w:ascii="Traditional Arabic"/>
          <w:b/>
          <w:bCs/>
          <w:szCs w:val="20"/>
          <w:rtl/>
        </w:rPr>
        <w:t>(</w:t>
      </w:r>
      <w:r w:rsidRPr="004471BA">
        <w:rPr>
          <w:b/>
          <w:bCs/>
          <w:rtl/>
        </w:rPr>
        <w:t>2011</w:t>
      </w:r>
      <w:r w:rsidRPr="004471BA">
        <w:rPr>
          <w:rFonts w:ascii="Traditional Arabic"/>
          <w:b/>
          <w:bCs/>
          <w:szCs w:val="20"/>
          <w:rtl/>
        </w:rPr>
        <w:t>)</w:t>
      </w:r>
      <w:r w:rsidRPr="004471BA">
        <w:rPr>
          <w:b/>
          <w:bCs/>
          <w:rtl/>
        </w:rPr>
        <w:t>.</w:t>
      </w:r>
    </w:p>
    <w:p w14:paraId="36DC62C4" w14:textId="77777777" w:rsidR="00A946B8" w:rsidRPr="00950D62" w:rsidRDefault="00A946B8" w:rsidP="00A132E4">
      <w:pPr>
        <w:pStyle w:val="H23GA"/>
        <w:rPr>
          <w:szCs w:val="20"/>
          <w:lang w:val="en-US" w:eastAsia="zh-TW" w:bidi="en-GB"/>
        </w:rPr>
      </w:pPr>
      <w:r w:rsidRPr="004471BA">
        <w:rPr>
          <w:rtl/>
        </w:rPr>
        <w:tab/>
      </w:r>
      <w:r w:rsidRPr="004471BA">
        <w:rPr>
          <w:rtl/>
        </w:rPr>
        <w:tab/>
        <w:t>حرية تكوين الجمعيات</w:t>
      </w:r>
    </w:p>
    <w:p w14:paraId="3FC5CFF8" w14:textId="521193AE" w:rsidR="00A946B8" w:rsidRPr="001D5873" w:rsidRDefault="00A946B8" w:rsidP="00A132E4">
      <w:pPr>
        <w:pStyle w:val="SingleTxtGA"/>
        <w:rPr>
          <w:szCs w:val="20"/>
          <w:rtl/>
          <w:lang w:val="en-US" w:eastAsia="zh-TW"/>
        </w:rPr>
      </w:pPr>
      <w:r w:rsidRPr="004471BA">
        <w:rPr>
          <w:rtl/>
        </w:rPr>
        <w:t>50</w:t>
      </w:r>
      <w:r w:rsidRPr="005158FD">
        <w:rPr>
          <w:rFonts w:ascii="Traditional Arabic"/>
          <w:szCs w:val="20"/>
          <w:rtl/>
        </w:rPr>
        <w:t>-</w:t>
      </w:r>
      <w:r w:rsidRPr="005158FD">
        <w:rPr>
          <w:rtl/>
        </w:rPr>
        <w:tab/>
        <w:t xml:space="preserve">يساور اللجنة القلق إزاء الحظر الشامل المفروض على إضراب العاملين في القطاع العام داخل الدولة الطرف، بحجة أن جميع هؤلاء العمال، بمن فيهم معلمو المدارس، أساسيون (المادة </w:t>
      </w:r>
      <w:r w:rsidRPr="004471BA">
        <w:rPr>
          <w:rtl/>
        </w:rPr>
        <w:t>22</w:t>
      </w:r>
      <w:r w:rsidRPr="005158FD">
        <w:rPr>
          <w:rFonts w:ascii="Traditional Arabic"/>
          <w:szCs w:val="20"/>
          <w:rtl/>
        </w:rPr>
        <w:t>)</w:t>
      </w:r>
      <w:r w:rsidRPr="005158FD">
        <w:rPr>
          <w:rtl/>
        </w:rPr>
        <w:t>.</w:t>
      </w:r>
    </w:p>
    <w:p w14:paraId="22C843F9" w14:textId="194426A4" w:rsidR="00A946B8" w:rsidRPr="004471BA" w:rsidRDefault="00A946B8" w:rsidP="00A132E4">
      <w:pPr>
        <w:pStyle w:val="SingleTxtGA"/>
        <w:rPr>
          <w:b/>
          <w:bCs/>
          <w:szCs w:val="20"/>
          <w:lang w:val="ar-SA" w:eastAsia="zh-TW" w:bidi="en-GB"/>
        </w:rPr>
      </w:pPr>
      <w:r w:rsidRPr="004471BA">
        <w:rPr>
          <w:rtl/>
        </w:rPr>
        <w:t>51</w:t>
      </w:r>
      <w:r>
        <w:rPr>
          <w:rFonts w:ascii="Traditional Arabic"/>
          <w:szCs w:val="20"/>
          <w:rtl/>
        </w:rPr>
        <w:t>-</w:t>
      </w:r>
      <w:r>
        <w:rPr>
          <w:rtl/>
        </w:rPr>
        <w:tab/>
      </w:r>
      <w:r w:rsidRPr="004471BA">
        <w:rPr>
          <w:b/>
          <w:bCs/>
          <w:rtl/>
        </w:rPr>
        <w:t>تؤكد اللجنة من جديد توصية اللجنة المعنية بالحقوق الاقتصادية والاجتماعية والثقافية</w:t>
      </w:r>
      <w:r w:rsidR="008C0B42" w:rsidRPr="00950D62">
        <w:rPr>
          <w:rStyle w:val="FootnoteReference"/>
          <w:rtl/>
        </w:rPr>
        <w:t>(</w:t>
      </w:r>
      <w:r w:rsidR="008C0B42" w:rsidRPr="00950D62">
        <w:rPr>
          <w:rStyle w:val="FootnoteReference"/>
          <w:lang w:val="en-US"/>
        </w:rPr>
        <w:footnoteReference w:id="15"/>
      </w:r>
      <w:r w:rsidR="008C0B42" w:rsidRPr="00950D62">
        <w:rPr>
          <w:rStyle w:val="FootnoteReference"/>
          <w:rtl/>
        </w:rPr>
        <w:t>)</w:t>
      </w:r>
      <w:r w:rsidRPr="004471BA">
        <w:rPr>
          <w:b/>
          <w:bCs/>
          <w:rtl/>
        </w:rPr>
        <w:t xml:space="preserve"> </w:t>
      </w:r>
      <w:r w:rsidRPr="004471BA">
        <w:rPr>
          <w:rFonts w:ascii="Times New Roman Bold" w:hAnsi="Times New Roman Bold"/>
          <w:b/>
          <w:bCs/>
          <w:spacing w:val="-4"/>
          <w:rtl/>
        </w:rPr>
        <w:t>بأن تتخذ الدولة الطرف تدابير لتنقيح نطاق فئة الخدمات الأساسية لضمان أن يكون لجميع موظفي الخدمة</w:t>
      </w:r>
      <w:r w:rsidRPr="004471BA">
        <w:rPr>
          <w:b/>
          <w:bCs/>
          <w:rtl/>
        </w:rPr>
        <w:t xml:space="preserve"> المدنية الذين لا يمكن اعتبار خدماتهم أساسية، حق الإضراب، وهو ما يتفق أيضا مع المادة 22 من العهد الدولي الخاص بالحقوق المدنية والسياسية.</w:t>
      </w:r>
    </w:p>
    <w:p w14:paraId="77E469FE" w14:textId="1B85E585" w:rsidR="00A946B8" w:rsidRPr="004471BA" w:rsidRDefault="00A946B8" w:rsidP="00A132E4">
      <w:pPr>
        <w:pStyle w:val="H1GA"/>
        <w:rPr>
          <w:rFonts w:eastAsiaTheme="minorEastAsia"/>
          <w:szCs w:val="20"/>
          <w:lang w:val="ar-SA" w:eastAsia="zh-TW" w:bidi="en-GB"/>
        </w:rPr>
      </w:pPr>
      <w:r w:rsidRPr="004471BA">
        <w:rPr>
          <w:rtl/>
        </w:rPr>
        <w:lastRenderedPageBreak/>
        <w:tab/>
        <w:t>دال-</w:t>
      </w:r>
      <w:r w:rsidRPr="004471BA">
        <w:rPr>
          <w:rtl/>
        </w:rPr>
        <w:tab/>
        <w:t>النشر والمتابعة</w:t>
      </w:r>
    </w:p>
    <w:p w14:paraId="10C31A81" w14:textId="77777777" w:rsidR="00A946B8" w:rsidRPr="004471BA" w:rsidRDefault="00A946B8" w:rsidP="00A132E4">
      <w:pPr>
        <w:pStyle w:val="SingleTxtGA"/>
        <w:rPr>
          <w:rFonts w:ascii="Times New Roman Bold" w:hAnsi="Times New Roman Bold" w:hint="eastAsia"/>
          <w:b/>
          <w:bCs/>
          <w:spacing w:val="-4"/>
          <w:szCs w:val="20"/>
          <w:lang w:val="en-US" w:eastAsia="zh-TW" w:bidi="en-GB"/>
        </w:rPr>
      </w:pPr>
      <w:r w:rsidRPr="004471BA">
        <w:rPr>
          <w:rtl/>
        </w:rPr>
        <w:t>52</w:t>
      </w:r>
      <w:r>
        <w:rPr>
          <w:rFonts w:ascii="Traditional Arabic"/>
          <w:szCs w:val="20"/>
          <w:rtl/>
        </w:rPr>
        <w:t>-</w:t>
      </w:r>
      <w:r>
        <w:rPr>
          <w:rtl/>
        </w:rPr>
        <w:tab/>
      </w:r>
      <w:r w:rsidRPr="004471BA">
        <w:rPr>
          <w:b/>
          <w:bCs/>
          <w:rtl/>
        </w:rPr>
        <w:t xml:space="preserve">ينبغي للدولة الطرف أن تنشر على نطاق واسع نص العهد، وتقريرها الدوري السابع، وهذه الملاحظات الختامية بهدف زيادة الوعي بالحقوق المكرسة في العهد في أوساط السلطات القضائية والتشريعية والإدارية، والمجتمع المدني والمنظمات غير الحكومية العاملة في البلد، وعامة الجمهور. </w:t>
      </w:r>
      <w:r w:rsidRPr="004471BA">
        <w:rPr>
          <w:rFonts w:ascii="Times New Roman Bold" w:hAnsi="Times New Roman Bold"/>
          <w:b/>
          <w:bCs/>
          <w:spacing w:val="-4"/>
          <w:rtl/>
        </w:rPr>
        <w:t>وينبغي للدولة الطرف أن تضمن ترجمة التقرير وهذه الملاحظات الختامية إلى اللغة الرسمية للدولة الطرف.</w:t>
      </w:r>
    </w:p>
    <w:p w14:paraId="27DC89A0" w14:textId="6F35EB16" w:rsidR="00A946B8" w:rsidRPr="004471BA" w:rsidRDefault="00A946B8" w:rsidP="00A132E4">
      <w:pPr>
        <w:pStyle w:val="SingleTxtGA"/>
        <w:rPr>
          <w:b/>
          <w:bCs/>
          <w:szCs w:val="20"/>
          <w:lang w:val="ar-SA" w:eastAsia="zh-TW" w:bidi="en-GB"/>
        </w:rPr>
      </w:pPr>
      <w:r w:rsidRPr="004471BA">
        <w:rPr>
          <w:rtl/>
        </w:rPr>
        <w:t>53</w:t>
      </w:r>
      <w:r>
        <w:rPr>
          <w:rFonts w:ascii="Traditional Arabic"/>
          <w:szCs w:val="20"/>
          <w:rtl/>
        </w:rPr>
        <w:t>-</w:t>
      </w:r>
      <w:r>
        <w:rPr>
          <w:rtl/>
        </w:rPr>
        <w:tab/>
      </w:r>
      <w:r w:rsidRPr="004471BA">
        <w:rPr>
          <w:b/>
          <w:bCs/>
          <w:rtl/>
        </w:rPr>
        <w:t xml:space="preserve">ووفقاً للفقرة 1 من المادة 75 من النظام الداخلي للجنة، يتعين على الدولة الطرف أن تقدّم، </w:t>
      </w:r>
      <w:r w:rsidRPr="004471BA">
        <w:rPr>
          <w:rFonts w:ascii="Times New Roman Bold" w:hAnsi="Times New Roman Bold"/>
          <w:b/>
          <w:bCs/>
          <w:spacing w:val="-4"/>
          <w:rtl/>
        </w:rPr>
        <w:t>بحلول 5 تشرين الثاني/نوفمبر 2024، معلومات عن تنفيذ التوصيات التي قدّمتها اللجنة في الفقرات</w:t>
      </w:r>
      <w:r w:rsidR="00BE08CA" w:rsidRPr="004471BA">
        <w:rPr>
          <w:rFonts w:ascii="Times New Roman Bold" w:hAnsi="Times New Roman Bold" w:hint="cs"/>
          <w:b/>
          <w:bCs/>
          <w:spacing w:val="-4"/>
          <w:rtl/>
        </w:rPr>
        <w:t> </w:t>
      </w:r>
      <w:r w:rsidRPr="004471BA">
        <w:rPr>
          <w:rFonts w:ascii="Times New Roman Bold" w:hAnsi="Times New Roman Bold"/>
          <w:b/>
          <w:bCs/>
          <w:spacing w:val="-4"/>
          <w:rtl/>
        </w:rPr>
        <w:t>21</w:t>
      </w:r>
      <w:r w:rsidRPr="004471BA">
        <w:rPr>
          <w:rFonts w:ascii="Traditional Arabic"/>
          <w:b/>
          <w:bCs/>
          <w:szCs w:val="20"/>
          <w:rtl/>
        </w:rPr>
        <w:t xml:space="preserve"> (</w:t>
      </w:r>
      <w:r w:rsidRPr="004471BA">
        <w:rPr>
          <w:b/>
          <w:bCs/>
          <w:rtl/>
        </w:rPr>
        <w:t>حاملو صفات الجنسين</w:t>
      </w:r>
      <w:r w:rsidRPr="004471BA">
        <w:rPr>
          <w:rFonts w:ascii="Traditional Arabic"/>
          <w:b/>
          <w:bCs/>
          <w:szCs w:val="20"/>
          <w:rtl/>
        </w:rPr>
        <w:t>)</w:t>
      </w:r>
      <w:r w:rsidRPr="004471BA">
        <w:rPr>
          <w:b/>
          <w:bCs/>
          <w:rtl/>
        </w:rPr>
        <w:t xml:space="preserve"> و31</w:t>
      </w:r>
      <w:r w:rsidRPr="004471BA">
        <w:rPr>
          <w:rFonts w:ascii="Traditional Arabic"/>
          <w:b/>
          <w:bCs/>
          <w:szCs w:val="20"/>
          <w:rtl/>
        </w:rPr>
        <w:t xml:space="preserve"> (</w:t>
      </w:r>
      <w:r w:rsidRPr="004471BA">
        <w:rPr>
          <w:b/>
          <w:bCs/>
          <w:rtl/>
        </w:rPr>
        <w:t>الرعاية المؤسسية</w:t>
      </w:r>
      <w:r w:rsidRPr="004471BA">
        <w:rPr>
          <w:rFonts w:ascii="Traditional Arabic"/>
          <w:b/>
          <w:bCs/>
          <w:szCs w:val="20"/>
          <w:rtl/>
        </w:rPr>
        <w:t>)</w:t>
      </w:r>
      <w:r w:rsidRPr="004471BA">
        <w:rPr>
          <w:b/>
          <w:bCs/>
          <w:rtl/>
        </w:rPr>
        <w:t xml:space="preserve"> و43</w:t>
      </w:r>
      <w:r w:rsidRPr="004471BA">
        <w:rPr>
          <w:rFonts w:ascii="Traditional Arabic"/>
          <w:b/>
          <w:bCs/>
          <w:szCs w:val="20"/>
          <w:rtl/>
        </w:rPr>
        <w:t xml:space="preserve"> (</w:t>
      </w:r>
      <w:r w:rsidRPr="004471BA">
        <w:rPr>
          <w:b/>
          <w:bCs/>
          <w:rtl/>
        </w:rPr>
        <w:t>الحق في الخصوصية</w:t>
      </w:r>
      <w:r w:rsidRPr="004471BA">
        <w:rPr>
          <w:rFonts w:ascii="Traditional Arabic"/>
          <w:b/>
          <w:bCs/>
          <w:szCs w:val="20"/>
          <w:rtl/>
        </w:rPr>
        <w:t>)</w:t>
      </w:r>
      <w:r w:rsidRPr="004471BA">
        <w:rPr>
          <w:b/>
          <w:bCs/>
          <w:rtl/>
        </w:rPr>
        <w:t xml:space="preserve"> أعلاه</w:t>
      </w:r>
      <w:r w:rsidRPr="004471BA">
        <w:rPr>
          <w:rFonts w:hint="cs"/>
          <w:b/>
          <w:bCs/>
          <w:rtl/>
        </w:rPr>
        <w:t>.</w:t>
      </w:r>
    </w:p>
    <w:p w14:paraId="529892E5" w14:textId="77777777" w:rsidR="00A946B8" w:rsidRPr="004471BA" w:rsidRDefault="00A946B8" w:rsidP="00A946B8">
      <w:pPr>
        <w:pStyle w:val="SingleTxtGA"/>
        <w:rPr>
          <w:b/>
          <w:bCs/>
          <w:szCs w:val="20"/>
          <w:lang w:val="ar-SA" w:eastAsia="zh-TW" w:bidi="en-GB"/>
        </w:rPr>
      </w:pPr>
      <w:r w:rsidRPr="004471BA">
        <w:rPr>
          <w:rtl/>
        </w:rPr>
        <w:t>54</w:t>
      </w:r>
      <w:r>
        <w:rPr>
          <w:rFonts w:ascii="Traditional Arabic"/>
          <w:szCs w:val="20"/>
          <w:rtl/>
        </w:rPr>
        <w:t>-</w:t>
      </w:r>
      <w:r>
        <w:rPr>
          <w:rtl/>
        </w:rPr>
        <w:tab/>
      </w:r>
      <w:r w:rsidRPr="004471BA">
        <w:rPr>
          <w:rFonts w:ascii="Times New Roman Bold" w:hAnsi="Times New Roman Bold"/>
          <w:b/>
          <w:bCs/>
          <w:spacing w:val="-2"/>
          <w:rtl/>
        </w:rPr>
        <w:t>ووفقاً للدورة المتوقعة لاستعراضات اللجنة، ستتلقى الدولة الطرف في عام 2027 قائمة المسائل</w:t>
      </w:r>
      <w:r w:rsidRPr="004471BA">
        <w:rPr>
          <w:b/>
          <w:bCs/>
          <w:rtl/>
        </w:rPr>
        <w:t xml:space="preserve"> التي تضعها اللجنة قبل تقديم التقرير، ويُتوقع منها أن تقدم في غضون سنة واحدة ردودها على قائمة المسائل التي ستشكل تقريرها الدوري الثامن. وتطلب اللجنة إلى الدولة الطرف أيضاً أن تعقد، لدى إعدادها التقرير، مشاورات واسعة النطاق مع المجتمع المدني والمنظمات غير الحكومية </w:t>
      </w:r>
      <w:r w:rsidRPr="004471BA">
        <w:rPr>
          <w:b/>
          <w:bCs/>
          <w:spacing w:val="-4"/>
          <w:rtl/>
        </w:rPr>
        <w:t>العاملة في البلد. ووفقاً لقرار الجمعية العامة 68</w:t>
      </w:r>
      <w:r w:rsidRPr="004471BA">
        <w:rPr>
          <w:rFonts w:ascii="Traditional Arabic"/>
          <w:b/>
          <w:bCs/>
          <w:spacing w:val="-4"/>
          <w:szCs w:val="20"/>
          <w:rtl/>
        </w:rPr>
        <w:t>/</w:t>
      </w:r>
      <w:r w:rsidRPr="004471BA">
        <w:rPr>
          <w:b/>
          <w:bCs/>
          <w:spacing w:val="-4"/>
          <w:rtl/>
        </w:rPr>
        <w:t>268، فإن الحد الأقصى لعدد كلمات التقرير هو 200</w:t>
      </w:r>
      <w:r w:rsidRPr="004471BA">
        <w:rPr>
          <w:rFonts w:ascii="Traditional Arabic"/>
          <w:b/>
          <w:bCs/>
          <w:spacing w:val="-4"/>
          <w:szCs w:val="20"/>
          <w:rtl/>
        </w:rPr>
        <w:t xml:space="preserve"> </w:t>
      </w:r>
      <w:r w:rsidRPr="004471BA">
        <w:rPr>
          <w:b/>
          <w:bCs/>
          <w:spacing w:val="-4"/>
          <w:rtl/>
        </w:rPr>
        <w:t>21</w:t>
      </w:r>
      <w:r w:rsidRPr="004471BA">
        <w:rPr>
          <w:b/>
          <w:bCs/>
          <w:rtl/>
        </w:rPr>
        <w:t xml:space="preserve"> كلمة. وسيجرى الحوار البناء المقبل مع الدولة الطرف عام 2029 في جنيف.</w:t>
      </w:r>
    </w:p>
    <w:p w14:paraId="424837E1" w14:textId="77777777" w:rsidR="00A946B8" w:rsidRPr="00BE5F12" w:rsidRDefault="00A946B8" w:rsidP="00A946B8">
      <w:pPr>
        <w:jc w:val="center"/>
        <w:rPr>
          <w:u w:val="single"/>
        </w:rPr>
      </w:pPr>
      <w:r w:rsidRPr="00BE5F12">
        <w:rPr>
          <w:u w:val="single"/>
        </w:rPr>
        <w:tab/>
      </w:r>
      <w:r w:rsidRPr="00BE5F12">
        <w:rPr>
          <w:u w:val="single"/>
        </w:rPr>
        <w:tab/>
      </w:r>
      <w:r w:rsidRPr="00BE5F12">
        <w:rPr>
          <w:u w:val="single"/>
        </w:rPr>
        <w:tab/>
      </w:r>
    </w:p>
    <w:sectPr w:rsidR="00A946B8" w:rsidRPr="00BE5F12" w:rsidSect="00BE3171">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416D0E" w14:textId="77777777" w:rsidR="003F6D84" w:rsidRPr="002901D9" w:rsidRDefault="003F6D84" w:rsidP="00DC4D4B">
      <w:pPr>
        <w:spacing w:after="60" w:line="240" w:lineRule="auto"/>
        <w:ind w:left="57"/>
        <w:rPr>
          <w:i/>
          <w:iCs/>
        </w:rPr>
      </w:pPr>
      <w:r>
        <w:rPr>
          <w:rFonts w:hint="cs"/>
          <w:i/>
          <w:iCs/>
          <w:rtl/>
        </w:rPr>
        <w:t>الحواشي</w:t>
      </w:r>
    </w:p>
  </w:endnote>
  <w:endnote w:type="continuationSeparator" w:id="0">
    <w:p w14:paraId="03C5C235" w14:textId="77777777" w:rsidR="003F6D84" w:rsidRDefault="003F6D84"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5BCD32" w14:textId="3E135495" w:rsidR="003F6D84" w:rsidRPr="00E6596C" w:rsidRDefault="003F6D84" w:rsidP="00E6596C">
    <w:pPr>
      <w:pStyle w:val="Footer"/>
      <w:tabs>
        <w:tab w:val="right" w:pos="9638"/>
      </w:tabs>
      <w:rPr>
        <w:b/>
        <w:sz w:val="18"/>
        <w:lang w:val="en-US"/>
      </w:rPr>
    </w:pPr>
    <w:r>
      <w:rPr>
        <w:lang w:val="en-US"/>
      </w:rPr>
      <w:t>GE.21-17614</w:t>
    </w:r>
    <w:r>
      <w:rPr>
        <w:lang w:val="en-US"/>
      </w:rPr>
      <w:tab/>
    </w:r>
    <w:r w:rsidRPr="00E6596C">
      <w:rPr>
        <w:b/>
        <w:sz w:val="18"/>
        <w:lang w:val="en-US"/>
      </w:rPr>
      <w:fldChar w:fldCharType="begin"/>
    </w:r>
    <w:r w:rsidRPr="00E6596C">
      <w:rPr>
        <w:b/>
        <w:sz w:val="18"/>
        <w:lang w:val="en-US"/>
      </w:rPr>
      <w:instrText xml:space="preserve"> PAGE  \* MERGEFORMAT </w:instrText>
    </w:r>
    <w:r w:rsidRPr="00E6596C">
      <w:rPr>
        <w:b/>
        <w:sz w:val="18"/>
        <w:lang w:val="en-US"/>
      </w:rPr>
      <w:fldChar w:fldCharType="separate"/>
    </w:r>
    <w:r w:rsidRPr="00E6596C">
      <w:rPr>
        <w:b/>
        <w:noProof/>
        <w:sz w:val="18"/>
        <w:lang w:val="en-US"/>
      </w:rPr>
      <w:t>2</w:t>
    </w:r>
    <w:r w:rsidRPr="00E6596C">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6B9E83" w14:textId="7A66E05D" w:rsidR="003F6D84" w:rsidRPr="00E6596C" w:rsidRDefault="003F6D84" w:rsidP="00E6596C">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GE.21-17614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D2BBD5" w14:textId="5B125729" w:rsidR="003F6D84" w:rsidRPr="00E6596C" w:rsidRDefault="003F6D84" w:rsidP="00E6596C">
    <w:pPr>
      <w:pStyle w:val="Footer"/>
      <w:spacing w:before="600"/>
      <w:ind w:left="567"/>
      <w:jc w:val="right"/>
      <w:rPr>
        <w:sz w:val="20"/>
        <w:lang w:val="en-US"/>
      </w:rPr>
    </w:pPr>
    <w:r>
      <w:rPr>
        <w:sz w:val="20"/>
        <w:lang w:val="en-US"/>
      </w:rPr>
      <w:t>GE.</w:t>
    </w:r>
    <w:r>
      <w:rPr>
        <w:noProof/>
      </w:rPr>
      <w:drawing>
        <wp:anchor distT="0" distB="0" distL="114300" distR="114300" simplePos="0" relativeHeight="251658240" behindDoc="1" locked="1" layoutInCell="0" allowOverlap="1" wp14:anchorId="285BB781" wp14:editId="06F334C7">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21-17614 (A)</w:t>
    </w:r>
    <w:r>
      <w:rPr>
        <w:noProof/>
        <w:sz w:val="20"/>
        <w:lang w:val="en-US"/>
      </w:rPr>
      <w:drawing>
        <wp:anchor distT="0" distB="0" distL="114300" distR="114300" simplePos="0" relativeHeight="251659264" behindDoc="0" locked="0" layoutInCell="1" allowOverlap="1" wp14:anchorId="46B39372" wp14:editId="2135A367">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3255C2" w14:textId="77777777" w:rsidR="003F6D84" w:rsidRPr="008A49D2" w:rsidRDefault="003F6D84" w:rsidP="008A49D2">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3B2013EB" w14:textId="77777777" w:rsidR="003F6D84" w:rsidRDefault="003F6D84" w:rsidP="00656392">
      <w:pPr>
        <w:spacing w:line="240" w:lineRule="auto"/>
      </w:pPr>
      <w:r>
        <w:continuationSeparator/>
      </w:r>
    </w:p>
  </w:footnote>
  <w:footnote w:id="1">
    <w:p w14:paraId="480BF784" w14:textId="70409FFA" w:rsidR="00950D62" w:rsidRPr="00950D62" w:rsidRDefault="00950D62" w:rsidP="00950D62">
      <w:pPr>
        <w:pStyle w:val="FootnoteText1"/>
        <w:rPr>
          <w:rFonts w:hint="cs"/>
          <w:rtl/>
        </w:rPr>
      </w:pPr>
      <w:r>
        <w:rPr>
          <w:rtl/>
        </w:rPr>
        <w:t>*</w:t>
      </w:r>
      <w:r>
        <w:rPr>
          <w:rtl/>
        </w:rPr>
        <w:tab/>
      </w:r>
      <w:r>
        <w:rPr>
          <w:rFonts w:hint="cs"/>
          <w:rtl/>
        </w:rPr>
        <w:t>أُعيد إصدارها لأسباب فنية في 28 آذار/مارس 2022.</w:t>
      </w:r>
    </w:p>
  </w:footnote>
  <w:footnote w:id="2">
    <w:p w14:paraId="0859D1C1" w14:textId="7A463885" w:rsidR="003F6D84" w:rsidRPr="003A7777" w:rsidRDefault="00950D62" w:rsidP="003A7777">
      <w:pPr>
        <w:pStyle w:val="FootnoteText1"/>
        <w:rPr>
          <w:rtl/>
        </w:rPr>
      </w:pPr>
      <w:r>
        <w:rPr>
          <w:rFonts w:hint="cs"/>
          <w:rtl/>
        </w:rPr>
        <w:t>*</w:t>
      </w:r>
      <w:r w:rsidR="003F6D84">
        <w:rPr>
          <w:rtl/>
        </w:rPr>
        <w:t>*</w:t>
      </w:r>
      <w:r w:rsidR="003F6D84">
        <w:rPr>
          <w:rtl/>
        </w:rPr>
        <w:tab/>
      </w:r>
      <w:r w:rsidR="003F6D84" w:rsidRPr="003A7777">
        <w:rPr>
          <w:rtl/>
        </w:rPr>
        <w:t xml:space="preserve">اعتمدتها اللجنة في دورتها </w:t>
      </w:r>
      <w:r w:rsidR="003F6D84" w:rsidRPr="004471BA">
        <w:rPr>
          <w:rtl/>
        </w:rPr>
        <w:t>133</w:t>
      </w:r>
      <w:r w:rsidR="003F6D84" w:rsidRPr="003A7777">
        <w:rPr>
          <w:rtl/>
        </w:rPr>
        <w:t xml:space="preserve"> (</w:t>
      </w:r>
      <w:r w:rsidR="00C732C3" w:rsidRPr="004471BA">
        <w:rPr>
          <w:rFonts w:hint="cs"/>
          <w:rtl/>
        </w:rPr>
        <w:t>11</w:t>
      </w:r>
      <w:r w:rsidR="00C732C3">
        <w:rPr>
          <w:rFonts w:hint="cs"/>
          <w:rtl/>
        </w:rPr>
        <w:t xml:space="preserve"> تشرين الأول/أكتوبر - </w:t>
      </w:r>
      <w:r w:rsidR="00C732C3" w:rsidRPr="004471BA">
        <w:rPr>
          <w:rFonts w:hint="cs"/>
          <w:rtl/>
        </w:rPr>
        <w:t>5</w:t>
      </w:r>
      <w:r w:rsidR="003F6D84" w:rsidRPr="003A7777">
        <w:rPr>
          <w:rtl/>
        </w:rPr>
        <w:t xml:space="preserve"> تشرين الثاني/نوفمبر </w:t>
      </w:r>
      <w:r w:rsidR="003F6D84" w:rsidRPr="004471BA">
        <w:rPr>
          <w:rtl/>
        </w:rPr>
        <w:t>2021</w:t>
      </w:r>
      <w:r w:rsidR="003F6D84" w:rsidRPr="003A7777">
        <w:rPr>
          <w:rtl/>
        </w:rPr>
        <w:t>).</w:t>
      </w:r>
    </w:p>
  </w:footnote>
  <w:footnote w:id="3">
    <w:p w14:paraId="0C0E9874" w14:textId="4146A190" w:rsidR="008C0B42" w:rsidRPr="008472D8" w:rsidRDefault="008C0B42" w:rsidP="008472D8">
      <w:pPr>
        <w:pStyle w:val="FootnoteText"/>
        <w:tabs>
          <w:tab w:val="clear" w:pos="1021"/>
        </w:tabs>
        <w:bidi/>
        <w:spacing w:after="60" w:line="280" w:lineRule="exact"/>
        <w:ind w:left="1247" w:right="1247" w:hanging="567"/>
        <w:jc w:val="lowKashida"/>
        <w:textDirection w:val="tbRlV"/>
        <w:rPr>
          <w:szCs w:val="18"/>
          <w:lang w:val="ar-SA" w:eastAsia="zh-TW" w:bidi="en-GB"/>
        </w:rPr>
      </w:pPr>
      <w:r>
        <w:rPr>
          <w:rStyle w:val="FootnoteReference"/>
          <w:vertAlign w:val="baseline"/>
          <w:rtl/>
        </w:rPr>
        <w:t>(</w:t>
      </w:r>
      <w:r w:rsidRPr="004471BA">
        <w:rPr>
          <w:rStyle w:val="FootnoteReference"/>
          <w:vertAlign w:val="baseline"/>
        </w:rPr>
        <w:footnoteRef/>
      </w:r>
      <w:r>
        <w:rPr>
          <w:rStyle w:val="FootnoteReference"/>
          <w:vertAlign w:val="baseline"/>
          <w:rtl/>
        </w:rPr>
        <w:t>)</w:t>
      </w:r>
      <w:r w:rsidRPr="008472D8">
        <w:rPr>
          <w:szCs w:val="18"/>
          <w:rtl/>
        </w:rPr>
        <w:t xml:space="preserve"> </w:t>
      </w:r>
      <w:r w:rsidRPr="008472D8">
        <w:rPr>
          <w:szCs w:val="18"/>
          <w:rtl/>
        </w:rPr>
        <w:tab/>
      </w:r>
      <w:hyperlink r:id="rId1" w:history="1">
        <w:r w:rsidRPr="005D2B82">
          <w:rPr>
            <w:rStyle w:val="Hyperlink"/>
            <w:rFonts w:cs="Times New Roman"/>
            <w:szCs w:val="18"/>
          </w:rPr>
          <w:t>CCPR/C/DEU/</w:t>
        </w:r>
        <w:r w:rsidRPr="004471BA">
          <w:rPr>
            <w:rStyle w:val="Hyperlink"/>
            <w:szCs w:val="18"/>
          </w:rPr>
          <w:t>7</w:t>
        </w:r>
      </w:hyperlink>
      <w:r w:rsidRPr="008472D8">
        <w:rPr>
          <w:szCs w:val="18"/>
          <w:rtl/>
        </w:rPr>
        <w:t>.</w:t>
      </w:r>
    </w:p>
  </w:footnote>
  <w:footnote w:id="4">
    <w:p w14:paraId="3CF2F5E1" w14:textId="3D1CA91F" w:rsidR="008C0B42" w:rsidRPr="008472D8" w:rsidRDefault="008C0B42" w:rsidP="008472D8">
      <w:pPr>
        <w:pStyle w:val="FootnoteText"/>
        <w:tabs>
          <w:tab w:val="clear" w:pos="1021"/>
        </w:tabs>
        <w:bidi/>
        <w:spacing w:after="60" w:line="280" w:lineRule="exact"/>
        <w:ind w:left="1247" w:right="1247" w:hanging="567"/>
        <w:jc w:val="lowKashida"/>
        <w:textDirection w:val="tbRlV"/>
        <w:rPr>
          <w:szCs w:val="18"/>
          <w:lang w:val="ar-SA" w:eastAsia="zh-TW" w:bidi="en-GB"/>
        </w:rPr>
      </w:pPr>
      <w:r>
        <w:rPr>
          <w:rStyle w:val="FootnoteReference"/>
          <w:vertAlign w:val="baseline"/>
          <w:rtl/>
        </w:rPr>
        <w:t>(</w:t>
      </w:r>
      <w:r w:rsidRPr="004471BA">
        <w:rPr>
          <w:rStyle w:val="FootnoteReference"/>
          <w:vertAlign w:val="baseline"/>
        </w:rPr>
        <w:footnoteRef/>
      </w:r>
      <w:r>
        <w:rPr>
          <w:rStyle w:val="FootnoteReference"/>
          <w:vertAlign w:val="baseline"/>
          <w:rtl/>
        </w:rPr>
        <w:t>)</w:t>
      </w:r>
      <w:r w:rsidRPr="008472D8">
        <w:rPr>
          <w:szCs w:val="18"/>
          <w:rtl/>
        </w:rPr>
        <w:t xml:space="preserve"> </w:t>
      </w:r>
      <w:r w:rsidRPr="008472D8">
        <w:rPr>
          <w:szCs w:val="18"/>
          <w:rtl/>
        </w:rPr>
        <w:tab/>
        <w:t xml:space="preserve">انظر الوثيقتين </w:t>
      </w:r>
      <w:hyperlink r:id="rId2" w:history="1">
        <w:r w:rsidRPr="005D2B82">
          <w:rPr>
            <w:rStyle w:val="Hyperlink"/>
            <w:rFonts w:cs="Times New Roman"/>
            <w:szCs w:val="18"/>
          </w:rPr>
          <w:t>CCPR/C/SR.</w:t>
        </w:r>
        <w:r w:rsidRPr="004471BA">
          <w:rPr>
            <w:rStyle w:val="Hyperlink"/>
            <w:szCs w:val="18"/>
          </w:rPr>
          <w:t>3801</w:t>
        </w:r>
      </w:hyperlink>
      <w:r w:rsidRPr="008472D8">
        <w:rPr>
          <w:szCs w:val="18"/>
          <w:rtl/>
        </w:rPr>
        <w:t xml:space="preserve"> و</w:t>
      </w:r>
      <w:hyperlink r:id="rId3" w:history="1">
        <w:r w:rsidRPr="005D2B82">
          <w:rPr>
            <w:rStyle w:val="Hyperlink"/>
            <w:rFonts w:cs="Times New Roman"/>
            <w:szCs w:val="18"/>
          </w:rPr>
          <w:t>CCPR/C/SR.</w:t>
        </w:r>
        <w:r w:rsidRPr="004471BA">
          <w:rPr>
            <w:rStyle w:val="Hyperlink"/>
            <w:szCs w:val="18"/>
          </w:rPr>
          <w:t>3802</w:t>
        </w:r>
      </w:hyperlink>
      <w:r w:rsidRPr="008472D8">
        <w:rPr>
          <w:szCs w:val="18"/>
          <w:rtl/>
        </w:rPr>
        <w:t>.</w:t>
      </w:r>
    </w:p>
  </w:footnote>
  <w:footnote w:id="5">
    <w:p w14:paraId="7E0FF11C" w14:textId="31778693" w:rsidR="008C0B42" w:rsidRPr="008472D8" w:rsidRDefault="008C0B42" w:rsidP="008472D8">
      <w:pPr>
        <w:pStyle w:val="FootnoteText"/>
        <w:tabs>
          <w:tab w:val="clear" w:pos="1021"/>
        </w:tabs>
        <w:bidi/>
        <w:spacing w:after="60" w:line="280" w:lineRule="exact"/>
        <w:ind w:left="1247" w:right="1247" w:hanging="567"/>
        <w:jc w:val="lowKashida"/>
        <w:textDirection w:val="tbRlV"/>
        <w:rPr>
          <w:szCs w:val="18"/>
          <w:lang w:val="fr-CH" w:eastAsia="zh-TW" w:bidi="en-GB"/>
        </w:rPr>
      </w:pPr>
      <w:r>
        <w:rPr>
          <w:rStyle w:val="FootnoteReference"/>
          <w:vertAlign w:val="baseline"/>
          <w:rtl/>
        </w:rPr>
        <w:t>(</w:t>
      </w:r>
      <w:r w:rsidRPr="004471BA">
        <w:rPr>
          <w:rStyle w:val="FootnoteReference"/>
          <w:vertAlign w:val="baseline"/>
        </w:rPr>
        <w:footnoteRef/>
      </w:r>
      <w:r>
        <w:rPr>
          <w:rStyle w:val="FootnoteReference"/>
          <w:vertAlign w:val="baseline"/>
          <w:rtl/>
        </w:rPr>
        <w:t>)</w:t>
      </w:r>
      <w:r w:rsidRPr="008472D8">
        <w:rPr>
          <w:szCs w:val="18"/>
          <w:rtl/>
        </w:rPr>
        <w:t xml:space="preserve"> </w:t>
      </w:r>
      <w:r w:rsidRPr="008472D8">
        <w:rPr>
          <w:szCs w:val="18"/>
          <w:rtl/>
        </w:rPr>
        <w:tab/>
      </w:r>
      <w:hyperlink r:id="rId4" w:history="1">
        <w:proofErr w:type="spellStart"/>
        <w:r w:rsidRPr="005D2B82">
          <w:rPr>
            <w:rStyle w:val="Hyperlink"/>
            <w:rFonts w:cs="Times New Roman"/>
            <w:szCs w:val="18"/>
            <w:lang w:val="fr-CH"/>
          </w:rPr>
          <w:t>CCPR</w:t>
        </w:r>
        <w:proofErr w:type="spellEnd"/>
        <w:r w:rsidRPr="005D2B82">
          <w:rPr>
            <w:rStyle w:val="Hyperlink"/>
            <w:rFonts w:cs="Times New Roman"/>
            <w:szCs w:val="18"/>
            <w:lang w:val="fr-CH"/>
          </w:rPr>
          <w:t>/C/</w:t>
        </w:r>
        <w:proofErr w:type="spellStart"/>
        <w:r w:rsidRPr="005D2B82">
          <w:rPr>
            <w:rStyle w:val="Hyperlink"/>
            <w:rFonts w:cs="Times New Roman"/>
            <w:szCs w:val="18"/>
            <w:lang w:val="fr-CH"/>
          </w:rPr>
          <w:t>DEU</w:t>
        </w:r>
        <w:proofErr w:type="spellEnd"/>
        <w:r w:rsidRPr="005D2B82">
          <w:rPr>
            <w:rStyle w:val="Hyperlink"/>
            <w:rFonts w:cs="Times New Roman"/>
            <w:szCs w:val="18"/>
            <w:lang w:val="fr-CH"/>
          </w:rPr>
          <w:t>/</w:t>
        </w:r>
        <w:r w:rsidRPr="004471BA">
          <w:rPr>
            <w:rStyle w:val="Hyperlink"/>
            <w:szCs w:val="18"/>
            <w:lang w:val="fr-CH"/>
          </w:rPr>
          <w:t>7</w:t>
        </w:r>
      </w:hyperlink>
      <w:r w:rsidRPr="008472D8">
        <w:rPr>
          <w:szCs w:val="18"/>
          <w:rtl/>
        </w:rPr>
        <w:t>.</w:t>
      </w:r>
    </w:p>
  </w:footnote>
  <w:footnote w:id="6">
    <w:p w14:paraId="1F9B986E" w14:textId="7B0CB2D3" w:rsidR="008C0B42" w:rsidRPr="008472D8" w:rsidRDefault="008C0B42" w:rsidP="008472D8">
      <w:pPr>
        <w:pStyle w:val="FootnoteText"/>
        <w:tabs>
          <w:tab w:val="clear" w:pos="1021"/>
        </w:tabs>
        <w:bidi/>
        <w:spacing w:after="60" w:line="280" w:lineRule="exact"/>
        <w:ind w:left="1247" w:right="1247" w:hanging="567"/>
        <w:jc w:val="lowKashida"/>
        <w:textDirection w:val="tbRlV"/>
        <w:rPr>
          <w:szCs w:val="18"/>
          <w:lang w:val="fr-CH" w:eastAsia="zh-TW" w:bidi="en-GB"/>
        </w:rPr>
      </w:pPr>
      <w:r>
        <w:rPr>
          <w:rStyle w:val="FootnoteReference"/>
          <w:vertAlign w:val="baseline"/>
          <w:rtl/>
        </w:rPr>
        <w:t>(</w:t>
      </w:r>
      <w:r w:rsidRPr="004471BA">
        <w:rPr>
          <w:rStyle w:val="FootnoteReference"/>
          <w:vertAlign w:val="baseline"/>
        </w:rPr>
        <w:footnoteRef/>
      </w:r>
      <w:r>
        <w:rPr>
          <w:rStyle w:val="FootnoteReference"/>
          <w:vertAlign w:val="baseline"/>
          <w:rtl/>
        </w:rPr>
        <w:t>)</w:t>
      </w:r>
      <w:r w:rsidRPr="008472D8">
        <w:rPr>
          <w:szCs w:val="18"/>
          <w:rtl/>
        </w:rPr>
        <w:t xml:space="preserve"> </w:t>
      </w:r>
      <w:r w:rsidRPr="008472D8">
        <w:rPr>
          <w:szCs w:val="18"/>
          <w:rtl/>
        </w:rPr>
        <w:tab/>
      </w:r>
      <w:hyperlink r:id="rId5" w:history="1">
        <w:proofErr w:type="spellStart"/>
        <w:r w:rsidRPr="005D2B82">
          <w:rPr>
            <w:rStyle w:val="Hyperlink"/>
            <w:rFonts w:cs="Times New Roman"/>
            <w:szCs w:val="18"/>
            <w:lang w:val="fr-CH"/>
          </w:rPr>
          <w:t>CCPR</w:t>
        </w:r>
        <w:proofErr w:type="spellEnd"/>
        <w:r w:rsidRPr="005D2B82">
          <w:rPr>
            <w:rStyle w:val="Hyperlink"/>
            <w:rFonts w:cs="Times New Roman"/>
            <w:szCs w:val="18"/>
            <w:lang w:val="fr-CH"/>
          </w:rPr>
          <w:t>/C/</w:t>
        </w:r>
        <w:proofErr w:type="spellStart"/>
        <w:r w:rsidRPr="005D2B82">
          <w:rPr>
            <w:rStyle w:val="Hyperlink"/>
            <w:rFonts w:cs="Times New Roman"/>
            <w:szCs w:val="18"/>
            <w:lang w:val="fr-CH"/>
          </w:rPr>
          <w:t>DEU</w:t>
        </w:r>
        <w:proofErr w:type="spellEnd"/>
        <w:r w:rsidRPr="005D2B82">
          <w:rPr>
            <w:rStyle w:val="Hyperlink"/>
            <w:rFonts w:cs="Times New Roman"/>
            <w:szCs w:val="18"/>
            <w:lang w:val="fr-CH"/>
          </w:rPr>
          <w:t>/</w:t>
        </w:r>
        <w:proofErr w:type="spellStart"/>
        <w:r w:rsidRPr="005D2B82">
          <w:rPr>
            <w:rStyle w:val="Hyperlink"/>
            <w:rFonts w:cs="Times New Roman"/>
            <w:szCs w:val="18"/>
            <w:lang w:val="fr-CH"/>
          </w:rPr>
          <w:t>QPR</w:t>
        </w:r>
        <w:proofErr w:type="spellEnd"/>
        <w:r w:rsidRPr="005D2B82">
          <w:rPr>
            <w:rStyle w:val="Hyperlink"/>
            <w:rFonts w:cs="Times New Roman"/>
            <w:szCs w:val="18"/>
            <w:lang w:val="fr-CH"/>
          </w:rPr>
          <w:t>/</w:t>
        </w:r>
        <w:r w:rsidRPr="004471BA">
          <w:rPr>
            <w:rStyle w:val="Hyperlink"/>
            <w:szCs w:val="18"/>
            <w:lang w:val="fr-CH"/>
          </w:rPr>
          <w:t>7</w:t>
        </w:r>
      </w:hyperlink>
      <w:r w:rsidRPr="008472D8">
        <w:rPr>
          <w:szCs w:val="18"/>
          <w:rtl/>
        </w:rPr>
        <w:t>.</w:t>
      </w:r>
    </w:p>
  </w:footnote>
  <w:footnote w:id="7">
    <w:p w14:paraId="7B4906C9" w14:textId="3E30DBDF" w:rsidR="008C0B42" w:rsidRPr="008472D8" w:rsidRDefault="008C0B42" w:rsidP="008472D8">
      <w:pPr>
        <w:pStyle w:val="FootnoteText"/>
        <w:tabs>
          <w:tab w:val="clear" w:pos="1021"/>
        </w:tabs>
        <w:bidi/>
        <w:spacing w:after="60" w:line="280" w:lineRule="exact"/>
        <w:ind w:left="1247" w:right="1247" w:hanging="567"/>
        <w:jc w:val="lowKashida"/>
        <w:textDirection w:val="tbRlV"/>
        <w:rPr>
          <w:szCs w:val="18"/>
          <w:lang w:val="ar-SA" w:eastAsia="zh-TW" w:bidi="en-GB"/>
        </w:rPr>
      </w:pPr>
      <w:r>
        <w:rPr>
          <w:rStyle w:val="FootnoteReference"/>
          <w:vertAlign w:val="baseline"/>
          <w:rtl/>
        </w:rPr>
        <w:t>(</w:t>
      </w:r>
      <w:r w:rsidRPr="004471BA">
        <w:rPr>
          <w:rStyle w:val="FootnoteReference"/>
          <w:vertAlign w:val="baseline"/>
        </w:rPr>
        <w:footnoteRef/>
      </w:r>
      <w:r>
        <w:rPr>
          <w:rStyle w:val="FootnoteReference"/>
          <w:vertAlign w:val="baseline"/>
          <w:rtl/>
        </w:rPr>
        <w:t>)</w:t>
      </w:r>
      <w:r w:rsidRPr="008472D8">
        <w:rPr>
          <w:szCs w:val="18"/>
          <w:rtl/>
        </w:rPr>
        <w:t xml:space="preserve"> </w:t>
      </w:r>
      <w:r w:rsidRPr="008472D8">
        <w:rPr>
          <w:szCs w:val="18"/>
          <w:rtl/>
        </w:rPr>
        <w:tab/>
      </w:r>
      <w:hyperlink r:id="rId6" w:history="1">
        <w:r w:rsidRPr="005D2B82">
          <w:rPr>
            <w:rStyle w:val="Hyperlink"/>
            <w:rFonts w:cs="Times New Roman"/>
            <w:szCs w:val="18"/>
          </w:rPr>
          <w:t>CCPR/C/DEU/CO/</w:t>
        </w:r>
        <w:r w:rsidRPr="004471BA">
          <w:rPr>
            <w:rStyle w:val="Hyperlink"/>
            <w:szCs w:val="18"/>
          </w:rPr>
          <w:t>6</w:t>
        </w:r>
        <w:r w:rsidRPr="005D2B82">
          <w:rPr>
            <w:rStyle w:val="Hyperlink"/>
            <w:szCs w:val="18"/>
            <w:rtl/>
          </w:rPr>
          <w:t>،</w:t>
        </w:r>
      </w:hyperlink>
      <w:r w:rsidRPr="008472D8">
        <w:rPr>
          <w:szCs w:val="18"/>
          <w:rtl/>
        </w:rPr>
        <w:t xml:space="preserve"> الفقرة </w:t>
      </w:r>
      <w:r w:rsidRPr="004471BA">
        <w:rPr>
          <w:szCs w:val="18"/>
          <w:rtl/>
        </w:rPr>
        <w:t>5</w:t>
      </w:r>
      <w:r w:rsidRPr="008472D8">
        <w:rPr>
          <w:szCs w:val="18"/>
          <w:rtl/>
        </w:rPr>
        <w:t>.</w:t>
      </w:r>
    </w:p>
  </w:footnote>
  <w:footnote w:id="8">
    <w:p w14:paraId="20A9AC48" w14:textId="37C7D7FC" w:rsidR="008C0B42" w:rsidRPr="008472D8" w:rsidRDefault="008C0B42" w:rsidP="008472D8">
      <w:pPr>
        <w:pStyle w:val="FootnoteText"/>
        <w:tabs>
          <w:tab w:val="clear" w:pos="1021"/>
        </w:tabs>
        <w:bidi/>
        <w:spacing w:after="60" w:line="280" w:lineRule="exact"/>
        <w:ind w:left="1247" w:right="1247" w:hanging="567"/>
        <w:jc w:val="lowKashida"/>
        <w:textDirection w:val="tbRlV"/>
        <w:rPr>
          <w:szCs w:val="18"/>
          <w:lang w:val="ar-SA" w:eastAsia="zh-TW" w:bidi="en-GB"/>
        </w:rPr>
      </w:pPr>
      <w:r>
        <w:rPr>
          <w:rStyle w:val="FootnoteReference"/>
          <w:vertAlign w:val="baseline"/>
          <w:rtl/>
        </w:rPr>
        <w:t>(</w:t>
      </w:r>
      <w:r w:rsidRPr="004471BA">
        <w:rPr>
          <w:rStyle w:val="FootnoteReference"/>
          <w:vertAlign w:val="baseline"/>
        </w:rPr>
        <w:footnoteRef/>
      </w:r>
      <w:r>
        <w:rPr>
          <w:rStyle w:val="FootnoteReference"/>
          <w:vertAlign w:val="baseline"/>
          <w:rtl/>
        </w:rPr>
        <w:t>)</w:t>
      </w:r>
      <w:r w:rsidRPr="008472D8">
        <w:rPr>
          <w:szCs w:val="18"/>
          <w:rtl/>
        </w:rPr>
        <w:t xml:space="preserve"> </w:t>
      </w:r>
      <w:r w:rsidRPr="008472D8">
        <w:rPr>
          <w:szCs w:val="18"/>
          <w:rtl/>
        </w:rPr>
        <w:tab/>
        <w:t xml:space="preserve">المرجع نفسه، الفقرة </w:t>
      </w:r>
      <w:r w:rsidRPr="004471BA">
        <w:rPr>
          <w:szCs w:val="18"/>
          <w:rtl/>
        </w:rPr>
        <w:t>16</w:t>
      </w:r>
      <w:r w:rsidRPr="008472D8">
        <w:rPr>
          <w:szCs w:val="18"/>
          <w:rtl/>
        </w:rPr>
        <w:t>.</w:t>
      </w:r>
    </w:p>
  </w:footnote>
  <w:footnote w:id="9">
    <w:p w14:paraId="396E735E" w14:textId="14A27275" w:rsidR="008C0B42" w:rsidRPr="008472D8" w:rsidRDefault="008C0B42" w:rsidP="008472D8">
      <w:pPr>
        <w:pStyle w:val="FootnoteText"/>
        <w:tabs>
          <w:tab w:val="clear" w:pos="1021"/>
        </w:tabs>
        <w:bidi/>
        <w:spacing w:after="60" w:line="280" w:lineRule="exact"/>
        <w:ind w:left="1247" w:right="1247" w:hanging="567"/>
        <w:jc w:val="lowKashida"/>
        <w:textDirection w:val="tbRlV"/>
        <w:rPr>
          <w:szCs w:val="18"/>
          <w:lang w:val="ar-SA" w:eastAsia="zh-TW" w:bidi="en-GB"/>
        </w:rPr>
      </w:pPr>
      <w:r>
        <w:rPr>
          <w:rStyle w:val="FootnoteReference"/>
          <w:vertAlign w:val="baseline"/>
          <w:rtl/>
        </w:rPr>
        <w:t>(</w:t>
      </w:r>
      <w:r w:rsidRPr="004471BA">
        <w:rPr>
          <w:rStyle w:val="FootnoteReference"/>
          <w:vertAlign w:val="baseline"/>
        </w:rPr>
        <w:footnoteRef/>
      </w:r>
      <w:r>
        <w:rPr>
          <w:rStyle w:val="FootnoteReference"/>
          <w:vertAlign w:val="baseline"/>
          <w:rtl/>
        </w:rPr>
        <w:t>)</w:t>
      </w:r>
      <w:r w:rsidRPr="008472D8">
        <w:rPr>
          <w:szCs w:val="18"/>
          <w:rtl/>
        </w:rPr>
        <w:t xml:space="preserve"> </w:t>
      </w:r>
      <w:r w:rsidRPr="008472D8">
        <w:rPr>
          <w:szCs w:val="18"/>
          <w:rtl/>
        </w:rPr>
        <w:tab/>
        <w:t xml:space="preserve">المرجع نفسه، الفقرات </w:t>
      </w:r>
      <w:r w:rsidRPr="004471BA">
        <w:rPr>
          <w:szCs w:val="18"/>
          <w:rtl/>
        </w:rPr>
        <w:t>6</w:t>
      </w:r>
      <w:r w:rsidRPr="008472D8">
        <w:rPr>
          <w:szCs w:val="18"/>
          <w:rtl/>
        </w:rPr>
        <w:t xml:space="preserve"> و</w:t>
      </w:r>
      <w:r w:rsidRPr="004471BA">
        <w:rPr>
          <w:szCs w:val="18"/>
          <w:rtl/>
        </w:rPr>
        <w:t>7</w:t>
      </w:r>
      <w:r w:rsidRPr="008472D8">
        <w:rPr>
          <w:szCs w:val="18"/>
          <w:rtl/>
        </w:rPr>
        <w:t xml:space="preserve"> و</w:t>
      </w:r>
      <w:r w:rsidRPr="004471BA">
        <w:rPr>
          <w:szCs w:val="18"/>
          <w:rtl/>
        </w:rPr>
        <w:t>17</w:t>
      </w:r>
      <w:r w:rsidRPr="008472D8">
        <w:rPr>
          <w:szCs w:val="18"/>
          <w:rtl/>
        </w:rPr>
        <w:t>.</w:t>
      </w:r>
    </w:p>
  </w:footnote>
  <w:footnote w:id="10">
    <w:p w14:paraId="75A18D67" w14:textId="6C65BA11" w:rsidR="008C0B42" w:rsidRPr="008472D8" w:rsidRDefault="008C0B42" w:rsidP="008472D8">
      <w:pPr>
        <w:pStyle w:val="FootnoteText"/>
        <w:tabs>
          <w:tab w:val="clear" w:pos="1021"/>
        </w:tabs>
        <w:bidi/>
        <w:spacing w:after="60" w:line="280" w:lineRule="exact"/>
        <w:ind w:left="1247" w:right="1247" w:hanging="567"/>
        <w:jc w:val="lowKashida"/>
        <w:textDirection w:val="tbRlV"/>
        <w:rPr>
          <w:szCs w:val="18"/>
          <w:lang w:val="ar-SA" w:eastAsia="zh-TW" w:bidi="en-GB"/>
        </w:rPr>
      </w:pPr>
      <w:r>
        <w:rPr>
          <w:rStyle w:val="FootnoteReference"/>
          <w:vertAlign w:val="baseline"/>
          <w:rtl/>
        </w:rPr>
        <w:t>(</w:t>
      </w:r>
      <w:r w:rsidRPr="004471BA">
        <w:rPr>
          <w:rStyle w:val="FootnoteReference"/>
          <w:vertAlign w:val="baseline"/>
        </w:rPr>
        <w:footnoteRef/>
      </w:r>
      <w:r>
        <w:rPr>
          <w:rStyle w:val="FootnoteReference"/>
          <w:vertAlign w:val="baseline"/>
          <w:rtl/>
        </w:rPr>
        <w:t>)</w:t>
      </w:r>
      <w:r w:rsidRPr="008472D8">
        <w:rPr>
          <w:szCs w:val="18"/>
          <w:rtl/>
        </w:rPr>
        <w:t xml:space="preserve"> </w:t>
      </w:r>
      <w:r w:rsidRPr="008472D8">
        <w:rPr>
          <w:szCs w:val="18"/>
          <w:rtl/>
        </w:rPr>
        <w:tab/>
        <w:t xml:space="preserve">المرجع نفسه، الفقرة </w:t>
      </w:r>
      <w:r w:rsidRPr="004471BA">
        <w:rPr>
          <w:szCs w:val="18"/>
          <w:rtl/>
        </w:rPr>
        <w:t>18</w:t>
      </w:r>
      <w:r w:rsidRPr="008472D8">
        <w:rPr>
          <w:szCs w:val="18"/>
          <w:rtl/>
        </w:rPr>
        <w:t>.</w:t>
      </w:r>
    </w:p>
  </w:footnote>
  <w:footnote w:id="11">
    <w:p w14:paraId="09C65DF5" w14:textId="646BC191" w:rsidR="008C0B42" w:rsidRPr="008472D8" w:rsidRDefault="008C0B42" w:rsidP="008472D8">
      <w:pPr>
        <w:pStyle w:val="FootnoteText"/>
        <w:tabs>
          <w:tab w:val="clear" w:pos="1021"/>
        </w:tabs>
        <w:bidi/>
        <w:spacing w:after="60" w:line="280" w:lineRule="exact"/>
        <w:ind w:left="1247" w:right="1247" w:hanging="567"/>
        <w:jc w:val="lowKashida"/>
        <w:textDirection w:val="tbRlV"/>
        <w:rPr>
          <w:szCs w:val="18"/>
          <w:lang w:val="ar-SA" w:eastAsia="zh-TW" w:bidi="en-GB"/>
        </w:rPr>
      </w:pPr>
      <w:r>
        <w:rPr>
          <w:rStyle w:val="FootnoteReference"/>
          <w:vertAlign w:val="baseline"/>
          <w:rtl/>
        </w:rPr>
        <w:t>(</w:t>
      </w:r>
      <w:r w:rsidRPr="004471BA">
        <w:rPr>
          <w:rStyle w:val="FootnoteReference"/>
          <w:vertAlign w:val="baseline"/>
        </w:rPr>
        <w:footnoteRef/>
      </w:r>
      <w:r>
        <w:rPr>
          <w:rStyle w:val="FootnoteReference"/>
          <w:vertAlign w:val="baseline"/>
          <w:rtl/>
        </w:rPr>
        <w:t>)</w:t>
      </w:r>
      <w:r w:rsidRPr="008472D8">
        <w:rPr>
          <w:szCs w:val="18"/>
          <w:rtl/>
        </w:rPr>
        <w:t xml:space="preserve"> </w:t>
      </w:r>
      <w:r w:rsidRPr="008472D8">
        <w:rPr>
          <w:szCs w:val="18"/>
          <w:rtl/>
        </w:rPr>
        <w:tab/>
        <w:t xml:space="preserve">المرجع نفسه، الفقرة </w:t>
      </w:r>
      <w:r w:rsidRPr="004471BA">
        <w:rPr>
          <w:szCs w:val="18"/>
          <w:rtl/>
        </w:rPr>
        <w:t>9</w:t>
      </w:r>
      <w:r w:rsidRPr="008472D8">
        <w:rPr>
          <w:szCs w:val="18"/>
          <w:rtl/>
        </w:rPr>
        <w:t>.</w:t>
      </w:r>
    </w:p>
  </w:footnote>
  <w:footnote w:id="12">
    <w:p w14:paraId="7409AD52" w14:textId="04028887" w:rsidR="008C0B42" w:rsidRPr="008C0B42" w:rsidRDefault="008C0B42" w:rsidP="008472D8">
      <w:pPr>
        <w:pStyle w:val="FootnoteText"/>
        <w:tabs>
          <w:tab w:val="clear" w:pos="1021"/>
        </w:tabs>
        <w:bidi/>
        <w:spacing w:after="60" w:line="280" w:lineRule="exact"/>
        <w:ind w:left="1247" w:right="1247" w:hanging="567"/>
        <w:jc w:val="lowKashida"/>
        <w:textDirection w:val="tbRlV"/>
        <w:rPr>
          <w:szCs w:val="18"/>
          <w:lang w:eastAsia="zh-TW" w:bidi="en-GB"/>
        </w:rPr>
      </w:pPr>
      <w:r>
        <w:rPr>
          <w:rStyle w:val="FootnoteReference"/>
          <w:vertAlign w:val="baseline"/>
          <w:rtl/>
        </w:rPr>
        <w:t>(</w:t>
      </w:r>
      <w:r w:rsidRPr="004471BA">
        <w:rPr>
          <w:rStyle w:val="FootnoteReference"/>
          <w:vertAlign w:val="baseline"/>
        </w:rPr>
        <w:footnoteRef/>
      </w:r>
      <w:r>
        <w:rPr>
          <w:rStyle w:val="FootnoteReference"/>
          <w:vertAlign w:val="baseline"/>
          <w:rtl/>
        </w:rPr>
        <w:t>)</w:t>
      </w:r>
      <w:r w:rsidRPr="008472D8">
        <w:rPr>
          <w:szCs w:val="18"/>
          <w:rtl/>
        </w:rPr>
        <w:t xml:space="preserve"> </w:t>
      </w:r>
      <w:r w:rsidRPr="008472D8">
        <w:rPr>
          <w:szCs w:val="18"/>
          <w:rtl/>
        </w:rPr>
        <w:tab/>
        <w:t>انظر</w:t>
      </w:r>
      <w:r w:rsidRPr="008472D8">
        <w:rPr>
          <w:rFonts w:ascii="Traditional Arabic"/>
          <w:szCs w:val="18"/>
        </w:rPr>
        <w:t>:</w:t>
      </w:r>
      <w:r w:rsidRPr="008472D8">
        <w:rPr>
          <w:szCs w:val="18"/>
          <w:rtl/>
        </w:rPr>
        <w:t xml:space="preserve"> </w:t>
      </w:r>
      <w:hyperlink r:id="rId7" w:history="1">
        <w:r w:rsidRPr="00FE2E13">
          <w:rPr>
            <w:rStyle w:val="Hyperlink"/>
            <w:rFonts w:cs="Times New Roman"/>
            <w:szCs w:val="18"/>
          </w:rPr>
          <w:t>https://www.bundesverfassungsgericht.de/SharedDocs/Entscheidungen/EN/</w:t>
        </w:r>
        <w:r w:rsidRPr="004471BA">
          <w:rPr>
            <w:rStyle w:val="Hyperlink"/>
            <w:szCs w:val="18"/>
          </w:rPr>
          <w:t>2021</w:t>
        </w:r>
        <w:r w:rsidRPr="00FE2E13">
          <w:rPr>
            <w:rStyle w:val="Hyperlink"/>
            <w:rFonts w:cs="Times New Roman"/>
            <w:szCs w:val="18"/>
          </w:rPr>
          <w:t>/</w:t>
        </w:r>
        <w:r w:rsidRPr="004471BA">
          <w:rPr>
            <w:rStyle w:val="Hyperlink"/>
            <w:szCs w:val="18"/>
          </w:rPr>
          <w:t>03</w:t>
        </w:r>
        <w:r w:rsidRPr="00FE2E13">
          <w:rPr>
            <w:rStyle w:val="Hyperlink"/>
            <w:rFonts w:cs="Times New Roman"/>
            <w:szCs w:val="18"/>
          </w:rPr>
          <w:t>/rs</w:t>
        </w:r>
        <w:r w:rsidRPr="004471BA">
          <w:rPr>
            <w:rStyle w:val="Hyperlink"/>
            <w:szCs w:val="18"/>
          </w:rPr>
          <w:t>2021</w:t>
        </w:r>
        <w:r w:rsidRPr="00FE2E13">
          <w:rPr>
            <w:rStyle w:val="Hyperlink"/>
            <w:szCs w:val="18"/>
          </w:rPr>
          <w:br/>
        </w:r>
        <w:r w:rsidRPr="004471BA">
          <w:rPr>
            <w:rStyle w:val="Hyperlink"/>
            <w:szCs w:val="18"/>
          </w:rPr>
          <w:t>0324</w:t>
        </w:r>
        <w:r w:rsidRPr="00FE2E13">
          <w:rPr>
            <w:rStyle w:val="Hyperlink"/>
            <w:rFonts w:cs="Times New Roman"/>
            <w:szCs w:val="18"/>
          </w:rPr>
          <w:t>_</w:t>
        </w:r>
        <w:r w:rsidRPr="004471BA">
          <w:rPr>
            <w:rStyle w:val="Hyperlink"/>
            <w:szCs w:val="18"/>
          </w:rPr>
          <w:t>1</w:t>
        </w:r>
        <w:r w:rsidRPr="00FE2E13">
          <w:rPr>
            <w:rStyle w:val="Hyperlink"/>
            <w:rFonts w:cs="Times New Roman"/>
            <w:szCs w:val="18"/>
          </w:rPr>
          <w:t>bvr</w:t>
        </w:r>
        <w:r w:rsidRPr="004471BA">
          <w:rPr>
            <w:rStyle w:val="Hyperlink"/>
            <w:szCs w:val="18"/>
          </w:rPr>
          <w:t>265618</w:t>
        </w:r>
        <w:r w:rsidRPr="00FE2E13">
          <w:rPr>
            <w:rStyle w:val="Hyperlink"/>
            <w:rFonts w:cs="Times New Roman"/>
            <w:szCs w:val="18"/>
          </w:rPr>
          <w:t>en.html</w:t>
        </w:r>
      </w:hyperlink>
      <w:r w:rsidRPr="008472D8">
        <w:rPr>
          <w:szCs w:val="18"/>
          <w:rtl/>
        </w:rPr>
        <w:t>.</w:t>
      </w:r>
      <w:r>
        <w:rPr>
          <w:szCs w:val="18"/>
          <w:lang w:eastAsia="zh-TW" w:bidi="en-GB"/>
        </w:rPr>
        <w:t xml:space="preserve"> </w:t>
      </w:r>
    </w:p>
  </w:footnote>
  <w:footnote w:id="13">
    <w:p w14:paraId="08F43544" w14:textId="31BFC099" w:rsidR="008C0B42" w:rsidRPr="008472D8" w:rsidRDefault="008C0B42" w:rsidP="008472D8">
      <w:pPr>
        <w:pStyle w:val="FootnoteText"/>
        <w:tabs>
          <w:tab w:val="clear" w:pos="1021"/>
        </w:tabs>
        <w:bidi/>
        <w:spacing w:after="60" w:line="280" w:lineRule="exact"/>
        <w:ind w:left="1247" w:right="1247" w:hanging="567"/>
        <w:jc w:val="lowKashida"/>
        <w:textDirection w:val="tbRlV"/>
        <w:rPr>
          <w:szCs w:val="18"/>
          <w:lang w:val="ar-SA" w:eastAsia="zh-TW" w:bidi="en-GB"/>
        </w:rPr>
      </w:pPr>
      <w:r>
        <w:rPr>
          <w:rStyle w:val="FootnoteReference"/>
          <w:vertAlign w:val="baseline"/>
          <w:rtl/>
        </w:rPr>
        <w:t>(</w:t>
      </w:r>
      <w:r w:rsidRPr="004471BA">
        <w:rPr>
          <w:rStyle w:val="FootnoteReference"/>
          <w:vertAlign w:val="baseline"/>
        </w:rPr>
        <w:footnoteRef/>
      </w:r>
      <w:r>
        <w:rPr>
          <w:rStyle w:val="FootnoteReference"/>
          <w:vertAlign w:val="baseline"/>
          <w:rtl/>
        </w:rPr>
        <w:t>)</w:t>
      </w:r>
      <w:r w:rsidRPr="008472D8">
        <w:rPr>
          <w:szCs w:val="18"/>
          <w:rtl/>
        </w:rPr>
        <w:t xml:space="preserve"> </w:t>
      </w:r>
      <w:r w:rsidRPr="008472D8">
        <w:rPr>
          <w:szCs w:val="18"/>
          <w:rtl/>
        </w:rPr>
        <w:tab/>
      </w:r>
      <w:hyperlink r:id="rId8" w:history="1">
        <w:r w:rsidRPr="005D2B82">
          <w:rPr>
            <w:rStyle w:val="Hyperlink"/>
            <w:rFonts w:cs="Times New Roman"/>
            <w:szCs w:val="18"/>
          </w:rPr>
          <w:t>CCPR/C/DEU/CO/</w:t>
        </w:r>
        <w:r w:rsidRPr="004471BA">
          <w:rPr>
            <w:rStyle w:val="Hyperlink"/>
            <w:szCs w:val="18"/>
          </w:rPr>
          <w:t>6</w:t>
        </w:r>
        <w:r w:rsidRPr="005D2B82">
          <w:rPr>
            <w:rStyle w:val="Hyperlink"/>
            <w:szCs w:val="18"/>
            <w:rtl/>
          </w:rPr>
          <w:t>،</w:t>
        </w:r>
      </w:hyperlink>
      <w:r w:rsidRPr="008472D8">
        <w:rPr>
          <w:szCs w:val="18"/>
          <w:rtl/>
        </w:rPr>
        <w:t xml:space="preserve"> الفقرة </w:t>
      </w:r>
      <w:r w:rsidRPr="004471BA">
        <w:rPr>
          <w:szCs w:val="18"/>
          <w:rtl/>
        </w:rPr>
        <w:t>15</w:t>
      </w:r>
      <w:r w:rsidRPr="008472D8">
        <w:rPr>
          <w:szCs w:val="18"/>
          <w:rtl/>
        </w:rPr>
        <w:t>.</w:t>
      </w:r>
    </w:p>
  </w:footnote>
  <w:footnote w:id="14">
    <w:p w14:paraId="68259039" w14:textId="363EADF8" w:rsidR="008C0B42" w:rsidRPr="008472D8" w:rsidRDefault="008C0B42" w:rsidP="008472D8">
      <w:pPr>
        <w:pStyle w:val="FootnoteText"/>
        <w:tabs>
          <w:tab w:val="clear" w:pos="1021"/>
        </w:tabs>
        <w:bidi/>
        <w:spacing w:after="60" w:line="280" w:lineRule="exact"/>
        <w:ind w:left="1247" w:right="1247" w:hanging="567"/>
        <w:jc w:val="lowKashida"/>
        <w:textDirection w:val="tbRlV"/>
        <w:rPr>
          <w:szCs w:val="18"/>
          <w:lang w:val="ar-SA" w:eastAsia="zh-TW" w:bidi="en-GB"/>
        </w:rPr>
      </w:pPr>
      <w:r>
        <w:rPr>
          <w:rStyle w:val="FootnoteReference"/>
          <w:vertAlign w:val="baseline"/>
          <w:rtl/>
        </w:rPr>
        <w:t>(</w:t>
      </w:r>
      <w:r w:rsidRPr="004471BA">
        <w:rPr>
          <w:rStyle w:val="FootnoteReference"/>
          <w:vertAlign w:val="baseline"/>
        </w:rPr>
        <w:footnoteRef/>
      </w:r>
      <w:r>
        <w:rPr>
          <w:rStyle w:val="FootnoteReference"/>
          <w:vertAlign w:val="baseline"/>
          <w:rtl/>
        </w:rPr>
        <w:t>)</w:t>
      </w:r>
      <w:r w:rsidRPr="008472D8">
        <w:rPr>
          <w:szCs w:val="18"/>
          <w:rtl/>
        </w:rPr>
        <w:t xml:space="preserve"> </w:t>
      </w:r>
      <w:r w:rsidRPr="008472D8">
        <w:rPr>
          <w:szCs w:val="18"/>
          <w:rtl/>
        </w:rPr>
        <w:tab/>
        <w:t xml:space="preserve">المرجع نفسه، الفقرة </w:t>
      </w:r>
      <w:r w:rsidRPr="004471BA">
        <w:rPr>
          <w:szCs w:val="18"/>
          <w:rtl/>
        </w:rPr>
        <w:t>14</w:t>
      </w:r>
      <w:r w:rsidRPr="008472D8">
        <w:rPr>
          <w:szCs w:val="18"/>
          <w:rtl/>
        </w:rPr>
        <w:t>.</w:t>
      </w:r>
    </w:p>
  </w:footnote>
  <w:footnote w:id="15">
    <w:p w14:paraId="668B1700" w14:textId="1B0E48BD" w:rsidR="008C0B42" w:rsidRPr="008472D8" w:rsidRDefault="008C0B42" w:rsidP="008472D8">
      <w:pPr>
        <w:pStyle w:val="FootnoteText"/>
        <w:tabs>
          <w:tab w:val="clear" w:pos="1021"/>
        </w:tabs>
        <w:bidi/>
        <w:spacing w:after="60" w:line="280" w:lineRule="exact"/>
        <w:ind w:left="1247" w:right="1247" w:hanging="567"/>
        <w:jc w:val="lowKashida"/>
        <w:textDirection w:val="tbRlV"/>
        <w:rPr>
          <w:szCs w:val="18"/>
          <w:lang w:eastAsia="zh-TW" w:bidi="en-GB"/>
        </w:rPr>
      </w:pPr>
      <w:r>
        <w:rPr>
          <w:rStyle w:val="FootnoteReference"/>
          <w:vertAlign w:val="baseline"/>
          <w:rtl/>
        </w:rPr>
        <w:t>(</w:t>
      </w:r>
      <w:r w:rsidRPr="004471BA">
        <w:rPr>
          <w:rStyle w:val="FootnoteReference"/>
          <w:vertAlign w:val="baseline"/>
        </w:rPr>
        <w:footnoteRef/>
      </w:r>
      <w:r>
        <w:rPr>
          <w:rStyle w:val="FootnoteReference"/>
          <w:vertAlign w:val="baseline"/>
          <w:rtl/>
        </w:rPr>
        <w:t>)</w:t>
      </w:r>
      <w:r w:rsidRPr="008472D8">
        <w:rPr>
          <w:szCs w:val="18"/>
          <w:rtl/>
        </w:rPr>
        <w:t xml:space="preserve"> </w:t>
      </w:r>
      <w:r w:rsidRPr="008472D8">
        <w:rPr>
          <w:szCs w:val="18"/>
          <w:rtl/>
        </w:rPr>
        <w:tab/>
      </w:r>
      <w:hyperlink r:id="rId9" w:history="1">
        <w:r w:rsidRPr="005D2B82">
          <w:rPr>
            <w:rStyle w:val="Hyperlink"/>
            <w:rFonts w:cs="Times New Roman"/>
            <w:szCs w:val="18"/>
          </w:rPr>
          <w:t>E/C.</w:t>
        </w:r>
        <w:r w:rsidRPr="004471BA">
          <w:rPr>
            <w:rStyle w:val="Hyperlink"/>
            <w:szCs w:val="18"/>
          </w:rPr>
          <w:t>12</w:t>
        </w:r>
        <w:r w:rsidRPr="005D2B82">
          <w:rPr>
            <w:rStyle w:val="Hyperlink"/>
            <w:rFonts w:cs="Times New Roman"/>
            <w:szCs w:val="18"/>
          </w:rPr>
          <w:t>/DEU/CO/</w:t>
        </w:r>
        <w:r w:rsidRPr="004471BA">
          <w:rPr>
            <w:rStyle w:val="Hyperlink"/>
            <w:szCs w:val="18"/>
          </w:rPr>
          <w:t>6</w:t>
        </w:r>
        <w:r w:rsidRPr="005D2B82">
          <w:rPr>
            <w:rStyle w:val="Hyperlink"/>
            <w:szCs w:val="18"/>
            <w:rtl/>
          </w:rPr>
          <w:t>،</w:t>
        </w:r>
      </w:hyperlink>
      <w:r w:rsidRPr="008472D8">
        <w:rPr>
          <w:szCs w:val="18"/>
          <w:rtl/>
        </w:rPr>
        <w:t xml:space="preserve"> الفقرة </w:t>
      </w:r>
      <w:r w:rsidRPr="004471BA">
        <w:rPr>
          <w:szCs w:val="18"/>
          <w:rtl/>
        </w:rPr>
        <w:t>45</w:t>
      </w:r>
      <w:r w:rsidRPr="008472D8">
        <w:rPr>
          <w:szCs w:val="18"/>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CD340C" w14:textId="5F84F07B" w:rsidR="003F6D84" w:rsidRPr="00E6596C" w:rsidRDefault="003F6D84" w:rsidP="00E6596C">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2A3ADB">
      <w:t>CCPR/C/DEU/CO/7</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6088EA" w14:textId="51060419" w:rsidR="003F6D84" w:rsidRPr="00E6596C" w:rsidRDefault="003F6D84" w:rsidP="00E6596C">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2A3ADB">
      <w:t>CCPR/C/DEU/CO/7</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2"/>
  </w:num>
  <w:num w:numId="13">
    <w:abstractNumId w:val="11"/>
  </w:num>
  <w:num w:numId="14">
    <w:abstractNumId w:val="8"/>
  </w:num>
  <w:num w:numId="15">
    <w:abstractNumId w:val="5"/>
  </w:num>
  <w:num w:numId="16">
    <w:abstractNumId w:val="17"/>
  </w:num>
  <w:num w:numId="17">
    <w:abstractNumId w:val="4"/>
  </w:num>
  <w:num w:numId="18">
    <w:abstractNumId w:val="3"/>
  </w:num>
  <w:num w:numId="19">
    <w:abstractNumId w:val="16"/>
  </w:num>
  <w:num w:numId="20">
    <w:abstractNumId w:val="13"/>
  </w:num>
  <w:num w:numId="21">
    <w:abstractNumId w:val="1"/>
  </w:num>
  <w:num w:numId="22">
    <w:abstractNumId w:val="14"/>
  </w:num>
  <w:num w:numId="23">
    <w:abstractNumId w:val="0"/>
  </w:num>
  <w:num w:numId="24">
    <w:abstractNumId w:val="9"/>
  </w:num>
  <w:num w:numId="25">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9">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30">
    <w:abstractNumId w:val="7"/>
  </w:num>
  <w:num w:numId="3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14A2"/>
    <w:rsid w:val="000076D5"/>
    <w:rsid w:val="00026086"/>
    <w:rsid w:val="000278FA"/>
    <w:rsid w:val="00043663"/>
    <w:rsid w:val="000437B8"/>
    <w:rsid w:val="00045BD9"/>
    <w:rsid w:val="000505CF"/>
    <w:rsid w:val="00067138"/>
    <w:rsid w:val="000D701C"/>
    <w:rsid w:val="000E2A71"/>
    <w:rsid w:val="00145577"/>
    <w:rsid w:val="00160263"/>
    <w:rsid w:val="00181F96"/>
    <w:rsid w:val="001872B1"/>
    <w:rsid w:val="001A1371"/>
    <w:rsid w:val="001B043F"/>
    <w:rsid w:val="001B346A"/>
    <w:rsid w:val="001B3B4A"/>
    <w:rsid w:val="001D5873"/>
    <w:rsid w:val="001E1CAD"/>
    <w:rsid w:val="001E290D"/>
    <w:rsid w:val="002144FA"/>
    <w:rsid w:val="0023469A"/>
    <w:rsid w:val="002412FD"/>
    <w:rsid w:val="00243C8A"/>
    <w:rsid w:val="00267A0E"/>
    <w:rsid w:val="002901D9"/>
    <w:rsid w:val="002976C2"/>
    <w:rsid w:val="002A3ADB"/>
    <w:rsid w:val="003068BC"/>
    <w:rsid w:val="003260FF"/>
    <w:rsid w:val="00343D95"/>
    <w:rsid w:val="00363A18"/>
    <w:rsid w:val="00374341"/>
    <w:rsid w:val="003A7777"/>
    <w:rsid w:val="003D1062"/>
    <w:rsid w:val="003E0F00"/>
    <w:rsid w:val="003E6B4F"/>
    <w:rsid w:val="003F6D84"/>
    <w:rsid w:val="00400089"/>
    <w:rsid w:val="00402051"/>
    <w:rsid w:val="00420D7B"/>
    <w:rsid w:val="004471BA"/>
    <w:rsid w:val="00450B21"/>
    <w:rsid w:val="0045159E"/>
    <w:rsid w:val="00453B63"/>
    <w:rsid w:val="00455780"/>
    <w:rsid w:val="0046323F"/>
    <w:rsid w:val="004B0A1C"/>
    <w:rsid w:val="004B27E0"/>
    <w:rsid w:val="004D298E"/>
    <w:rsid w:val="005044B3"/>
    <w:rsid w:val="00517BC9"/>
    <w:rsid w:val="0054231A"/>
    <w:rsid w:val="0054472E"/>
    <w:rsid w:val="005662A9"/>
    <w:rsid w:val="005827D4"/>
    <w:rsid w:val="0058508B"/>
    <w:rsid w:val="0059622A"/>
    <w:rsid w:val="005B51C4"/>
    <w:rsid w:val="005C0061"/>
    <w:rsid w:val="005C5878"/>
    <w:rsid w:val="005C7CEA"/>
    <w:rsid w:val="005D2B82"/>
    <w:rsid w:val="005D3C0B"/>
    <w:rsid w:val="005D460C"/>
    <w:rsid w:val="005E5217"/>
    <w:rsid w:val="005F0FA4"/>
    <w:rsid w:val="005F30EE"/>
    <w:rsid w:val="005F5271"/>
    <w:rsid w:val="0060473A"/>
    <w:rsid w:val="0061236A"/>
    <w:rsid w:val="00617024"/>
    <w:rsid w:val="00621120"/>
    <w:rsid w:val="00652221"/>
    <w:rsid w:val="00656392"/>
    <w:rsid w:val="006645EC"/>
    <w:rsid w:val="0068781D"/>
    <w:rsid w:val="00687C6F"/>
    <w:rsid w:val="006959B0"/>
    <w:rsid w:val="006B3E27"/>
    <w:rsid w:val="006B6507"/>
    <w:rsid w:val="006C104C"/>
    <w:rsid w:val="006C632E"/>
    <w:rsid w:val="00717FB3"/>
    <w:rsid w:val="00730446"/>
    <w:rsid w:val="00733704"/>
    <w:rsid w:val="00734794"/>
    <w:rsid w:val="0078071A"/>
    <w:rsid w:val="00787022"/>
    <w:rsid w:val="00787E1E"/>
    <w:rsid w:val="008472D8"/>
    <w:rsid w:val="00852A9A"/>
    <w:rsid w:val="008A49D2"/>
    <w:rsid w:val="008B1E50"/>
    <w:rsid w:val="008C0B42"/>
    <w:rsid w:val="008F49E1"/>
    <w:rsid w:val="0090370F"/>
    <w:rsid w:val="009269D2"/>
    <w:rsid w:val="00942135"/>
    <w:rsid w:val="00950D62"/>
    <w:rsid w:val="009521B0"/>
    <w:rsid w:val="009543A8"/>
    <w:rsid w:val="00957437"/>
    <w:rsid w:val="009730D4"/>
    <w:rsid w:val="00982139"/>
    <w:rsid w:val="009867A8"/>
    <w:rsid w:val="00991F44"/>
    <w:rsid w:val="00996849"/>
    <w:rsid w:val="009A0CFB"/>
    <w:rsid w:val="009A7E9F"/>
    <w:rsid w:val="009C17EC"/>
    <w:rsid w:val="009E5018"/>
    <w:rsid w:val="00A03700"/>
    <w:rsid w:val="00A053F2"/>
    <w:rsid w:val="00A114A2"/>
    <w:rsid w:val="00A12B37"/>
    <w:rsid w:val="00A132E4"/>
    <w:rsid w:val="00A54828"/>
    <w:rsid w:val="00A946B8"/>
    <w:rsid w:val="00A97E1F"/>
    <w:rsid w:val="00AB512E"/>
    <w:rsid w:val="00AB6758"/>
    <w:rsid w:val="00AB727F"/>
    <w:rsid w:val="00B13763"/>
    <w:rsid w:val="00B1396B"/>
    <w:rsid w:val="00B477A4"/>
    <w:rsid w:val="00B54045"/>
    <w:rsid w:val="00B5753E"/>
    <w:rsid w:val="00B63ADD"/>
    <w:rsid w:val="00B76350"/>
    <w:rsid w:val="00BB09A0"/>
    <w:rsid w:val="00BC5EB1"/>
    <w:rsid w:val="00BD348A"/>
    <w:rsid w:val="00BE08CA"/>
    <w:rsid w:val="00BE3171"/>
    <w:rsid w:val="00C05230"/>
    <w:rsid w:val="00C175A6"/>
    <w:rsid w:val="00C41DCF"/>
    <w:rsid w:val="00C42AF7"/>
    <w:rsid w:val="00C438D7"/>
    <w:rsid w:val="00C552CA"/>
    <w:rsid w:val="00C62C20"/>
    <w:rsid w:val="00C732C3"/>
    <w:rsid w:val="00C81B50"/>
    <w:rsid w:val="00C902EF"/>
    <w:rsid w:val="00CB0011"/>
    <w:rsid w:val="00CB6622"/>
    <w:rsid w:val="00CD1801"/>
    <w:rsid w:val="00CF5008"/>
    <w:rsid w:val="00CF56F9"/>
    <w:rsid w:val="00CF65C6"/>
    <w:rsid w:val="00D00A89"/>
    <w:rsid w:val="00D10EF1"/>
    <w:rsid w:val="00D42810"/>
    <w:rsid w:val="00D60DD5"/>
    <w:rsid w:val="00D914A7"/>
    <w:rsid w:val="00DC4D4B"/>
    <w:rsid w:val="00DD13C3"/>
    <w:rsid w:val="00DD596E"/>
    <w:rsid w:val="00DD621E"/>
    <w:rsid w:val="00DE50B1"/>
    <w:rsid w:val="00DF0138"/>
    <w:rsid w:val="00DF0575"/>
    <w:rsid w:val="00E2228E"/>
    <w:rsid w:val="00E24B0E"/>
    <w:rsid w:val="00E46A9D"/>
    <w:rsid w:val="00E6596C"/>
    <w:rsid w:val="00E67BCA"/>
    <w:rsid w:val="00E70E04"/>
    <w:rsid w:val="00E77E6C"/>
    <w:rsid w:val="00E83ED5"/>
    <w:rsid w:val="00EC05A7"/>
    <w:rsid w:val="00EC4B6B"/>
    <w:rsid w:val="00EC68A5"/>
    <w:rsid w:val="00ED6F27"/>
    <w:rsid w:val="00ED7442"/>
    <w:rsid w:val="00EF1EE5"/>
    <w:rsid w:val="00EF5C43"/>
    <w:rsid w:val="00F10DAB"/>
    <w:rsid w:val="00F46D42"/>
    <w:rsid w:val="00F763B4"/>
    <w:rsid w:val="00F900C3"/>
    <w:rsid w:val="00FA04D1"/>
    <w:rsid w:val="00FC6EDD"/>
    <w:rsid w:val="00FD46E2"/>
    <w:rsid w:val="00FE502A"/>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67D716DB"/>
  <w15:docId w15:val="{2F3CD818-E756-40CB-A7C4-641814A184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120"/>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621120"/>
    <w:pPr>
      <w:bidi w:val="0"/>
      <w:outlineLvl w:val="0"/>
    </w:pPr>
  </w:style>
  <w:style w:type="paragraph" w:styleId="Heading2">
    <w:name w:val="heading 2"/>
    <w:basedOn w:val="Normal"/>
    <w:next w:val="Normal"/>
    <w:link w:val="Heading2Char"/>
    <w:uiPriority w:val="9"/>
    <w:unhideWhenUsed/>
    <w:rsid w:val="00621120"/>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621120"/>
    <w:pPr>
      <w:keepNext/>
      <w:keepLines/>
      <w:spacing w:before="200"/>
      <w:outlineLvl w:val="2"/>
    </w:pPr>
    <w:rPr>
      <w:b/>
      <w:bCs/>
      <w:color w:val="4F81BD"/>
    </w:rPr>
  </w:style>
  <w:style w:type="paragraph" w:styleId="Heading4">
    <w:name w:val="heading 4"/>
    <w:basedOn w:val="Normal"/>
    <w:next w:val="Normal"/>
    <w:link w:val="Heading4Char"/>
    <w:uiPriority w:val="9"/>
    <w:unhideWhenUsed/>
    <w:rsid w:val="00621120"/>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621120"/>
    <w:pPr>
      <w:keepNext/>
      <w:keepLines/>
      <w:spacing w:before="200"/>
      <w:outlineLvl w:val="4"/>
    </w:pPr>
    <w:rPr>
      <w:color w:val="243F60"/>
    </w:rPr>
  </w:style>
  <w:style w:type="paragraph" w:styleId="Heading6">
    <w:name w:val="heading 6"/>
    <w:basedOn w:val="Normal"/>
    <w:next w:val="Normal"/>
    <w:link w:val="Heading6Char"/>
    <w:uiPriority w:val="9"/>
    <w:unhideWhenUsed/>
    <w:rsid w:val="00621120"/>
    <w:pPr>
      <w:keepNext/>
      <w:keepLines/>
      <w:spacing w:before="200"/>
      <w:outlineLvl w:val="5"/>
    </w:pPr>
    <w:rPr>
      <w:i/>
      <w:iCs/>
      <w:color w:val="243F60"/>
    </w:rPr>
  </w:style>
  <w:style w:type="paragraph" w:styleId="Heading7">
    <w:name w:val="heading 7"/>
    <w:basedOn w:val="Normal"/>
    <w:next w:val="Normal"/>
    <w:link w:val="Heading7Char"/>
    <w:uiPriority w:val="9"/>
    <w:unhideWhenUsed/>
    <w:rsid w:val="00621120"/>
    <w:pPr>
      <w:keepNext/>
      <w:keepLines/>
      <w:spacing w:before="200"/>
      <w:outlineLvl w:val="6"/>
    </w:pPr>
    <w:rPr>
      <w:i/>
      <w:iCs/>
      <w:color w:val="404040"/>
    </w:rPr>
  </w:style>
  <w:style w:type="paragraph" w:styleId="Heading8">
    <w:name w:val="heading 8"/>
    <w:basedOn w:val="Normal"/>
    <w:next w:val="Normal"/>
    <w:link w:val="Heading8Char"/>
    <w:uiPriority w:val="9"/>
    <w:unhideWhenUsed/>
    <w:rsid w:val="00621120"/>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621120"/>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621120"/>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621120"/>
    <w:rPr>
      <w:rFonts w:ascii="Times New Roman" w:eastAsia="PMingLiU" w:hAnsi="Times New Roman" w:cs="Simplified Arabic"/>
      <w:sz w:val="18"/>
      <w:lang w:eastAsia="en-US"/>
    </w:rPr>
  </w:style>
  <w:style w:type="character" w:styleId="FootnoteReference">
    <w:name w:val="footnote reference"/>
    <w:aliases w:val="4_GA,4_G,ftref,footnote ref,16 Point,Superscript 6 Point,Fußnotenzeichen DISS,fr,BVI fnr,(NECG) Footnote Reference,Char Char Char Char Car Char,ب"/>
    <w:link w:val="Char2"/>
    <w:qFormat/>
    <w:rsid w:val="00621120"/>
    <w:rPr>
      <w:szCs w:val="18"/>
      <w:vertAlign w:val="superscript"/>
    </w:rPr>
  </w:style>
  <w:style w:type="paragraph" w:customStyle="1" w:styleId="HMGA">
    <w:name w:val="_ H __M_GA"/>
    <w:basedOn w:val="Normal"/>
    <w:next w:val="SingleTxtGA"/>
    <w:qFormat/>
    <w:rsid w:val="00621120"/>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621120"/>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621120"/>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621120"/>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621120"/>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621120"/>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621120"/>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621120"/>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621120"/>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621120"/>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621120"/>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621120"/>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621120"/>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621120"/>
    <w:pPr>
      <w:numPr>
        <w:numId w:val="5"/>
      </w:numPr>
      <w:bidi w:val="0"/>
    </w:pPr>
    <w:rPr>
      <w:lang w:val="en-US"/>
    </w:rPr>
  </w:style>
  <w:style w:type="paragraph" w:customStyle="1" w:styleId="Roman1GA">
    <w:name w:val="_Roman 1_GA"/>
    <w:basedOn w:val="Bullet1GA"/>
    <w:qFormat/>
    <w:rsid w:val="00621120"/>
    <w:pPr>
      <w:numPr>
        <w:numId w:val="6"/>
      </w:numPr>
      <w:tabs>
        <w:tab w:val="clear" w:pos="2310"/>
        <w:tab w:val="left" w:pos="2486"/>
      </w:tabs>
      <w:ind w:left="2486" w:hanging="378"/>
    </w:pPr>
  </w:style>
  <w:style w:type="paragraph" w:customStyle="1" w:styleId="Roman2GA">
    <w:name w:val="_Roman 2_GA"/>
    <w:basedOn w:val="Bullet2GA"/>
    <w:qFormat/>
    <w:rsid w:val="00621120"/>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621120"/>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621120"/>
    <w:rPr>
      <w:rFonts w:ascii="Times New Roman" w:eastAsia="PMingLiU" w:hAnsi="Times New Roman" w:cs="Simplified Arabic"/>
      <w:sz w:val="18"/>
      <w:lang w:val="en-GB" w:eastAsia="en-US"/>
    </w:rPr>
  </w:style>
  <w:style w:type="character" w:customStyle="1" w:styleId="EndtnoteReference">
    <w:name w:val="Endtnote Reference"/>
    <w:aliases w:val="1_GA"/>
    <w:qFormat/>
    <w:rsid w:val="00621120"/>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621120"/>
    <w:pPr>
      <w:suppressAutoHyphens/>
      <w:bidi w:val="0"/>
      <w:spacing w:line="240" w:lineRule="auto"/>
    </w:pPr>
    <w:rPr>
      <w:sz w:val="16"/>
      <w:lang w:val="en-GB"/>
    </w:rPr>
  </w:style>
  <w:style w:type="character" w:customStyle="1" w:styleId="FooterChar">
    <w:name w:val="Footer Char"/>
    <w:aliases w:val="3_GA Char,3_G Char"/>
    <w:link w:val="Footer"/>
    <w:rsid w:val="00621120"/>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621120"/>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621120"/>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621120"/>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621120"/>
    <w:rPr>
      <w:rFonts w:ascii="Times New Roman" w:eastAsia="PMingLiU" w:hAnsi="Times New Roman" w:cs="Simplified Arabic"/>
      <w:sz w:val="22"/>
      <w:szCs w:val="22"/>
      <w:lang w:val="en-GB" w:eastAsia="en-US"/>
    </w:rPr>
  </w:style>
  <w:style w:type="character" w:styleId="PageNumber">
    <w:name w:val="page number"/>
    <w:aliases w:val="7_GA,7_G"/>
    <w:qFormat/>
    <w:rsid w:val="00621120"/>
    <w:rPr>
      <w:rFonts w:ascii="Times New Roman Bold" w:hAnsi="Times New Roman Bold"/>
      <w:b/>
      <w:i w:val="0"/>
      <w:sz w:val="18"/>
      <w:szCs w:val="18"/>
    </w:rPr>
  </w:style>
  <w:style w:type="paragraph" w:customStyle="1" w:styleId="XXLargeGA">
    <w:name w:val="XXLarge_GA"/>
    <w:basedOn w:val="Normal"/>
    <w:next w:val="SingleTxtGA"/>
    <w:qFormat/>
    <w:rsid w:val="00621120"/>
    <w:pPr>
      <w:suppressAutoHyphens/>
      <w:spacing w:line="820" w:lineRule="exact"/>
    </w:pPr>
    <w:rPr>
      <w:spacing w:val="-8"/>
      <w:w w:val="96"/>
      <w:sz w:val="57"/>
      <w:szCs w:val="86"/>
      <w:lang w:val="en-GB"/>
    </w:rPr>
  </w:style>
  <w:style w:type="character" w:customStyle="1" w:styleId="Heading2Char">
    <w:name w:val="Heading 2 Char"/>
    <w:link w:val="Heading2"/>
    <w:uiPriority w:val="9"/>
    <w:rsid w:val="00621120"/>
    <w:rPr>
      <w:rFonts w:ascii="Times New Roman" w:eastAsia="PMingLiU" w:hAnsi="Times New Roman" w:cs="Simplified Arabic"/>
      <w:b/>
      <w:bCs/>
      <w:color w:val="4F81BD"/>
      <w:sz w:val="26"/>
      <w:szCs w:val="26"/>
      <w:lang w:eastAsia="en-US"/>
    </w:rPr>
  </w:style>
  <w:style w:type="character" w:styleId="BookTitle">
    <w:name w:val="Book Title"/>
    <w:uiPriority w:val="33"/>
    <w:rsid w:val="00621120"/>
    <w:rPr>
      <w:b/>
      <w:bCs/>
      <w:smallCaps/>
      <w:spacing w:val="5"/>
    </w:rPr>
  </w:style>
  <w:style w:type="character" w:customStyle="1" w:styleId="Heading3Char">
    <w:name w:val="Heading 3 Char"/>
    <w:link w:val="Heading3"/>
    <w:uiPriority w:val="9"/>
    <w:rsid w:val="00621120"/>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621120"/>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621120"/>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621120"/>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621120"/>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621120"/>
    <w:rPr>
      <w:rFonts w:ascii="Times New Roman" w:eastAsia="PMingLiU" w:hAnsi="Times New Roman" w:cs="Simplified Arabic"/>
      <w:color w:val="404040"/>
      <w:lang w:eastAsia="en-US"/>
    </w:rPr>
  </w:style>
  <w:style w:type="character" w:customStyle="1" w:styleId="Heading9Char">
    <w:name w:val="Heading 9 Char"/>
    <w:link w:val="Heading9"/>
    <w:uiPriority w:val="9"/>
    <w:rsid w:val="00621120"/>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621120"/>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621120"/>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621120"/>
    <w:pPr>
      <w:numPr>
        <w:ilvl w:val="1"/>
      </w:numPr>
    </w:pPr>
    <w:rPr>
      <w:i/>
      <w:iCs/>
      <w:color w:val="4F81BD"/>
      <w:spacing w:val="15"/>
      <w:sz w:val="24"/>
      <w:szCs w:val="24"/>
    </w:rPr>
  </w:style>
  <w:style w:type="character" w:customStyle="1" w:styleId="SubtitleChar">
    <w:name w:val="Subtitle Char"/>
    <w:link w:val="Subtitle"/>
    <w:uiPriority w:val="11"/>
    <w:rsid w:val="00621120"/>
    <w:rPr>
      <w:rFonts w:ascii="Times New Roman" w:eastAsia="PMingLiU" w:hAnsi="Times New Roman" w:cs="Simplified Arabic"/>
      <w:i/>
      <w:iCs/>
      <w:color w:val="4F81BD"/>
      <w:spacing w:val="15"/>
      <w:sz w:val="24"/>
      <w:szCs w:val="24"/>
      <w:lang w:eastAsia="en-US"/>
    </w:rPr>
  </w:style>
  <w:style w:type="character" w:styleId="SubtleEmphasis">
    <w:name w:val="Subtle Emphasis"/>
    <w:uiPriority w:val="19"/>
    <w:rsid w:val="00621120"/>
    <w:rPr>
      <w:i/>
      <w:iCs/>
      <w:color w:val="808080"/>
    </w:rPr>
  </w:style>
  <w:style w:type="table" w:styleId="ColorfulGrid-Accent6">
    <w:name w:val="Colorful Grid Accent 6"/>
    <w:basedOn w:val="TableNormal"/>
    <w:uiPriority w:val="73"/>
    <w:rsid w:val="00621120"/>
    <w:rPr>
      <w:rFonts w:eastAsia="PMingLiU"/>
      <w:color w:val="00000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621120"/>
    <w:rPr>
      <w:i/>
      <w:iCs/>
    </w:rPr>
  </w:style>
  <w:style w:type="character" w:styleId="IntenseEmphasis">
    <w:name w:val="Intense Emphasis"/>
    <w:uiPriority w:val="21"/>
    <w:rsid w:val="00621120"/>
    <w:rPr>
      <w:b/>
      <w:bCs/>
      <w:i/>
      <w:iCs/>
      <w:color w:val="4F81BD"/>
    </w:rPr>
  </w:style>
  <w:style w:type="character" w:styleId="Strong">
    <w:name w:val="Strong"/>
    <w:uiPriority w:val="22"/>
    <w:rsid w:val="00621120"/>
    <w:rPr>
      <w:b/>
      <w:bCs/>
    </w:rPr>
  </w:style>
  <w:style w:type="paragraph" w:styleId="Quote">
    <w:name w:val="Quote"/>
    <w:basedOn w:val="Normal"/>
    <w:next w:val="Normal"/>
    <w:link w:val="QuoteChar"/>
    <w:uiPriority w:val="29"/>
    <w:rsid w:val="00621120"/>
    <w:rPr>
      <w:i/>
      <w:iCs/>
      <w:color w:val="000000"/>
    </w:rPr>
  </w:style>
  <w:style w:type="character" w:customStyle="1" w:styleId="QuoteChar">
    <w:name w:val="Quote Char"/>
    <w:link w:val="Quote"/>
    <w:uiPriority w:val="29"/>
    <w:rsid w:val="00621120"/>
    <w:rPr>
      <w:rFonts w:ascii="Times New Roman" w:eastAsia="PMingLiU" w:hAnsi="Times New Roman" w:cs="Simplified Arabic"/>
      <w:i/>
      <w:iCs/>
      <w:color w:val="000000"/>
      <w:szCs w:val="22"/>
      <w:lang w:eastAsia="en-US"/>
    </w:rPr>
  </w:style>
  <w:style w:type="paragraph" w:styleId="IntenseQuote">
    <w:name w:val="Intense Quote"/>
    <w:basedOn w:val="Normal"/>
    <w:next w:val="Normal"/>
    <w:link w:val="IntenseQuoteChar"/>
    <w:uiPriority w:val="30"/>
    <w:rsid w:val="00621120"/>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621120"/>
    <w:rPr>
      <w:rFonts w:ascii="Times New Roman" w:eastAsia="PMingLiU" w:hAnsi="Times New Roman" w:cs="Simplified Arabic"/>
      <w:b/>
      <w:bCs/>
      <w:i/>
      <w:iCs/>
      <w:color w:val="4F81BD"/>
      <w:szCs w:val="22"/>
      <w:lang w:eastAsia="en-US"/>
    </w:rPr>
  </w:style>
  <w:style w:type="character" w:styleId="SubtleReference">
    <w:name w:val="Subtle Reference"/>
    <w:uiPriority w:val="31"/>
    <w:rsid w:val="00621120"/>
    <w:rPr>
      <w:smallCaps/>
      <w:color w:val="C0504D"/>
      <w:u w:val="single"/>
    </w:rPr>
  </w:style>
  <w:style w:type="character" w:styleId="IntenseReference">
    <w:name w:val="Intense Reference"/>
    <w:uiPriority w:val="32"/>
    <w:rsid w:val="00621120"/>
    <w:rPr>
      <w:b/>
      <w:bCs/>
      <w:smallCaps/>
      <w:color w:val="C0504D"/>
      <w:spacing w:val="5"/>
      <w:u w:val="single"/>
    </w:rPr>
  </w:style>
  <w:style w:type="paragraph" w:styleId="ListParagraph">
    <w:name w:val="List Paragraph"/>
    <w:basedOn w:val="Normal"/>
    <w:uiPriority w:val="34"/>
    <w:rsid w:val="00621120"/>
    <w:pPr>
      <w:ind w:left="720"/>
      <w:contextualSpacing/>
    </w:pPr>
  </w:style>
  <w:style w:type="table" w:styleId="MediumShading1-Accent4">
    <w:name w:val="Medium Shading 1 Accent 4"/>
    <w:basedOn w:val="TableNormal"/>
    <w:uiPriority w:val="63"/>
    <w:rsid w:val="00621120"/>
    <w:rPr>
      <w:rFonts w:eastAsia="PMingLiU"/>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621120"/>
    <w:rPr>
      <w:rFonts w:eastAsia="MS Mincho"/>
      <w:sz w:val="18"/>
      <w:vertAlign w:val="superscript"/>
    </w:rPr>
  </w:style>
  <w:style w:type="table" w:styleId="TableGrid">
    <w:name w:val="Table Grid"/>
    <w:basedOn w:val="TableNormal"/>
    <w:rsid w:val="00621120"/>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21120"/>
    <w:pPr>
      <w:spacing w:line="240" w:lineRule="auto"/>
    </w:pPr>
    <w:rPr>
      <w:sz w:val="16"/>
      <w:szCs w:val="16"/>
    </w:rPr>
  </w:style>
  <w:style w:type="character" w:customStyle="1" w:styleId="BalloonTextChar">
    <w:name w:val="Balloon Text Char"/>
    <w:link w:val="BalloonText"/>
    <w:uiPriority w:val="99"/>
    <w:semiHidden/>
    <w:rsid w:val="00621120"/>
    <w:rPr>
      <w:rFonts w:ascii="Times New Roman" w:eastAsia="PMingLiU" w:hAnsi="Times New Roman" w:cs="Simplified Arabic"/>
      <w:sz w:val="16"/>
      <w:szCs w:val="16"/>
      <w:lang w:eastAsia="en-US"/>
    </w:rPr>
  </w:style>
  <w:style w:type="character" w:styleId="Hyperlink">
    <w:name w:val="Hyperlink"/>
    <w:uiPriority w:val="99"/>
    <w:unhideWhenUsed/>
    <w:rsid w:val="00621120"/>
    <w:rPr>
      <w:color w:val="0000FF"/>
      <w:u w:val="none"/>
    </w:rPr>
  </w:style>
  <w:style w:type="paragraph" w:styleId="TOC1">
    <w:name w:val="toc 1"/>
    <w:basedOn w:val="Normal"/>
    <w:link w:val="TOC1Char"/>
    <w:autoRedefine/>
    <w:uiPriority w:val="39"/>
    <w:unhideWhenUsed/>
    <w:rsid w:val="00621120"/>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621120"/>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621120"/>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621120"/>
    <w:rPr>
      <w:rFonts w:eastAsia="DengXian"/>
      <w:color w:val="auto"/>
      <w:sz w:val="20"/>
      <w:szCs w:val="20"/>
      <w:u w:val="none"/>
      <w:lang w:eastAsia="zh-CN" w:bidi="ar-EG"/>
    </w:rPr>
  </w:style>
  <w:style w:type="paragraph" w:styleId="TOC4">
    <w:name w:val="toc 4"/>
    <w:basedOn w:val="Normal"/>
    <w:link w:val="TOC4Char"/>
    <w:autoRedefine/>
    <w:uiPriority w:val="39"/>
    <w:unhideWhenUsed/>
    <w:rsid w:val="00621120"/>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621120"/>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621120"/>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621120"/>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Cs w:val="28"/>
      <w:lang w:eastAsia="en-US"/>
    </w:rPr>
  </w:style>
  <w:style w:type="table" w:customStyle="1" w:styleId="TABLEA">
    <w:name w:val="TABLE_A"/>
    <w:basedOn w:val="TableNormal"/>
    <w:uiPriority w:val="99"/>
    <w:rsid w:val="00621120"/>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621120"/>
    <w:rPr>
      <w:rFonts w:ascii="Times New Roman" w:eastAsia="PMingLiU" w:hAnsi="Times New Roman" w:cs="Simplified Arabic"/>
      <w:sz w:val="22"/>
      <w:szCs w:val="22"/>
      <w:lang w:val="en-GB" w:eastAsia="en-US"/>
    </w:rPr>
  </w:style>
  <w:style w:type="character" w:styleId="UnresolvedMention">
    <w:name w:val="Unresolved Mention"/>
    <w:basedOn w:val="DefaultParagraphFont"/>
    <w:uiPriority w:val="99"/>
    <w:semiHidden/>
    <w:unhideWhenUsed/>
    <w:rsid w:val="00621120"/>
    <w:rPr>
      <w:color w:val="605E5C"/>
      <w:shd w:val="clear" w:color="auto" w:fill="E1DFDD"/>
    </w:rPr>
  </w:style>
  <w:style w:type="character" w:customStyle="1" w:styleId="TOC1Char">
    <w:name w:val="TOC 1 Char"/>
    <w:basedOn w:val="DefaultParagraphFont"/>
    <w:link w:val="TOC1"/>
    <w:uiPriority w:val="39"/>
    <w:rsid w:val="00621120"/>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621120"/>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621120"/>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621120"/>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621120"/>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621120"/>
    <w:rPr>
      <w:rFonts w:ascii="Times New Roman" w:eastAsia="PMingLiU" w:hAnsi="Times New Roman" w:cs="Simplified Arabic"/>
      <w:lang w:val="en-GB" w:eastAsia="en-US"/>
    </w:rPr>
  </w:style>
  <w:style w:type="paragraph" w:customStyle="1" w:styleId="SessionDate">
    <w:name w:val="Session_Date"/>
    <w:basedOn w:val="Normal"/>
    <w:qFormat/>
    <w:rsid w:val="00621120"/>
    <w:pPr>
      <w:spacing w:before="240" w:after="240" w:line="460" w:lineRule="exact"/>
      <w:ind w:left="1247"/>
    </w:pPr>
    <w:rPr>
      <w:b/>
      <w:bCs/>
      <w:sz w:val="32"/>
      <w:szCs w:val="44"/>
    </w:rPr>
  </w:style>
  <w:style w:type="paragraph" w:customStyle="1" w:styleId="SessionNumber">
    <w:name w:val="Session_Number"/>
    <w:basedOn w:val="Normal"/>
    <w:qFormat/>
    <w:rsid w:val="00621120"/>
    <w:pPr>
      <w:spacing w:line="480" w:lineRule="exact"/>
      <w:ind w:left="1247"/>
    </w:pPr>
    <w:rPr>
      <w:b/>
      <w:bCs/>
      <w:sz w:val="28"/>
      <w:szCs w:val="38"/>
    </w:rPr>
  </w:style>
  <w:style w:type="paragraph" w:customStyle="1" w:styleId="CityandYear">
    <w:name w:val="City and Year"/>
    <w:basedOn w:val="SingleTxtGA"/>
    <w:qFormat/>
    <w:rsid w:val="00621120"/>
    <w:pPr>
      <w:spacing w:line="480" w:lineRule="exact"/>
    </w:pPr>
    <w:rPr>
      <w:b/>
      <w:bCs/>
      <w:sz w:val="30"/>
      <w:szCs w:val="38"/>
      <w:lang w:eastAsia="ar-SA"/>
    </w:rPr>
  </w:style>
  <w:style w:type="paragraph" w:customStyle="1" w:styleId="NormalA">
    <w:name w:val="Normal_A"/>
    <w:basedOn w:val="Normal"/>
    <w:qFormat/>
    <w:rsid w:val="00621120"/>
  </w:style>
  <w:style w:type="paragraph" w:customStyle="1" w:styleId="H1G">
    <w:name w:val="_ H_1_G"/>
    <w:basedOn w:val="Normal"/>
    <w:next w:val="Normal"/>
    <w:qFormat/>
    <w:rsid w:val="00621120"/>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621120"/>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qFormat/>
    <w:rsid w:val="00621120"/>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621120"/>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621120"/>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621120"/>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621120"/>
    <w:rPr>
      <w:sz w:val="44"/>
      <w:szCs w:val="44"/>
      <w:lang w:val="en-US" w:bidi="ar-DZ"/>
    </w:rPr>
  </w:style>
  <w:style w:type="paragraph" w:customStyle="1" w:styleId="FootnoteGA0">
    <w:name w:val="Footnote_GA"/>
    <w:basedOn w:val="Normal"/>
    <w:qFormat/>
    <w:rsid w:val="00621120"/>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621120"/>
    <w:pPr>
      <w:keepNext/>
      <w:keepLines/>
      <w:spacing w:after="120" w:line="400" w:lineRule="exact"/>
      <w:outlineLvl w:val="0"/>
    </w:pPr>
    <w:rPr>
      <w:b/>
      <w:bCs/>
      <w:kern w:val="14"/>
      <w:sz w:val="24"/>
      <w:szCs w:val="32"/>
    </w:rPr>
  </w:style>
  <w:style w:type="paragraph" w:customStyle="1" w:styleId="HCh">
    <w:name w:val="_ H _Ch"/>
    <w:basedOn w:val="H1"/>
    <w:next w:val="SingleTxt"/>
    <w:qFormat/>
    <w:rsid w:val="00621120"/>
    <w:pPr>
      <w:spacing w:line="440" w:lineRule="exact"/>
    </w:pPr>
    <w:rPr>
      <w:spacing w:val="-2"/>
      <w:sz w:val="28"/>
      <w:szCs w:val="36"/>
    </w:rPr>
  </w:style>
  <w:style w:type="character" w:styleId="CommentReference">
    <w:name w:val="annotation reference"/>
    <w:uiPriority w:val="99"/>
    <w:semiHidden/>
    <w:rsid w:val="00621120"/>
    <w:rPr>
      <w:sz w:val="6"/>
      <w:szCs w:val="9"/>
    </w:rPr>
  </w:style>
  <w:style w:type="paragraph" w:customStyle="1" w:styleId="HM">
    <w:name w:val="_ H __M"/>
    <w:basedOn w:val="HCh"/>
    <w:next w:val="Normal"/>
    <w:qFormat/>
    <w:rsid w:val="00621120"/>
    <w:pPr>
      <w:suppressAutoHyphens/>
      <w:spacing w:line="520" w:lineRule="exact"/>
    </w:pPr>
    <w:rPr>
      <w:spacing w:val="-3"/>
      <w:sz w:val="34"/>
      <w:szCs w:val="48"/>
    </w:rPr>
  </w:style>
  <w:style w:type="paragraph" w:customStyle="1" w:styleId="SingleTxt">
    <w:name w:val="__Single Txt"/>
    <w:basedOn w:val="Normal"/>
    <w:qFormat/>
    <w:rsid w:val="00621120"/>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621120"/>
    <w:pPr>
      <w:suppressAutoHyphens/>
      <w:spacing w:line="360" w:lineRule="exact"/>
      <w:outlineLvl w:val="1"/>
    </w:pPr>
    <w:rPr>
      <w:spacing w:val="2"/>
      <w:sz w:val="20"/>
      <w:szCs w:val="28"/>
    </w:rPr>
  </w:style>
  <w:style w:type="paragraph" w:customStyle="1" w:styleId="H4">
    <w:name w:val="_ H_4"/>
    <w:basedOn w:val="Normal"/>
    <w:next w:val="Normal"/>
    <w:qFormat/>
    <w:rsid w:val="00621120"/>
    <w:pPr>
      <w:keepNext/>
      <w:keepLines/>
      <w:spacing w:after="120" w:line="360" w:lineRule="exact"/>
      <w:outlineLvl w:val="3"/>
    </w:pPr>
    <w:rPr>
      <w:i/>
      <w:iCs/>
      <w:kern w:val="14"/>
      <w:szCs w:val="28"/>
    </w:rPr>
  </w:style>
  <w:style w:type="paragraph" w:customStyle="1" w:styleId="H56">
    <w:name w:val="_ H_5/6"/>
    <w:basedOn w:val="Normal"/>
    <w:next w:val="Normal"/>
    <w:qFormat/>
    <w:rsid w:val="00621120"/>
    <w:pPr>
      <w:keepNext/>
      <w:keepLines/>
      <w:spacing w:after="120" w:line="360" w:lineRule="exact"/>
      <w:outlineLvl w:val="4"/>
    </w:pPr>
    <w:rPr>
      <w:kern w:val="14"/>
      <w:szCs w:val="28"/>
    </w:rPr>
  </w:style>
  <w:style w:type="paragraph" w:customStyle="1" w:styleId="DualTxt">
    <w:name w:val="__Dual Txt"/>
    <w:basedOn w:val="Normal"/>
    <w:qFormat/>
    <w:rsid w:val="00621120"/>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621120"/>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621120"/>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621120"/>
    <w:pPr>
      <w:spacing w:after="120" w:line="440" w:lineRule="exact"/>
      <w:jc w:val="center"/>
    </w:pPr>
    <w:rPr>
      <w:b/>
      <w:bCs/>
      <w:sz w:val="25"/>
      <w:szCs w:val="38"/>
    </w:rPr>
  </w:style>
  <w:style w:type="paragraph" w:customStyle="1" w:styleId="JH1">
    <w:name w:val="J_H_1"/>
    <w:basedOn w:val="JCH"/>
    <w:qFormat/>
    <w:rsid w:val="00621120"/>
    <w:pPr>
      <w:spacing w:line="420" w:lineRule="exact"/>
    </w:pPr>
    <w:rPr>
      <w:sz w:val="23"/>
      <w:szCs w:val="34"/>
    </w:rPr>
  </w:style>
  <w:style w:type="paragraph" w:customStyle="1" w:styleId="JH2">
    <w:name w:val="J_H_2"/>
    <w:basedOn w:val="JH1"/>
    <w:qFormat/>
    <w:rsid w:val="00621120"/>
    <w:pPr>
      <w:spacing w:line="400" w:lineRule="exact"/>
    </w:pPr>
    <w:rPr>
      <w:sz w:val="20"/>
      <w:szCs w:val="30"/>
    </w:rPr>
  </w:style>
  <w:style w:type="paragraph" w:customStyle="1" w:styleId="JSmall">
    <w:name w:val="J_Small"/>
    <w:basedOn w:val="JSingleTxt"/>
    <w:next w:val="JSingleTxt"/>
    <w:qFormat/>
    <w:rsid w:val="00621120"/>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621120"/>
    <w:pPr>
      <w:tabs>
        <w:tab w:val="right" w:leader="dot" w:pos="360"/>
      </w:tabs>
      <w:spacing w:line="310" w:lineRule="exact"/>
      <w:jc w:val="right"/>
    </w:pPr>
    <w:rPr>
      <w:spacing w:val="5"/>
      <w:w w:val="104"/>
      <w:kern w:val="14"/>
      <w:sz w:val="17"/>
      <w:szCs w:val="25"/>
    </w:rPr>
  </w:style>
  <w:style w:type="character" w:styleId="LineNumber">
    <w:name w:val="line number"/>
    <w:qFormat/>
    <w:rsid w:val="00621120"/>
    <w:rPr>
      <w:sz w:val="14"/>
      <w:szCs w:val="16"/>
    </w:rPr>
  </w:style>
  <w:style w:type="paragraph" w:customStyle="1" w:styleId="SmallX">
    <w:name w:val="SmallX"/>
    <w:basedOn w:val="Small"/>
    <w:next w:val="Normal"/>
    <w:qFormat/>
    <w:rsid w:val="00621120"/>
    <w:pPr>
      <w:spacing w:line="240" w:lineRule="exact"/>
    </w:pPr>
    <w:rPr>
      <w:spacing w:val="6"/>
      <w:w w:val="106"/>
      <w:sz w:val="14"/>
      <w:szCs w:val="21"/>
    </w:rPr>
  </w:style>
  <w:style w:type="paragraph" w:customStyle="1" w:styleId="XLarge">
    <w:name w:val="XLarge"/>
    <w:basedOn w:val="HM"/>
    <w:qFormat/>
    <w:rsid w:val="00621120"/>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621120"/>
    <w:pPr>
      <w:spacing w:line="820" w:lineRule="exact"/>
    </w:pPr>
    <w:rPr>
      <w:spacing w:val="-8"/>
      <w:w w:val="96"/>
      <w:sz w:val="57"/>
      <w:szCs w:val="86"/>
    </w:rPr>
  </w:style>
  <w:style w:type="paragraph" w:customStyle="1" w:styleId="Distribution">
    <w:name w:val="Distribution"/>
    <w:basedOn w:val="Normal"/>
    <w:next w:val="Normal"/>
    <w:qFormat/>
    <w:rsid w:val="00621120"/>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621120"/>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621120"/>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621120"/>
    <w:pPr>
      <w:tabs>
        <w:tab w:val="center" w:pos="4320"/>
        <w:tab w:val="right" w:pos="8640"/>
      </w:tabs>
      <w:spacing w:line="210" w:lineRule="exact"/>
      <w:jc w:val="right"/>
    </w:pPr>
    <w:rPr>
      <w:rFonts w:ascii="Times New Roman" w:eastAsia="PMingLiU" w:hAnsi="Times New Roman" w:cs="Simplified Arabic"/>
      <w:w w:val="103"/>
      <w:kern w:val="14"/>
      <w:szCs w:val="30"/>
      <w:lang w:eastAsia="en-US"/>
    </w:rPr>
  </w:style>
  <w:style w:type="paragraph" w:customStyle="1" w:styleId="Session">
    <w:name w:val="Session"/>
    <w:basedOn w:val="H23"/>
    <w:qFormat/>
    <w:rsid w:val="00621120"/>
    <w:pPr>
      <w:tabs>
        <w:tab w:val="left" w:pos="662"/>
        <w:tab w:val="left" w:pos="1267"/>
        <w:tab w:val="left" w:pos="1987"/>
        <w:tab w:val="left" w:pos="2650"/>
      </w:tabs>
      <w:spacing w:after="0"/>
      <w:ind w:left="662" w:hanging="662"/>
    </w:pPr>
  </w:style>
  <w:style w:type="paragraph" w:customStyle="1" w:styleId="Committee">
    <w:name w:val="Committee"/>
    <w:basedOn w:val="H1"/>
    <w:qFormat/>
    <w:rsid w:val="00621120"/>
    <w:pPr>
      <w:tabs>
        <w:tab w:val="left" w:pos="662"/>
        <w:tab w:val="left" w:pos="1267"/>
        <w:tab w:val="left" w:pos="1987"/>
        <w:tab w:val="left" w:pos="2650"/>
      </w:tabs>
      <w:ind w:right="1264"/>
    </w:pPr>
  </w:style>
  <w:style w:type="paragraph" w:customStyle="1" w:styleId="AgendaItemNormal">
    <w:name w:val="Agenda_Item_Normal"/>
    <w:next w:val="Normal"/>
    <w:qFormat/>
    <w:rsid w:val="00621120"/>
    <w:pPr>
      <w:spacing w:line="360" w:lineRule="exact"/>
      <w:jc w:val="both"/>
    </w:pPr>
    <w:rPr>
      <w:rFonts w:ascii="Times New Roman" w:eastAsia="PMingLiU" w:hAnsi="Times New Roman" w:cs="Simplified Arabic"/>
      <w:w w:val="103"/>
      <w:kern w:val="14"/>
      <w:szCs w:val="28"/>
      <w:lang w:eastAsia="en-US"/>
    </w:rPr>
  </w:style>
  <w:style w:type="paragraph" w:customStyle="1" w:styleId="Sponsors">
    <w:name w:val="Sponsors"/>
    <w:basedOn w:val="H23"/>
    <w:next w:val="Normal"/>
    <w:qFormat/>
    <w:rsid w:val="00621120"/>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621120"/>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621120"/>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621120"/>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621120"/>
    <w:rPr>
      <w:i w:val="0"/>
      <w:color w:val="0000FF"/>
      <w:u w:val="none"/>
    </w:rPr>
  </w:style>
  <w:style w:type="paragraph" w:customStyle="1" w:styleId="Bullet1">
    <w:name w:val="Bullet 1"/>
    <w:basedOn w:val="Normal"/>
    <w:qFormat/>
    <w:rsid w:val="00621120"/>
    <w:pPr>
      <w:numPr>
        <w:numId w:val="18"/>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621120"/>
    <w:pPr>
      <w:numPr>
        <w:numId w:val="19"/>
      </w:numPr>
      <w:spacing w:after="120" w:line="360" w:lineRule="exact"/>
      <w:ind w:right="1264"/>
    </w:pPr>
    <w:rPr>
      <w:kern w:val="14"/>
      <w:szCs w:val="28"/>
    </w:rPr>
  </w:style>
  <w:style w:type="paragraph" w:customStyle="1" w:styleId="Bullet3">
    <w:name w:val="Bullet 3"/>
    <w:basedOn w:val="SingleTxt"/>
    <w:qFormat/>
    <w:rsid w:val="00621120"/>
    <w:pPr>
      <w:numPr>
        <w:numId w:val="20"/>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621120"/>
    <w:pPr>
      <w:ind w:right="5760"/>
      <w:outlineLvl w:val="1"/>
    </w:pPr>
    <w:rPr>
      <w:spacing w:val="2"/>
      <w:sz w:val="20"/>
      <w:szCs w:val="28"/>
    </w:rPr>
  </w:style>
  <w:style w:type="paragraph" w:customStyle="1" w:styleId="STitleM">
    <w:name w:val="S_Title_M"/>
    <w:basedOn w:val="Normal"/>
    <w:next w:val="Normal"/>
    <w:qFormat/>
    <w:rsid w:val="00621120"/>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621120"/>
    <w:pPr>
      <w:spacing w:line="600" w:lineRule="exact"/>
      <w:ind w:left="1267" w:right="1267"/>
    </w:pPr>
    <w:rPr>
      <w:w w:val="103"/>
      <w:sz w:val="60"/>
      <w:szCs w:val="60"/>
    </w:rPr>
  </w:style>
  <w:style w:type="paragraph" w:customStyle="1" w:styleId="STitleL">
    <w:name w:val="S_Title_L"/>
    <w:basedOn w:val="XLarge"/>
    <w:next w:val="Normal"/>
    <w:qFormat/>
    <w:rsid w:val="00621120"/>
    <w:rPr>
      <w:spacing w:val="-8"/>
      <w:w w:val="96"/>
      <w:sz w:val="57"/>
    </w:rPr>
  </w:style>
  <w:style w:type="paragraph" w:styleId="CommentText">
    <w:name w:val="annotation text"/>
    <w:basedOn w:val="Normal"/>
    <w:link w:val="CommentTextChar"/>
    <w:uiPriority w:val="99"/>
    <w:semiHidden/>
    <w:unhideWhenUsed/>
    <w:rsid w:val="00621120"/>
    <w:pPr>
      <w:spacing w:line="240" w:lineRule="auto"/>
    </w:pPr>
    <w:rPr>
      <w:kern w:val="14"/>
    </w:rPr>
  </w:style>
  <w:style w:type="character" w:customStyle="1" w:styleId="CommentTextChar">
    <w:name w:val="Comment Text Char"/>
    <w:basedOn w:val="DefaultParagraphFont"/>
    <w:link w:val="CommentText"/>
    <w:uiPriority w:val="99"/>
    <w:semiHidden/>
    <w:rsid w:val="00621120"/>
    <w:rPr>
      <w:rFonts w:ascii="Times New Roman" w:eastAsia="PMingLiU" w:hAnsi="Times New Roman" w:cs="Simplified Arabic"/>
      <w:kern w:val="14"/>
      <w:szCs w:val="22"/>
      <w:lang w:eastAsia="en-US"/>
    </w:rPr>
  </w:style>
  <w:style w:type="paragraph" w:styleId="CommentSubject">
    <w:name w:val="annotation subject"/>
    <w:basedOn w:val="CommentText"/>
    <w:next w:val="CommentText"/>
    <w:link w:val="CommentSubjectChar"/>
    <w:uiPriority w:val="99"/>
    <w:semiHidden/>
    <w:unhideWhenUsed/>
    <w:rsid w:val="00621120"/>
    <w:rPr>
      <w:b/>
      <w:bCs/>
    </w:rPr>
  </w:style>
  <w:style w:type="character" w:customStyle="1" w:styleId="CommentSubjectChar">
    <w:name w:val="Comment Subject Char"/>
    <w:basedOn w:val="CommentTextChar"/>
    <w:link w:val="CommentSubject"/>
    <w:uiPriority w:val="99"/>
    <w:semiHidden/>
    <w:rsid w:val="00621120"/>
    <w:rPr>
      <w:rFonts w:ascii="Times New Roman" w:eastAsia="PMingLiU" w:hAnsi="Times New Roman" w:cs="Simplified Arabic"/>
      <w:b/>
      <w:bCs/>
      <w:kern w:val="14"/>
      <w:szCs w:val="22"/>
      <w:lang w:eastAsia="en-US"/>
    </w:rPr>
  </w:style>
  <w:style w:type="paragraph" w:customStyle="1" w:styleId="Bullet1G">
    <w:name w:val="_Bullet 1_G"/>
    <w:basedOn w:val="Normal"/>
    <w:qFormat/>
    <w:rsid w:val="00621120"/>
    <w:pPr>
      <w:numPr>
        <w:numId w:val="21"/>
      </w:numPr>
      <w:bidi w:val="0"/>
      <w:spacing w:after="120"/>
      <w:ind w:right="1134"/>
      <w:jc w:val="both"/>
    </w:pPr>
    <w:rPr>
      <w:sz w:val="22"/>
    </w:rPr>
  </w:style>
  <w:style w:type="character" w:customStyle="1" w:styleId="SingleTxtGChar">
    <w:name w:val="_ Single Txt_G Char"/>
    <w:link w:val="SingleTxtG"/>
    <w:rsid w:val="00621120"/>
    <w:rPr>
      <w:rFonts w:ascii="Times New Roman" w:eastAsia="PMingLiU" w:hAnsi="Times New Roman" w:cs="Simplified Arabic"/>
      <w:lang w:val="en-GB" w:eastAsia="en-US"/>
    </w:rPr>
  </w:style>
  <w:style w:type="paragraph" w:customStyle="1" w:styleId="Preparedby">
    <w:name w:val="Prepared by:"/>
    <w:basedOn w:val="H23GA"/>
    <w:qFormat/>
    <w:rsid w:val="00621120"/>
    <w:rPr>
      <w:sz w:val="32"/>
      <w:szCs w:val="32"/>
    </w:rPr>
  </w:style>
  <w:style w:type="paragraph" w:customStyle="1" w:styleId="ParaNoG">
    <w:name w:val="_ParaNo._G"/>
    <w:basedOn w:val="SingleTxtG"/>
    <w:rsid w:val="00621120"/>
    <w:pPr>
      <w:numPr>
        <w:numId w:val="28"/>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621120"/>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621120"/>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621120"/>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621120"/>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621120"/>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621120"/>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621120"/>
    <w:pPr>
      <w:numPr>
        <w:numId w:val="24"/>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621120"/>
    <w:rPr>
      <w:rFonts w:asciiTheme="minorHAnsi" w:eastAsiaTheme="minorEastAsia" w:hAnsiTheme="minorHAnsi" w:cstheme="minorBidi"/>
      <w:sz w:val="24"/>
      <w:szCs w:val="24"/>
      <w:lang w:val="fr-FR" w:eastAsia="fr-FR"/>
    </w:rPr>
  </w:style>
  <w:style w:type="paragraph" w:customStyle="1" w:styleId="Default">
    <w:name w:val="Default"/>
    <w:semiHidden/>
    <w:rsid w:val="00621120"/>
    <w:pPr>
      <w:autoSpaceDE w:val="0"/>
      <w:autoSpaceDN w:val="0"/>
      <w:adjustRightInd w:val="0"/>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621120"/>
  </w:style>
  <w:style w:type="character" w:customStyle="1" w:styleId="preferred">
    <w:name w:val="preferred"/>
    <w:basedOn w:val="DefaultParagraphFont"/>
    <w:rsid w:val="00621120"/>
  </w:style>
  <w:style w:type="character" w:customStyle="1" w:styleId="admitted">
    <w:name w:val="admitted"/>
    <w:basedOn w:val="DefaultParagraphFont"/>
    <w:rsid w:val="00621120"/>
  </w:style>
  <w:style w:type="paragraph" w:styleId="TOC7">
    <w:name w:val="toc 7"/>
    <w:basedOn w:val="Normal"/>
    <w:next w:val="Normal"/>
    <w:autoRedefine/>
    <w:uiPriority w:val="39"/>
    <w:unhideWhenUsed/>
    <w:rsid w:val="00996849"/>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96849"/>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96849"/>
    <w:pPr>
      <w:spacing w:after="100" w:line="259" w:lineRule="auto"/>
      <w:ind w:left="1760"/>
      <w:jc w:val="left"/>
    </w:pPr>
    <w:rPr>
      <w:rFonts w:asciiTheme="minorHAnsi" w:eastAsiaTheme="minorEastAsia" w:hAnsiTheme="minorHAnsi" w:cstheme="minorBidi"/>
      <w:sz w:val="22"/>
      <w:lang w:eastAsia="zh-CN"/>
    </w:rPr>
  </w:style>
  <w:style w:type="paragraph" w:customStyle="1" w:styleId="Char2">
    <w:name w:val="Char2"/>
    <w:basedOn w:val="Normal"/>
    <w:link w:val="FootnoteReference"/>
    <w:rsid w:val="00621120"/>
    <w:pPr>
      <w:bidi w:val="0"/>
      <w:spacing w:after="160" w:line="240" w:lineRule="exact"/>
      <w:jc w:val="both"/>
    </w:pPr>
    <w:rPr>
      <w:rFonts w:ascii="Calibri" w:eastAsia="Times New Roman" w:hAnsi="Calibri" w:cs="Arial"/>
      <w:szCs w:val="18"/>
      <w:vertAlign w:val="superscript"/>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ar/CCPR/C/DEU/CO/6&#1548;" TargetMode="External"/><Relationship Id="rId3" Type="http://schemas.openxmlformats.org/officeDocument/2006/relationships/hyperlink" Target="http://undocs.org/ar/CCPR/C/SR.3802" TargetMode="External"/><Relationship Id="rId7" Type="http://schemas.openxmlformats.org/officeDocument/2006/relationships/hyperlink" Target="https://www.bundesverfassungsgericht.de/SharedDocs/Entscheidungen/EN/2021/03/rs20210324_1bvr265618en.html" TargetMode="External"/><Relationship Id="rId2" Type="http://schemas.openxmlformats.org/officeDocument/2006/relationships/hyperlink" Target="http://undocs.org/ar/CCPR/C/SR.3801" TargetMode="External"/><Relationship Id="rId1" Type="http://schemas.openxmlformats.org/officeDocument/2006/relationships/hyperlink" Target="http://undocs.org/ar/CCPR/C/DEU/7" TargetMode="External"/><Relationship Id="rId6" Type="http://schemas.openxmlformats.org/officeDocument/2006/relationships/hyperlink" Target="http://undocs.org/ar/CCPR/C/DEU/CO/6&#1548;" TargetMode="External"/><Relationship Id="rId5" Type="http://schemas.openxmlformats.org/officeDocument/2006/relationships/hyperlink" Target="http://undocs.org/ar/CCPR/C/DEU/QPR/7" TargetMode="External"/><Relationship Id="rId4" Type="http://schemas.openxmlformats.org/officeDocument/2006/relationships/hyperlink" Target="http://undocs.org/ar/CCPR/C/DEU/7" TargetMode="External"/><Relationship Id="rId9" Type="http://schemas.openxmlformats.org/officeDocument/2006/relationships/hyperlink" Target="http://undocs.org/ar/E/C.12/DEU/CO/6&#154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B3873-BCCC-420E-8601-D67A16A86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4337</Words>
  <Characters>25030</Characters>
  <Application>Microsoft Office Word</Application>
  <DocSecurity>0</DocSecurity>
  <Lines>962</Lines>
  <Paragraphs>407</Paragraphs>
  <ScaleCrop>false</ScaleCrop>
  <HeadingPairs>
    <vt:vector size="2" baseType="variant">
      <vt:variant>
        <vt:lpstr>Title</vt:lpstr>
      </vt:variant>
      <vt:variant>
        <vt:i4>1</vt:i4>
      </vt:variant>
    </vt:vector>
  </HeadingPairs>
  <TitlesOfParts>
    <vt:vector size="1" baseType="lpstr">
      <vt:lpstr>CCPR/C/DEU/CO/7</vt:lpstr>
    </vt:vector>
  </TitlesOfParts>
  <Company>DCM</Company>
  <LinksUpToDate>false</LinksUpToDate>
  <CharactersWithSpaces>28960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CCPR/C/DEU/CO/7</dc:title>
  <dc:subject>GE.2117614(A)</dc:subject>
  <dc:creator>Ihab RIZ -</dc:creator>
  <cp:keywords>GE.2135744(A)</cp:keywords>
  <dc:description>General_x000d_
_x000d_
Arabic_x000d_
English</dc:description>
  <cp:lastModifiedBy>Ibrahim Balan</cp:lastModifiedBy>
  <cp:revision>3</cp:revision>
  <cp:lastPrinted>2022-03-28T14:07:00Z</cp:lastPrinted>
  <dcterms:created xsi:type="dcterms:W3CDTF">2022-03-28T14:07:00Z</dcterms:created>
  <dcterms:modified xsi:type="dcterms:W3CDTF">2022-03-28T14:08:00Z</dcterms:modified>
  <cp:category>Finale</cp:category>
</cp:coreProperties>
</file>