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224430B" w14:textId="77777777" w:rsidTr="00CA1AEA">
        <w:trPr>
          <w:cantSplit/>
          <w:trHeight w:hRule="exact" w:val="851"/>
        </w:trPr>
        <w:tc>
          <w:tcPr>
            <w:tcW w:w="1276" w:type="dxa"/>
            <w:tcBorders>
              <w:bottom w:val="single" w:sz="4" w:space="0" w:color="auto"/>
            </w:tcBorders>
            <w:vAlign w:val="bottom"/>
          </w:tcPr>
          <w:p w14:paraId="2A474C8C" w14:textId="77777777" w:rsidR="00165C15" w:rsidRDefault="00165C15" w:rsidP="00CA1AEA">
            <w:pPr>
              <w:spacing w:after="80"/>
            </w:pPr>
          </w:p>
        </w:tc>
        <w:tc>
          <w:tcPr>
            <w:tcW w:w="2268" w:type="dxa"/>
            <w:tcBorders>
              <w:bottom w:val="single" w:sz="4" w:space="0" w:color="auto"/>
            </w:tcBorders>
            <w:vAlign w:val="bottom"/>
          </w:tcPr>
          <w:p w14:paraId="0C506EE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4BB57CF" w14:textId="77777777" w:rsidR="00165C15" w:rsidRPr="00D47EEA" w:rsidRDefault="00AE28D2" w:rsidP="00AE28D2">
            <w:pPr>
              <w:suppressAutoHyphens w:val="0"/>
              <w:spacing w:after="20"/>
              <w:jc w:val="right"/>
            </w:pPr>
            <w:r w:rsidRPr="00AE28D2">
              <w:rPr>
                <w:sz w:val="40"/>
              </w:rPr>
              <w:t>CCPR</w:t>
            </w:r>
            <w:r>
              <w:t>/C/IND/CO/4</w:t>
            </w:r>
          </w:p>
        </w:tc>
      </w:tr>
      <w:tr w:rsidR="00165C15" w14:paraId="50A578AB" w14:textId="77777777" w:rsidTr="00CA1AEA">
        <w:trPr>
          <w:cantSplit/>
          <w:trHeight w:hRule="exact" w:val="2835"/>
        </w:trPr>
        <w:tc>
          <w:tcPr>
            <w:tcW w:w="1276" w:type="dxa"/>
            <w:tcBorders>
              <w:top w:val="single" w:sz="4" w:space="0" w:color="auto"/>
              <w:bottom w:val="single" w:sz="12" w:space="0" w:color="auto"/>
            </w:tcBorders>
          </w:tcPr>
          <w:p w14:paraId="642CC23A" w14:textId="77777777" w:rsidR="00165C15" w:rsidRDefault="00165C15" w:rsidP="00CA1AEA">
            <w:pPr>
              <w:spacing w:before="120"/>
            </w:pPr>
            <w:r>
              <w:rPr>
                <w:noProof/>
                <w:lang w:val="fr-CH" w:eastAsia="fr-CH"/>
              </w:rPr>
              <w:drawing>
                <wp:inline distT="0" distB="0" distL="0" distR="0" wp14:anchorId="63434808" wp14:editId="272F37E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2424F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CF5F623" w14:textId="77777777" w:rsidR="00AE28D2" w:rsidRPr="001D12A6" w:rsidRDefault="00AE28D2" w:rsidP="00AE28D2">
            <w:pPr>
              <w:suppressAutoHyphens w:val="0"/>
              <w:spacing w:before="240" w:line="240" w:lineRule="exact"/>
            </w:pPr>
            <w:r w:rsidRPr="001D12A6">
              <w:t xml:space="preserve">Distr.: General </w:t>
            </w:r>
          </w:p>
          <w:p w14:paraId="02F0926E" w14:textId="760C2FD3" w:rsidR="00AE28D2" w:rsidRPr="001D12A6" w:rsidRDefault="00407CE6" w:rsidP="00AE28D2">
            <w:pPr>
              <w:suppressAutoHyphens w:val="0"/>
            </w:pPr>
            <w:r>
              <w:t>2</w:t>
            </w:r>
            <w:r w:rsidR="00AE28D2">
              <w:t xml:space="preserve"> September</w:t>
            </w:r>
            <w:r w:rsidR="00AE28D2" w:rsidRPr="001D12A6">
              <w:t xml:space="preserve"> 2024</w:t>
            </w:r>
          </w:p>
          <w:p w14:paraId="622E4739" w14:textId="77777777" w:rsidR="00AE28D2" w:rsidRPr="001D12A6" w:rsidRDefault="00AE28D2" w:rsidP="00AE28D2">
            <w:pPr>
              <w:suppressAutoHyphens w:val="0"/>
            </w:pPr>
          </w:p>
          <w:p w14:paraId="1E3E21DA" w14:textId="0EC4E33A" w:rsidR="00AE28D2" w:rsidRDefault="00AE28D2" w:rsidP="00AE28D2">
            <w:pPr>
              <w:suppressAutoHyphens w:val="0"/>
            </w:pPr>
            <w:r w:rsidRPr="001D12A6">
              <w:t>Original: English</w:t>
            </w:r>
          </w:p>
        </w:tc>
      </w:tr>
    </w:tbl>
    <w:p w14:paraId="633FF126" w14:textId="77777777" w:rsidR="00AE28D2" w:rsidRPr="001D12A6" w:rsidRDefault="00AE28D2" w:rsidP="00AE28D2">
      <w:pPr>
        <w:spacing w:before="120"/>
        <w:rPr>
          <w:b/>
          <w:sz w:val="24"/>
        </w:rPr>
      </w:pPr>
      <w:r w:rsidRPr="001D12A6">
        <w:rPr>
          <w:b/>
          <w:sz w:val="24"/>
        </w:rPr>
        <w:t>Human Rights Committee</w:t>
      </w:r>
    </w:p>
    <w:p w14:paraId="27132216" w14:textId="77777777" w:rsidR="00AE28D2" w:rsidRPr="001D12A6" w:rsidRDefault="00AE28D2" w:rsidP="00AE28D2">
      <w:pPr>
        <w:pStyle w:val="HChG"/>
      </w:pPr>
      <w:r w:rsidRPr="001D12A6">
        <w:tab/>
      </w:r>
      <w:r w:rsidRPr="001D12A6">
        <w:tab/>
        <w:t>Concluding observations on the fourth periodic report of India</w:t>
      </w:r>
      <w:r w:rsidRPr="00651491">
        <w:rPr>
          <w:rStyle w:val="FootnoteReference"/>
          <w:b w:val="0"/>
          <w:bCs/>
          <w:sz w:val="20"/>
          <w:szCs w:val="22"/>
          <w:vertAlign w:val="baseline"/>
        </w:rPr>
        <w:footnoteReference w:customMarkFollows="1" w:id="1"/>
        <w:t>*</w:t>
      </w:r>
    </w:p>
    <w:p w14:paraId="240F7352" w14:textId="77777777" w:rsidR="00AE28D2" w:rsidRPr="001D12A6" w:rsidRDefault="00AE28D2" w:rsidP="00AE28D2">
      <w:pPr>
        <w:pStyle w:val="SingleTxtG"/>
      </w:pPr>
      <w:r w:rsidRPr="001D12A6">
        <w:t>1.</w:t>
      </w:r>
      <w:r w:rsidRPr="001D12A6">
        <w:tab/>
        <w:t>The Committee considered the fourth periodic report of India</w:t>
      </w:r>
      <w:r w:rsidRPr="00AF3F1A">
        <w:rPr>
          <w:rStyle w:val="FootnoteReference"/>
        </w:rPr>
        <w:footnoteReference w:id="2"/>
      </w:r>
      <w:r w:rsidRPr="001D12A6">
        <w:t xml:space="preserve"> at its 4134th and 4135th</w:t>
      </w:r>
      <w:r w:rsidRPr="001D12A6">
        <w:rPr>
          <w:color w:val="FF0000"/>
        </w:rPr>
        <w:t xml:space="preserve"> </w:t>
      </w:r>
      <w:r w:rsidRPr="001D12A6">
        <w:t>meetings,</w:t>
      </w:r>
      <w:r w:rsidRPr="00AF3F1A">
        <w:rPr>
          <w:rStyle w:val="FootnoteReference"/>
        </w:rPr>
        <w:footnoteReference w:id="3"/>
      </w:r>
      <w:r w:rsidRPr="001D12A6">
        <w:t xml:space="preserve"> held on 15 and 16 July 2024. At its 4144th meeting, held on 22 July, it adopted the present concluding observations.</w:t>
      </w:r>
    </w:p>
    <w:p w14:paraId="7FC7D5A5" w14:textId="01D441E1" w:rsidR="00AE28D2" w:rsidRPr="001D12A6" w:rsidRDefault="00AE28D2" w:rsidP="00AE28D2">
      <w:pPr>
        <w:pStyle w:val="H1G"/>
      </w:pPr>
      <w:r w:rsidRPr="001D12A6">
        <w:rPr>
          <w:sz w:val="22"/>
          <w:szCs w:val="22"/>
        </w:rPr>
        <w:tab/>
      </w:r>
      <w:r w:rsidRPr="001D12A6">
        <w:t>A.</w:t>
      </w:r>
      <w:r w:rsidRPr="001D12A6">
        <w:tab/>
        <w:t>Introduction</w:t>
      </w:r>
    </w:p>
    <w:p w14:paraId="305C185F" w14:textId="694A8D35" w:rsidR="00AE28D2" w:rsidRPr="001D12A6" w:rsidRDefault="00AE28D2" w:rsidP="00AE28D2">
      <w:pPr>
        <w:pStyle w:val="SingleTxtG"/>
      </w:pPr>
      <w:r w:rsidRPr="001D12A6">
        <w:t>2.</w:t>
      </w:r>
      <w:r w:rsidRPr="001D12A6">
        <w:tab/>
        <w:t>The Committee is grateful to the State party for having accepted the simplified reporting procedure and for submitting its fourth periodic report in response to the list of issues prior to reporting prepared under that procedure.</w:t>
      </w:r>
      <w:r w:rsidRPr="00AF3F1A">
        <w:rPr>
          <w:rStyle w:val="FootnoteReference"/>
        </w:rPr>
        <w:footnoteReference w:id="4"/>
      </w:r>
      <w:r w:rsidRPr="001D12A6">
        <w:t xml:space="preserve"> It expresses appreciation for the opportunity to renew its constructive dialogue with the State party</w:t>
      </w:r>
      <w:r w:rsidR="00407CE6">
        <w:t>’</w:t>
      </w:r>
      <w:r w:rsidRPr="001D12A6">
        <w:t xml:space="preserve">s high-level delegation, after its previous review in 1997, on the measures taken during the reporting period to implement the provisions of the Covenant. The Committee thanks the State party for the oral responses provided by the delegation and for the supplementary information provided to it in writing. </w:t>
      </w:r>
    </w:p>
    <w:p w14:paraId="581FD10C" w14:textId="77777777" w:rsidR="00AE28D2" w:rsidRPr="001D12A6" w:rsidRDefault="00AE28D2" w:rsidP="00AE28D2">
      <w:pPr>
        <w:pStyle w:val="H1G"/>
      </w:pPr>
      <w:r w:rsidRPr="001D12A6">
        <w:tab/>
        <w:t>B.</w:t>
      </w:r>
      <w:r w:rsidRPr="001D12A6">
        <w:tab/>
        <w:t>Positive aspects</w:t>
      </w:r>
    </w:p>
    <w:p w14:paraId="57A39FB6" w14:textId="77777777" w:rsidR="00AE28D2" w:rsidRPr="001D12A6" w:rsidRDefault="00AE28D2" w:rsidP="00AE28D2">
      <w:pPr>
        <w:pStyle w:val="SingleTxtG"/>
        <w:rPr>
          <w:lang w:val="en-CA"/>
        </w:rPr>
      </w:pPr>
      <w:r w:rsidRPr="001D12A6">
        <w:rPr>
          <w:lang w:val="en-CA"/>
        </w:rPr>
        <w:t>3.</w:t>
      </w:r>
      <w:r w:rsidRPr="001D12A6">
        <w:rPr>
          <w:lang w:val="en-CA"/>
        </w:rPr>
        <w:tab/>
      </w:r>
      <w:bookmarkStart w:id="0" w:name="_Hlk172036130"/>
      <w:r w:rsidRPr="001D12A6">
        <w:rPr>
          <w:lang w:val="en-CA"/>
        </w:rPr>
        <w:t>The Committee welcomes the following legislative and policy measures taken by the State party:</w:t>
      </w:r>
    </w:p>
    <w:p w14:paraId="3B32E79A" w14:textId="77777777" w:rsidR="00AE28D2" w:rsidRPr="001D12A6" w:rsidRDefault="00AE28D2" w:rsidP="00EC568A">
      <w:pPr>
        <w:pStyle w:val="SingleTxtG"/>
        <w:rPr>
          <w:lang w:val="en-CA"/>
        </w:rPr>
      </w:pPr>
      <w:r w:rsidRPr="001D12A6">
        <w:rPr>
          <w:lang w:val="en-CA"/>
        </w:rPr>
        <w:tab/>
        <w:t>(a)</w:t>
      </w:r>
      <w:r w:rsidRPr="001D12A6">
        <w:rPr>
          <w:lang w:val="en-CA"/>
        </w:rPr>
        <w:tab/>
        <w:t xml:space="preserve">The Constitution (One Hundred and Sixth Amendment) Act, in 2023; </w:t>
      </w:r>
    </w:p>
    <w:p w14:paraId="2AEBDAA9" w14:textId="77777777" w:rsidR="00AE28D2" w:rsidRPr="001D12A6" w:rsidRDefault="00AE28D2" w:rsidP="00EC568A">
      <w:pPr>
        <w:pStyle w:val="SingleTxtG"/>
        <w:rPr>
          <w:lang w:val="en-CA"/>
        </w:rPr>
      </w:pPr>
      <w:r w:rsidRPr="001D12A6">
        <w:rPr>
          <w:lang w:val="en-CA"/>
        </w:rPr>
        <w:tab/>
        <w:t>(b)</w:t>
      </w:r>
      <w:r w:rsidRPr="001D12A6">
        <w:rPr>
          <w:lang w:val="en-CA"/>
        </w:rPr>
        <w:tab/>
      </w:r>
      <w:r w:rsidRPr="001628A0">
        <w:rPr>
          <w:lang w:val="en-CA"/>
        </w:rPr>
        <w:t>The Protection of Children from Sexual Offences (Amendment) Act, in 2019;</w:t>
      </w:r>
    </w:p>
    <w:p w14:paraId="35304576" w14:textId="77777777" w:rsidR="00AE28D2" w:rsidRPr="001D12A6" w:rsidRDefault="00AE28D2" w:rsidP="00EC568A">
      <w:pPr>
        <w:pStyle w:val="SingleTxtG"/>
        <w:rPr>
          <w:lang w:val="en-CA"/>
        </w:rPr>
      </w:pPr>
      <w:r w:rsidRPr="001D12A6">
        <w:rPr>
          <w:lang w:val="en-CA"/>
        </w:rPr>
        <w:tab/>
        <w:t>(c)</w:t>
      </w:r>
      <w:r w:rsidRPr="001D12A6">
        <w:rPr>
          <w:lang w:val="en-CA"/>
        </w:rPr>
        <w:tab/>
        <w:t>The Rights of Persons with Disabilities Act, in 2016;</w:t>
      </w:r>
    </w:p>
    <w:p w14:paraId="17E57EF6" w14:textId="79F74D74" w:rsidR="00AE28D2" w:rsidRPr="001D12A6" w:rsidRDefault="00AE28D2" w:rsidP="00EC568A">
      <w:pPr>
        <w:pStyle w:val="SingleTxtG"/>
        <w:rPr>
          <w:lang w:val="en-CA"/>
        </w:rPr>
      </w:pPr>
      <w:r w:rsidRPr="001D12A6">
        <w:rPr>
          <w:lang w:val="en-CA"/>
        </w:rPr>
        <w:tab/>
        <w:t>(d)</w:t>
      </w:r>
      <w:r w:rsidRPr="001D12A6">
        <w:rPr>
          <w:lang w:val="en-CA"/>
        </w:rPr>
        <w:tab/>
        <w:t>The Scheduled Castes and Scheduled Tribes (Prevention of Atrocities) Amendment Act, in 2015;</w:t>
      </w:r>
    </w:p>
    <w:p w14:paraId="5A445498" w14:textId="77777777" w:rsidR="00AE28D2" w:rsidRPr="001D12A6" w:rsidRDefault="00AE28D2" w:rsidP="00EC568A">
      <w:pPr>
        <w:pStyle w:val="SingleTxtG"/>
        <w:rPr>
          <w:lang w:val="en-CA"/>
        </w:rPr>
      </w:pPr>
      <w:r w:rsidRPr="001D12A6">
        <w:rPr>
          <w:lang w:val="en-CA"/>
        </w:rPr>
        <w:tab/>
        <w:t>(e)</w:t>
      </w:r>
      <w:r w:rsidRPr="001D12A6">
        <w:rPr>
          <w:lang w:val="en-CA"/>
        </w:rPr>
        <w:tab/>
        <w:t>The Lokpal and Lokayuktas Act, in 2013;</w:t>
      </w:r>
    </w:p>
    <w:p w14:paraId="0A6E3206" w14:textId="77777777" w:rsidR="00AE28D2" w:rsidRPr="001D12A6" w:rsidRDefault="00AE28D2" w:rsidP="00EC568A">
      <w:pPr>
        <w:pStyle w:val="SingleTxtG"/>
        <w:rPr>
          <w:lang w:val="en-CA"/>
        </w:rPr>
      </w:pPr>
      <w:r w:rsidRPr="001D12A6">
        <w:rPr>
          <w:lang w:val="en-CA"/>
        </w:rPr>
        <w:tab/>
        <w:t>(f)</w:t>
      </w:r>
      <w:r w:rsidRPr="001D12A6">
        <w:rPr>
          <w:lang w:val="en-CA"/>
        </w:rPr>
        <w:tab/>
        <w:t>The Prohibition of Employment as Manual Scavengers and their Rehabilitation Act, in 2013;</w:t>
      </w:r>
    </w:p>
    <w:p w14:paraId="4081CBBF" w14:textId="77777777" w:rsidR="00AE28D2" w:rsidRPr="001D12A6" w:rsidRDefault="00AE28D2" w:rsidP="00EC568A">
      <w:pPr>
        <w:pStyle w:val="SingleTxtG"/>
        <w:rPr>
          <w:lang w:val="en-CA"/>
        </w:rPr>
      </w:pPr>
      <w:r w:rsidRPr="001D12A6">
        <w:rPr>
          <w:lang w:val="en-CA"/>
        </w:rPr>
        <w:tab/>
        <w:t>(g)</w:t>
      </w:r>
      <w:r w:rsidRPr="001D12A6">
        <w:rPr>
          <w:lang w:val="en-CA"/>
        </w:rPr>
        <w:tab/>
        <w:t>The Right to Fair Compensation and Transparency in Land Acquisition Rehabilitation and Resettlement Act, in 2013;</w:t>
      </w:r>
    </w:p>
    <w:p w14:paraId="4E7247BC" w14:textId="77777777" w:rsidR="00AE28D2" w:rsidRPr="001D12A6" w:rsidRDefault="00AE28D2" w:rsidP="00EC568A">
      <w:pPr>
        <w:pStyle w:val="SingleTxtG"/>
        <w:rPr>
          <w:lang w:val="en-CA"/>
        </w:rPr>
      </w:pPr>
      <w:r w:rsidRPr="001D12A6">
        <w:rPr>
          <w:lang w:val="en-CA"/>
        </w:rPr>
        <w:tab/>
        <w:t>(h)</w:t>
      </w:r>
      <w:r w:rsidRPr="001D12A6">
        <w:rPr>
          <w:lang w:val="en-CA"/>
        </w:rPr>
        <w:tab/>
        <w:t>The Prohibition of Child Marriage Act, in 2006;</w:t>
      </w:r>
    </w:p>
    <w:p w14:paraId="1136DFFA" w14:textId="77777777" w:rsidR="00AE28D2" w:rsidRPr="001D12A6" w:rsidRDefault="00AE28D2" w:rsidP="00EC568A">
      <w:pPr>
        <w:pStyle w:val="SingleTxtG"/>
        <w:rPr>
          <w:lang w:val="en-CA"/>
        </w:rPr>
      </w:pPr>
      <w:r w:rsidRPr="001D12A6">
        <w:rPr>
          <w:lang w:val="en-CA"/>
        </w:rPr>
        <w:lastRenderedPageBreak/>
        <w:tab/>
        <w:t>(i)</w:t>
      </w:r>
      <w:r w:rsidRPr="001D12A6">
        <w:rPr>
          <w:lang w:val="en-CA"/>
        </w:rPr>
        <w:tab/>
        <w:t>The Right to Information Act, in 2005.</w:t>
      </w:r>
    </w:p>
    <w:bookmarkEnd w:id="0"/>
    <w:p w14:paraId="013B23C9" w14:textId="77777777" w:rsidR="00AE28D2" w:rsidRPr="001D12A6" w:rsidRDefault="00AE28D2" w:rsidP="00EC568A">
      <w:pPr>
        <w:pStyle w:val="SingleTxtG"/>
        <w:rPr>
          <w:lang w:val="en-CA"/>
        </w:rPr>
      </w:pPr>
      <w:r w:rsidRPr="001D12A6">
        <w:rPr>
          <w:lang w:val="en-CA"/>
        </w:rPr>
        <w:t>4.</w:t>
      </w:r>
      <w:r w:rsidRPr="001D12A6">
        <w:rPr>
          <w:lang w:val="en-CA"/>
        </w:rPr>
        <w:tab/>
        <w:t>The Committee also welcomes the ratification of, or accession to, the following international instruments by the State party:</w:t>
      </w:r>
    </w:p>
    <w:p w14:paraId="54D87EB4" w14:textId="77777777" w:rsidR="00AE28D2" w:rsidRPr="001D12A6" w:rsidRDefault="00AE28D2" w:rsidP="00EC568A">
      <w:pPr>
        <w:pStyle w:val="SingleTxtG"/>
        <w:rPr>
          <w:lang w:val="en-CA"/>
        </w:rPr>
      </w:pPr>
      <w:r w:rsidRPr="001D12A6">
        <w:rPr>
          <w:lang w:val="en-CA"/>
        </w:rPr>
        <w:tab/>
        <w:t>(a)</w:t>
      </w:r>
      <w:r w:rsidRPr="001D12A6">
        <w:rPr>
          <w:lang w:val="en-CA"/>
        </w:rPr>
        <w:tab/>
        <w:t xml:space="preserve">The Minimum Age Convention, 1973 (No. 138) of the International Labour Organization (ILO), on 13 June 2017; </w:t>
      </w:r>
    </w:p>
    <w:p w14:paraId="1081B170" w14:textId="43128A14" w:rsidR="00AE28D2" w:rsidRPr="001D12A6" w:rsidRDefault="00AE28D2" w:rsidP="00EC568A">
      <w:pPr>
        <w:pStyle w:val="SingleTxtG"/>
        <w:rPr>
          <w:lang w:val="en-CA"/>
        </w:rPr>
      </w:pPr>
      <w:r w:rsidRPr="001D12A6">
        <w:rPr>
          <w:lang w:val="en-CA"/>
        </w:rPr>
        <w:tab/>
        <w:t xml:space="preserve">(b) </w:t>
      </w:r>
      <w:r w:rsidRPr="001D12A6">
        <w:rPr>
          <w:lang w:val="en-CA"/>
        </w:rPr>
        <w:tab/>
        <w:t>The Worst Forms of Child Labour Convention, 1999 (No. 182) of ILO, on 13</w:t>
      </w:r>
      <w:r w:rsidR="002E412C">
        <w:rPr>
          <w:lang w:val="en-CA"/>
        </w:rPr>
        <w:t> </w:t>
      </w:r>
      <w:r w:rsidRPr="001D12A6">
        <w:rPr>
          <w:lang w:val="en-CA"/>
        </w:rPr>
        <w:t>June 2017;</w:t>
      </w:r>
    </w:p>
    <w:p w14:paraId="5A80BFCC" w14:textId="77777777" w:rsidR="00AE28D2" w:rsidRPr="001D12A6" w:rsidRDefault="00AE28D2" w:rsidP="00EC568A">
      <w:pPr>
        <w:pStyle w:val="SingleTxtG"/>
        <w:rPr>
          <w:lang w:val="en-CA"/>
        </w:rPr>
      </w:pPr>
      <w:r w:rsidRPr="001D12A6">
        <w:rPr>
          <w:lang w:val="en-CA"/>
        </w:rPr>
        <w:tab/>
      </w:r>
      <w:r w:rsidRPr="001D12A6">
        <w:rPr>
          <w:rFonts w:eastAsiaTheme="minorHAnsi"/>
        </w:rPr>
        <w:t>(c)</w:t>
      </w:r>
      <w:r w:rsidRPr="001D12A6">
        <w:rPr>
          <w:rFonts w:eastAsiaTheme="minorHAnsi"/>
        </w:rPr>
        <w:tab/>
        <w:t>The Convention on the Rights of Persons with Disabilities, on 1 October 2007;</w:t>
      </w:r>
      <w:r w:rsidRPr="001D12A6">
        <w:rPr>
          <w:lang w:val="en-CA"/>
        </w:rPr>
        <w:t xml:space="preserve"> </w:t>
      </w:r>
    </w:p>
    <w:p w14:paraId="184AD219" w14:textId="77777777" w:rsidR="00AE28D2" w:rsidRPr="001D12A6" w:rsidRDefault="00AE28D2" w:rsidP="00EC568A">
      <w:pPr>
        <w:pStyle w:val="SingleTxtG"/>
        <w:rPr>
          <w:rFonts w:eastAsiaTheme="minorHAnsi"/>
        </w:rPr>
      </w:pPr>
      <w:r w:rsidRPr="001D12A6">
        <w:rPr>
          <w:lang w:val="en-CA"/>
        </w:rPr>
        <w:tab/>
      </w:r>
      <w:r w:rsidRPr="001D12A6">
        <w:rPr>
          <w:rFonts w:eastAsiaTheme="minorHAnsi"/>
          <w:lang w:val="en-CA"/>
        </w:rPr>
        <w:t>(d)</w:t>
      </w:r>
      <w:r w:rsidRPr="001D12A6">
        <w:rPr>
          <w:rFonts w:eastAsiaTheme="minorHAnsi"/>
        </w:rPr>
        <w:t xml:space="preserve"> </w:t>
      </w:r>
      <w:r w:rsidRPr="001D12A6">
        <w:rPr>
          <w:rFonts w:eastAsiaTheme="minorHAnsi"/>
        </w:rPr>
        <w:tab/>
        <w:t>The Optional Protocol to the Convention on the Rights of the Child on the involvement of children in armed conflict, on 30 Novembre 2005;</w:t>
      </w:r>
    </w:p>
    <w:p w14:paraId="096ACC85" w14:textId="77777777" w:rsidR="00AE28D2" w:rsidRPr="001D12A6" w:rsidRDefault="00AE28D2" w:rsidP="00EC568A">
      <w:pPr>
        <w:pStyle w:val="SingleTxtG"/>
      </w:pPr>
      <w:r w:rsidRPr="001D12A6">
        <w:tab/>
        <w:t>(e)</w:t>
      </w:r>
      <w:r w:rsidRPr="001D12A6">
        <w:tab/>
        <w:t xml:space="preserve">The Optional Protocol to the Convention on </w:t>
      </w:r>
      <w:r w:rsidRPr="005B0A42">
        <w:rPr>
          <w:rFonts w:eastAsiaTheme="minorHAnsi"/>
        </w:rPr>
        <w:t>the</w:t>
      </w:r>
      <w:r w:rsidRPr="001D12A6">
        <w:t xml:space="preserve"> Rights of the Child on the sale of children, child prostitution and child pornography, on 16 August 2005; </w:t>
      </w:r>
    </w:p>
    <w:p w14:paraId="6134D013" w14:textId="77777777" w:rsidR="00AE28D2" w:rsidRPr="001D12A6" w:rsidRDefault="00AE28D2" w:rsidP="00EC568A">
      <w:pPr>
        <w:pStyle w:val="SingleTxtG"/>
        <w:rPr>
          <w:lang w:val="en-CA"/>
        </w:rPr>
      </w:pPr>
      <w:r w:rsidRPr="001D12A6">
        <w:rPr>
          <w:lang w:val="en-CA"/>
        </w:rPr>
        <w:tab/>
        <w:t>(f)</w:t>
      </w:r>
      <w:r w:rsidRPr="001D12A6">
        <w:rPr>
          <w:lang w:val="en-CA"/>
        </w:rPr>
        <w:tab/>
        <w:t>The Abolition of Forced Labour Convention, 1957 (No. 105), on 18 May 2000.</w:t>
      </w:r>
    </w:p>
    <w:p w14:paraId="421F46DD" w14:textId="77777777" w:rsidR="00AE28D2" w:rsidRPr="001D12A6" w:rsidRDefault="00AE28D2" w:rsidP="00AE28D2">
      <w:pPr>
        <w:pStyle w:val="H1G"/>
      </w:pPr>
      <w:bookmarkStart w:id="1" w:name="_Hlk172047360"/>
      <w:r w:rsidRPr="001D12A6">
        <w:tab/>
        <w:t>C.</w:t>
      </w:r>
      <w:r w:rsidRPr="001D12A6">
        <w:tab/>
      </w:r>
      <w:r w:rsidRPr="001D12A6">
        <w:tab/>
        <w:t>Principal matters of concern and recommendations</w:t>
      </w:r>
    </w:p>
    <w:p w14:paraId="44EE5D95" w14:textId="14D5EF7D" w:rsidR="00AE28D2" w:rsidRPr="001D12A6" w:rsidRDefault="00FE2C2C" w:rsidP="00FE2C2C">
      <w:pPr>
        <w:pStyle w:val="H23G"/>
        <w:rPr>
          <w:lang w:eastAsia="zh-CN"/>
        </w:rPr>
      </w:pPr>
      <w:bookmarkStart w:id="2" w:name="_Hlk172048068"/>
      <w:r>
        <w:tab/>
      </w:r>
      <w:r>
        <w:tab/>
      </w:r>
      <w:r w:rsidR="00AE28D2" w:rsidRPr="001D12A6">
        <w:t>Constitutional and legal framework within which the Covenant is implemented, and declarations and reservations</w:t>
      </w:r>
    </w:p>
    <w:p w14:paraId="0788FA0B" w14:textId="77777777" w:rsidR="00AE28D2" w:rsidRPr="001D12A6" w:rsidRDefault="00AE28D2" w:rsidP="00EC568A">
      <w:pPr>
        <w:pStyle w:val="SingleTxtG"/>
      </w:pPr>
      <w:r w:rsidRPr="001D12A6">
        <w:t>5.</w:t>
      </w:r>
      <w:r w:rsidRPr="001D12A6">
        <w:tab/>
        <w:t xml:space="preserve">The Committee regrets that, while the Supreme Court of India gives effect to the provisions of the Covenant in its sentences, in cases of disparity with domestic law, the Covenant does not prevail. The Committee also regrets that the State party maintains its declarations and reservations to articles 1, 9, 12, 13, 19 (3), 21 and 22 of the Covenant and that it does not intend to become a party to the two Optional Protocols (art. 2). </w:t>
      </w:r>
    </w:p>
    <w:p w14:paraId="2CED3477" w14:textId="77777777" w:rsidR="00AE28D2" w:rsidRPr="00EC568A" w:rsidRDefault="00AE28D2" w:rsidP="00EC568A">
      <w:pPr>
        <w:pStyle w:val="SingleTxtG"/>
        <w:rPr>
          <w:b/>
          <w:bCs/>
        </w:rPr>
      </w:pPr>
      <w:r w:rsidRPr="001D12A6">
        <w:t>6.</w:t>
      </w:r>
      <w:r w:rsidRPr="001D12A6">
        <w:tab/>
      </w:r>
      <w:r w:rsidRPr="00EC568A">
        <w:rPr>
          <w:b/>
          <w:bCs/>
        </w:rPr>
        <w:t>The State party should ensure that all the provisions of the Covenant are fully incorporated and given full effect in its domestic legal order. The State party should also ensure that domestic legislation is interpreted and applied in full conformity with its obligations under the Covenant. In addition, the State party should raise awareness of the provisions of the Covenant and its domestic applicability among judges, lawyers and prosecutors to ensure that its provisions are invoked before and applied by the domestic courts. The State party should reconsider its position regarding the declarations and reservations and take specific steps to withdraw them, with a view to ensuring the full and effective application of the Covenant. The State party should also consider acceding to the two Optional Protocols to the Covenant.</w:t>
      </w:r>
    </w:p>
    <w:p w14:paraId="2302831D" w14:textId="77777777" w:rsidR="00AE28D2" w:rsidRPr="001D12A6" w:rsidRDefault="00AE28D2" w:rsidP="00EC568A">
      <w:pPr>
        <w:pStyle w:val="SingleTxtG"/>
      </w:pPr>
      <w:r w:rsidRPr="001D12A6">
        <w:t>7.</w:t>
      </w:r>
      <w:r w:rsidRPr="001D12A6">
        <w:tab/>
        <w:t xml:space="preserve">The Committee notes that the provisions of article 9 of the Covenant on the right to liberty and security of person are applied in the State party only if consistent with article 22 of its Constitution on protection against arrest and detention in certain cases and authorizes preventive detention. The Committee is concerned that, according to information received, article 22, together with the declaration to article 9 of the Covenant, have led to serious human rights violations during pretrial and preventive detentions (art. 2 and 9). </w:t>
      </w:r>
    </w:p>
    <w:p w14:paraId="326CA6C2" w14:textId="77777777" w:rsidR="00AE28D2" w:rsidRPr="00EC568A" w:rsidRDefault="00AE28D2" w:rsidP="00EC568A">
      <w:pPr>
        <w:pStyle w:val="SingleTxtG"/>
        <w:rPr>
          <w:b/>
          <w:bCs/>
        </w:rPr>
      </w:pPr>
      <w:r w:rsidRPr="001D12A6">
        <w:t>8.</w:t>
      </w:r>
      <w:r w:rsidRPr="001D12A6">
        <w:tab/>
      </w:r>
      <w:r w:rsidRPr="00EC568A">
        <w:rPr>
          <w:b/>
          <w:bCs/>
        </w:rPr>
        <w:t xml:space="preserve">The State party should interpret the declaration in full conformity with the object and purpose of article 9 of the Covenant and ensure the effectiveness of judicial control and review of pretrial and preventive detention and guarantee legal assistance to detainees, as well as information about the reasons for the arrest, from the very moment of their deprivation of liberty. </w:t>
      </w:r>
      <w:bookmarkEnd w:id="1"/>
      <w:bookmarkEnd w:id="2"/>
    </w:p>
    <w:p w14:paraId="0D46354C" w14:textId="77777777" w:rsidR="00AE28D2" w:rsidRPr="001D12A6" w:rsidRDefault="00AE28D2" w:rsidP="00AE28D2">
      <w:pPr>
        <w:pStyle w:val="H23G"/>
      </w:pPr>
      <w:r w:rsidRPr="001D12A6">
        <w:tab/>
      </w:r>
      <w:r w:rsidRPr="001D12A6">
        <w:tab/>
        <w:t>National human rights institution</w:t>
      </w:r>
    </w:p>
    <w:p w14:paraId="59776FC3" w14:textId="73A658C1" w:rsidR="00AE28D2" w:rsidRPr="001D12A6" w:rsidRDefault="00AE28D2" w:rsidP="00EC568A">
      <w:pPr>
        <w:pStyle w:val="SingleTxtG"/>
        <w:rPr>
          <w:b/>
        </w:rPr>
      </w:pPr>
      <w:r w:rsidRPr="001D12A6">
        <w:t>9.</w:t>
      </w:r>
      <w:r w:rsidRPr="001D12A6">
        <w:tab/>
        <w:t xml:space="preserve">While the Committee appreciates that the National Human Rights Commission of India has been accredited with an </w:t>
      </w:r>
      <w:r w:rsidR="00407CE6">
        <w:t>“</w:t>
      </w:r>
      <w:r w:rsidRPr="001D12A6">
        <w:t>A</w:t>
      </w:r>
      <w:r w:rsidR="00407CE6">
        <w:t>”</w:t>
      </w:r>
      <w:r w:rsidRPr="001D12A6">
        <w:t xml:space="preserve"> status by the Global Alliance of National Human Rights Institutions since 1999, it regrets the lack of implementation of the majority of the recommendations made by the Global Alliance, which has deferred its reaccreditation since 2023. The Committee is concerned by the lack of gender balance in the composition of the Commission and the lack of representation of religious and ethnic minorities, cooperation </w:t>
      </w:r>
      <w:r w:rsidRPr="001D12A6">
        <w:lastRenderedPageBreak/>
        <w:t>with civil society and transparent and participatory selection and appointment processes. The Committee is also concerned about the impact on the independence of the Commission of the involvement of police officers in investigations of human rights violations, by the Commission</w:t>
      </w:r>
      <w:r w:rsidR="00407CE6">
        <w:t>’</w:t>
      </w:r>
      <w:r w:rsidRPr="001D12A6">
        <w:t>s lack of authorization to investigate human rights violations allegedly committed by the armed forces and by the one-year temporal limitation from the date of the alleged violation, applicable to complaints (art. 2).</w:t>
      </w:r>
    </w:p>
    <w:p w14:paraId="56076CCC" w14:textId="77777777" w:rsidR="00AE28D2" w:rsidRPr="00EC568A" w:rsidRDefault="00AE28D2" w:rsidP="00EC568A">
      <w:pPr>
        <w:pStyle w:val="SingleTxtG"/>
        <w:rPr>
          <w:b/>
          <w:bCs/>
        </w:rPr>
      </w:pPr>
      <w:r w:rsidRPr="001D12A6">
        <w:rPr>
          <w:bCs/>
        </w:rPr>
        <w:t>10.</w:t>
      </w:r>
      <w:r w:rsidRPr="001D12A6">
        <w:tab/>
      </w:r>
      <w:r w:rsidRPr="00EC568A">
        <w:rPr>
          <w:b/>
          <w:bCs/>
        </w:rPr>
        <w:t>The State party should promptly implement the recommendations of the Global Alliance of National Human Rights Institutions to ensure that the National Human Rights Commission complies fully with the principles relating to the status of national institutions for the promotion and protection of human rights (the Paris Principles) and is able to carry out its mandates effectively and independently. The State party should ensure transparent and participatory selection and appointment processes, gender balance, ethnic and religious minority representation and meaningful cooperation with civil society. The State party should also ensure that the Commission is empowered to investigate allegations of human rights violations committed by the armed forces, consider abolishing the one-year time limit to investigate human rights violations and decrease the involvement of police officers in investigations, as such involvement could undermine the independence of the Commission.</w:t>
      </w:r>
    </w:p>
    <w:p w14:paraId="75E5A998" w14:textId="77777777" w:rsidR="00AE28D2" w:rsidRPr="001D12A6" w:rsidRDefault="00AE28D2" w:rsidP="00AE28D2">
      <w:pPr>
        <w:pStyle w:val="H23G"/>
        <w:rPr>
          <w:bCs/>
        </w:rPr>
      </w:pPr>
      <w:r w:rsidRPr="001D12A6">
        <w:tab/>
      </w:r>
      <w:r w:rsidRPr="001D12A6">
        <w:tab/>
        <w:t xml:space="preserve">Anti-corruption measures </w:t>
      </w:r>
    </w:p>
    <w:p w14:paraId="06A8241C" w14:textId="77777777" w:rsidR="00AE28D2" w:rsidRPr="001D12A6" w:rsidRDefault="00AE28D2" w:rsidP="00EC568A">
      <w:pPr>
        <w:pStyle w:val="SingleTxtG"/>
        <w:rPr>
          <w:b/>
        </w:rPr>
      </w:pPr>
      <w:r w:rsidRPr="001D12A6">
        <w:t>11.</w:t>
      </w:r>
      <w:r w:rsidRPr="001D12A6">
        <w:tab/>
        <w:t>The Committee takes note of the measures taken by the State party to fight corruption, notably as a party to the United Nations Convention against Corruption. The Committee is concerned, however, that, according to information received, corruption is still an important problem at all levels, including in government ministries and among political officials, the police and the judiciary. The Committee has also received information about: (a) the killing of more than 60 activists, whistle-blowers, journalists or human rights defenders reporting or working on the fight against corruption since 2018, as well as online or physical harassment and attacks; (b) the fact that most of the requesters of information on the acts of the Government do not receive the information sought; and (c) the obstacles to opening an investigation and criminal prosecution raised by the amendments to the Prevention of Corruption Act after 2018 (arts. 2 and 25).</w:t>
      </w:r>
    </w:p>
    <w:p w14:paraId="7B7DEB42" w14:textId="77777777" w:rsidR="00AE28D2" w:rsidRPr="001D12A6" w:rsidRDefault="00AE28D2" w:rsidP="00AE28D2">
      <w:pPr>
        <w:pStyle w:val="SingleTxtG"/>
        <w:rPr>
          <w:b/>
          <w:bCs/>
        </w:rPr>
      </w:pPr>
      <w:r w:rsidRPr="001628A0">
        <w:t>12</w:t>
      </w:r>
      <w:r w:rsidRPr="001D12A6">
        <w:rPr>
          <w:b/>
          <w:bCs/>
        </w:rPr>
        <w:t>.</w:t>
      </w:r>
      <w:r w:rsidRPr="001D12A6">
        <w:rPr>
          <w:b/>
          <w:bCs/>
        </w:rPr>
        <w:tab/>
        <w:t>The State party should increase its efforts to prevent and eradicate corruption at all levels. In particular, it should:</w:t>
      </w:r>
    </w:p>
    <w:p w14:paraId="28B73FCF" w14:textId="77777777" w:rsidR="00AE28D2" w:rsidRPr="001D12A6" w:rsidRDefault="00AE28D2" w:rsidP="00AE28D2">
      <w:pPr>
        <w:pStyle w:val="SingleTxtG"/>
        <w:rPr>
          <w:b/>
          <w:bCs/>
        </w:rPr>
      </w:pPr>
      <w:r w:rsidRPr="00A37E5D">
        <w:tab/>
        <w:t>(a)</w:t>
      </w:r>
      <w:r w:rsidRPr="00A37E5D">
        <w:tab/>
      </w:r>
      <w:r w:rsidRPr="001D12A6">
        <w:rPr>
          <w:b/>
          <w:bCs/>
        </w:rPr>
        <w:t>Increase its efforts to investigate all allegations of corruption at all levels, including in the judiciary and the public and private sectors, as well as attacks against journalists, human rights defenders and activists working on the fight against corruption, promptly, thoroughly, independently and impartially and ensure that perpetrators are prosecuted and, if convicted, punished with penalties commensurate with the gravity of the offence and that victims are provided with reparation;</w:t>
      </w:r>
    </w:p>
    <w:p w14:paraId="1917B35B" w14:textId="6F938E34" w:rsidR="00AE28D2" w:rsidRPr="001D12A6" w:rsidRDefault="00AE28D2" w:rsidP="00AE28D2">
      <w:pPr>
        <w:pStyle w:val="SingleTxtG"/>
        <w:rPr>
          <w:b/>
        </w:rPr>
      </w:pPr>
      <w:r w:rsidRPr="00A37E5D">
        <w:tab/>
        <w:t>(b)</w:t>
      </w:r>
      <w:r w:rsidRPr="00A37E5D">
        <w:tab/>
      </w:r>
      <w:r w:rsidRPr="001D12A6">
        <w:rPr>
          <w:b/>
          <w:bCs/>
        </w:rPr>
        <w:t>Effectively implement the Right to Information Act, 2005, and amend the Prevention of Corruption Act, 2018, in order to strengthen its capacity to effectively combat corruption, improve the process by which cases of corruption can be reported to the relevant institutions and provide adequate protection to whistle-blowers.</w:t>
      </w:r>
    </w:p>
    <w:p w14:paraId="3D4864A7" w14:textId="77777777" w:rsidR="00AE28D2" w:rsidRPr="001D12A6" w:rsidRDefault="00AE28D2" w:rsidP="00AE28D2">
      <w:pPr>
        <w:pStyle w:val="SingleTxtG"/>
        <w:rPr>
          <w:b/>
        </w:rPr>
      </w:pPr>
      <w:r w:rsidRPr="001D12A6">
        <w:rPr>
          <w:b/>
        </w:rPr>
        <w:t xml:space="preserve">Non-discrimination </w:t>
      </w:r>
    </w:p>
    <w:p w14:paraId="1D4A3628" w14:textId="77777777" w:rsidR="00AE28D2" w:rsidRPr="001D12A6" w:rsidRDefault="00AE28D2" w:rsidP="00AE28D2">
      <w:pPr>
        <w:pStyle w:val="SingleTxtG"/>
        <w:rPr>
          <w:bCs/>
        </w:rPr>
      </w:pPr>
      <w:r w:rsidRPr="001D12A6">
        <w:rPr>
          <w:bCs/>
        </w:rPr>
        <w:t>13.</w:t>
      </w:r>
      <w:r w:rsidRPr="001D12A6">
        <w:rPr>
          <w:bCs/>
        </w:rPr>
        <w:tab/>
        <w:t>The Committee takes note of the legislation and policies established to address discrimination in the State party. It is concerned, however, by the absence of a comprehensive anti-discrimination law that provides full and effective protection as required under the Covenant. The Committee is also concerned about reports of discrimination against minority groups and violence and derogatory rhetoric against religious minorities, including Muslims, Christians and Sikhs. The Committee welcomes the Rights of Persons with Disabilities Act, 2016, but notes that discriminatory laws remain and access to public space and reasonable accommodation is still inadequate. The Committee is also concerned about the lack of effective judicial and administrative remedies against discrimination (arts. 2 and 26).</w:t>
      </w:r>
    </w:p>
    <w:p w14:paraId="4EE6DA8A" w14:textId="77777777" w:rsidR="00AE28D2" w:rsidRPr="001D12A6" w:rsidRDefault="00AE28D2" w:rsidP="00A37E5D">
      <w:pPr>
        <w:pStyle w:val="SingleTxtG"/>
        <w:keepNext/>
        <w:keepLines/>
        <w:rPr>
          <w:b/>
        </w:rPr>
      </w:pPr>
      <w:r w:rsidRPr="001628A0">
        <w:rPr>
          <w:bCs/>
        </w:rPr>
        <w:lastRenderedPageBreak/>
        <w:t>14</w:t>
      </w:r>
      <w:r w:rsidRPr="001D12A6">
        <w:rPr>
          <w:b/>
        </w:rPr>
        <w:t>.</w:t>
      </w:r>
      <w:r w:rsidRPr="001D12A6">
        <w:rPr>
          <w:b/>
        </w:rPr>
        <w:tab/>
        <w:t xml:space="preserve">The State party should: </w:t>
      </w:r>
    </w:p>
    <w:p w14:paraId="095AB69B" w14:textId="77777777" w:rsidR="00AE28D2" w:rsidRPr="001D12A6" w:rsidRDefault="00AE28D2" w:rsidP="00AE28D2">
      <w:pPr>
        <w:pStyle w:val="SingleTxtG"/>
        <w:rPr>
          <w:b/>
        </w:rPr>
      </w:pPr>
      <w:r w:rsidRPr="00014EF5">
        <w:tab/>
        <w:t>(a)</w:t>
      </w:r>
      <w:r w:rsidRPr="00014EF5">
        <w:tab/>
      </w:r>
      <w:r w:rsidRPr="001D12A6">
        <w:rPr>
          <w:b/>
        </w:rPr>
        <w:t xml:space="preserve">Adopt comprehensive legislation prohibiting discrimination, including intersectional, direct and indirect discrimination in both the public and the private sectors and on all grounds prohibited under the Covenant, and ensure access to effective and appropriate remedies for victims; </w:t>
      </w:r>
    </w:p>
    <w:p w14:paraId="781BFCF2" w14:textId="77777777" w:rsidR="00AE28D2" w:rsidRPr="001D12A6" w:rsidRDefault="00AE28D2" w:rsidP="00AE28D2">
      <w:pPr>
        <w:pStyle w:val="SingleTxtG"/>
        <w:rPr>
          <w:b/>
        </w:rPr>
      </w:pPr>
      <w:r w:rsidRPr="00014EF5">
        <w:tab/>
        <w:t>(b)</w:t>
      </w:r>
      <w:r w:rsidRPr="001D12A6">
        <w:rPr>
          <w:b/>
        </w:rPr>
        <w:tab/>
        <w:t>Strengthen the monitoring and reporting of complaints of discrimination and ensure that all acts of discrimination are promptly and effectively investigated, perpetrators are brought to justice and, if convicted, punished with appropriate sanctions and that victims are provided with adequate remedies;</w:t>
      </w:r>
    </w:p>
    <w:p w14:paraId="64C3C94C" w14:textId="77777777" w:rsidR="00AE28D2" w:rsidRPr="001D12A6" w:rsidRDefault="00AE28D2" w:rsidP="00AE28D2">
      <w:pPr>
        <w:pStyle w:val="SingleTxtG"/>
        <w:rPr>
          <w:b/>
          <w:bCs/>
        </w:rPr>
      </w:pPr>
      <w:r w:rsidRPr="00014EF5">
        <w:tab/>
        <w:t>(c)</w:t>
      </w:r>
      <w:r w:rsidRPr="001D12A6">
        <w:rPr>
          <w:b/>
        </w:rPr>
        <w:tab/>
        <w:t xml:space="preserve">Adopt robust measures to effectively prevent acts of discrimination, including by providing training and awareness-raising programmes to civil servants, law enforcement bodies, the judiciary, public prosecutors and religious and community leaders and promote respect for diversity among the general public. </w:t>
      </w:r>
    </w:p>
    <w:p w14:paraId="460E4C57" w14:textId="75621B04" w:rsidR="00AE28D2" w:rsidRPr="001D12A6" w:rsidRDefault="00AE28D2" w:rsidP="00EC568A">
      <w:pPr>
        <w:pStyle w:val="SingleTxtG"/>
      </w:pPr>
      <w:r w:rsidRPr="001D12A6">
        <w:t>15.</w:t>
      </w:r>
      <w:r w:rsidRPr="001D12A6">
        <w:tab/>
        <w:t xml:space="preserve">While the Committee appreciates the constitutional and legal measures adopted to prevent, protect and address discrimination and violence against scheduled castes and scheduled tribes, such as the Scheduled Castes and Scheduled Tribes (Prevention of Atrocities) Act, 1989, it is concerned by reports indicating systemic challenges to the implementation of such measures, including the delayed registration of </w:t>
      </w:r>
      <w:r w:rsidR="00407CE6">
        <w:t>“</w:t>
      </w:r>
      <w:r w:rsidRPr="001D12A6">
        <w:t>first information reports</w:t>
      </w:r>
      <w:r w:rsidR="00407CE6">
        <w:t>”</w:t>
      </w:r>
      <w:r w:rsidRPr="001D12A6">
        <w:t>, inadequate police investigations, lengthy trials and non-compliance with the 60-day case-disposal requirement. The Committee remains concerned by multiple reports of widespread discrimination and violence against these groups, including lynching, mob violence and displacement, and attacks on Adivasis practising Christianity and vigilante lynchings of Muslims. The Committee is further concerned by the non-extension of scheduled caste status and reservation benefits for Dalits who have converted to Islam or Christianity. The Committee acknowledges the State party</w:t>
      </w:r>
      <w:r w:rsidR="00407CE6">
        <w:t>’</w:t>
      </w:r>
      <w:r w:rsidRPr="001D12A6">
        <w:t xml:space="preserve">s efforts to prevent manual scavenging, including through the Prohibition of Employment as Manual Scavengers and </w:t>
      </w:r>
      <w:r w:rsidRPr="001628A0">
        <w:t>t</w:t>
      </w:r>
      <w:r w:rsidRPr="001D12A6">
        <w:t>heir Rehabilitation Act, 2013.</w:t>
      </w:r>
      <w:r w:rsidRPr="001628A0">
        <w:t xml:space="preserve"> </w:t>
      </w:r>
      <w:r w:rsidRPr="001D12A6">
        <w:t>The Committee has received information, however, that the Act is not effectively enforced and the practice continues to be employed in several regions, including by local governments (arts. 2 and 26).</w:t>
      </w:r>
    </w:p>
    <w:p w14:paraId="2D937661" w14:textId="77777777" w:rsidR="00AE28D2" w:rsidRPr="001D12A6" w:rsidRDefault="00AE28D2" w:rsidP="00AE28D2">
      <w:pPr>
        <w:pStyle w:val="SingleTxtG"/>
        <w:rPr>
          <w:b/>
          <w:bCs/>
        </w:rPr>
      </w:pPr>
      <w:r w:rsidRPr="001D12A6">
        <w:t>16.</w:t>
      </w:r>
      <w:r w:rsidRPr="001D12A6">
        <w:rPr>
          <w:b/>
          <w:bCs/>
        </w:rPr>
        <w:tab/>
        <w:t xml:space="preserve">The State party should ensure that everyone can enjoy the human rights enshrined in the Covenant without discrimination. In particular, it should: </w:t>
      </w:r>
    </w:p>
    <w:p w14:paraId="0D3139BD" w14:textId="77777777" w:rsidR="00AE28D2" w:rsidRPr="001D12A6" w:rsidRDefault="00AE28D2" w:rsidP="00AE28D2">
      <w:pPr>
        <w:pStyle w:val="SingleTxtG"/>
        <w:rPr>
          <w:b/>
          <w:bCs/>
        </w:rPr>
      </w:pPr>
      <w:r w:rsidRPr="00014EF5">
        <w:tab/>
        <w:t>(a)</w:t>
      </w:r>
      <w:r w:rsidRPr="00014EF5">
        <w:tab/>
      </w:r>
      <w:r w:rsidRPr="001D12A6">
        <w:rPr>
          <w:b/>
          <w:bCs/>
        </w:rPr>
        <w:t xml:space="preserve">Strengthen the implementation, monitoring and enforcement of its legal and policy framework to prevent and address discrimination and violence against scheduled castes and scheduled tribes, as well as Dalits and the other so-called backward classes and other ethnic, religious and national minorities, in particular by the timely registration of first information reports, effective police investigations, the reduction of delay in judicial proceedings and compliance with the 60-day case-disposal requirement; </w:t>
      </w:r>
    </w:p>
    <w:p w14:paraId="3480BA9D" w14:textId="77777777" w:rsidR="00AE28D2" w:rsidRPr="001D12A6" w:rsidRDefault="00AE28D2" w:rsidP="00AE28D2">
      <w:pPr>
        <w:pStyle w:val="SingleTxtG"/>
        <w:rPr>
          <w:b/>
          <w:bCs/>
        </w:rPr>
      </w:pPr>
      <w:r w:rsidRPr="00014EF5">
        <w:tab/>
        <w:t>(b)</w:t>
      </w:r>
      <w:r w:rsidRPr="001D12A6">
        <w:rPr>
          <w:b/>
          <w:bCs/>
        </w:rPr>
        <w:tab/>
        <w:t xml:space="preserve">Ensure that all allegations of discrimination or violence against scheduled castes and scheduled tribes, Dalits and the other so-called backward classes and other ethnic and national minorities and Dalits converted to Islam or Christianity are promptly, impartially and effectively investigated, that perpetrators are prosecuted, and, if convicted, punished with penalties commensurate with the gravity of the offences and that victims are provided with full reparation and means of protection; </w:t>
      </w:r>
    </w:p>
    <w:p w14:paraId="4983E04B" w14:textId="77777777" w:rsidR="00AE28D2" w:rsidRPr="001D12A6" w:rsidRDefault="00AE28D2" w:rsidP="00AE28D2">
      <w:pPr>
        <w:pStyle w:val="SingleTxtG"/>
        <w:rPr>
          <w:b/>
          <w:bCs/>
        </w:rPr>
      </w:pPr>
      <w:r w:rsidRPr="00014EF5">
        <w:tab/>
        <w:t>(c)</w:t>
      </w:r>
      <w:r w:rsidRPr="001D12A6">
        <w:rPr>
          <w:b/>
          <w:bCs/>
        </w:rPr>
        <w:tab/>
        <w:t>Consider amending legislation to ensure that Dalits, Muslims and Christians enjoy adequate protection against discrimination and violence;</w:t>
      </w:r>
    </w:p>
    <w:p w14:paraId="63406D1E" w14:textId="77777777" w:rsidR="00AE28D2" w:rsidRPr="001D12A6" w:rsidRDefault="00AE28D2" w:rsidP="00AE28D2">
      <w:pPr>
        <w:pStyle w:val="SingleTxtG"/>
        <w:rPr>
          <w:b/>
          <w:bCs/>
        </w:rPr>
      </w:pPr>
      <w:r w:rsidRPr="00014EF5">
        <w:tab/>
        <w:t>(d)</w:t>
      </w:r>
      <w:r w:rsidRPr="001D12A6">
        <w:rPr>
          <w:b/>
          <w:bCs/>
        </w:rPr>
        <w:tab/>
        <w:t>Effectively implement and enforce existing legal and policy frameworks on addressing manual scavenging, in particular regarding local governments and municipalities, and provide adequate financial resources for rehabilitation.</w:t>
      </w:r>
    </w:p>
    <w:p w14:paraId="39A709DD" w14:textId="735E99BD" w:rsidR="00AE28D2" w:rsidRPr="001D12A6" w:rsidRDefault="00AE28D2" w:rsidP="00EC568A">
      <w:pPr>
        <w:pStyle w:val="SingleTxtG"/>
      </w:pPr>
      <w:r w:rsidRPr="001D12A6">
        <w:t>17.</w:t>
      </w:r>
      <w:r w:rsidRPr="001D12A6">
        <w:tab/>
        <w:t xml:space="preserve">The Committee welcomes the recent repeal of the criminal ban on same-sex conduct between consenting adults, as well as the efforts to combat societal discrimination against lesbian, gay, bisexual, transgender and intersex persons. The Committee is concerned, however, about ongoing discrimination and violence against them by public and private actors, including reports of police abuse, arbitrary arrests, derogatory language and the </w:t>
      </w:r>
      <w:r w:rsidRPr="001D12A6">
        <w:lastRenderedPageBreak/>
        <w:t>coercing of victims not to file complaints of discrimination. While noting the existence of some legal protection for same-sex couples in a few states, the Committee regrets that same</w:t>
      </w:r>
      <w:r w:rsidR="00407CE6">
        <w:noBreakHyphen/>
      </w:r>
      <w:r w:rsidRPr="001D12A6">
        <w:t>sex marriages are not legalized. The Committee recognizes that the Transgender Persons (Protection of Rights) Act, 2019, has been a significant step in safeguarding the rights of transgender communities. Reports indicate, however, that harassment and discrimination persist. The Committee is concerned that, although the Act allows individuals to self-identify as transgender, significant barriers to gender transition recognition exist in practice, such as the requirement of proof of sex reassignment surgery or other medical interventions before the granting of certificates authorizing gender recognition (arts. 2 and 26).</w:t>
      </w:r>
    </w:p>
    <w:p w14:paraId="583247B0" w14:textId="77777777" w:rsidR="00AE28D2" w:rsidRPr="001D12A6" w:rsidRDefault="00AE28D2" w:rsidP="00AE28D2">
      <w:pPr>
        <w:pStyle w:val="SingleTxtG"/>
        <w:rPr>
          <w:b/>
        </w:rPr>
      </w:pPr>
      <w:r w:rsidRPr="001D12A6">
        <w:t>18.</w:t>
      </w:r>
      <w:r w:rsidRPr="001D12A6">
        <w:rPr>
          <w:b/>
          <w:bCs/>
        </w:rPr>
        <w:tab/>
        <w:t xml:space="preserve">The State party should increase its efforts to prevent and address all forms of discrimination and violence against </w:t>
      </w:r>
      <w:r w:rsidRPr="001628A0">
        <w:rPr>
          <w:b/>
        </w:rPr>
        <w:t xml:space="preserve">lesbian, gay, bisexual, transgender and intersex </w:t>
      </w:r>
      <w:r w:rsidRPr="001D12A6">
        <w:rPr>
          <w:b/>
        </w:rPr>
        <w:t xml:space="preserve">persons. It should in particular: </w:t>
      </w:r>
    </w:p>
    <w:p w14:paraId="1BF51410" w14:textId="30BA2718" w:rsidR="00AE28D2" w:rsidRPr="001D12A6" w:rsidRDefault="00AE28D2" w:rsidP="00AE28D2">
      <w:pPr>
        <w:pStyle w:val="SingleTxtG"/>
        <w:rPr>
          <w:b/>
          <w:bCs/>
        </w:rPr>
      </w:pPr>
      <w:r w:rsidRPr="00652D25">
        <w:tab/>
        <w:t>(a)</w:t>
      </w:r>
      <w:r w:rsidRPr="00652D25">
        <w:tab/>
      </w:r>
      <w:r w:rsidRPr="001D12A6">
        <w:rPr>
          <w:b/>
          <w:bCs/>
        </w:rPr>
        <w:t>Ensure that all allegations of discrimination or violence motivated by the victim</w:t>
      </w:r>
      <w:r w:rsidR="00407CE6">
        <w:rPr>
          <w:b/>
          <w:bCs/>
        </w:rPr>
        <w:t>’</w:t>
      </w:r>
      <w:r w:rsidRPr="001D12A6">
        <w:rPr>
          <w:b/>
          <w:bCs/>
        </w:rPr>
        <w:t>s sexual orientation or real or perceived gender identity are promptly and effectively investigated, that perpetrators are prosecuted and, if convicted, punished with penalties commensurate with the gravity of the offence and that victims are provided with effective access to judicial remedies, with full reparations and means of protection;</w:t>
      </w:r>
    </w:p>
    <w:p w14:paraId="240F7D96" w14:textId="77777777" w:rsidR="00AE28D2" w:rsidRPr="001D12A6" w:rsidRDefault="00AE28D2" w:rsidP="00AE28D2">
      <w:pPr>
        <w:pStyle w:val="SingleTxtG"/>
        <w:rPr>
          <w:b/>
          <w:bCs/>
        </w:rPr>
      </w:pPr>
      <w:bookmarkStart w:id="3" w:name="_Hlk172111457"/>
      <w:r w:rsidRPr="00652D25">
        <w:tab/>
        <w:t>(b)</w:t>
      </w:r>
      <w:r w:rsidRPr="001D12A6">
        <w:rPr>
          <w:b/>
          <w:bCs/>
        </w:rPr>
        <w:tab/>
        <w:t xml:space="preserve">Adopt or amend legislation with a view to ensuring the legal recognition of same-sex couples, including access to benefits associated with marriage; </w:t>
      </w:r>
    </w:p>
    <w:bookmarkEnd w:id="3"/>
    <w:p w14:paraId="015199D2" w14:textId="77777777" w:rsidR="00AE28D2" w:rsidRPr="001D12A6" w:rsidRDefault="00AE28D2" w:rsidP="00AE28D2">
      <w:pPr>
        <w:pStyle w:val="SingleTxtG"/>
        <w:rPr>
          <w:b/>
          <w:bCs/>
        </w:rPr>
      </w:pPr>
      <w:r w:rsidRPr="00652D25">
        <w:tab/>
        <w:t>(c)</w:t>
      </w:r>
      <w:r w:rsidRPr="00652D25">
        <w:tab/>
      </w:r>
      <w:r w:rsidRPr="001D12A6">
        <w:rPr>
          <w:b/>
          <w:bCs/>
        </w:rPr>
        <w:t>Improve the enforcement of the Transgender Persons (Protection of Rights) Act of 2019 and consider reviewing its provisions to ensure that individuals who seek to change their gender and have the change recognized can do so without unnecessary medical or administrative hurdles;</w:t>
      </w:r>
    </w:p>
    <w:p w14:paraId="3286B4DA" w14:textId="77777777" w:rsidR="00AE28D2" w:rsidRPr="001D12A6" w:rsidRDefault="00AE28D2" w:rsidP="00AE28D2">
      <w:pPr>
        <w:pStyle w:val="SingleTxtG"/>
        <w:rPr>
          <w:b/>
          <w:bCs/>
        </w:rPr>
      </w:pPr>
      <w:r w:rsidRPr="00652D25">
        <w:tab/>
        <w:t>(d)</w:t>
      </w:r>
      <w:r w:rsidRPr="00652D25">
        <w:tab/>
      </w:r>
      <w:r w:rsidRPr="001D12A6">
        <w:rPr>
          <w:b/>
          <w:bCs/>
        </w:rPr>
        <w:t>Continue to combat stereotypes and negative attitudes among the general public directed towards persons on the basis of their real or perceived sexual orientation or gender identity.</w:t>
      </w:r>
    </w:p>
    <w:p w14:paraId="74D4E570" w14:textId="77777777" w:rsidR="00AE28D2" w:rsidRPr="001D12A6" w:rsidRDefault="00AE28D2" w:rsidP="00AE28D2">
      <w:pPr>
        <w:pStyle w:val="H23G"/>
        <w:rPr>
          <w:bCs/>
        </w:rPr>
      </w:pPr>
      <w:r w:rsidRPr="001D12A6">
        <w:tab/>
      </w:r>
      <w:r w:rsidRPr="001D12A6">
        <w:tab/>
        <w:t xml:space="preserve">Equality between men and women </w:t>
      </w:r>
    </w:p>
    <w:p w14:paraId="2672E1A7" w14:textId="27049646" w:rsidR="00AE28D2" w:rsidRPr="001D12A6" w:rsidRDefault="00AE28D2" w:rsidP="00AE28D2">
      <w:pPr>
        <w:pStyle w:val="SingleTxtG"/>
      </w:pPr>
      <w:r w:rsidRPr="001D12A6">
        <w:t>19.</w:t>
      </w:r>
      <w:r w:rsidRPr="001D12A6">
        <w:tab/>
      </w:r>
      <w:bookmarkStart w:id="4" w:name="_Hlk172118465"/>
      <w:r w:rsidRPr="001D12A6">
        <w:t>Despite the measures adopted by the State party to promote gender equality and increase the participation of women in the public and private sectors, the Committee is concerned that inequality between men and women, stereotyping, multiple and intersectional forms of discrimination and the societal inferiority of girls and women continue to be structural problems. The Committee regrets that the Constitution (One Hundred and Sixth Amendment) Act, also known as the Women</w:t>
      </w:r>
      <w:r w:rsidR="00407CE6">
        <w:t>’</w:t>
      </w:r>
      <w:r w:rsidRPr="001D12A6">
        <w:t xml:space="preserve">s Reservation Bill, 2023, will come into force only in 2029, after the completion of the census and ratification by the majority of states and will reserve only one third of seats for women in the Lok Sabha, the state legislative assemblies and the Delhi legislative assembly. The Committee takes note of the steps taken by the State party towards equality in matters governed by the personal laws of religious communities or customs. It remains concerned, however, about the persistence of inequalities and discriminatory practices, such as those relating to the infringement of the right to inherit or own land and the dowry system (arts. 2, 3 and 25). </w:t>
      </w:r>
    </w:p>
    <w:bookmarkEnd w:id="4"/>
    <w:p w14:paraId="20478B60" w14:textId="77777777" w:rsidR="00AE28D2" w:rsidRPr="00047485" w:rsidRDefault="00AE28D2" w:rsidP="00047485">
      <w:pPr>
        <w:pStyle w:val="SingleTxtG"/>
        <w:rPr>
          <w:b/>
          <w:bCs/>
        </w:rPr>
      </w:pPr>
      <w:r w:rsidRPr="001D12A6">
        <w:t>20.</w:t>
      </w:r>
      <w:r w:rsidRPr="001D12A6">
        <w:tab/>
      </w:r>
      <w:r w:rsidRPr="00047485">
        <w:rPr>
          <w:b/>
          <w:bCs/>
        </w:rPr>
        <w:t>The State party should take more robust measures to guarantee de jure and de facto equality between men and women. In particular, it should:</w:t>
      </w:r>
    </w:p>
    <w:p w14:paraId="73BAB531" w14:textId="77777777" w:rsidR="00AE28D2" w:rsidRPr="001D12A6" w:rsidRDefault="00AE28D2" w:rsidP="00AE28D2">
      <w:pPr>
        <w:pStyle w:val="SingleTxtG"/>
        <w:rPr>
          <w:b/>
          <w:bCs/>
        </w:rPr>
      </w:pPr>
      <w:r w:rsidRPr="002A7F22">
        <w:tab/>
        <w:t>(a)</w:t>
      </w:r>
      <w:r w:rsidRPr="002A7F22">
        <w:tab/>
      </w:r>
      <w:r w:rsidRPr="001D12A6">
        <w:rPr>
          <w:b/>
          <w:bCs/>
        </w:rPr>
        <w:t xml:space="preserve">Strengthen its efforts to increase the representation of women in all spheres of society, including in decision-making positions; </w:t>
      </w:r>
    </w:p>
    <w:p w14:paraId="5CC61867" w14:textId="1F10E49F" w:rsidR="00AE28D2" w:rsidRPr="001D12A6" w:rsidRDefault="00AE28D2" w:rsidP="00AE28D2">
      <w:pPr>
        <w:pStyle w:val="SingleTxtG"/>
        <w:rPr>
          <w:b/>
          <w:bCs/>
        </w:rPr>
      </w:pPr>
      <w:r w:rsidRPr="002A7F22">
        <w:tab/>
        <w:t xml:space="preserve">(b) </w:t>
      </w:r>
      <w:r w:rsidRPr="002A7F22">
        <w:tab/>
      </w:r>
      <w:r w:rsidRPr="001D12A6">
        <w:rPr>
          <w:b/>
          <w:bCs/>
        </w:rPr>
        <w:t>Consider amending the Women</w:t>
      </w:r>
      <w:r w:rsidR="00407CE6">
        <w:rPr>
          <w:b/>
          <w:bCs/>
        </w:rPr>
        <w:t>’</w:t>
      </w:r>
      <w:r w:rsidRPr="001D12A6">
        <w:rPr>
          <w:b/>
          <w:bCs/>
        </w:rPr>
        <w:t>s Reservation Bill to increase to 50 per cent the proportion of seats reserved for women, speed up its implementation and take the measures necessary to increase the presence of women in politics, including by enhancing civic education for young girls and women;</w:t>
      </w:r>
    </w:p>
    <w:p w14:paraId="36A30E25" w14:textId="77777777" w:rsidR="00AE28D2" w:rsidRPr="001D12A6" w:rsidRDefault="00AE28D2" w:rsidP="00AE28D2">
      <w:pPr>
        <w:pStyle w:val="SingleTxtG"/>
        <w:rPr>
          <w:b/>
          <w:bCs/>
        </w:rPr>
      </w:pPr>
      <w:r w:rsidRPr="00520418">
        <w:tab/>
        <w:t>(c)</w:t>
      </w:r>
      <w:r w:rsidRPr="001D12A6">
        <w:rPr>
          <w:b/>
          <w:bCs/>
        </w:rPr>
        <w:tab/>
        <w:t xml:space="preserve">Ensure that all personal and customary laws are in full conformity with the provisions of the Covenant and eradicate all practices that contravene the integrity and dignity of women; </w:t>
      </w:r>
    </w:p>
    <w:p w14:paraId="28627C68" w14:textId="77777777" w:rsidR="00AE28D2" w:rsidRPr="001D12A6" w:rsidRDefault="00AE28D2" w:rsidP="00AE28D2">
      <w:pPr>
        <w:pStyle w:val="SingleTxtG"/>
        <w:rPr>
          <w:b/>
          <w:bCs/>
        </w:rPr>
      </w:pPr>
      <w:r w:rsidRPr="00520418">
        <w:lastRenderedPageBreak/>
        <w:tab/>
        <w:t>(d)</w:t>
      </w:r>
      <w:r w:rsidRPr="001D12A6">
        <w:rPr>
          <w:b/>
          <w:bCs/>
        </w:rPr>
        <w:tab/>
        <w:t xml:space="preserve">Step up its efforts to eliminate discriminatory attitudes and gender stereotypes regarding the roles and responsibilities of women and men in the family and society. </w:t>
      </w:r>
    </w:p>
    <w:p w14:paraId="654B68E3" w14:textId="77777777" w:rsidR="00AE28D2" w:rsidRPr="001D12A6" w:rsidRDefault="00AE28D2" w:rsidP="00AE28D2">
      <w:pPr>
        <w:pStyle w:val="H23G"/>
      </w:pPr>
      <w:r w:rsidRPr="001D12A6">
        <w:tab/>
      </w:r>
      <w:r w:rsidRPr="001D12A6">
        <w:tab/>
        <w:t xml:space="preserve">Violence against women and harmful practices </w:t>
      </w:r>
    </w:p>
    <w:p w14:paraId="1903B4C5" w14:textId="5EDBB769" w:rsidR="00AE28D2" w:rsidRPr="001D12A6" w:rsidRDefault="00AE28D2" w:rsidP="0093378A">
      <w:pPr>
        <w:pStyle w:val="SingleTxtG"/>
      </w:pPr>
      <w:r w:rsidRPr="001D12A6">
        <w:t>21.</w:t>
      </w:r>
      <w:r w:rsidRPr="001D12A6">
        <w:tab/>
        <w:t>Despite the measures taken by the State party, including the Protection of Women from Domestic Violence Act, 2005, and some provisions of the new criminal code, the Bharatiya Nyaya Sanhita, 2023, the Committee remains concerned about the endemic violence against women and girls, which is manifested by practices including marital and gang rape, domestic violence, acid attacks and public humiliation involving naked women being paraded through the streets. The Committee is concerned that such violence is exacerbated when directed against women and girls belonging to Indigenous, ethnic and religious minority and lower caste communities and that it is largely underreported. The Committee is concerned about information concerning</w:t>
      </w:r>
      <w:r w:rsidRPr="001D12A6">
        <w:rPr>
          <w:bCs/>
        </w:rPr>
        <w:t xml:space="preserve"> certain practices, including </w:t>
      </w:r>
      <w:r w:rsidR="00407CE6">
        <w:rPr>
          <w:bCs/>
        </w:rPr>
        <w:t>“</w:t>
      </w:r>
      <w:r w:rsidRPr="001D12A6">
        <w:rPr>
          <w:bCs/>
        </w:rPr>
        <w:t>honour crimes</w:t>
      </w:r>
      <w:r w:rsidR="00407CE6">
        <w:rPr>
          <w:bCs/>
        </w:rPr>
        <w:t>”</w:t>
      </w:r>
      <w:r w:rsidRPr="001D12A6">
        <w:rPr>
          <w:bCs/>
        </w:rPr>
        <w:t>, female genital mutilation, accusations of witchcraft and child marriage.</w:t>
      </w:r>
      <w:r w:rsidRPr="001D12A6">
        <w:t xml:space="preserve"> The Committee is also concerned that the definition of rape under the Bharatiya Nyaya Sanhita, 2023 does not include marital rape (arts. 2, 3, 6, 7, 8 and 26).</w:t>
      </w:r>
    </w:p>
    <w:p w14:paraId="3E3A970C" w14:textId="77777777" w:rsidR="00AE28D2" w:rsidRPr="00047485" w:rsidRDefault="00AE28D2" w:rsidP="00047485">
      <w:pPr>
        <w:pStyle w:val="SingleTxtG"/>
        <w:rPr>
          <w:b/>
          <w:bCs/>
        </w:rPr>
      </w:pPr>
      <w:r w:rsidRPr="001D12A6">
        <w:t>22.</w:t>
      </w:r>
      <w:r w:rsidRPr="001D12A6">
        <w:tab/>
      </w:r>
      <w:r w:rsidRPr="00047485">
        <w:rPr>
          <w:b/>
          <w:bCs/>
        </w:rPr>
        <w:t xml:space="preserve">The State party should adopt comprehensive legal and policy reform to prevent, address and eradicate violence against women and girls and other harmful practices in all their forms and manifestations. In particular, it should: </w:t>
      </w:r>
    </w:p>
    <w:p w14:paraId="68C18B03" w14:textId="79EADF05" w:rsidR="00AE28D2" w:rsidRPr="00942BE3" w:rsidRDefault="00942BE3" w:rsidP="00942BE3">
      <w:pPr>
        <w:pStyle w:val="SingleTxtG"/>
        <w:rPr>
          <w:b/>
          <w:bCs/>
        </w:rPr>
      </w:pPr>
      <w:r w:rsidRPr="00942BE3">
        <w:tab/>
      </w:r>
      <w:r w:rsidR="00AE28D2" w:rsidRPr="00942BE3">
        <w:t>(a)</w:t>
      </w:r>
      <w:r w:rsidR="00AE28D2" w:rsidRPr="00942BE3">
        <w:tab/>
      </w:r>
      <w:r w:rsidR="00AE28D2" w:rsidRPr="00942BE3">
        <w:rPr>
          <w:b/>
          <w:bCs/>
        </w:rPr>
        <w:t xml:space="preserve">Ensure that all cases of violence and harmful practices against women and girls are thoroughly and promptly investigated, that perpetrators are prosecuted and, if convicted, punished with penalties commensurate with the gravity of the offence; </w:t>
      </w:r>
    </w:p>
    <w:p w14:paraId="63FEE241" w14:textId="427AC318" w:rsidR="00AE28D2" w:rsidRPr="00942BE3" w:rsidRDefault="00942BE3" w:rsidP="00942BE3">
      <w:pPr>
        <w:pStyle w:val="SingleTxtG"/>
        <w:rPr>
          <w:b/>
          <w:bCs/>
        </w:rPr>
      </w:pPr>
      <w:r w:rsidRPr="00942BE3">
        <w:tab/>
      </w:r>
      <w:r w:rsidR="00AE28D2" w:rsidRPr="00942BE3">
        <w:t>(b)</w:t>
      </w:r>
      <w:r w:rsidR="00AE28D2" w:rsidRPr="00942BE3">
        <w:rPr>
          <w:b/>
          <w:bCs/>
        </w:rPr>
        <w:tab/>
        <w:t>Ensure that victims receive the necessary legal, medical, financial and psychological support and have access to effective remedies and means of protection;</w:t>
      </w:r>
    </w:p>
    <w:p w14:paraId="443AD498" w14:textId="7A9B485B" w:rsidR="00AE28D2" w:rsidRPr="00942BE3" w:rsidRDefault="00942BE3" w:rsidP="00942BE3">
      <w:pPr>
        <w:pStyle w:val="SingleTxtG"/>
        <w:rPr>
          <w:b/>
          <w:bCs/>
        </w:rPr>
      </w:pPr>
      <w:r w:rsidRPr="00942BE3">
        <w:tab/>
      </w:r>
      <w:r w:rsidR="00AE28D2" w:rsidRPr="00942BE3">
        <w:t>(c)</w:t>
      </w:r>
      <w:r w:rsidR="00AE28D2" w:rsidRPr="00942BE3">
        <w:rPr>
          <w:b/>
          <w:bCs/>
        </w:rPr>
        <w:tab/>
        <w:t xml:space="preserve">Establish an effective mechanism to facilitate and encourage the reporting of cases of violence and harmful practices against women and girls, in particular those belonging to Indigenous, ethnic and religious minority and lower caste communities, including by ensuring that all women have access to information about their rights and to remedies, addressing the social stigmatization of victims and raising awareness among the general public about the criminal nature of such acts; </w:t>
      </w:r>
    </w:p>
    <w:p w14:paraId="1FFAA429" w14:textId="3233C6B1" w:rsidR="00AE28D2" w:rsidRPr="00942BE3" w:rsidRDefault="00942BE3" w:rsidP="00942BE3">
      <w:pPr>
        <w:pStyle w:val="SingleTxtG"/>
        <w:rPr>
          <w:b/>
          <w:bCs/>
        </w:rPr>
      </w:pPr>
      <w:r w:rsidRPr="00942BE3">
        <w:tab/>
      </w:r>
      <w:r w:rsidR="00AE28D2" w:rsidRPr="00942BE3">
        <w:t>(d)</w:t>
      </w:r>
      <w:r w:rsidR="00AE28D2" w:rsidRPr="00942BE3">
        <w:rPr>
          <w:b/>
          <w:bCs/>
        </w:rPr>
        <w:tab/>
        <w:t xml:space="preserve">Ensure that the domestic legislation on rape is in compliance with the provisions of the Covenant and amend the Bharatiya Nyaya Sanhita, 2023, in order to explicitly criminalize marital rape. </w:t>
      </w:r>
    </w:p>
    <w:p w14:paraId="6D7883AC" w14:textId="77777777" w:rsidR="00AE28D2" w:rsidRPr="001D12A6" w:rsidRDefault="00AE28D2" w:rsidP="00AE28D2">
      <w:pPr>
        <w:pStyle w:val="H23G"/>
      </w:pPr>
      <w:r w:rsidRPr="001D12A6">
        <w:tab/>
      </w:r>
      <w:r w:rsidRPr="001D12A6">
        <w:tab/>
        <w:t xml:space="preserve">Termination of pregnancy, maternal mortality and sexual and reproductive rights </w:t>
      </w:r>
    </w:p>
    <w:p w14:paraId="436041F7" w14:textId="77777777" w:rsidR="00AE28D2" w:rsidRPr="001D12A6" w:rsidRDefault="00AE28D2" w:rsidP="0093378A">
      <w:pPr>
        <w:pStyle w:val="SingleTxtG"/>
      </w:pPr>
      <w:r w:rsidRPr="001D12A6">
        <w:t>23.</w:t>
      </w:r>
      <w:r w:rsidRPr="001D12A6">
        <w:tab/>
        <w:t xml:space="preserve">While the Committee takes note of the information provided by the State party on the legislative framework concerning abortion, it notes that several legal and practical obstacles prevent or hinder effective access to safe and legal abortion, such as the lack of clarity of the relevant legislation, including the Bharatiya Nyaya Sanhita, 2023, fear of reprisals against medical practitioners, very severe restrictions on abortion for medical reasons after the twentieth week of pregnancy, the obligation to obtain an authorization from a third party in many cases and conscientious objections on the part of medical personnel. The Committee regrets that such circumstances lead women, including minors, to resort to clandestine and unsafe abortions, which increase the risk of maternal mortality. The Committee is also concerned by sex-selective abortions, which, according to information received, is widely practised despite a ban under domestic legislation. The Committee is further concerned about reports of the practice of forced sterilization, under the guise of family planning, particularly among the poorest sections of the population </w:t>
      </w:r>
      <w:bookmarkStart w:id="5" w:name="_Hlk172130339"/>
      <w:r w:rsidRPr="001D12A6">
        <w:t>(arts. 2, 3, 6 and 7).</w:t>
      </w:r>
    </w:p>
    <w:bookmarkEnd w:id="5"/>
    <w:p w14:paraId="5ECF6A89" w14:textId="60ECCBED" w:rsidR="00AE28D2" w:rsidRPr="0093378A" w:rsidRDefault="00AE28D2" w:rsidP="0093378A">
      <w:pPr>
        <w:pStyle w:val="SingleTxtG"/>
        <w:rPr>
          <w:b/>
          <w:bCs/>
        </w:rPr>
      </w:pPr>
      <w:r w:rsidRPr="001D12A6">
        <w:t>24.</w:t>
      </w:r>
      <w:r w:rsidRPr="001D12A6">
        <w:tab/>
      </w:r>
      <w:r w:rsidRPr="0093378A">
        <w:rPr>
          <w:b/>
          <w:bCs/>
        </w:rPr>
        <w:t>In the light of paragraph 8 of the Committee</w:t>
      </w:r>
      <w:r w:rsidR="00407CE6">
        <w:rPr>
          <w:b/>
          <w:bCs/>
        </w:rPr>
        <w:t>’</w:t>
      </w:r>
      <w:r w:rsidRPr="0093378A">
        <w:rPr>
          <w:b/>
          <w:bCs/>
        </w:rPr>
        <w:t xml:space="preserve">s general comment No. 36 (2018) on the right to life, the State party should take all measures necessary to ensure that women and girls do not have to resort to clandestine or unsafe abortions. In particular, the State party should: </w:t>
      </w:r>
    </w:p>
    <w:p w14:paraId="5636E063" w14:textId="0A4FBDAD" w:rsidR="00AE28D2" w:rsidRPr="0093378A" w:rsidRDefault="0093378A" w:rsidP="0093378A">
      <w:pPr>
        <w:pStyle w:val="SingleTxtG"/>
        <w:rPr>
          <w:b/>
          <w:bCs/>
        </w:rPr>
      </w:pPr>
      <w:r w:rsidRPr="0093378A">
        <w:tab/>
      </w:r>
      <w:r w:rsidR="00AE28D2" w:rsidRPr="0093378A">
        <w:t xml:space="preserve">(a) </w:t>
      </w:r>
      <w:r w:rsidR="00AE28D2" w:rsidRPr="0093378A">
        <w:tab/>
      </w:r>
      <w:r w:rsidR="00AE28D2" w:rsidRPr="0093378A">
        <w:rPr>
          <w:b/>
          <w:bCs/>
        </w:rPr>
        <w:t xml:space="preserve">Ensure that women and girls have effective access to safe and legal abortion, that medical service providers who assist them are not subject to criminal </w:t>
      </w:r>
      <w:r w:rsidR="00AE28D2" w:rsidRPr="0093378A">
        <w:rPr>
          <w:b/>
          <w:bCs/>
        </w:rPr>
        <w:lastRenderedPageBreak/>
        <w:t xml:space="preserve">penalties and that barriers, such as those relating to third party authorization, which induce women and girls to resort to unsafe abortions, are lifted; </w:t>
      </w:r>
    </w:p>
    <w:p w14:paraId="124B0EE8" w14:textId="302C5371" w:rsidR="00AE28D2" w:rsidRPr="0093378A" w:rsidRDefault="0093378A" w:rsidP="0093378A">
      <w:pPr>
        <w:pStyle w:val="SingleTxtG"/>
        <w:rPr>
          <w:b/>
          <w:bCs/>
        </w:rPr>
      </w:pPr>
      <w:r w:rsidRPr="0093378A">
        <w:tab/>
      </w:r>
      <w:r w:rsidR="00AE28D2" w:rsidRPr="0093378A">
        <w:t xml:space="preserve">(b) </w:t>
      </w:r>
      <w:r w:rsidR="00AE28D2" w:rsidRPr="0093378A">
        <w:tab/>
      </w:r>
      <w:r w:rsidR="00AE28D2" w:rsidRPr="0093378A">
        <w:rPr>
          <w:b/>
          <w:bCs/>
        </w:rPr>
        <w:t xml:space="preserve">Increase its efforts to ensure the full and unimpeded access to sexual and reproductive health services and reproductive health education among women, men and adolescents, with a view to reducing maternal mortality and preventing unintended pregnancies; </w:t>
      </w:r>
    </w:p>
    <w:p w14:paraId="6487A50F" w14:textId="2F89D55E" w:rsidR="00AE28D2" w:rsidRPr="0093378A" w:rsidRDefault="0093378A" w:rsidP="0093378A">
      <w:pPr>
        <w:pStyle w:val="SingleTxtG"/>
        <w:rPr>
          <w:b/>
          <w:bCs/>
        </w:rPr>
      </w:pPr>
      <w:r w:rsidRPr="0093378A">
        <w:tab/>
      </w:r>
      <w:r w:rsidR="00AE28D2" w:rsidRPr="0093378A">
        <w:t>(c)</w:t>
      </w:r>
      <w:r w:rsidR="00AE28D2" w:rsidRPr="0093378A">
        <w:tab/>
      </w:r>
      <w:r w:rsidR="00AE28D2" w:rsidRPr="0093378A">
        <w:rPr>
          <w:b/>
          <w:bCs/>
        </w:rPr>
        <w:t xml:space="preserve">Ensure that domestic legislation banning selective abortion is effectively enforced; </w:t>
      </w:r>
    </w:p>
    <w:p w14:paraId="42D414EE" w14:textId="55CB3D48" w:rsidR="00AE28D2" w:rsidRPr="0093378A" w:rsidRDefault="0093378A" w:rsidP="0093378A">
      <w:pPr>
        <w:pStyle w:val="SingleTxtG"/>
        <w:rPr>
          <w:b/>
          <w:bCs/>
        </w:rPr>
      </w:pPr>
      <w:r w:rsidRPr="0093378A">
        <w:tab/>
      </w:r>
      <w:r w:rsidR="00AE28D2" w:rsidRPr="0093378A">
        <w:t>(d)</w:t>
      </w:r>
      <w:r w:rsidR="00AE28D2" w:rsidRPr="0093378A">
        <w:tab/>
      </w:r>
      <w:r w:rsidR="00AE28D2" w:rsidRPr="0093378A">
        <w:rPr>
          <w:b/>
          <w:bCs/>
        </w:rPr>
        <w:t xml:space="preserve">Ensure that forced sterilization is eradicated and that the free and informed consent of the patient is provided for all sterilization procedures. </w:t>
      </w:r>
    </w:p>
    <w:p w14:paraId="5D33B830" w14:textId="77777777" w:rsidR="00AE28D2" w:rsidRPr="001D12A6" w:rsidRDefault="00AE28D2" w:rsidP="00AE28D2">
      <w:pPr>
        <w:pStyle w:val="H23G"/>
      </w:pPr>
      <w:r w:rsidRPr="001D12A6">
        <w:tab/>
      </w:r>
      <w:r w:rsidRPr="001D12A6">
        <w:tab/>
        <w:t xml:space="preserve">Trafficking in persons and forced labour </w:t>
      </w:r>
    </w:p>
    <w:p w14:paraId="242DFF74" w14:textId="77777777" w:rsidR="00AE28D2" w:rsidRPr="001D12A6" w:rsidRDefault="00AE28D2" w:rsidP="008B7FCE">
      <w:pPr>
        <w:pStyle w:val="SingleTxtG"/>
      </w:pPr>
      <w:r w:rsidRPr="001D12A6">
        <w:t>25.</w:t>
      </w:r>
      <w:r w:rsidRPr="001D12A6">
        <w:tab/>
        <w:t>The Committee takes note of the efforts of the State party to address trafficking in persons. According to reports, however, trafficking in persons, sexual exploitation and bonded labour continue to be of concern and the measures taken have not been sufficient across all states. In particular, the Committee is concerned by information received indicating that the conviction rate for trafficking in persons is very low, the measures to assist, protect and provide remedies for victims are inadequate and government officials are sometimes complicit in such practices (arts. 7, 8 and 24).</w:t>
      </w:r>
    </w:p>
    <w:p w14:paraId="13ADBBD7" w14:textId="77777777" w:rsidR="00AE28D2" w:rsidRPr="001D12A6" w:rsidRDefault="00AE28D2" w:rsidP="008B7FCE">
      <w:pPr>
        <w:pStyle w:val="SingleTxtG"/>
        <w:rPr>
          <w:b/>
          <w:bCs/>
          <w:lang w:val="en-US"/>
        </w:rPr>
      </w:pPr>
      <w:r w:rsidRPr="001D12A6">
        <w:t>26.</w:t>
      </w:r>
      <w:r w:rsidRPr="001D12A6">
        <w:rPr>
          <w:b/>
          <w:bCs/>
        </w:rPr>
        <w:t xml:space="preserve"> </w:t>
      </w:r>
      <w:r w:rsidRPr="001D12A6">
        <w:rPr>
          <w:b/>
          <w:bCs/>
        </w:rPr>
        <w:tab/>
        <w:t xml:space="preserve">The State party should </w:t>
      </w:r>
      <w:r w:rsidRPr="001D12A6">
        <w:rPr>
          <w:b/>
          <w:bCs/>
          <w:lang w:val="en-US"/>
        </w:rPr>
        <w:t>strengthen its efforts to effectively prevent, combat and punish trafficking in persons and bonded labour, including by:</w:t>
      </w:r>
    </w:p>
    <w:p w14:paraId="0B0BF183" w14:textId="08F04723" w:rsidR="00AE28D2" w:rsidRPr="001D12A6" w:rsidRDefault="008B7FCE" w:rsidP="008B7FCE">
      <w:pPr>
        <w:pStyle w:val="SingleTxtG"/>
        <w:rPr>
          <w:b/>
          <w:bCs/>
          <w:lang w:val="en-US"/>
        </w:rPr>
      </w:pPr>
      <w:r w:rsidRPr="008B7FCE">
        <w:tab/>
      </w:r>
      <w:r w:rsidR="00AE28D2" w:rsidRPr="008B7FCE">
        <w:t>(a)</w:t>
      </w:r>
      <w:r w:rsidR="00AE28D2" w:rsidRPr="008B7FCE">
        <w:tab/>
      </w:r>
      <w:bookmarkStart w:id="6" w:name="_Hlk172155908"/>
      <w:r w:rsidR="00AE28D2" w:rsidRPr="001D12A6">
        <w:rPr>
          <w:b/>
          <w:bCs/>
          <w:lang w:val="en-US"/>
        </w:rPr>
        <w:t>Ensuring that instances of the practices, including those involving public officials, are promptly, thoroughly and impartially investigated, that perpetrators are prosecuted and, if convicted, punished with penalties commensurate with the gravity of the offence;</w:t>
      </w:r>
    </w:p>
    <w:p w14:paraId="643CF03A" w14:textId="04E5C0DE" w:rsidR="00AE28D2" w:rsidRPr="001D12A6" w:rsidRDefault="008B7FCE" w:rsidP="008B7FCE">
      <w:pPr>
        <w:pStyle w:val="SingleTxtG"/>
        <w:rPr>
          <w:b/>
          <w:bCs/>
          <w:lang w:val="en-US"/>
        </w:rPr>
      </w:pPr>
      <w:r w:rsidRPr="008B7FCE">
        <w:tab/>
      </w:r>
      <w:r w:rsidR="00AE28D2" w:rsidRPr="008B7FCE">
        <w:t>(b)</w:t>
      </w:r>
      <w:r w:rsidR="00AE28D2" w:rsidRPr="001D12A6">
        <w:rPr>
          <w:b/>
          <w:bCs/>
          <w:lang w:val="en-US"/>
        </w:rPr>
        <w:tab/>
        <w:t xml:space="preserve">Providing victims with protection and assistance and access to effective remedies, including rehabilitation and reintegration support services; </w:t>
      </w:r>
    </w:p>
    <w:bookmarkEnd w:id="6"/>
    <w:p w14:paraId="10D8BF69" w14:textId="7D24AC22" w:rsidR="00AE28D2" w:rsidRPr="001D12A6" w:rsidRDefault="008B7FCE" w:rsidP="008B7FCE">
      <w:pPr>
        <w:pStyle w:val="SingleTxtG"/>
        <w:rPr>
          <w:b/>
          <w:bCs/>
        </w:rPr>
      </w:pPr>
      <w:r w:rsidRPr="008B7FCE">
        <w:tab/>
      </w:r>
      <w:r w:rsidR="00AE28D2" w:rsidRPr="008B7FCE">
        <w:t>(c)</w:t>
      </w:r>
      <w:r w:rsidR="00AE28D2" w:rsidRPr="001D12A6">
        <w:rPr>
          <w:b/>
          <w:bCs/>
          <w:lang w:val="en-US"/>
        </w:rPr>
        <w:tab/>
        <w:t xml:space="preserve">Increasing awareness-raising campaigns for the general public </w:t>
      </w:r>
      <w:r w:rsidR="00AE28D2" w:rsidRPr="001D12A6">
        <w:rPr>
          <w:b/>
          <w:bCs/>
        </w:rPr>
        <w:t xml:space="preserve">and training for all relevant State officials, including the judiciary, prosecutors, law enforcement and border authorities, on standards and procedures for prevention and the identification and referral of victims of trafficking in persons and bonded labour; </w:t>
      </w:r>
    </w:p>
    <w:p w14:paraId="6633C68E" w14:textId="02EC89FE" w:rsidR="00AE28D2" w:rsidRPr="001D12A6" w:rsidRDefault="008B7FCE" w:rsidP="008B7FCE">
      <w:pPr>
        <w:pStyle w:val="SingleTxtG"/>
        <w:rPr>
          <w:b/>
          <w:bCs/>
        </w:rPr>
      </w:pPr>
      <w:r w:rsidRPr="008B7FCE">
        <w:tab/>
      </w:r>
      <w:r w:rsidR="00AE28D2" w:rsidRPr="008B7FCE">
        <w:t>(d)</w:t>
      </w:r>
      <w:r w:rsidR="00AE28D2" w:rsidRPr="008B7FCE">
        <w:tab/>
      </w:r>
      <w:r w:rsidR="00AE28D2" w:rsidRPr="001D12A6">
        <w:rPr>
          <w:b/>
          <w:bCs/>
        </w:rPr>
        <w:t>Ensuring that sufficient financial, technical and human resources are allocated to all institutions responsible for preventing, combating and punishing trafficking in persons and bonded labour, as well as to those providing protection and assistance, including the Special Anti-Human Trafficking Units.</w:t>
      </w:r>
    </w:p>
    <w:p w14:paraId="6B552441" w14:textId="77777777" w:rsidR="00AE28D2" w:rsidRPr="001D12A6" w:rsidRDefault="00AE28D2" w:rsidP="00AE28D2">
      <w:pPr>
        <w:pStyle w:val="H23G"/>
        <w:rPr>
          <w:lang w:val="en-US"/>
        </w:rPr>
      </w:pPr>
      <w:bookmarkStart w:id="7" w:name="_Hlk172197370"/>
      <w:r w:rsidRPr="001D12A6">
        <w:rPr>
          <w:lang w:val="en-US"/>
        </w:rPr>
        <w:tab/>
      </w:r>
      <w:r w:rsidRPr="001D12A6">
        <w:rPr>
          <w:lang w:val="en-US"/>
        </w:rPr>
        <w:tab/>
        <w:t xml:space="preserve">Counter-terrorism and security measures and accountability for serious human rights violations </w:t>
      </w:r>
    </w:p>
    <w:p w14:paraId="3C5CB651" w14:textId="2AC0C743" w:rsidR="00AE28D2" w:rsidRPr="001D12A6" w:rsidRDefault="00AE28D2" w:rsidP="005429B0">
      <w:pPr>
        <w:pStyle w:val="SingleTxtG"/>
        <w:rPr>
          <w:lang w:val="en-US"/>
        </w:rPr>
      </w:pPr>
      <w:r w:rsidRPr="001D12A6">
        <w:rPr>
          <w:lang w:val="en-US"/>
        </w:rPr>
        <w:t>27.</w:t>
      </w:r>
      <w:r w:rsidRPr="001D12A6">
        <w:rPr>
          <w:lang w:val="en-US"/>
        </w:rPr>
        <w:tab/>
        <w:t xml:space="preserve">The State party reports that certain </w:t>
      </w:r>
      <w:r w:rsidR="00407CE6">
        <w:rPr>
          <w:lang w:val="en-US"/>
        </w:rPr>
        <w:t>“</w:t>
      </w:r>
      <w:r w:rsidRPr="001D12A6">
        <w:rPr>
          <w:lang w:val="en-US"/>
        </w:rPr>
        <w:t>disturbed areas</w:t>
      </w:r>
      <w:r w:rsidR="00407CE6">
        <w:rPr>
          <w:lang w:val="en-US"/>
        </w:rPr>
        <w:t>”</w:t>
      </w:r>
      <w:r w:rsidRPr="001D12A6">
        <w:rPr>
          <w:lang w:val="en-US"/>
        </w:rPr>
        <w:t xml:space="preserve"> suffer from terrorism and insurgency, leading to an acute </w:t>
      </w:r>
      <w:r w:rsidR="00407CE6">
        <w:rPr>
          <w:lang w:val="en-US"/>
        </w:rPr>
        <w:t>“</w:t>
      </w:r>
      <w:r w:rsidRPr="001D12A6">
        <w:rPr>
          <w:lang w:val="en-US"/>
        </w:rPr>
        <w:t>law and order situation</w:t>
      </w:r>
      <w:r w:rsidR="00407CE6">
        <w:rPr>
          <w:lang w:val="en-US"/>
        </w:rPr>
        <w:t>”</w:t>
      </w:r>
      <w:r w:rsidRPr="001D12A6">
        <w:rPr>
          <w:lang w:val="en-US"/>
        </w:rPr>
        <w:t xml:space="preserve"> necessitating the involvement of the armed forces, which operate under the Armed Forces (Special Powers) Act, 1958, and the Armed Forces (</w:t>
      </w:r>
      <w:proofErr w:type="gramStart"/>
      <w:r w:rsidRPr="001D12A6">
        <w:rPr>
          <w:lang w:val="en-US"/>
        </w:rPr>
        <w:t>Jammu and Kashmir</w:t>
      </w:r>
      <w:proofErr w:type="gramEnd"/>
      <w:r w:rsidRPr="001D12A6">
        <w:rPr>
          <w:lang w:val="en-US"/>
        </w:rPr>
        <w:t>) Special Powers Act, 1990. The Committee notes that, while those measures could constitute emergency measures, the State party has not officially declared a public emergency, as provided for in article 4 of the Covenant and in the Committee</w:t>
      </w:r>
      <w:r w:rsidR="00407CE6">
        <w:rPr>
          <w:lang w:val="en-US"/>
        </w:rPr>
        <w:t>’</w:t>
      </w:r>
      <w:r w:rsidRPr="001D12A6">
        <w:rPr>
          <w:lang w:val="en-US"/>
        </w:rPr>
        <w:t>s general comment No. 29 (2001) on derogations from provisions of the Covenant during a state of emergency. The Committee is therefore concerned that the provisions of those Acts and related counter-terrorism legislation are not in compliance with the Covenant. The Committee is particularly concerned by the provisions of counter</w:t>
      </w:r>
      <w:r w:rsidR="00407CE6">
        <w:rPr>
          <w:lang w:val="en-US"/>
        </w:rPr>
        <w:noBreakHyphen/>
      </w:r>
      <w:r w:rsidRPr="001D12A6">
        <w:rPr>
          <w:lang w:val="en-US"/>
        </w:rPr>
        <w:t xml:space="preserve">terrorism legislation regarding: (a) the extensive power to use lethal force; (b) preventive detention without charge or judicial review for exceptionally long periods; and (c) the extensive power granted to executive bodies under broadly and vaguely defined terms, including designating individuals responsible for acts that are </w:t>
      </w:r>
      <w:r w:rsidR="00407CE6">
        <w:rPr>
          <w:lang w:val="en-US"/>
        </w:rPr>
        <w:t>“</w:t>
      </w:r>
      <w:r w:rsidRPr="001D12A6">
        <w:rPr>
          <w:lang w:val="en-US"/>
        </w:rPr>
        <w:t>likely to threaten</w:t>
      </w:r>
      <w:r w:rsidR="00407CE6">
        <w:rPr>
          <w:lang w:val="en-US"/>
        </w:rPr>
        <w:t>”</w:t>
      </w:r>
      <w:r w:rsidRPr="001D12A6">
        <w:rPr>
          <w:lang w:val="en-US"/>
        </w:rPr>
        <w:t xml:space="preserve"> or </w:t>
      </w:r>
      <w:r w:rsidR="00407CE6">
        <w:rPr>
          <w:lang w:val="en-US"/>
        </w:rPr>
        <w:t>“</w:t>
      </w:r>
      <w:r w:rsidRPr="001D12A6">
        <w:rPr>
          <w:lang w:val="en-US"/>
        </w:rPr>
        <w:t>likely to strike terror in people</w:t>
      </w:r>
      <w:r w:rsidR="00407CE6">
        <w:rPr>
          <w:lang w:val="en-US"/>
        </w:rPr>
        <w:t>”</w:t>
      </w:r>
      <w:r w:rsidRPr="001D12A6">
        <w:rPr>
          <w:lang w:val="en-US"/>
        </w:rPr>
        <w:t xml:space="preserve">, which could infringe the presumption of innocence and be misused against dissidents and activists. As a result of that legislative framework and its application, </w:t>
      </w:r>
      <w:r w:rsidRPr="001D12A6">
        <w:rPr>
          <w:lang w:val="en-US"/>
        </w:rPr>
        <w:lastRenderedPageBreak/>
        <w:t>the Committee remains concerned that the application of counter-terrorism legislation for decades in so-called disturbed areas, for example districts in Manipur, Jammu and Kashmir and Assam, has led to widespread and grave human rights violations, including the excessive use of force leading to unlawful killings, arbitrary detention without formal charges for years, habeas corpus petitions that are not dealt with expeditiously, sexual violence, forced displacement and torture and ill-treatment (arts. 2, 6, 7, 9, 14 and 26).</w:t>
      </w:r>
    </w:p>
    <w:p w14:paraId="4BCB200F" w14:textId="77777777" w:rsidR="00AE28D2" w:rsidRPr="00693F72" w:rsidRDefault="00AE28D2" w:rsidP="00693F72">
      <w:pPr>
        <w:pStyle w:val="SingleTxtG"/>
        <w:rPr>
          <w:b/>
          <w:bCs/>
          <w:lang w:val="en-US"/>
        </w:rPr>
      </w:pPr>
      <w:r w:rsidRPr="001D12A6">
        <w:rPr>
          <w:lang w:val="en-US"/>
        </w:rPr>
        <w:t xml:space="preserve">28. </w:t>
      </w:r>
      <w:r w:rsidRPr="001D12A6">
        <w:rPr>
          <w:lang w:val="en-US"/>
        </w:rPr>
        <w:tab/>
      </w:r>
      <w:r w:rsidRPr="00693F72">
        <w:rPr>
          <w:b/>
          <w:bCs/>
          <w:lang w:val="en-US"/>
        </w:rPr>
        <w:t xml:space="preserve">The State party should review the existing counter-terrorism legislation, including the Armed Forces (Special Powers) Act, 1958, the Armed Forces (Jammu and Kashmir) Special Powers Act, 1990, the National Security Act, 1980, the Unlawful Activities (Prevention) Act, 1967, the Jammu and Kashmir Public Safety Act, 1978, and the Chhattisgarh Special Public Security Act, 2005, that does not comply with the Covenant and ensure that it complies fully with its obligations under the Covenant and with the principles of legal certainty, predictability, necessity and proportionality. The State party should also: </w:t>
      </w:r>
    </w:p>
    <w:p w14:paraId="4A99C919" w14:textId="5DAD6035" w:rsidR="00AE28D2" w:rsidRPr="00693F72" w:rsidRDefault="00693F72" w:rsidP="00693F72">
      <w:pPr>
        <w:pStyle w:val="SingleTxtG"/>
        <w:rPr>
          <w:b/>
          <w:bCs/>
          <w:lang w:val="en-US"/>
        </w:rPr>
      </w:pPr>
      <w:r w:rsidRPr="00693F72">
        <w:tab/>
      </w:r>
      <w:r w:rsidR="00AE28D2" w:rsidRPr="00693F72">
        <w:t>(a)</w:t>
      </w:r>
      <w:r w:rsidR="00AE28D2" w:rsidRPr="00693F72">
        <w:tab/>
      </w:r>
      <w:r w:rsidR="00AE28D2" w:rsidRPr="00693F72">
        <w:rPr>
          <w:b/>
          <w:bCs/>
          <w:lang w:val="en-US"/>
        </w:rPr>
        <w:t xml:space="preserve">Ensure that counter-terrorism legislation is not invoked or applied to unjustifiably limit any right enshrined in the Covenant, including the rights to life, liberty and security of person, procedural guarantees, such as the presumption of innocence, and freedom of expression and association or to repress human rights defenders, journalists, peaceful protesters and political opponents, among others; </w:t>
      </w:r>
    </w:p>
    <w:p w14:paraId="08C4A245" w14:textId="5F50C517" w:rsidR="00AE28D2" w:rsidRPr="00693F72" w:rsidRDefault="00693F72" w:rsidP="00693F72">
      <w:pPr>
        <w:pStyle w:val="SingleTxtG"/>
        <w:rPr>
          <w:b/>
          <w:bCs/>
          <w:lang w:val="en-US"/>
        </w:rPr>
      </w:pPr>
      <w:bookmarkStart w:id="8" w:name="_Hlk172460648"/>
      <w:r w:rsidRPr="00693F72">
        <w:tab/>
      </w:r>
      <w:r w:rsidR="00AE28D2" w:rsidRPr="00693F72">
        <w:t>(b)</w:t>
      </w:r>
      <w:r w:rsidR="00AE28D2" w:rsidRPr="00693F72">
        <w:tab/>
      </w:r>
      <w:r w:rsidR="00AE28D2" w:rsidRPr="00693F72">
        <w:rPr>
          <w:b/>
          <w:bCs/>
          <w:lang w:val="en-US"/>
        </w:rPr>
        <w:t>Ensure that persons suspected of or charged with terrorist acts or related offences are provided, in law and in practice, with all appropriate legal and procedural safeguards, including against arbitrary detention, that their detention is reviewed in a prompt, thorough and impartial manner by the relevant judicial authorities, including through the effective implementation of the right to habeas corpus,</w:t>
      </w:r>
      <w:r w:rsidR="00AE28D2" w:rsidRPr="00693F72">
        <w:rPr>
          <w:b/>
          <w:bCs/>
        </w:rPr>
        <w:t xml:space="preserve"> </w:t>
      </w:r>
      <w:r w:rsidR="00AE28D2" w:rsidRPr="00693F72">
        <w:rPr>
          <w:b/>
          <w:bCs/>
          <w:lang w:val="en-US"/>
        </w:rPr>
        <w:t>and that anyone detained arbitrarily is released without conditions and is adequately compensated;</w:t>
      </w:r>
    </w:p>
    <w:bookmarkEnd w:id="8"/>
    <w:p w14:paraId="7A91F0E7" w14:textId="38A5FC84" w:rsidR="00AE28D2" w:rsidRPr="00693F72" w:rsidRDefault="00693F72" w:rsidP="00693F72">
      <w:pPr>
        <w:pStyle w:val="SingleTxtG"/>
        <w:rPr>
          <w:b/>
          <w:bCs/>
          <w:lang w:val="en-US"/>
        </w:rPr>
      </w:pPr>
      <w:r w:rsidRPr="00693F72">
        <w:tab/>
      </w:r>
      <w:r w:rsidR="00AE28D2" w:rsidRPr="00693F72">
        <w:t>(c)</w:t>
      </w:r>
      <w:r w:rsidR="00AE28D2" w:rsidRPr="00693F72">
        <w:rPr>
          <w:b/>
          <w:bCs/>
          <w:lang w:val="en-US"/>
        </w:rPr>
        <w:tab/>
        <w:t xml:space="preserve">Ensure that counter-terrorism and other security and counter-insurgency measures in disturbed areas are temporary, proportionate, strictly necessary and subject to judicial review; </w:t>
      </w:r>
    </w:p>
    <w:p w14:paraId="4BD3C4D4" w14:textId="52D522C7" w:rsidR="00AE28D2" w:rsidRPr="00693F72" w:rsidRDefault="00693F72" w:rsidP="00693F72">
      <w:pPr>
        <w:pStyle w:val="SingleTxtG"/>
        <w:rPr>
          <w:b/>
          <w:bCs/>
          <w:lang w:val="en-US"/>
        </w:rPr>
      </w:pPr>
      <w:r w:rsidRPr="00693F72">
        <w:tab/>
      </w:r>
      <w:r w:rsidR="00AE28D2" w:rsidRPr="00693F72">
        <w:t>(d)</w:t>
      </w:r>
      <w:r w:rsidR="00AE28D2" w:rsidRPr="00693F72">
        <w:rPr>
          <w:b/>
          <w:bCs/>
          <w:lang w:val="en-US"/>
        </w:rPr>
        <w:tab/>
        <w:t xml:space="preserve">Establish a mechanism with guarantees of independence, transparency and genuine investigative power to initiate a process to acknowledge responsibility, ascertain the truth and foster and preserve memory regarding human rights violations in disturbed areas. </w:t>
      </w:r>
    </w:p>
    <w:p w14:paraId="1632DD0C" w14:textId="77777777" w:rsidR="00AE28D2" w:rsidRPr="001D12A6" w:rsidRDefault="00AE28D2" w:rsidP="009B5E4E">
      <w:pPr>
        <w:pStyle w:val="SingleTxtG"/>
        <w:rPr>
          <w:lang w:val="en-US"/>
        </w:rPr>
      </w:pPr>
      <w:r w:rsidRPr="001D12A6">
        <w:rPr>
          <w:lang w:val="en-US"/>
        </w:rPr>
        <w:t xml:space="preserve">29. </w:t>
      </w:r>
      <w:r w:rsidRPr="001D12A6">
        <w:rPr>
          <w:lang w:val="en-US"/>
        </w:rPr>
        <w:tab/>
        <w:t>The Committee is concerned that the requirement of mandatory prior authorization by the Government for the prosecution of members of the security and armed forces in the context of counter-terrorism and security and military operations creates a climate of widespread impunity regarding allegations of human rights violations. In that regard, the Supreme Court of India, in 2016, stated that allegations of extrajudicial killings must be thoroughly investigated. According to reports, however, out of the 1,528 documented instances of extrajudicial killings in Manipur from 1979 to 2012, only 39 First Information Reports were registered and not all of those cases have been scheduled for trial due, among other reasons, to the refusal to sanction the prosecution (arts. 2, 6, 7, 9, 14 and 26).</w:t>
      </w:r>
    </w:p>
    <w:p w14:paraId="3856DBA5" w14:textId="77777777" w:rsidR="00AE28D2" w:rsidRPr="009B5E4E" w:rsidRDefault="00AE28D2" w:rsidP="009B5E4E">
      <w:pPr>
        <w:pStyle w:val="SingleTxtG"/>
        <w:rPr>
          <w:b/>
          <w:bCs/>
          <w:lang w:val="en-US"/>
        </w:rPr>
      </w:pPr>
      <w:r w:rsidRPr="001D12A6">
        <w:rPr>
          <w:lang w:val="en-US"/>
        </w:rPr>
        <w:t>30.</w:t>
      </w:r>
      <w:r w:rsidRPr="001D12A6">
        <w:rPr>
          <w:lang w:val="en-US"/>
        </w:rPr>
        <w:tab/>
      </w:r>
      <w:r w:rsidRPr="009B5E4E">
        <w:rPr>
          <w:b/>
          <w:bCs/>
          <w:lang w:val="en-US"/>
        </w:rPr>
        <w:t xml:space="preserve">The State party should abolish the requirement of mandatory prior authorization of the Government for the prosecution of members of the security and armed forces, investigate promptly, thoroughly and impartially all human rights violations in the context of counter-terrorism, security and military operations, ensure that perpetrators are prosecuted and, if convicted, punished with penalties commensurate with the gravity of the offence and that victims have access to effective remedies. </w:t>
      </w:r>
    </w:p>
    <w:bookmarkEnd w:id="7"/>
    <w:p w14:paraId="77350AF3" w14:textId="77777777" w:rsidR="00AE28D2" w:rsidRPr="001D12A6" w:rsidRDefault="00AE28D2" w:rsidP="00AE28D2">
      <w:pPr>
        <w:pStyle w:val="H23G"/>
        <w:rPr>
          <w:lang w:val="en-US"/>
        </w:rPr>
      </w:pPr>
      <w:r w:rsidRPr="001D12A6">
        <w:rPr>
          <w:lang w:val="en-US"/>
        </w:rPr>
        <w:tab/>
      </w:r>
      <w:r w:rsidRPr="001D12A6">
        <w:rPr>
          <w:lang w:val="en-US"/>
        </w:rPr>
        <w:tab/>
        <w:t xml:space="preserve">Right to life </w:t>
      </w:r>
    </w:p>
    <w:p w14:paraId="48F20D74" w14:textId="77777777" w:rsidR="00AE28D2" w:rsidRPr="001D12A6" w:rsidRDefault="00AE28D2" w:rsidP="00B238FC">
      <w:pPr>
        <w:pStyle w:val="SingleTxtG"/>
        <w:rPr>
          <w:lang w:val="en-US"/>
        </w:rPr>
      </w:pPr>
      <w:r w:rsidRPr="001D12A6">
        <w:rPr>
          <w:lang w:val="en-US"/>
        </w:rPr>
        <w:t>31.</w:t>
      </w:r>
      <w:r w:rsidRPr="001D12A6">
        <w:rPr>
          <w:lang w:val="en-US"/>
        </w:rPr>
        <w:tab/>
        <w:t>The Committee is concerned that the State party continues to impose a high number of death penalty sentences, including for offences not involving intentional killing, and that, according to information received, persons belonging to socioeconomically marginalized communities and religious minorities are disproportionately affected (arts. 2, 6 and 26).</w:t>
      </w:r>
    </w:p>
    <w:p w14:paraId="08FAFAAE" w14:textId="4E1BB293" w:rsidR="00AE28D2" w:rsidRPr="00B238FC" w:rsidRDefault="00AE28D2" w:rsidP="00B238FC">
      <w:pPr>
        <w:pStyle w:val="SingleTxtG"/>
        <w:rPr>
          <w:b/>
          <w:bCs/>
          <w:lang w:val="en-US"/>
        </w:rPr>
      </w:pPr>
      <w:r w:rsidRPr="001D12A6">
        <w:rPr>
          <w:lang w:val="en-US"/>
        </w:rPr>
        <w:lastRenderedPageBreak/>
        <w:t>32.</w:t>
      </w:r>
      <w:r w:rsidRPr="001D12A6">
        <w:rPr>
          <w:lang w:val="en-US"/>
        </w:rPr>
        <w:tab/>
      </w:r>
      <w:r w:rsidRPr="00B238FC">
        <w:rPr>
          <w:b/>
          <w:bCs/>
          <w:lang w:val="en-US"/>
        </w:rPr>
        <w:t>In the light of the Committee</w:t>
      </w:r>
      <w:r w:rsidR="00407CE6">
        <w:rPr>
          <w:b/>
          <w:bCs/>
          <w:lang w:val="en-US"/>
        </w:rPr>
        <w:t>’</w:t>
      </w:r>
      <w:r w:rsidRPr="00B238FC">
        <w:rPr>
          <w:b/>
          <w:bCs/>
          <w:lang w:val="en-US"/>
        </w:rPr>
        <w:t xml:space="preserve">s general comment No. 36 (2018) on the right to life, the State party should refrain from carrying out executions by keeping a de facto moratorium on them and take specific steps towards adopting a de jure moratorium on the death penalty and abolishing it. If the death penalty is maintained, the State party should take all measures necessary to ensure that the death penalty is provided only for the most serious crimes involving intentional killing, is never mandatory and pardon or commutation of the sentence is available in all cases. The State party should also ensure that the death penalty is never imposed in violation of the Covenant, including in violation of fair-trial procedures or as a result of discriminatory bias. The Committee encourages the State party to give </w:t>
      </w:r>
      <w:proofErr w:type="gramStart"/>
      <w:r w:rsidRPr="00B238FC">
        <w:rPr>
          <w:b/>
          <w:bCs/>
          <w:lang w:val="en-US"/>
        </w:rPr>
        <w:t>due consideration</w:t>
      </w:r>
      <w:proofErr w:type="gramEnd"/>
      <w:r w:rsidRPr="00B238FC">
        <w:rPr>
          <w:b/>
          <w:bCs/>
          <w:lang w:val="en-US"/>
        </w:rPr>
        <w:t xml:space="preserve"> to abolishing the death penalty and acceding to the Second Optional Protocol to the Covenant, aiming at the abolition of the death penalty. </w:t>
      </w:r>
    </w:p>
    <w:p w14:paraId="1F6F8907" w14:textId="77777777" w:rsidR="00AE28D2" w:rsidRPr="001D12A6" w:rsidRDefault="00AE28D2" w:rsidP="00AE28D2">
      <w:pPr>
        <w:pStyle w:val="H23G"/>
        <w:rPr>
          <w:lang w:val="en-US"/>
        </w:rPr>
      </w:pPr>
      <w:r w:rsidRPr="001D12A6">
        <w:rPr>
          <w:lang w:val="en-US"/>
        </w:rPr>
        <w:tab/>
      </w:r>
      <w:r w:rsidRPr="001D12A6">
        <w:rPr>
          <w:lang w:val="en-US"/>
        </w:rPr>
        <w:tab/>
        <w:t xml:space="preserve">Prohibition of torture and other cruel, inhuman or degrading treatment or punishment, and liberty and security of person </w:t>
      </w:r>
    </w:p>
    <w:p w14:paraId="14E8A4A4" w14:textId="77777777" w:rsidR="00AE28D2" w:rsidRPr="001D12A6" w:rsidRDefault="00AE28D2" w:rsidP="00B238FC">
      <w:pPr>
        <w:pStyle w:val="SingleTxtG"/>
        <w:rPr>
          <w:lang w:val="en-US"/>
        </w:rPr>
      </w:pPr>
      <w:bookmarkStart w:id="9" w:name="_Hlk172460711"/>
      <w:r w:rsidRPr="001D12A6">
        <w:rPr>
          <w:lang w:val="en-US"/>
        </w:rPr>
        <w:t>33.</w:t>
      </w:r>
      <w:r w:rsidRPr="001D12A6">
        <w:rPr>
          <w:lang w:val="en-US"/>
        </w:rPr>
        <w:tab/>
        <w:t xml:space="preserve">While the Committee takes note of the measures adopted by the State party to prevent torture, it remains concerned by reports of 324 custodial deaths between 2019 and 2022, threats to and intimidation of families of victims inquiring about such deaths, cases of rape by police officers of female and male detainees, particularly members of minorities, and the refusals by the police to register rape complaints, as well as reports of torture. </w:t>
      </w:r>
      <w:bookmarkEnd w:id="9"/>
      <w:r w:rsidRPr="001D12A6">
        <w:rPr>
          <w:lang w:val="en-US"/>
        </w:rPr>
        <w:t>The Committee is also concerned by the absence of an offence of torture in the new criminal code, the Bharatiya Nyaya Sanhita, 2023. The Committee regrets that, while the State party indicated a commitment to ratify the Convention against Torture</w:t>
      </w:r>
      <w:r w:rsidRPr="001D12A6">
        <w:t xml:space="preserve"> </w:t>
      </w:r>
      <w:r w:rsidRPr="001D12A6">
        <w:rPr>
          <w:lang w:val="en-US"/>
        </w:rPr>
        <w:t>and Other Cruel, Inhuman or Degrading Treatment or Punishment in the previous dialogue, held in 1997, ratification is still pending (arts. 7 and 9).</w:t>
      </w:r>
    </w:p>
    <w:p w14:paraId="3C00EBEA" w14:textId="77777777" w:rsidR="00AE28D2" w:rsidRPr="00B238FC" w:rsidRDefault="00AE28D2" w:rsidP="00B238FC">
      <w:pPr>
        <w:pStyle w:val="SingleTxtG"/>
        <w:rPr>
          <w:b/>
          <w:bCs/>
          <w:lang w:val="en-US"/>
        </w:rPr>
      </w:pPr>
      <w:r w:rsidRPr="001D12A6">
        <w:rPr>
          <w:lang w:val="en-US"/>
        </w:rPr>
        <w:t>34.</w:t>
      </w:r>
      <w:r w:rsidRPr="001D12A6">
        <w:rPr>
          <w:lang w:val="en-US"/>
        </w:rPr>
        <w:tab/>
      </w:r>
      <w:r w:rsidRPr="00B238FC">
        <w:rPr>
          <w:b/>
          <w:bCs/>
          <w:lang w:val="en-US"/>
        </w:rPr>
        <w:t>The State party should eradicate torture and ill-treatment. In particular, it should:</w:t>
      </w:r>
    </w:p>
    <w:p w14:paraId="0A673CAA" w14:textId="66CBD82E" w:rsidR="00AE28D2" w:rsidRPr="00B238FC" w:rsidRDefault="00B238FC" w:rsidP="00B238FC">
      <w:pPr>
        <w:pStyle w:val="SingleTxtG"/>
        <w:rPr>
          <w:b/>
          <w:bCs/>
          <w:lang w:val="en-US"/>
        </w:rPr>
      </w:pPr>
      <w:r w:rsidRPr="00B238FC">
        <w:tab/>
      </w:r>
      <w:r w:rsidR="00AE28D2" w:rsidRPr="00B238FC">
        <w:t>(a)</w:t>
      </w:r>
      <w:r w:rsidR="00AE28D2" w:rsidRPr="00B238FC">
        <w:tab/>
      </w:r>
      <w:r w:rsidR="00AE28D2" w:rsidRPr="00B238FC">
        <w:rPr>
          <w:b/>
          <w:bCs/>
          <w:lang w:val="en-US"/>
        </w:rPr>
        <w:t xml:space="preserve">Amend the new criminal code, the Bharatiya Nyaya Sanhita, 2023, to establish the specific crime of torture, in accordance with article 7 of the Covenant, with sanctions commensurate with the gravity of the offence; </w:t>
      </w:r>
    </w:p>
    <w:p w14:paraId="358EF244" w14:textId="77777777" w:rsidR="00AE28D2" w:rsidRPr="00B238FC" w:rsidRDefault="00AE28D2" w:rsidP="00B238FC">
      <w:pPr>
        <w:pStyle w:val="SingleTxtG"/>
        <w:rPr>
          <w:b/>
          <w:bCs/>
        </w:rPr>
      </w:pPr>
      <w:r w:rsidRPr="00B238FC">
        <w:tab/>
        <w:t>(b)</w:t>
      </w:r>
      <w:r w:rsidRPr="00B238FC">
        <w:rPr>
          <w:b/>
          <w:bCs/>
        </w:rPr>
        <w:tab/>
        <w:t>Conduct thorough, independent and impartial investigations into all allegations of torture and ill-treatment and deaths in custody in accordance with the Manual on the Effective Investigation and Documentation of Torture and Other Cruel, Inhuman or Degrading Treatment or Punishment (Istanbul Protocol) and the Minnesota Protocol</w:t>
      </w:r>
      <w:bookmarkStart w:id="10" w:name="_Hlk161300787"/>
      <w:r w:rsidRPr="00B238FC">
        <w:rPr>
          <w:b/>
          <w:bCs/>
        </w:rPr>
        <w:t xml:space="preserve"> on the Investigation of Potentially Unlawful Death, prosecute perpetrators, including law enforcement officers, and, if they are convicted, punish them with sanctions commensurate with the gravity of the crime and provide victims with full remedy and redress, including rehabilitation</w:t>
      </w:r>
      <w:bookmarkEnd w:id="10"/>
      <w:r w:rsidRPr="00B238FC">
        <w:rPr>
          <w:b/>
          <w:bCs/>
        </w:rPr>
        <w:t>;</w:t>
      </w:r>
    </w:p>
    <w:p w14:paraId="47F0F07F" w14:textId="34FCAF76" w:rsidR="00AE28D2" w:rsidRPr="00B238FC" w:rsidRDefault="00AE28D2" w:rsidP="00B238FC">
      <w:pPr>
        <w:pStyle w:val="SingleTxtG"/>
        <w:rPr>
          <w:b/>
          <w:bCs/>
        </w:rPr>
      </w:pPr>
      <w:r w:rsidRPr="00B238FC">
        <w:tab/>
        <w:t>(c)</w:t>
      </w:r>
      <w:r w:rsidRPr="00B238FC">
        <w:tab/>
      </w:r>
      <w:r w:rsidRPr="00B238FC">
        <w:rPr>
          <w:b/>
          <w:bCs/>
        </w:rPr>
        <w:t>Take all measures necessary to prevent torture and other cruel, inhuman or degrading treatment or punishment, including by strengthening the human rights training provided to judges, prosecutors, law enforcement officials and forensic medicine personnel, including training on international human rights standards, such as the Principles on Effective Interviewing for Investigations and Information</w:t>
      </w:r>
      <w:r w:rsidR="00407CE6">
        <w:rPr>
          <w:b/>
          <w:bCs/>
        </w:rPr>
        <w:noBreakHyphen/>
      </w:r>
      <w:r w:rsidRPr="00B238FC">
        <w:rPr>
          <w:b/>
          <w:bCs/>
        </w:rPr>
        <w:t>Gathering;</w:t>
      </w:r>
    </w:p>
    <w:p w14:paraId="01471128" w14:textId="77777777" w:rsidR="00AE28D2" w:rsidRPr="00B238FC" w:rsidRDefault="00AE28D2" w:rsidP="00B238FC">
      <w:pPr>
        <w:pStyle w:val="SingleTxtG"/>
        <w:rPr>
          <w:b/>
          <w:bCs/>
        </w:rPr>
      </w:pPr>
      <w:r w:rsidRPr="00B238FC">
        <w:tab/>
        <w:t>(d)</w:t>
      </w:r>
      <w:r w:rsidRPr="00B238FC">
        <w:rPr>
          <w:b/>
          <w:bCs/>
        </w:rPr>
        <w:tab/>
        <w:t>Ensure that all persons deprived of their liberty have access to an independent, secure and effective complaint mechanism for the investigation of allegations of torture and ill-treatment and guarantee the protection of complainants against reprisal;</w:t>
      </w:r>
    </w:p>
    <w:p w14:paraId="1E69D6EB" w14:textId="77777777" w:rsidR="00AE28D2" w:rsidRPr="00B238FC" w:rsidRDefault="00AE28D2" w:rsidP="00B238FC">
      <w:pPr>
        <w:pStyle w:val="SingleTxtG"/>
        <w:rPr>
          <w:b/>
          <w:bCs/>
        </w:rPr>
      </w:pPr>
      <w:r w:rsidRPr="00B238FC">
        <w:tab/>
        <w:t>(e)</w:t>
      </w:r>
      <w:r w:rsidRPr="00B238FC">
        <w:tab/>
      </w:r>
      <w:r w:rsidRPr="00B238FC">
        <w:rPr>
          <w:b/>
          <w:bCs/>
        </w:rPr>
        <w:t xml:space="preserve">Consider ratifying the Convention against Torture and Other Cruel, Inhuman or Degrading Treatment or Punishment and the Optional Protocol thereto. </w:t>
      </w:r>
    </w:p>
    <w:p w14:paraId="5D66AF5E" w14:textId="77777777" w:rsidR="00AE28D2" w:rsidRPr="001D12A6" w:rsidRDefault="00AE28D2" w:rsidP="00AE28D2">
      <w:pPr>
        <w:pStyle w:val="H23G"/>
      </w:pPr>
      <w:r w:rsidRPr="001D12A6">
        <w:tab/>
      </w:r>
      <w:r w:rsidRPr="001D12A6">
        <w:tab/>
        <w:t xml:space="preserve">Liberty and security of person, administration of justice and fair trial </w:t>
      </w:r>
    </w:p>
    <w:p w14:paraId="47627EC1" w14:textId="40C87F2D" w:rsidR="00AE28D2" w:rsidRPr="001D12A6" w:rsidRDefault="00AE28D2" w:rsidP="00024CEA">
      <w:pPr>
        <w:pStyle w:val="SingleTxtG"/>
      </w:pPr>
      <w:r w:rsidRPr="001D12A6">
        <w:t>35.</w:t>
      </w:r>
      <w:r w:rsidRPr="001D12A6">
        <w:tab/>
        <w:t xml:space="preserve">The Committee regrets that decisions of the Supreme Court of India relevant for the implementation of provisions of the Covenant have not been effectively or fully executed by the State party. The Committee is also concerned about information received regarding cases </w:t>
      </w:r>
      <w:r w:rsidRPr="001D12A6">
        <w:lastRenderedPageBreak/>
        <w:t xml:space="preserve">of police arbitrarily arresting persons or detaining individuals for custodial interrogation without identifying themselves or providing arrest warrants. While the Supreme Court of India has provided extensive guidelines to grant compensation for violations of human rights, victims of unlawful arrest or detention rarely receive it. </w:t>
      </w:r>
      <w:bookmarkStart w:id="11" w:name="_Hlk172460771"/>
      <w:r w:rsidRPr="001D12A6">
        <w:t xml:space="preserve">The Committee is concerned by the fact that, despite the efforts made by the State party to strengthen the legal aid framework, individuals accused of criminal offences have limited access to legal aid, particularly in police stations. It is also concerned about initiatives for non-lawyers to provide legal aid and reports of poor-quality legal aid, and </w:t>
      </w:r>
      <w:bookmarkEnd w:id="11"/>
      <w:r w:rsidRPr="001D12A6">
        <w:t>about reports of foreign nationals being confined in prison after having completed their sentences while awaiting repatriation. Furthermore, the Committee regrets the application of the Unlawful Activities (Prevention) Act, 1967, to Arundhati Roy in response to her comments on Kashmir made at a conference in 2010 and to Sheikh Showkat Hussain, accusing him of aiding secessionist movements in Kashmir (arts.</w:t>
      </w:r>
      <w:r w:rsidR="00DB29C5">
        <w:t> </w:t>
      </w:r>
      <w:r w:rsidRPr="001D12A6">
        <w:t xml:space="preserve">2, 7, 9 and 14). </w:t>
      </w:r>
    </w:p>
    <w:p w14:paraId="28A58CEE" w14:textId="39C08AA4" w:rsidR="00AE28D2" w:rsidRPr="00024CEA" w:rsidRDefault="00AE28D2" w:rsidP="00024CEA">
      <w:pPr>
        <w:pStyle w:val="SingleTxtG"/>
        <w:rPr>
          <w:b/>
          <w:bCs/>
        </w:rPr>
      </w:pPr>
      <w:r w:rsidRPr="001D12A6">
        <w:t>36.</w:t>
      </w:r>
      <w:r w:rsidRPr="001D12A6">
        <w:tab/>
      </w:r>
      <w:r w:rsidRPr="00024CEA">
        <w:rPr>
          <w:b/>
          <w:bCs/>
        </w:rPr>
        <w:t>In accordance with the Committee</w:t>
      </w:r>
      <w:r w:rsidR="00407CE6">
        <w:rPr>
          <w:b/>
          <w:bCs/>
        </w:rPr>
        <w:t>’</w:t>
      </w:r>
      <w:r w:rsidRPr="00024CEA">
        <w:rPr>
          <w:b/>
          <w:bCs/>
        </w:rPr>
        <w:t xml:space="preserve">s general comment No. 35 (2014), the State party should: </w:t>
      </w:r>
    </w:p>
    <w:p w14:paraId="721C3FA1" w14:textId="1CDAD794" w:rsidR="00AE28D2" w:rsidRPr="00024CEA" w:rsidRDefault="00024CEA" w:rsidP="00024CEA">
      <w:pPr>
        <w:pStyle w:val="SingleTxtG"/>
        <w:rPr>
          <w:b/>
          <w:bCs/>
        </w:rPr>
      </w:pPr>
      <w:r w:rsidRPr="00024CEA">
        <w:tab/>
      </w:r>
      <w:r w:rsidR="00AE28D2" w:rsidRPr="00024CEA">
        <w:t>(a)</w:t>
      </w:r>
      <w:r w:rsidR="00AE28D2" w:rsidRPr="00024CEA">
        <w:tab/>
      </w:r>
      <w:r w:rsidR="00AE28D2" w:rsidRPr="00024CEA">
        <w:rPr>
          <w:b/>
          <w:bCs/>
        </w:rPr>
        <w:t>Take the measures necessary to ensure that the decisions of the Supreme Court relating to the implementation of the provisions of the Covenant are duly and promptly executed;</w:t>
      </w:r>
    </w:p>
    <w:p w14:paraId="40C1F408" w14:textId="128D1220" w:rsidR="00AE28D2" w:rsidRPr="00024CEA" w:rsidRDefault="00024CEA" w:rsidP="00024CEA">
      <w:pPr>
        <w:pStyle w:val="SingleTxtG"/>
        <w:rPr>
          <w:b/>
          <w:bCs/>
          <w:lang w:val="en-US"/>
        </w:rPr>
      </w:pPr>
      <w:r w:rsidRPr="00024CEA">
        <w:tab/>
      </w:r>
      <w:r w:rsidR="00AE28D2" w:rsidRPr="00024CEA">
        <w:t>(b)</w:t>
      </w:r>
      <w:r w:rsidR="00AE28D2" w:rsidRPr="00024CEA">
        <w:tab/>
      </w:r>
      <w:r w:rsidR="00AE28D2" w:rsidRPr="00024CEA">
        <w:rPr>
          <w:b/>
          <w:bCs/>
        </w:rPr>
        <w:t xml:space="preserve">Investigate </w:t>
      </w:r>
      <w:r w:rsidR="00AE28D2" w:rsidRPr="00024CEA">
        <w:rPr>
          <w:b/>
          <w:bCs/>
          <w:lang w:val="en-US"/>
        </w:rPr>
        <w:t>promptly, thoroughly and impartially cases of arbitrary detention, prosecute perpetrators and punish them with penalties commensurate with the gravity of the offence, if convicted. Victims should have access to effective remedies and adequate compensation;</w:t>
      </w:r>
    </w:p>
    <w:p w14:paraId="6BBBAA26" w14:textId="48FD026F" w:rsidR="00AE28D2" w:rsidRPr="00024CEA" w:rsidRDefault="00024CEA" w:rsidP="00024CEA">
      <w:pPr>
        <w:pStyle w:val="SingleTxtG"/>
        <w:rPr>
          <w:b/>
          <w:bCs/>
          <w:lang w:val="en-US"/>
        </w:rPr>
      </w:pPr>
      <w:r w:rsidRPr="00024CEA">
        <w:tab/>
      </w:r>
      <w:r w:rsidR="00AE28D2" w:rsidRPr="00024CEA">
        <w:t>(c)</w:t>
      </w:r>
      <w:r w:rsidR="00AE28D2" w:rsidRPr="00024CEA">
        <w:rPr>
          <w:b/>
          <w:bCs/>
          <w:lang w:val="en-US"/>
        </w:rPr>
        <w:tab/>
        <w:t>Ensure that detained and arrested persons suspected of or charged with terrorist acts or related offences are provided, in law and in practice, with all appropriate legal and procedural safeguards in accordance with the Covenant, including against arbitrary detention, and provide effective access to skilled legal aid lawyers;</w:t>
      </w:r>
    </w:p>
    <w:p w14:paraId="197B6C71" w14:textId="2D5327A1" w:rsidR="00AE28D2" w:rsidRPr="00024CEA" w:rsidRDefault="00024CEA" w:rsidP="00024CEA">
      <w:pPr>
        <w:pStyle w:val="SingleTxtG"/>
        <w:rPr>
          <w:b/>
          <w:bCs/>
        </w:rPr>
      </w:pPr>
      <w:r w:rsidRPr="00024CEA">
        <w:tab/>
      </w:r>
      <w:r w:rsidR="00AE28D2" w:rsidRPr="00024CEA">
        <w:t>(d)</w:t>
      </w:r>
      <w:r w:rsidR="00AE28D2" w:rsidRPr="00024CEA">
        <w:tab/>
      </w:r>
      <w:r w:rsidR="00AE28D2" w:rsidRPr="00024CEA">
        <w:rPr>
          <w:b/>
          <w:bCs/>
        </w:rPr>
        <w:t>Ensure that foreigners who have completed their sentences are released and repatriated, ensuring that the principle of non-refoulement is respected.</w:t>
      </w:r>
    </w:p>
    <w:p w14:paraId="2EFBEF9D" w14:textId="77777777" w:rsidR="00AE28D2" w:rsidRPr="001D12A6" w:rsidRDefault="00AE28D2" w:rsidP="00390B0D">
      <w:pPr>
        <w:pStyle w:val="SingleTxtG"/>
      </w:pPr>
      <w:bookmarkStart w:id="12" w:name="_Hlk172460870"/>
      <w:r w:rsidRPr="001D12A6">
        <w:t>37.</w:t>
      </w:r>
      <w:r w:rsidRPr="001D12A6">
        <w:tab/>
        <w:t xml:space="preserve">The Committee is concerned that more than 75 per cent of the prison population was under trial in 2022, with a disproportionate presence of Muslims, Dalits and Adivasis and people living in poverty. </w:t>
      </w:r>
      <w:bookmarkEnd w:id="12"/>
      <w:r w:rsidRPr="001D12A6">
        <w:t>The Committee takes note of the measures adopted by the State party to facilitate timely judicial proceedings, but is concerned about the extraordinarily lengthy pretrial detention periods, judicial delays and case backlogs, as well as the insufficient number of judges and magistrates. The figures for the under-trial prison population are also exacerbated by the priority given to jail over bail, the difficulty of obtaining bail and the arbitrary arrests and illegal detentions. The Committee is also concerned about the reversal of the presumption of innocence with respect to bail applications by those accused of terrorism offences under the Unlawful Activities (Prevention) Act, 1967 (arts. 2, 7, 9 and 14).</w:t>
      </w:r>
    </w:p>
    <w:p w14:paraId="1224153B" w14:textId="7B507DC3" w:rsidR="00AE28D2" w:rsidRPr="001D12A6" w:rsidRDefault="00AE28D2" w:rsidP="00AE28D2">
      <w:pPr>
        <w:pStyle w:val="SingleTxtG"/>
        <w:rPr>
          <w:b/>
          <w:bCs/>
        </w:rPr>
      </w:pPr>
      <w:r w:rsidRPr="001D12A6">
        <w:t>38.</w:t>
      </w:r>
      <w:r w:rsidRPr="001D12A6">
        <w:rPr>
          <w:b/>
          <w:bCs/>
        </w:rPr>
        <w:tab/>
        <w:t>In the light of the Committee</w:t>
      </w:r>
      <w:r w:rsidR="00407CE6">
        <w:rPr>
          <w:b/>
          <w:bCs/>
        </w:rPr>
        <w:t>’</w:t>
      </w:r>
      <w:r w:rsidRPr="001D12A6">
        <w:rPr>
          <w:b/>
          <w:bCs/>
        </w:rPr>
        <w:t>s general comment No. 35 (2014) on liberty and security of person, the State party should significantly reduce the use of pretrial detention, including through the wider application of non-custodial measures as an alternative to incarceration, and ensure that all detained persons are afforded, in practice, all the fundamental legal and procedural safeguards from the outset of their detention. In particular, it should:</w:t>
      </w:r>
    </w:p>
    <w:p w14:paraId="0D4F3EF2" w14:textId="77777777" w:rsidR="00AE28D2" w:rsidRPr="00390B0D" w:rsidRDefault="00AE28D2" w:rsidP="00390B0D">
      <w:pPr>
        <w:pStyle w:val="SingleTxtG"/>
        <w:rPr>
          <w:b/>
          <w:bCs/>
        </w:rPr>
      </w:pPr>
      <w:r w:rsidRPr="00390B0D">
        <w:tab/>
        <w:t>(a)</w:t>
      </w:r>
      <w:r w:rsidRPr="00390B0D">
        <w:tab/>
      </w:r>
      <w:r w:rsidRPr="00390B0D">
        <w:rPr>
          <w:b/>
          <w:bCs/>
        </w:rPr>
        <w:t xml:space="preserve">Ensure that persons being held in pretrial detention are informed of their rights, that they have prompt access to counsel, that criminal charges are promptly filed, when relevant, and that trials are held expeditiously and in public; </w:t>
      </w:r>
    </w:p>
    <w:p w14:paraId="342E7A78" w14:textId="77777777" w:rsidR="00AE28D2" w:rsidRPr="00390B0D" w:rsidRDefault="00AE28D2" w:rsidP="00390B0D">
      <w:pPr>
        <w:pStyle w:val="SingleTxtG"/>
        <w:rPr>
          <w:b/>
          <w:bCs/>
        </w:rPr>
      </w:pPr>
      <w:r w:rsidRPr="00390B0D">
        <w:tab/>
        <w:t xml:space="preserve">(b) </w:t>
      </w:r>
      <w:r w:rsidRPr="00390B0D">
        <w:tab/>
      </w:r>
      <w:r w:rsidRPr="00390B0D">
        <w:rPr>
          <w:b/>
          <w:bCs/>
        </w:rPr>
        <w:t xml:space="preserve">Increase the availability of and recourse to alternatives to pretrial detention, in the light of the United Nations Standard Minimum Rules for Non-custodial Measures (the Tokyo Rules) and the United Nations Rules for the Treatment of Women Prisoners and Non-custodial Measures for Women Offenders (the Bangkok Rules), including by giving due consideration to such alternatives, particularly when delays in </w:t>
      </w:r>
      <w:r w:rsidRPr="00390B0D">
        <w:rPr>
          <w:b/>
          <w:bCs/>
        </w:rPr>
        <w:lastRenderedPageBreak/>
        <w:t xml:space="preserve">investigations or trials are unavoidable, and promote and ensure an effective access to the right to bail; </w:t>
      </w:r>
    </w:p>
    <w:p w14:paraId="761D1C0A" w14:textId="77777777" w:rsidR="00AE28D2" w:rsidRPr="00390B0D" w:rsidRDefault="00AE28D2" w:rsidP="00390B0D">
      <w:pPr>
        <w:pStyle w:val="SingleTxtG"/>
        <w:rPr>
          <w:b/>
          <w:bCs/>
        </w:rPr>
      </w:pPr>
      <w:r w:rsidRPr="00390B0D">
        <w:tab/>
        <w:t>(c)</w:t>
      </w:r>
      <w:r w:rsidRPr="00390B0D">
        <w:tab/>
      </w:r>
      <w:r w:rsidRPr="00390B0D">
        <w:rPr>
          <w:b/>
          <w:bCs/>
        </w:rPr>
        <w:t xml:space="preserve">Ensure that pretrial detention is exceptional, imposed only when necessary and for a period of time that is as short as possible, that detention is imposed without any discrimination and that statutory limits on detention are strictly enforced; </w:t>
      </w:r>
    </w:p>
    <w:p w14:paraId="55C9B2A7" w14:textId="77777777" w:rsidR="00AE28D2" w:rsidRPr="00390B0D" w:rsidRDefault="00AE28D2" w:rsidP="00390B0D">
      <w:pPr>
        <w:pStyle w:val="SingleTxtG"/>
        <w:rPr>
          <w:b/>
          <w:bCs/>
        </w:rPr>
      </w:pPr>
      <w:r w:rsidRPr="00390B0D">
        <w:tab/>
        <w:t>(d)</w:t>
      </w:r>
      <w:r w:rsidRPr="00390B0D">
        <w:tab/>
      </w:r>
      <w:r w:rsidRPr="00390B0D">
        <w:rPr>
          <w:b/>
          <w:bCs/>
        </w:rPr>
        <w:t>Establish systematic and regular judicial monitoring of the duration of pretrial detention and provide effective access to judicial review of the legality of detention and to remedies for those unlawfully held in custody beyond statutory limits;</w:t>
      </w:r>
    </w:p>
    <w:p w14:paraId="35D796CC" w14:textId="77777777" w:rsidR="00AE28D2" w:rsidRPr="00390B0D" w:rsidRDefault="00AE28D2" w:rsidP="00390B0D">
      <w:pPr>
        <w:pStyle w:val="SingleTxtG"/>
        <w:rPr>
          <w:b/>
          <w:bCs/>
        </w:rPr>
      </w:pPr>
      <w:r w:rsidRPr="00390B0D">
        <w:tab/>
        <w:t>(e)</w:t>
      </w:r>
      <w:r w:rsidRPr="00390B0D">
        <w:tab/>
      </w:r>
      <w:r w:rsidRPr="00390B0D">
        <w:rPr>
          <w:b/>
          <w:bCs/>
        </w:rPr>
        <w:t>Increase the financial, technical and human resources provided for the administration of justice and support its effective and timely functioning.</w:t>
      </w:r>
    </w:p>
    <w:p w14:paraId="2AC0D9B1" w14:textId="77777777" w:rsidR="00AE28D2" w:rsidRPr="001D12A6" w:rsidRDefault="00AE28D2" w:rsidP="00AE28D2">
      <w:pPr>
        <w:pStyle w:val="H23G"/>
        <w:rPr>
          <w:lang w:val="en-US"/>
        </w:rPr>
      </w:pPr>
      <w:r w:rsidRPr="001D12A6">
        <w:rPr>
          <w:lang w:val="en-US"/>
        </w:rPr>
        <w:tab/>
      </w:r>
      <w:r w:rsidRPr="001D12A6">
        <w:rPr>
          <w:lang w:val="en-US"/>
        </w:rPr>
        <w:tab/>
        <w:t xml:space="preserve">Treatment of persons deprived of liberty </w:t>
      </w:r>
    </w:p>
    <w:p w14:paraId="436C1D03" w14:textId="552FE402" w:rsidR="00AE28D2" w:rsidRPr="001D12A6" w:rsidRDefault="00AE28D2" w:rsidP="00861015">
      <w:pPr>
        <w:pStyle w:val="SingleTxtG"/>
        <w:rPr>
          <w:b/>
          <w:bCs/>
        </w:rPr>
      </w:pPr>
      <w:r w:rsidRPr="001D12A6">
        <w:rPr>
          <w:lang w:val="en-US"/>
        </w:rPr>
        <w:t>39.</w:t>
      </w:r>
      <w:r w:rsidRPr="001D12A6">
        <w:rPr>
          <w:lang w:val="en-US"/>
        </w:rPr>
        <w:tab/>
        <w:t>While the Committee takes note of the measures adopted by the State party to improve conditions in prisons, it remains concerned about the extreme overcrowding of detention centres and their deplorable conditions regarding, among others, access to adequate medical services, including for mental health care, hygiene and sanitation, adequate nutrition and drinking water and the possibility of contacting family, counsel and diplomatic or consular officers (for foreign detainees). The Committee is also concerned by the lack of capacity to provide adequate conditions of confinement for pregnant and lactating women, as well as for children, and the lack of access to sanitation and proper hygiene. The Committee is further concerned by reports of juveniles being detained with adults, especially in rural areas</w:t>
      </w:r>
      <w:r w:rsidRPr="001D12A6">
        <w:t xml:space="preserve"> </w:t>
      </w:r>
      <w:r w:rsidRPr="001D12A6">
        <w:rPr>
          <w:lang w:val="en-US"/>
        </w:rPr>
        <w:t>(art.</w:t>
      </w:r>
      <w:r w:rsidR="002E34D6">
        <w:rPr>
          <w:lang w:val="en-US"/>
        </w:rPr>
        <w:t> </w:t>
      </w:r>
      <w:r w:rsidRPr="001D12A6">
        <w:rPr>
          <w:lang w:val="en-US"/>
        </w:rPr>
        <w:t>10).</w:t>
      </w:r>
    </w:p>
    <w:p w14:paraId="25A1E165" w14:textId="363E5DF8" w:rsidR="00AE28D2" w:rsidRPr="00861015" w:rsidRDefault="00AE28D2" w:rsidP="00861015">
      <w:pPr>
        <w:pStyle w:val="SingleTxtG"/>
        <w:rPr>
          <w:b/>
          <w:bCs/>
        </w:rPr>
      </w:pPr>
      <w:r w:rsidRPr="001D12A6">
        <w:t>40.</w:t>
      </w:r>
      <w:r w:rsidRPr="001D12A6">
        <w:tab/>
      </w:r>
      <w:r w:rsidRPr="00861015">
        <w:rPr>
          <w:b/>
          <w:bCs/>
        </w:rPr>
        <w:t>The State party should significantly and promptly reduce overcrowding in prisons and other places of detention, including through the wider application of non</w:t>
      </w:r>
      <w:r w:rsidR="00407CE6">
        <w:rPr>
          <w:b/>
          <w:bCs/>
        </w:rPr>
        <w:noBreakHyphen/>
      </w:r>
      <w:r w:rsidRPr="00861015">
        <w:rPr>
          <w:b/>
          <w:bCs/>
        </w:rPr>
        <w:t xml:space="preserve">custodial measures as an alternative to imprisonment, as mentioned above. It should also: </w:t>
      </w:r>
    </w:p>
    <w:p w14:paraId="4E50A958" w14:textId="29DCD98A" w:rsidR="00AE28D2" w:rsidRPr="00861015" w:rsidRDefault="00861015" w:rsidP="00861015">
      <w:pPr>
        <w:pStyle w:val="SingleTxtG"/>
        <w:rPr>
          <w:b/>
          <w:bCs/>
        </w:rPr>
      </w:pPr>
      <w:r w:rsidRPr="00861015">
        <w:tab/>
      </w:r>
      <w:r w:rsidR="00AE28D2" w:rsidRPr="00861015">
        <w:t>(a)</w:t>
      </w:r>
      <w:r w:rsidR="00AE28D2" w:rsidRPr="00861015">
        <w:tab/>
      </w:r>
      <w:r w:rsidR="00AE28D2" w:rsidRPr="00861015">
        <w:rPr>
          <w:b/>
          <w:bCs/>
        </w:rPr>
        <w:t xml:space="preserve">Intensify its efforts to ensure that conditions of detention comply fully with the relevant international human rights standards, including the United Nations Standard Minimum Rules for the Treatment of Prisoners (the Mandela Rules), the Bangkok Rules, the United Nations Rules for the Protection of Juveniles Deprived of their Liberty and the United Nations Standard Minimum Rules for the Administration of Juvenile Justice (the Beijing Rules), and ensure adequate access to health services, including mental health, food, drinking water, hygiene and sanitation and rehabilitation and reintegration support services; </w:t>
      </w:r>
    </w:p>
    <w:p w14:paraId="077D8404" w14:textId="18925362" w:rsidR="00AE28D2" w:rsidRPr="00861015" w:rsidRDefault="00861015" w:rsidP="00861015">
      <w:pPr>
        <w:pStyle w:val="SingleTxtG"/>
        <w:rPr>
          <w:b/>
          <w:bCs/>
        </w:rPr>
      </w:pPr>
      <w:r w:rsidRPr="00861015">
        <w:tab/>
      </w:r>
      <w:r w:rsidR="00AE28D2" w:rsidRPr="00861015">
        <w:t>(b)</w:t>
      </w:r>
      <w:r w:rsidR="00AE28D2" w:rsidRPr="00861015">
        <w:rPr>
          <w:b/>
          <w:bCs/>
        </w:rPr>
        <w:tab/>
        <w:t xml:space="preserve">Ensure adequate access to counsel and diplomatic or consular officers, when required, and regular family visits; </w:t>
      </w:r>
    </w:p>
    <w:p w14:paraId="753E4845" w14:textId="40959EAF" w:rsidR="00AE28D2" w:rsidRPr="001D12A6" w:rsidRDefault="00AE28D2" w:rsidP="00861015">
      <w:pPr>
        <w:pStyle w:val="SingleTxtG"/>
      </w:pPr>
      <w:r w:rsidRPr="00861015">
        <w:tab/>
        <w:t>(c)</w:t>
      </w:r>
      <w:r w:rsidRPr="00861015">
        <w:tab/>
      </w:r>
      <w:r w:rsidRPr="00861015">
        <w:rPr>
          <w:b/>
          <w:bCs/>
        </w:rPr>
        <w:t xml:space="preserve">Guarantee that women deprived of their liberty, particularly those who are pregnant and those with dependent children, receive adequate care and services that meet their specific needs and take account of the best interests of their children. </w:t>
      </w:r>
    </w:p>
    <w:p w14:paraId="71676F75" w14:textId="77777777" w:rsidR="00AE28D2" w:rsidRPr="001D12A6" w:rsidRDefault="00AE28D2" w:rsidP="00AE28D2">
      <w:pPr>
        <w:pStyle w:val="H23G"/>
      </w:pPr>
      <w:r w:rsidRPr="001D12A6">
        <w:tab/>
      </w:r>
      <w:r w:rsidRPr="001D12A6">
        <w:tab/>
        <w:t xml:space="preserve">Treatment of aliens, including refugees and asylum-seekers </w:t>
      </w:r>
    </w:p>
    <w:p w14:paraId="282BC707" w14:textId="77777777" w:rsidR="00AE28D2" w:rsidRPr="001D12A6" w:rsidRDefault="00AE28D2" w:rsidP="006E503E">
      <w:pPr>
        <w:pStyle w:val="SingleTxtG"/>
      </w:pPr>
      <w:r w:rsidRPr="001D12A6">
        <w:t>41.</w:t>
      </w:r>
      <w:r w:rsidRPr="001D12A6">
        <w:tab/>
        <w:t>Despite the tradition of the State party of openness to and of welcoming refugees and asylum-seekers, the Committee regrets that the situation has seriously deteriorated since the issuance of the previous concluding observations. The Committee is concerned by reports of a lack of access of migrants to health services, jobs, education and housing and the precarious situation of migrant children, including unaccompanied minors. It is also concerned about the application of criminal law to migrants in an irregular situation and to undocumented or non-authorized migrants in detention centres, who are kept in indefinite detention under deplorable conditions. The Committee is further concerned about anti-migrant hate speech, including by public officials, which is becoming increasingly violent, particularly with regard to Muslims, including Rohingyas from Myanmar, who are publicly identified as a threat to national security. Finally, the Committee is concerned about deportations to Myanmar, as well as the plans to deport more than 5,000 asylum-seekers from the Kuki and Chin communities (arts. 7, 9, 13 and 24).</w:t>
      </w:r>
    </w:p>
    <w:p w14:paraId="327F2432" w14:textId="6D2021FC" w:rsidR="00AE28D2" w:rsidRPr="006E503E" w:rsidRDefault="00AE28D2" w:rsidP="006E503E">
      <w:pPr>
        <w:pStyle w:val="SingleTxtG"/>
        <w:rPr>
          <w:b/>
          <w:bCs/>
        </w:rPr>
      </w:pPr>
      <w:r w:rsidRPr="001D12A6">
        <w:lastRenderedPageBreak/>
        <w:t xml:space="preserve">42. </w:t>
      </w:r>
      <w:r w:rsidRPr="001D12A6">
        <w:tab/>
      </w:r>
      <w:r w:rsidRPr="006E503E">
        <w:rPr>
          <w:b/>
          <w:bCs/>
        </w:rPr>
        <w:t>The State party should enhance the protection of migrants, refugees and asylum</w:t>
      </w:r>
      <w:r w:rsidR="00407CE6">
        <w:rPr>
          <w:b/>
          <w:bCs/>
        </w:rPr>
        <w:noBreakHyphen/>
      </w:r>
      <w:r w:rsidRPr="006E503E">
        <w:rPr>
          <w:b/>
          <w:bCs/>
        </w:rPr>
        <w:t xml:space="preserve">seekers, without discrimination. In particular, it should: </w:t>
      </w:r>
    </w:p>
    <w:p w14:paraId="529C6509" w14:textId="16E5F12F" w:rsidR="00AE28D2" w:rsidRPr="006E503E" w:rsidRDefault="00AE28D2" w:rsidP="006E503E">
      <w:pPr>
        <w:pStyle w:val="SingleTxtG"/>
        <w:rPr>
          <w:b/>
          <w:bCs/>
        </w:rPr>
      </w:pPr>
      <w:r w:rsidRPr="006E503E">
        <w:tab/>
        <w:t>(a)</w:t>
      </w:r>
      <w:r w:rsidRPr="006E503E">
        <w:tab/>
      </w:r>
      <w:r w:rsidRPr="006E503E">
        <w:rPr>
          <w:b/>
          <w:bCs/>
        </w:rPr>
        <w:t xml:space="preserve">Consider adopting a general law on asylum and refugee status, in accordance with relevant international standards, clarifying the procedural guarantees available to all asylum-seekers; </w:t>
      </w:r>
    </w:p>
    <w:p w14:paraId="54DCE010" w14:textId="0E624E07" w:rsidR="00AE28D2" w:rsidRPr="006E503E" w:rsidRDefault="006E503E" w:rsidP="006E503E">
      <w:pPr>
        <w:pStyle w:val="SingleTxtG"/>
        <w:rPr>
          <w:b/>
          <w:bCs/>
        </w:rPr>
      </w:pPr>
      <w:r w:rsidRPr="006E503E">
        <w:tab/>
      </w:r>
      <w:r w:rsidR="00AE28D2" w:rsidRPr="006E503E">
        <w:t>(b)</w:t>
      </w:r>
      <w:r w:rsidR="00AE28D2" w:rsidRPr="006E503E">
        <w:rPr>
          <w:b/>
          <w:bCs/>
        </w:rPr>
        <w:tab/>
        <w:t xml:space="preserve">Ensure that migrants and asylum-seekers have non-discriminatory and equal access to basic services; </w:t>
      </w:r>
    </w:p>
    <w:p w14:paraId="388C9ED4" w14:textId="6C580DA0" w:rsidR="00AE28D2" w:rsidRPr="006E503E" w:rsidRDefault="00AE28D2" w:rsidP="006E503E">
      <w:pPr>
        <w:pStyle w:val="SingleTxtG"/>
        <w:rPr>
          <w:b/>
          <w:bCs/>
        </w:rPr>
      </w:pPr>
      <w:r w:rsidRPr="006E503E">
        <w:tab/>
        <w:t>(c)</w:t>
      </w:r>
      <w:r w:rsidRPr="006E503E">
        <w:tab/>
      </w:r>
      <w:r w:rsidRPr="006E503E">
        <w:rPr>
          <w:b/>
          <w:bCs/>
        </w:rPr>
        <w:t>Refrain from criminalizing the irregular entry or stay of migrants and persons in need of international protection and uphold the principle of non-refoulement;</w:t>
      </w:r>
    </w:p>
    <w:p w14:paraId="05B5FCC4" w14:textId="090F9DFA" w:rsidR="00AE28D2" w:rsidRPr="006E503E" w:rsidRDefault="00AE28D2" w:rsidP="006E503E">
      <w:pPr>
        <w:pStyle w:val="SingleTxtG"/>
        <w:rPr>
          <w:b/>
          <w:bCs/>
        </w:rPr>
      </w:pPr>
      <w:r w:rsidRPr="006E503E">
        <w:tab/>
        <w:t>(d)</w:t>
      </w:r>
      <w:r w:rsidRPr="006E503E">
        <w:tab/>
      </w:r>
      <w:r w:rsidRPr="006E503E">
        <w:rPr>
          <w:b/>
          <w:bCs/>
        </w:rPr>
        <w:t xml:space="preserve">Ensure that immigration detention is used only as a measure of last resort and for the shortest possible period of time, increase the use of alternatives to detention that are respectful of human rights and ensure that those in detention have access to legal aid services and language interpretation and that their living conditions and treatment are in conformity with international standards; </w:t>
      </w:r>
    </w:p>
    <w:p w14:paraId="31AEA533" w14:textId="372C3432" w:rsidR="00AE28D2" w:rsidRPr="006E503E" w:rsidRDefault="006E503E" w:rsidP="006E503E">
      <w:pPr>
        <w:pStyle w:val="SingleTxtG"/>
        <w:rPr>
          <w:b/>
          <w:bCs/>
        </w:rPr>
      </w:pPr>
      <w:r w:rsidRPr="006E503E">
        <w:tab/>
      </w:r>
      <w:r w:rsidR="00AE28D2" w:rsidRPr="006E503E">
        <w:t xml:space="preserve">(e) </w:t>
      </w:r>
      <w:r w:rsidR="00AE28D2" w:rsidRPr="006E503E">
        <w:tab/>
      </w:r>
      <w:r w:rsidR="00AE28D2" w:rsidRPr="006E503E">
        <w:rPr>
          <w:b/>
          <w:bCs/>
        </w:rPr>
        <w:t xml:space="preserve">Condemn and combat hate speech against migrants, asylum-seekers and refugees, including by public officials and politicians; </w:t>
      </w:r>
    </w:p>
    <w:p w14:paraId="14045FA2" w14:textId="35DB3ABB" w:rsidR="00AE28D2" w:rsidRPr="006E503E" w:rsidRDefault="006E503E" w:rsidP="006E503E">
      <w:pPr>
        <w:pStyle w:val="SingleTxtG"/>
        <w:rPr>
          <w:b/>
          <w:bCs/>
        </w:rPr>
      </w:pPr>
      <w:r w:rsidRPr="006E503E">
        <w:tab/>
      </w:r>
      <w:r w:rsidR="00AE28D2" w:rsidRPr="006E503E">
        <w:t>(f)</w:t>
      </w:r>
      <w:r w:rsidR="00AE28D2" w:rsidRPr="006E503E">
        <w:rPr>
          <w:b/>
          <w:bCs/>
        </w:rPr>
        <w:tab/>
        <w:t>Consider ratifying the Convention relating to the Status of Refugees, the Protocol Relating to the Status of Refugees, the Convention relating to the Status of Stateless Persons and the Convention on the Reduction of Statelessness.</w:t>
      </w:r>
    </w:p>
    <w:p w14:paraId="06D595FC" w14:textId="77777777" w:rsidR="00AE28D2" w:rsidRPr="001D12A6" w:rsidRDefault="00AE28D2" w:rsidP="00AE28D2">
      <w:pPr>
        <w:pStyle w:val="H23G"/>
      </w:pPr>
      <w:r w:rsidRPr="001D12A6">
        <w:tab/>
      </w:r>
      <w:r w:rsidRPr="001D12A6">
        <w:tab/>
        <w:t>Right to privacy</w:t>
      </w:r>
    </w:p>
    <w:p w14:paraId="4AE786A4" w14:textId="77777777" w:rsidR="00AE28D2" w:rsidRPr="001D12A6" w:rsidRDefault="00AE28D2" w:rsidP="00167565">
      <w:pPr>
        <w:pStyle w:val="SingleTxtG"/>
      </w:pPr>
      <w:r w:rsidRPr="001D12A6">
        <w:t>43.</w:t>
      </w:r>
      <w:r w:rsidRPr="001D12A6">
        <w:tab/>
        <w:t>The Committee is concerned by information received about the use by the State party of Pegasus spyware to target the mobile phones of journalists, activists and government officials from mid-2017 to 2023. The Committee is also concerned by information about multiple security breaches and vulnerabilities relating to the information stored in the Aadhaar identification database, the de facto requirement for the mandatory use of Aadhaar, the increasing use of facial recognition technology for surveillance and for access to public benefits and voting rights and by the lack of adequate privacy safeguards in content and data regulation legislation and in the context of search and seizures (art. 17).</w:t>
      </w:r>
    </w:p>
    <w:p w14:paraId="2F250DDB" w14:textId="77777777" w:rsidR="00AE28D2" w:rsidRPr="00167565" w:rsidRDefault="00AE28D2" w:rsidP="00167565">
      <w:pPr>
        <w:pStyle w:val="SingleTxtG"/>
        <w:rPr>
          <w:b/>
          <w:bCs/>
        </w:rPr>
      </w:pPr>
      <w:r w:rsidRPr="001D12A6">
        <w:t xml:space="preserve">44. </w:t>
      </w:r>
      <w:r w:rsidRPr="001D12A6">
        <w:tab/>
      </w:r>
      <w:r w:rsidRPr="00167565">
        <w:rPr>
          <w:b/>
          <w:bCs/>
        </w:rPr>
        <w:t>The State party should ensure that legislation regarding surveillance, content and data regulation and related activities and any other interference with privacy, such as search and seizure activities, is in full compliance with article 17 of the Covenant and with the principles of legality, proportionality and necessity. The State party should also:</w:t>
      </w:r>
    </w:p>
    <w:p w14:paraId="3B9160F4" w14:textId="5B1AFCFF" w:rsidR="00AE28D2" w:rsidRPr="00167565" w:rsidRDefault="00167565" w:rsidP="00167565">
      <w:pPr>
        <w:pStyle w:val="SingleTxtG"/>
        <w:rPr>
          <w:b/>
          <w:bCs/>
        </w:rPr>
      </w:pPr>
      <w:r>
        <w:tab/>
      </w:r>
      <w:r w:rsidR="00AE28D2" w:rsidRPr="001D12A6">
        <w:t>(a)</w:t>
      </w:r>
      <w:r w:rsidR="00AE28D2" w:rsidRPr="001D12A6">
        <w:tab/>
      </w:r>
      <w:r w:rsidR="00AE28D2" w:rsidRPr="00167565">
        <w:rPr>
          <w:b/>
          <w:bCs/>
        </w:rPr>
        <w:t>Ensure that such legislation includes effective safeguards, including judicial review, independent oversight and adequate remedies to protect the right to privacy;</w:t>
      </w:r>
    </w:p>
    <w:p w14:paraId="534134AD" w14:textId="3568BB92" w:rsidR="00AE28D2" w:rsidRPr="00167565" w:rsidRDefault="00167565" w:rsidP="00167565">
      <w:pPr>
        <w:pStyle w:val="SingleTxtG"/>
        <w:rPr>
          <w:b/>
          <w:bCs/>
        </w:rPr>
      </w:pPr>
      <w:r>
        <w:tab/>
      </w:r>
      <w:r w:rsidR="00AE28D2" w:rsidRPr="001D12A6">
        <w:t>(b)</w:t>
      </w:r>
      <w:r w:rsidR="00AE28D2" w:rsidRPr="001D12A6">
        <w:tab/>
      </w:r>
      <w:r w:rsidR="00AE28D2" w:rsidRPr="00167565">
        <w:rPr>
          <w:b/>
          <w:bCs/>
        </w:rPr>
        <w:t xml:space="preserve">Enhance the security of the Aadhaar biometric infrastructure and refrain from using facial recognition and other mass surveillance technologies, at a minimum until it is thoroughly tested for accuracy and fairness and all adequate safeguards are in place. </w:t>
      </w:r>
    </w:p>
    <w:p w14:paraId="078EA7FE" w14:textId="77777777" w:rsidR="00AE28D2" w:rsidRPr="001D12A6" w:rsidRDefault="00AE28D2" w:rsidP="00AE28D2">
      <w:pPr>
        <w:pStyle w:val="H23G"/>
      </w:pPr>
      <w:r w:rsidRPr="001D12A6">
        <w:tab/>
      </w:r>
      <w:r w:rsidRPr="001D12A6">
        <w:tab/>
        <w:t xml:space="preserve">Freedom of conscience and religious belief, non-discrimination and prohibition of advocacy of national, racial or religious hatred </w:t>
      </w:r>
    </w:p>
    <w:p w14:paraId="06CF7845" w14:textId="3EA9D981" w:rsidR="00AE28D2" w:rsidRPr="001D12A6" w:rsidRDefault="00AE28D2" w:rsidP="00D06C32">
      <w:pPr>
        <w:pStyle w:val="SingleTxtG"/>
      </w:pPr>
      <w:r w:rsidRPr="001D12A6">
        <w:t>45.</w:t>
      </w:r>
      <w:r w:rsidRPr="001D12A6">
        <w:tab/>
        <w:t>The Committee is concerned about the very high levels of violence against religious minorities, such as the incidents in Manipur since May 2023 and the riots in Gujarat in 2002, and the resulting lack of accountability for human rights violations, including extrajudicial killings. The Committee is also concerned by other violent incidents, such as the demolitions of religious minorities</w:t>
      </w:r>
      <w:r w:rsidR="00407CE6">
        <w:t>’</w:t>
      </w:r>
      <w:r w:rsidRPr="001D12A6">
        <w:t xml:space="preserve"> places of worship and private homes following the riots during the Ram Navami processions in 2022, most of them belonging to Muslims, and the reports of violence and lynching by </w:t>
      </w:r>
      <w:r w:rsidR="00407CE6">
        <w:t>“</w:t>
      </w:r>
      <w:r w:rsidRPr="001D12A6">
        <w:t>cow vigilantes</w:t>
      </w:r>
      <w:r w:rsidR="00407CE6">
        <w:t>”</w:t>
      </w:r>
      <w:r w:rsidRPr="001D12A6">
        <w:t xml:space="preserve"> against Muslims and Christians. The Committee is further concerned by the application of national security and counter-terrorism laws to target religious minorities and about reports of public officials engaging in hate speech and inciting public violence against religious minorities (arts. 2, 18, 20, 26 and 27).</w:t>
      </w:r>
    </w:p>
    <w:p w14:paraId="60459CFF" w14:textId="3A069B8A" w:rsidR="00AE28D2" w:rsidRPr="00D06C32" w:rsidRDefault="00AE28D2" w:rsidP="00D06C32">
      <w:pPr>
        <w:pStyle w:val="SingleTxtG"/>
        <w:rPr>
          <w:b/>
          <w:bCs/>
        </w:rPr>
      </w:pPr>
      <w:r w:rsidRPr="001D12A6">
        <w:lastRenderedPageBreak/>
        <w:t>46.</w:t>
      </w:r>
      <w:r w:rsidRPr="001D12A6">
        <w:tab/>
      </w:r>
      <w:r w:rsidRPr="00D06C32">
        <w:rPr>
          <w:b/>
          <w:bCs/>
        </w:rPr>
        <w:t>In accordance with article 18 of the Covenant and the Committee</w:t>
      </w:r>
      <w:r w:rsidR="00407CE6">
        <w:rPr>
          <w:b/>
          <w:bCs/>
        </w:rPr>
        <w:t>’</w:t>
      </w:r>
      <w:r w:rsidRPr="00D06C32">
        <w:rPr>
          <w:b/>
          <w:bCs/>
        </w:rPr>
        <w:t xml:space="preserve">s general comment No. 22 (1993) on the right to freedom of thought, conscience and religion, the State party should ensure respect for freedom of thought, conscience and religion for all and prevent, combat and address all forms of discrimination and violence against religious minorities. In particular, it should: </w:t>
      </w:r>
    </w:p>
    <w:p w14:paraId="69A4C9BC" w14:textId="1390F5B2" w:rsidR="00AE28D2" w:rsidRPr="00D06C32" w:rsidRDefault="00D06C32" w:rsidP="00D06C32">
      <w:pPr>
        <w:pStyle w:val="SingleTxtG"/>
        <w:rPr>
          <w:b/>
          <w:bCs/>
        </w:rPr>
      </w:pPr>
      <w:r w:rsidRPr="00D06C32">
        <w:tab/>
      </w:r>
      <w:r w:rsidR="00AE28D2" w:rsidRPr="00D06C32">
        <w:t>(a)</w:t>
      </w:r>
      <w:r w:rsidR="00AE28D2" w:rsidRPr="00D06C32">
        <w:tab/>
      </w:r>
      <w:r w:rsidR="00AE28D2" w:rsidRPr="00D06C32">
        <w:rPr>
          <w:b/>
          <w:bCs/>
        </w:rPr>
        <w:t>Increase its efforts to prevent and investigate promptly, thoroughly, independently and impartially all acts of discrimination and violence and instances of hate speech and incitement to public violence against religious minorities by public officials. The State party should also ensure that perpetrators, including security personnel and members of the armed forces, are prosecuted and, if convicted, punished with penalties commensurate with the gravity of the offence and that victims are provided with reparation;</w:t>
      </w:r>
    </w:p>
    <w:p w14:paraId="71DC2F19" w14:textId="3B2E5EE4" w:rsidR="00AE28D2" w:rsidRPr="00D06C32" w:rsidRDefault="00D06C32" w:rsidP="00D06C32">
      <w:pPr>
        <w:pStyle w:val="SingleTxtG"/>
        <w:rPr>
          <w:b/>
          <w:bCs/>
        </w:rPr>
      </w:pPr>
      <w:r w:rsidRPr="00D06C32">
        <w:tab/>
      </w:r>
      <w:r w:rsidR="00AE28D2" w:rsidRPr="00D06C32">
        <w:t>(b)</w:t>
      </w:r>
      <w:r w:rsidR="00AE28D2" w:rsidRPr="00D06C32">
        <w:tab/>
      </w:r>
      <w:r w:rsidR="00AE28D2" w:rsidRPr="00D06C32">
        <w:rPr>
          <w:b/>
          <w:bCs/>
        </w:rPr>
        <w:t>Ensure that the national security and counter-terrorism legislation is not applied arbitrarily to arrest, detain or target religious minorities;</w:t>
      </w:r>
    </w:p>
    <w:p w14:paraId="2707D150" w14:textId="7CFB37A0" w:rsidR="00AE28D2" w:rsidRPr="00D06C32" w:rsidRDefault="00D06C32" w:rsidP="00D06C32">
      <w:pPr>
        <w:pStyle w:val="SingleTxtG"/>
        <w:rPr>
          <w:b/>
          <w:bCs/>
        </w:rPr>
      </w:pPr>
      <w:r w:rsidRPr="00D06C32">
        <w:tab/>
      </w:r>
      <w:r w:rsidR="00AE28D2" w:rsidRPr="00D06C32">
        <w:t>(c)</w:t>
      </w:r>
      <w:r w:rsidR="00AE28D2" w:rsidRPr="00D06C32">
        <w:rPr>
          <w:b/>
          <w:bCs/>
        </w:rPr>
        <w:tab/>
        <w:t xml:space="preserve">Consider adopting national legislation to expressly outlaw violence and lynching by cow vigilantes. </w:t>
      </w:r>
    </w:p>
    <w:p w14:paraId="71F5AE05" w14:textId="335ABFFF" w:rsidR="00AE28D2" w:rsidRPr="001D12A6" w:rsidRDefault="00AE28D2" w:rsidP="00D06C32">
      <w:pPr>
        <w:pStyle w:val="SingleTxtG"/>
      </w:pPr>
      <w:r w:rsidRPr="001D12A6">
        <w:t>47.</w:t>
      </w:r>
      <w:r w:rsidRPr="001D12A6">
        <w:tab/>
        <w:t xml:space="preserve">The Committee is concerned by the misuse of legislation in force in several states in India that, while nominally intended to prevent coerced religious conversions, is applied in ways that restrict and violate the right to freedom of religion. The Committee has particular concerns about provisions that require individuals to notify the authorities of their intention to convert, contain vague wording that gives officials broad power to decide on religious conversions, impose enhanced punishments for conversion by minority groups, consider interfaith marriages to be presumptively unlawful or shift the burden of proof to the accused to show that a conversion was not coerced. The Committee is also concerned about vigilante attacks against religious minorities. The Committee is further concerned by </w:t>
      </w:r>
      <w:r w:rsidR="00407CE6">
        <w:t>“</w:t>
      </w:r>
      <w:r w:rsidRPr="001D12A6">
        <w:t>ghar wapsi</w:t>
      </w:r>
      <w:r w:rsidR="00407CE6">
        <w:t>”</w:t>
      </w:r>
      <w:r w:rsidRPr="001D12A6">
        <w:t xml:space="preserve"> (homecoming) ceremonies, where religious minorities are allegedly coerced to convert to Hinduism. According to reports received, over the past decade, thousands of Christians and Muslims have been converted to Hinduism during such ceremonies (arts. 2, 18, 20, 26 and 27).</w:t>
      </w:r>
    </w:p>
    <w:p w14:paraId="7921EC5A" w14:textId="77777777" w:rsidR="00AE28D2" w:rsidRPr="00EF5364" w:rsidRDefault="00AE28D2" w:rsidP="00EF5364">
      <w:pPr>
        <w:pStyle w:val="SingleTxtG"/>
        <w:rPr>
          <w:rFonts w:eastAsia="Times New Roman"/>
          <w:b/>
          <w:bCs/>
          <w:lang w:eastAsia="en-US"/>
        </w:rPr>
      </w:pPr>
      <w:r w:rsidRPr="001D12A6">
        <w:t>48.</w:t>
      </w:r>
      <w:r w:rsidRPr="001D12A6">
        <w:tab/>
      </w:r>
      <w:r w:rsidRPr="00EF5364">
        <w:rPr>
          <w:b/>
          <w:bCs/>
        </w:rPr>
        <w:t>The State party should guarantee, in law and in practice, the effective exercise of freedom of religion and belief and refrain from imposing any restrictions on those rights beyond the narrow limitations permitted under article 18 (3) of the Covenant. The State party should, in particular:</w:t>
      </w:r>
      <w:r w:rsidRPr="00EF5364">
        <w:rPr>
          <w:rFonts w:eastAsia="Times New Roman"/>
          <w:b/>
          <w:bCs/>
          <w:lang w:eastAsia="en-US"/>
        </w:rPr>
        <w:t xml:space="preserve"> </w:t>
      </w:r>
    </w:p>
    <w:p w14:paraId="25752053" w14:textId="53E72359" w:rsidR="00AE28D2" w:rsidRPr="001D12A6" w:rsidRDefault="00EF5364" w:rsidP="00EF5364">
      <w:pPr>
        <w:pStyle w:val="SingleTxtG"/>
        <w:rPr>
          <w:b/>
          <w:bCs/>
        </w:rPr>
      </w:pPr>
      <w:r w:rsidRPr="00EF5364">
        <w:tab/>
      </w:r>
      <w:r w:rsidR="00AE28D2" w:rsidRPr="00EF5364">
        <w:t>(a)</w:t>
      </w:r>
      <w:r w:rsidR="00AE28D2" w:rsidRPr="001D12A6">
        <w:rPr>
          <w:b/>
          <w:bCs/>
        </w:rPr>
        <w:tab/>
        <w:t xml:space="preserve">Repeal or amend all legislation and policies, including on religious conversion, that discriminate on the basis of conscience and religion and ensure they are in full conformity with article 18 of the Covenant; </w:t>
      </w:r>
    </w:p>
    <w:p w14:paraId="1965CBB9" w14:textId="6543F5B5" w:rsidR="00AE28D2" w:rsidRPr="001D12A6" w:rsidRDefault="00EF5364" w:rsidP="00EF5364">
      <w:pPr>
        <w:pStyle w:val="SingleTxtG"/>
        <w:rPr>
          <w:b/>
          <w:bCs/>
        </w:rPr>
      </w:pPr>
      <w:r w:rsidRPr="00EF5364">
        <w:tab/>
      </w:r>
      <w:r w:rsidR="00AE28D2" w:rsidRPr="00EF5364">
        <w:t>(b)</w:t>
      </w:r>
      <w:r w:rsidR="00AE28D2" w:rsidRPr="001D12A6">
        <w:rPr>
          <w:b/>
          <w:bCs/>
        </w:rPr>
        <w:tab/>
        <w:t>Prevent, combat and sanction attacks against religious minorities, take measures to exclude any form of coercion from ghar wapsi ceremonies and protect religious minorities accordingly.</w:t>
      </w:r>
    </w:p>
    <w:p w14:paraId="71453B31" w14:textId="77777777" w:rsidR="00AE28D2" w:rsidRPr="001D12A6" w:rsidRDefault="00AE28D2" w:rsidP="00AE28D2">
      <w:pPr>
        <w:pStyle w:val="H23G"/>
      </w:pPr>
      <w:r w:rsidRPr="001D12A6">
        <w:tab/>
      </w:r>
      <w:r w:rsidRPr="001D12A6">
        <w:tab/>
        <w:t xml:space="preserve">Freedoms of expression and peaceful assembly </w:t>
      </w:r>
    </w:p>
    <w:p w14:paraId="07FCAF7B" w14:textId="77777777" w:rsidR="00AE28D2" w:rsidRPr="001D12A6" w:rsidRDefault="00AE28D2" w:rsidP="0032402C">
      <w:pPr>
        <w:pStyle w:val="SingleTxtG"/>
      </w:pPr>
      <w:r w:rsidRPr="001D12A6">
        <w:t>49.</w:t>
      </w:r>
      <w:r w:rsidRPr="001D12A6">
        <w:tab/>
        <w:t>The Committee is concerned about arbitrary restrictions in law and practice on freedom of expression online and offline in the State party, including the broad and frequent use of Internet shutdowns, such as the complete ban on mobile Internet facilities for months in Jammu and Kashmir in 2016 and for 18 months in 2019, the blockage of online content on vaguely defined grounds and without court authorization and the banning of books and films. While the Committee commends the abolition of the offence of sedition in the former Criminal Code, it remains concerned that section 150 of the Bharatiya Nyaya Sanhita, 2023, includes forms of expression that endanger the sovereignty, unity and integrity of the State party. The Committee is also concerned about the misuse of vague and broadly formulated provisions of legislation, such as on counter-terrorism, which, according to information received, is misused for the arbitrary arrest and prosecution of minority groups, journalists and other individuals expressing minority or dissenting views and exercising their right to peaceful assembly (arts. 19 and 21).</w:t>
      </w:r>
    </w:p>
    <w:p w14:paraId="03E4ABB9" w14:textId="05E6362D" w:rsidR="00AE28D2" w:rsidRPr="0032402C" w:rsidRDefault="00AE28D2" w:rsidP="0032402C">
      <w:pPr>
        <w:pStyle w:val="SingleTxtG"/>
        <w:rPr>
          <w:b/>
          <w:bCs/>
        </w:rPr>
      </w:pPr>
      <w:r w:rsidRPr="001D12A6">
        <w:lastRenderedPageBreak/>
        <w:t>50.</w:t>
      </w:r>
      <w:r w:rsidRPr="001D12A6">
        <w:tab/>
      </w:r>
      <w:r w:rsidRPr="0032402C">
        <w:rPr>
          <w:b/>
          <w:bCs/>
        </w:rPr>
        <w:t>The State party should take all measures necessary to guarantee the full enjoyment of freedom of expression by everyone, in accordance with article 19 of the Covenant and the Committee</w:t>
      </w:r>
      <w:r w:rsidR="00407CE6">
        <w:rPr>
          <w:b/>
          <w:bCs/>
        </w:rPr>
        <w:t>’</w:t>
      </w:r>
      <w:r w:rsidRPr="0032402C">
        <w:rPr>
          <w:b/>
          <w:bCs/>
        </w:rPr>
        <w:t>s general comment No. 34 (2011), and that any restrictions comply with the strict requirements of article 19 (3) of the Covenant. In particular, the State party should:</w:t>
      </w:r>
    </w:p>
    <w:p w14:paraId="769C87DC" w14:textId="23A161A9" w:rsidR="00AE28D2" w:rsidRPr="001D12A6" w:rsidRDefault="0032402C" w:rsidP="0032402C">
      <w:pPr>
        <w:pStyle w:val="SingleTxtG"/>
        <w:rPr>
          <w:b/>
          <w:bCs/>
        </w:rPr>
      </w:pPr>
      <w:r w:rsidRPr="0032402C">
        <w:tab/>
      </w:r>
      <w:r w:rsidR="00AE28D2" w:rsidRPr="0032402C">
        <w:t xml:space="preserve">(a) </w:t>
      </w:r>
      <w:r w:rsidR="00AE28D2" w:rsidRPr="0032402C">
        <w:tab/>
      </w:r>
      <w:r w:rsidR="00AE28D2" w:rsidRPr="001D12A6">
        <w:rPr>
          <w:b/>
          <w:bCs/>
        </w:rPr>
        <w:t>Revise and amend legislation unduly restricting freedom of expression, such as Internet shutdowns and the blocking of websites and online resources, ensure that any restrictions comply with the requirements of the Covenant and refrain from censoring arbitrarily books, films and other material and reinstate them;</w:t>
      </w:r>
    </w:p>
    <w:p w14:paraId="6E14F0D7" w14:textId="012C5B41" w:rsidR="00AE28D2" w:rsidRPr="001D12A6" w:rsidRDefault="0032402C" w:rsidP="0032402C">
      <w:pPr>
        <w:pStyle w:val="SingleTxtG"/>
        <w:rPr>
          <w:b/>
          <w:bCs/>
        </w:rPr>
      </w:pPr>
      <w:r w:rsidRPr="0032402C">
        <w:tab/>
      </w:r>
      <w:r w:rsidR="00AE28D2" w:rsidRPr="0032402C">
        <w:t>(b)</w:t>
      </w:r>
      <w:r w:rsidR="00AE28D2" w:rsidRPr="001D12A6">
        <w:rPr>
          <w:b/>
          <w:bCs/>
        </w:rPr>
        <w:tab/>
        <w:t>Consider decriminalizing defamation, insult and the offence set out in section 150 of the new criminal legislation, resort to criminal law only for the most serious cases and ensure that criminal laws and counter-terrorism legislation are not applied to suppress the expression of critical and dissenting opinions and the exercise of peaceful assembly.</w:t>
      </w:r>
    </w:p>
    <w:p w14:paraId="346853EE" w14:textId="77777777" w:rsidR="00AE28D2" w:rsidRPr="001D12A6" w:rsidRDefault="00AE28D2" w:rsidP="00DE4DE5">
      <w:pPr>
        <w:pStyle w:val="SingleTxtG"/>
      </w:pPr>
      <w:r w:rsidRPr="001D12A6">
        <w:t>51.</w:t>
      </w:r>
      <w:r w:rsidRPr="001D12A6">
        <w:tab/>
        <w:t>The Committee is concerned by the killing of 59 journalists since 2006 and allegations that human rights defenders have been barred from travelling outside India and engaging with United Nations bodies, such as in the case of Khurram Parvez, a Kashmiri human rights defender who was prevented from travelling to Geneva to attend a session of the Human Rights Council and has been arbitrarily detained since 2021. The Committee is also concerned by information regarding the transnational repression of political opponents and human rights defenders and about the frequent disruption of demonstrations and cases of excessive use of force, such as during the protests in Tamil Nadu in 2018, which resulted in 13 deaths, and the use of pellet guns for crowd control, which has caused numerous injuries since 2010, in particular in Kashmir. The Committee is further concerned by the possibility of the arbitrary application of certain provisions of the new criminal legislation, such as those on public order relating to peaceful assemblies (arts. 19 and 21).</w:t>
      </w:r>
    </w:p>
    <w:p w14:paraId="216893A0" w14:textId="34001614" w:rsidR="00AE28D2" w:rsidRPr="00DE4DE5" w:rsidRDefault="00AE28D2" w:rsidP="00DE4DE5">
      <w:pPr>
        <w:pStyle w:val="SingleTxtG"/>
        <w:rPr>
          <w:b/>
          <w:bCs/>
        </w:rPr>
      </w:pPr>
      <w:r w:rsidRPr="001D12A6">
        <w:t xml:space="preserve">52. </w:t>
      </w:r>
      <w:r w:rsidRPr="001D12A6">
        <w:tab/>
      </w:r>
      <w:r w:rsidRPr="00DE4DE5">
        <w:rPr>
          <w:b/>
          <w:bCs/>
        </w:rPr>
        <w:t>The State party should take measures to guarantee that everyone can exercise the right to freedom of expression and the right of peaceful assembly in accordance with article 21 of the Covenant and the Committee</w:t>
      </w:r>
      <w:r w:rsidR="00407CE6">
        <w:rPr>
          <w:b/>
          <w:bCs/>
        </w:rPr>
        <w:t>’</w:t>
      </w:r>
      <w:r w:rsidRPr="00DE4DE5">
        <w:rPr>
          <w:b/>
          <w:bCs/>
        </w:rPr>
        <w:t>s general comment No. 37 (2020) on the right of peaceful assembly. In particular, the State party should:</w:t>
      </w:r>
    </w:p>
    <w:p w14:paraId="43F42383" w14:textId="77777777" w:rsidR="00AE28D2" w:rsidRPr="00DE4DE5" w:rsidRDefault="00AE28D2" w:rsidP="00DE4DE5">
      <w:pPr>
        <w:pStyle w:val="SingleTxtG"/>
        <w:rPr>
          <w:b/>
          <w:bCs/>
        </w:rPr>
      </w:pPr>
      <w:r w:rsidRPr="00DE4DE5">
        <w:tab/>
        <w:t xml:space="preserve">(a) </w:t>
      </w:r>
      <w:r w:rsidRPr="00DE4DE5">
        <w:tab/>
      </w:r>
      <w:r w:rsidRPr="00DE4DE5">
        <w:rPr>
          <w:b/>
          <w:bCs/>
        </w:rPr>
        <w:t xml:space="preserve">Prevent and combat acts of harassment, intimidation, persecution and violence, including arbitrary detention and prosecution, against journalists, media workers, human rights defenders and anyone expressing criticism against the actions or policies of the public authorities, take all measures necessary to guarantee the effective protection of such persons and ensure that they are free to carry out their work without fear of harassment, violence or reprisal; </w:t>
      </w:r>
    </w:p>
    <w:p w14:paraId="08032FE3" w14:textId="77777777" w:rsidR="00AE28D2" w:rsidRPr="00DE4DE5" w:rsidRDefault="00AE28D2" w:rsidP="00DE4DE5">
      <w:pPr>
        <w:pStyle w:val="SingleTxtG"/>
        <w:rPr>
          <w:b/>
          <w:bCs/>
        </w:rPr>
      </w:pPr>
      <w:r w:rsidRPr="00DE4DE5">
        <w:tab/>
        <w:t>(b)</w:t>
      </w:r>
      <w:r w:rsidRPr="00DE4DE5">
        <w:tab/>
      </w:r>
      <w:r w:rsidRPr="00DE4DE5">
        <w:rPr>
          <w:b/>
          <w:bCs/>
        </w:rPr>
        <w:t>Ensure that all allegations of harassment, intimidation and violence against journalists, human rights defenders and protestors and of excessive use of force by State agents are promptly, thoroughly, independently and impartially investigated, perpetrators are prosecuted and, if convicted, punished with sanctions commensurate with the gravity of the crime and victims are provided with effective remedy;</w:t>
      </w:r>
    </w:p>
    <w:p w14:paraId="7D50BC07" w14:textId="395E0964" w:rsidR="00AE28D2" w:rsidRPr="00DE4DE5" w:rsidRDefault="00AE28D2" w:rsidP="00DE4DE5">
      <w:pPr>
        <w:pStyle w:val="SingleTxtG"/>
        <w:rPr>
          <w:b/>
          <w:bCs/>
        </w:rPr>
      </w:pPr>
      <w:r w:rsidRPr="00DE4DE5">
        <w:tab/>
        <w:t>(c)</w:t>
      </w:r>
      <w:r w:rsidRPr="00DE4DE5">
        <w:tab/>
      </w:r>
      <w:r w:rsidRPr="00DE4DE5">
        <w:rPr>
          <w:b/>
          <w:bCs/>
        </w:rPr>
        <w:t>Foster an enabling environment for the exercise of the right to peaceful assembly and ensure that limitations on that right are in strict compliance with article</w:t>
      </w:r>
      <w:r w:rsidR="00BE5482">
        <w:rPr>
          <w:b/>
          <w:bCs/>
        </w:rPr>
        <w:t> </w:t>
      </w:r>
      <w:r w:rsidRPr="00DE4DE5">
        <w:rPr>
          <w:b/>
          <w:bCs/>
        </w:rPr>
        <w:t>21 of the Covenant and the principles of proportionality and necessity. Ensure that any decision regarding the prohibition of a peaceful assembly on the basis of the criminal legislation is subject to judicial control;</w:t>
      </w:r>
    </w:p>
    <w:p w14:paraId="1D4A4AF6" w14:textId="77777777" w:rsidR="00AE28D2" w:rsidRPr="00DE4DE5" w:rsidRDefault="00AE28D2" w:rsidP="00DE4DE5">
      <w:pPr>
        <w:pStyle w:val="SingleTxtG"/>
        <w:rPr>
          <w:b/>
          <w:bCs/>
        </w:rPr>
      </w:pPr>
      <w:r w:rsidRPr="00DE4DE5">
        <w:tab/>
        <w:t>(d)</w:t>
      </w:r>
      <w:r w:rsidRPr="00DE4DE5">
        <w:tab/>
      </w:r>
      <w:r w:rsidRPr="00DE4DE5">
        <w:rPr>
          <w:b/>
          <w:bCs/>
        </w:rPr>
        <w:t>Take all measures necessary to prevent and eliminate all forms of excessive use of force by law enforcement officials, including the use of pellet guns, and provide training on the use of force, the employment of non-violent means of crowd control, especially in the context of demonstrations and the need to strictly adhere to the principles of necessity and proportionality and on the Basic Principles on the Use of Force and Firearms by Law Enforcement Officials and the United Nations Human Rights Guidance on Less-Lethal Weapons in Law Enforcement.</w:t>
      </w:r>
    </w:p>
    <w:p w14:paraId="462A80EE" w14:textId="77777777" w:rsidR="00AE28D2" w:rsidRPr="001D12A6" w:rsidRDefault="00AE28D2" w:rsidP="00AE28D2">
      <w:pPr>
        <w:pStyle w:val="H23G"/>
      </w:pPr>
      <w:r w:rsidRPr="001D12A6">
        <w:lastRenderedPageBreak/>
        <w:tab/>
      </w:r>
      <w:r w:rsidRPr="001D12A6">
        <w:tab/>
        <w:t xml:space="preserve">Freedom of association </w:t>
      </w:r>
    </w:p>
    <w:p w14:paraId="67A101D3" w14:textId="0A7F7EF2" w:rsidR="00AE28D2" w:rsidRPr="001D12A6" w:rsidRDefault="00AE28D2" w:rsidP="00CF7A50">
      <w:pPr>
        <w:pStyle w:val="SingleTxtG"/>
      </w:pPr>
      <w:r w:rsidRPr="001D12A6">
        <w:t>53.</w:t>
      </w:r>
      <w:r w:rsidRPr="001D12A6">
        <w:tab/>
        <w:t>The Committee is concerned about the misuse of the Foreign Contribution (Regulation) Act 2010, which, according to information received, is used to target non</w:t>
      </w:r>
      <w:r w:rsidR="00407CE6">
        <w:noBreakHyphen/>
      </w:r>
      <w:r w:rsidRPr="001D12A6">
        <w:t>governmental organizations critical of the Government and to silence dissenting voices, including non-governmental organizations working on human rights issues. The Committee has been informed that, under the Act, the State party cancelled the licences of more than 20,600 non-governmental organizations between 2011 and 2021 (art. 22).</w:t>
      </w:r>
    </w:p>
    <w:p w14:paraId="26CFF3EA" w14:textId="77777777" w:rsidR="00AE28D2" w:rsidRPr="00CF7A50" w:rsidRDefault="00AE28D2" w:rsidP="00CF7A50">
      <w:pPr>
        <w:pStyle w:val="SingleTxtG"/>
        <w:rPr>
          <w:b/>
          <w:bCs/>
        </w:rPr>
      </w:pPr>
      <w:r w:rsidRPr="001D12A6">
        <w:t>54.</w:t>
      </w:r>
      <w:r w:rsidRPr="001D12A6">
        <w:tab/>
      </w:r>
      <w:r w:rsidRPr="00CF7A50">
        <w:rPr>
          <w:b/>
          <w:bCs/>
        </w:rPr>
        <w:t>The State party should guarantee, in law and in practice, a safe and enabling environment for civil society organizations and that any restriction is in conformity with article 22 of the Covenant. In particular, it should:</w:t>
      </w:r>
    </w:p>
    <w:p w14:paraId="12CD1FF1" w14:textId="1F68C96E" w:rsidR="00AE28D2" w:rsidRPr="00CF7A50" w:rsidRDefault="00CF7A50" w:rsidP="00CF7A50">
      <w:pPr>
        <w:pStyle w:val="SingleTxtG"/>
        <w:rPr>
          <w:b/>
          <w:bCs/>
        </w:rPr>
      </w:pPr>
      <w:r w:rsidRPr="00CF7A50">
        <w:tab/>
      </w:r>
      <w:r w:rsidR="00AE28D2" w:rsidRPr="00CF7A50">
        <w:t xml:space="preserve">(a) </w:t>
      </w:r>
      <w:r w:rsidR="00AE28D2" w:rsidRPr="00CF7A50">
        <w:tab/>
      </w:r>
      <w:r w:rsidR="00AE28D2" w:rsidRPr="00CF7A50">
        <w:rPr>
          <w:b/>
          <w:bCs/>
        </w:rPr>
        <w:t xml:space="preserve">Review and amend the Foreign Contribution (Regulation) Act 2010, clarify its vague and broad provisions and ensure that the Act and the regulations governing foreign funding do not limit the exercise of the right to freedom of association or result in undue control over and interference in the ability of civil society organizations to operate freely and effectively; </w:t>
      </w:r>
    </w:p>
    <w:p w14:paraId="624F2269" w14:textId="12044274" w:rsidR="00AE28D2" w:rsidRPr="00CF7A50" w:rsidRDefault="00AE28D2" w:rsidP="00CF7A50">
      <w:pPr>
        <w:pStyle w:val="SingleTxtG"/>
        <w:rPr>
          <w:b/>
          <w:bCs/>
        </w:rPr>
      </w:pPr>
      <w:r w:rsidRPr="00CF7A50">
        <w:tab/>
        <w:t>(b)</w:t>
      </w:r>
      <w:r w:rsidRPr="00CF7A50">
        <w:tab/>
      </w:r>
      <w:r w:rsidRPr="00CF7A50">
        <w:rPr>
          <w:b/>
          <w:bCs/>
        </w:rPr>
        <w:t>Ensure that civil society organizations can operate free of undue State interference and influence and without fear of reprisal or any restrictions on their operations that are contrary to the provisions of the Covenant.</w:t>
      </w:r>
    </w:p>
    <w:p w14:paraId="10E80963" w14:textId="77777777" w:rsidR="00AE28D2" w:rsidRPr="001D12A6" w:rsidRDefault="00AE28D2" w:rsidP="00AE28D2">
      <w:pPr>
        <w:pStyle w:val="H23G"/>
      </w:pPr>
      <w:r w:rsidRPr="001D12A6">
        <w:tab/>
      </w:r>
      <w:r w:rsidRPr="001D12A6">
        <w:tab/>
        <w:t xml:space="preserve">Citizenship and prevention of statelessness </w:t>
      </w:r>
    </w:p>
    <w:p w14:paraId="30BCDC61" w14:textId="2369F793" w:rsidR="00AE28D2" w:rsidRPr="001D12A6" w:rsidRDefault="00AE28D2" w:rsidP="00472459">
      <w:pPr>
        <w:pStyle w:val="SingleTxtG"/>
      </w:pPr>
      <w:r w:rsidRPr="001D12A6">
        <w:t>55.</w:t>
      </w:r>
      <w:r w:rsidRPr="001D12A6">
        <w:tab/>
        <w:t>The Committee is concerned by the fact that the Citizenship (Amendment Act), 2019, and the Citizenship (Amendment Rules), 2024, establish access to citizenship for asylum</w:t>
      </w:r>
      <w:r w:rsidR="00407CE6">
        <w:noBreakHyphen/>
      </w:r>
      <w:r w:rsidRPr="001D12A6">
        <w:t>seekers and refugees according to religious criteria, discriminating, in particular, against Muslims. According to the legislation, citizenship is reserved for Hindus, Sikhs, Buddhists, Parsis, Christians and Jains from Afghanistan, Bangladesh and Pakistan. In addition, the Committee is concerned by the excessively complex proceedings faced by Muslims and the evidence required to be included in the National Population Register and the National Register of Citizens. As a consequence, over 2 million Muslims in Assam, who already hold citizenship, risk statelessness and confinement in detention centres for an indefinite period before expulsion from the territory of the State party. The Committee is also concerned that, according to a circular issued by the Ministry of Home Affairs in 1986, Sri Lankan refugees who are Tamils of Indian origin do not have access to citizenship. The Committee is further concerned about the difficulties faced by refugee parents in registering their children (arts. 2, 3, 18, 24, and 26).</w:t>
      </w:r>
    </w:p>
    <w:p w14:paraId="585F3EAB" w14:textId="77777777" w:rsidR="00AE28D2" w:rsidRPr="001D12A6" w:rsidRDefault="00AE28D2" w:rsidP="00472459">
      <w:pPr>
        <w:pStyle w:val="SingleTxtG"/>
        <w:rPr>
          <w:b/>
          <w:bCs/>
        </w:rPr>
      </w:pPr>
      <w:r w:rsidRPr="001D12A6">
        <w:t>56.</w:t>
      </w:r>
      <w:r w:rsidRPr="001D12A6">
        <w:rPr>
          <w:b/>
          <w:bCs/>
        </w:rPr>
        <w:tab/>
        <w:t>The State party should repeal or amend the Citizenship (Amendment) Act 2019 and the Citizenship (Amendment) Rules 2024</w:t>
      </w:r>
      <w:r w:rsidRPr="00472459">
        <w:rPr>
          <w:b/>
          <w:bCs/>
        </w:rPr>
        <w:t xml:space="preserve"> </w:t>
      </w:r>
      <w:r w:rsidRPr="001D12A6">
        <w:rPr>
          <w:b/>
          <w:bCs/>
        </w:rPr>
        <w:t xml:space="preserve">and ensure that they comply with the provisions of the Covenant, including the prohibition of discrimination on religious grounds, and with international customary law under which the arbitrary deprivation of nationality, including on religious grounds, is prohibited. It should also: </w:t>
      </w:r>
    </w:p>
    <w:p w14:paraId="58F40042" w14:textId="2B94BA26" w:rsidR="00AE28D2" w:rsidRPr="001D12A6" w:rsidRDefault="00472459" w:rsidP="00472459">
      <w:pPr>
        <w:pStyle w:val="SingleTxtG"/>
        <w:rPr>
          <w:b/>
          <w:bCs/>
        </w:rPr>
      </w:pPr>
      <w:r w:rsidRPr="00472459">
        <w:tab/>
      </w:r>
      <w:r w:rsidR="00AE28D2" w:rsidRPr="00472459">
        <w:t>(a)</w:t>
      </w:r>
      <w:r w:rsidR="00AE28D2" w:rsidRPr="00472459">
        <w:tab/>
      </w:r>
      <w:r w:rsidR="00AE28D2" w:rsidRPr="001D12A6">
        <w:rPr>
          <w:b/>
          <w:bCs/>
        </w:rPr>
        <w:t xml:space="preserve">Ensure that no person becomes or remains stateless by granting citizenship or issuing identity documents to stateless persons, where appropriate, and guarantee the right of every child to acquire a nationality; </w:t>
      </w:r>
    </w:p>
    <w:p w14:paraId="23BAD186" w14:textId="03B616D4" w:rsidR="00AE28D2" w:rsidRPr="001D12A6" w:rsidRDefault="00472459" w:rsidP="00472459">
      <w:pPr>
        <w:pStyle w:val="SingleTxtG"/>
        <w:rPr>
          <w:b/>
          <w:bCs/>
        </w:rPr>
      </w:pPr>
      <w:r w:rsidRPr="00472459">
        <w:tab/>
      </w:r>
      <w:r w:rsidR="00AE28D2" w:rsidRPr="00472459">
        <w:t>(b)</w:t>
      </w:r>
      <w:r w:rsidR="00AE28D2" w:rsidRPr="00472459">
        <w:tab/>
      </w:r>
      <w:r w:rsidR="00AE28D2" w:rsidRPr="001D12A6">
        <w:rPr>
          <w:b/>
          <w:bCs/>
        </w:rPr>
        <w:t>Consider repealing or amending the 1986 circular issued by the Ministry of Home Affairs stipulating that no Sri Lankan refugee will be naturalized or registered under the provisions of the Citizenship Act, 1955.</w:t>
      </w:r>
    </w:p>
    <w:p w14:paraId="5104CA96" w14:textId="77777777" w:rsidR="00AE28D2" w:rsidRPr="001D12A6" w:rsidRDefault="00AE28D2" w:rsidP="00AE28D2">
      <w:pPr>
        <w:pStyle w:val="H23G"/>
      </w:pPr>
      <w:r w:rsidRPr="001D12A6">
        <w:tab/>
      </w:r>
      <w:r w:rsidRPr="001D12A6">
        <w:tab/>
        <w:t xml:space="preserve">Participation in public affairs </w:t>
      </w:r>
    </w:p>
    <w:p w14:paraId="3FDCAC37" w14:textId="70FD073B" w:rsidR="00AE28D2" w:rsidRPr="001D12A6" w:rsidRDefault="00AE28D2" w:rsidP="00C211E8">
      <w:pPr>
        <w:pStyle w:val="SingleTxtG"/>
      </w:pPr>
      <w:r w:rsidRPr="001D12A6">
        <w:t>57.</w:t>
      </w:r>
      <w:r w:rsidRPr="001D12A6">
        <w:tab/>
        <w:t xml:space="preserve">The Committee is concerned that a person designated under article 16 (b) of the Representation of the People Act, 1951, as being of </w:t>
      </w:r>
      <w:r w:rsidR="00407CE6">
        <w:t>“</w:t>
      </w:r>
      <w:r w:rsidRPr="001D12A6">
        <w:t>unsound mind and stands so declared by a competent court</w:t>
      </w:r>
      <w:r w:rsidR="00407CE6">
        <w:t>”</w:t>
      </w:r>
      <w:r w:rsidRPr="001D12A6">
        <w:t xml:space="preserve"> is denied the right to vote. The Committee regrets that in some states, quotas for government jobs and subsidies are still maintained for adults with no more than two children (arts. 25 and 26).</w:t>
      </w:r>
    </w:p>
    <w:p w14:paraId="0FC79E03" w14:textId="15D9D532" w:rsidR="00AE28D2" w:rsidRPr="00C211E8" w:rsidRDefault="00AE28D2" w:rsidP="00C211E8">
      <w:pPr>
        <w:pStyle w:val="SingleTxtG"/>
        <w:rPr>
          <w:b/>
          <w:bCs/>
        </w:rPr>
      </w:pPr>
      <w:r w:rsidRPr="001D12A6">
        <w:t>58.</w:t>
      </w:r>
      <w:r w:rsidRPr="001D12A6">
        <w:tab/>
      </w:r>
      <w:r w:rsidRPr="00C211E8">
        <w:rPr>
          <w:b/>
          <w:bCs/>
        </w:rPr>
        <w:t>In accordance with article 25 of the Covenant and the Committee</w:t>
      </w:r>
      <w:r w:rsidR="00407CE6">
        <w:rPr>
          <w:b/>
          <w:bCs/>
        </w:rPr>
        <w:t>’</w:t>
      </w:r>
      <w:r w:rsidRPr="00C211E8">
        <w:rPr>
          <w:b/>
          <w:bCs/>
        </w:rPr>
        <w:t xml:space="preserve">s general comment No. 25 (1996), the State party should give full effect to the right of every person </w:t>
      </w:r>
      <w:r w:rsidRPr="00C211E8">
        <w:rPr>
          <w:b/>
          <w:bCs/>
        </w:rPr>
        <w:lastRenderedPageBreak/>
        <w:t xml:space="preserve">to participate in public affairs without discrimination, including persons with intellectual or psychosocial disabilities. It should ensure the full transparency of the electoral process, including the funding of political parties. It should also guarantee that every citizen has access to public services on general terms of equality. </w:t>
      </w:r>
    </w:p>
    <w:p w14:paraId="78059F5F" w14:textId="77777777" w:rsidR="00AE28D2" w:rsidRPr="001D12A6" w:rsidRDefault="00AE28D2" w:rsidP="00AE28D2">
      <w:pPr>
        <w:pStyle w:val="H23G"/>
      </w:pPr>
      <w:r w:rsidRPr="001D12A6">
        <w:tab/>
      </w:r>
      <w:r w:rsidRPr="001D12A6">
        <w:tab/>
        <w:t xml:space="preserve">Rights of minorities and Indigenous Peoples </w:t>
      </w:r>
    </w:p>
    <w:p w14:paraId="0ABFE7E4" w14:textId="00F645EC" w:rsidR="00AE28D2" w:rsidRPr="001D12A6" w:rsidRDefault="00AE28D2" w:rsidP="00C211E8">
      <w:pPr>
        <w:pStyle w:val="SingleTxtG"/>
      </w:pPr>
      <w:r w:rsidRPr="001D12A6">
        <w:t>59.</w:t>
      </w:r>
      <w:r w:rsidRPr="001D12A6">
        <w:tab/>
        <w:t>While acknowledging the efforts of the State party to envisage affirmative action and empowerment in favour of certain communities, the Committee is concerned that the scheduled tribes remain among the most disadvantaged socioeconomic groups. The Committee is also concerned that rights to the land of Indigenous and tribal peoples are often threatened by development projects and the activities of extractive and other industries, without proper consultation and obtaining their free, prior and informed consent. The Committee is further concerned that the laws enacted to protect land rights and to prevent violence and discrimination against Indigenous and tribal peoples are inadequately enforced. The Committee is concerned by information received that in Raigarh, Chhattisgarh, 1,176</w:t>
      </w:r>
      <w:r w:rsidR="008445DC">
        <w:t> </w:t>
      </w:r>
      <w:r w:rsidRPr="001D12A6">
        <w:t>cases of tribal lands acquired under coercion and without seeking free, prior and informed consent remain unaddressed and the recommendations of the National Commission for Scheduled Castes and Scheduled Tribes regarding the issue are not being implemented (art. 27).</w:t>
      </w:r>
    </w:p>
    <w:p w14:paraId="7F2FCA59" w14:textId="77777777" w:rsidR="00AE28D2" w:rsidRPr="00C211E8" w:rsidRDefault="00AE28D2" w:rsidP="00C211E8">
      <w:pPr>
        <w:pStyle w:val="SingleTxtG"/>
        <w:rPr>
          <w:b/>
          <w:bCs/>
        </w:rPr>
      </w:pPr>
      <w:r w:rsidRPr="001D12A6">
        <w:t>60.</w:t>
      </w:r>
      <w:r w:rsidRPr="001D12A6">
        <w:tab/>
      </w:r>
      <w:r w:rsidRPr="00C211E8">
        <w:rPr>
          <w:b/>
          <w:bCs/>
        </w:rPr>
        <w:t>The State party should ensure that the rights of Indigenous and tribal peoples to own, use and develop their ancestral lands and resources are recognized, respected and protected, in law and in practice. It should also:</w:t>
      </w:r>
    </w:p>
    <w:p w14:paraId="6772C532" w14:textId="0EE8A025" w:rsidR="00AE28D2" w:rsidRPr="00C211E8" w:rsidRDefault="00C211E8" w:rsidP="00C211E8">
      <w:pPr>
        <w:pStyle w:val="SingleTxtG"/>
        <w:rPr>
          <w:b/>
          <w:bCs/>
        </w:rPr>
      </w:pPr>
      <w:r w:rsidRPr="00C211E8">
        <w:tab/>
      </w:r>
      <w:r w:rsidR="00AE28D2" w:rsidRPr="00C211E8">
        <w:t>(a)</w:t>
      </w:r>
      <w:r w:rsidR="00AE28D2" w:rsidRPr="00C211E8">
        <w:tab/>
      </w:r>
      <w:r w:rsidR="00AE28D2" w:rsidRPr="00C211E8">
        <w:rPr>
          <w:b/>
          <w:bCs/>
        </w:rPr>
        <w:t>Guarantee the systematic application of participation processes necessary to obtain the free, prior and informed consent of Indigenous and tribal peoples in relation to all decisions that affect them and in accordance with international standards and ensure compliance with the agreements reached with the State and public and private companies;</w:t>
      </w:r>
    </w:p>
    <w:p w14:paraId="3903FB96" w14:textId="0D545268" w:rsidR="00AE28D2" w:rsidRPr="00C211E8" w:rsidRDefault="00C211E8" w:rsidP="00C211E8">
      <w:pPr>
        <w:pStyle w:val="SingleTxtG"/>
        <w:rPr>
          <w:b/>
          <w:bCs/>
        </w:rPr>
      </w:pPr>
      <w:r w:rsidRPr="00C211E8">
        <w:tab/>
      </w:r>
      <w:r w:rsidR="00AE28D2" w:rsidRPr="00C211E8">
        <w:t>(b)</w:t>
      </w:r>
      <w:r w:rsidR="00AE28D2" w:rsidRPr="00C211E8">
        <w:rPr>
          <w:b/>
          <w:bCs/>
        </w:rPr>
        <w:tab/>
        <w:t xml:space="preserve">Ensure the effective implementation of the Scheduled Tribes and Other Traditional Forest Dwellers (Recognition of Forest Rights) Act, 2006, and other international standards on the rights of Indigenous Peoples, such as the United Nations Declaration on the Rights of Indigenous Peoples; </w:t>
      </w:r>
    </w:p>
    <w:p w14:paraId="68D77CF6" w14:textId="76EA24A3" w:rsidR="00AE28D2" w:rsidRPr="00C211E8" w:rsidRDefault="00C211E8" w:rsidP="00C211E8">
      <w:pPr>
        <w:pStyle w:val="SingleTxtG"/>
        <w:rPr>
          <w:b/>
          <w:bCs/>
        </w:rPr>
      </w:pPr>
      <w:r w:rsidRPr="00C211E8">
        <w:tab/>
      </w:r>
      <w:r w:rsidR="00AE28D2" w:rsidRPr="00C211E8">
        <w:t>(c)</w:t>
      </w:r>
      <w:r w:rsidR="00AE28D2" w:rsidRPr="00C211E8">
        <w:tab/>
      </w:r>
      <w:r w:rsidR="00AE28D2" w:rsidRPr="00C211E8">
        <w:rPr>
          <w:b/>
          <w:bCs/>
        </w:rPr>
        <w:t>Ensure that evictions, when unavoidable, are carried out in accordance with due process of law, are preceded by consultation with the persons concerned and the consideration of alternatives, are subject to appeal and result in restitution or adequate compensation;</w:t>
      </w:r>
    </w:p>
    <w:p w14:paraId="2DE1D08B" w14:textId="0F8C7EA6" w:rsidR="00AE28D2" w:rsidRPr="00C211E8" w:rsidRDefault="00C211E8" w:rsidP="00C211E8">
      <w:pPr>
        <w:pStyle w:val="SingleTxtG"/>
        <w:rPr>
          <w:b/>
          <w:bCs/>
        </w:rPr>
      </w:pPr>
      <w:r w:rsidRPr="00C211E8">
        <w:tab/>
      </w:r>
      <w:r w:rsidR="00AE28D2" w:rsidRPr="00C211E8">
        <w:t>(d)</w:t>
      </w:r>
      <w:r w:rsidR="00AE28D2" w:rsidRPr="00C211E8">
        <w:tab/>
      </w:r>
      <w:r w:rsidR="00AE28D2" w:rsidRPr="00C211E8">
        <w:rPr>
          <w:b/>
          <w:bCs/>
        </w:rPr>
        <w:t xml:space="preserve">Improve the provision of essential public services to Indigenous and tribal peoples in situations of vulnerability; </w:t>
      </w:r>
    </w:p>
    <w:p w14:paraId="4B0A42E8" w14:textId="1BE35C7B" w:rsidR="00AE28D2" w:rsidRPr="00C211E8" w:rsidRDefault="00C211E8" w:rsidP="00C211E8">
      <w:pPr>
        <w:pStyle w:val="SingleTxtG"/>
        <w:rPr>
          <w:b/>
          <w:bCs/>
        </w:rPr>
      </w:pPr>
      <w:r w:rsidRPr="00C211E8">
        <w:tab/>
      </w:r>
      <w:r w:rsidR="00AE28D2" w:rsidRPr="00C211E8">
        <w:t>(e)</w:t>
      </w:r>
      <w:r w:rsidR="00AE28D2" w:rsidRPr="00C211E8">
        <w:rPr>
          <w:b/>
          <w:bCs/>
        </w:rPr>
        <w:t xml:space="preserve"> </w:t>
      </w:r>
      <w:r w:rsidR="00AE28D2" w:rsidRPr="00C211E8">
        <w:rPr>
          <w:b/>
          <w:bCs/>
        </w:rPr>
        <w:tab/>
        <w:t>Ensure adequate access to prompt and effective justice and remedies and fair and adequate reparation and compensation, including regarding the 1,176 cases of tribal lands that remain unaddressed in Raigarh, Chhattisgarh.</w:t>
      </w:r>
    </w:p>
    <w:p w14:paraId="63B59306" w14:textId="77777777" w:rsidR="00AE28D2" w:rsidRPr="001D12A6" w:rsidRDefault="00AE28D2" w:rsidP="00AE28D2">
      <w:pPr>
        <w:pStyle w:val="H1G"/>
      </w:pPr>
      <w:r w:rsidRPr="001D12A6">
        <w:tab/>
        <w:t>D.</w:t>
      </w:r>
      <w:r w:rsidRPr="001D12A6">
        <w:tab/>
        <w:t xml:space="preserve">Dissemination and follow-up </w:t>
      </w:r>
    </w:p>
    <w:p w14:paraId="47D637BA" w14:textId="77777777" w:rsidR="00AE28D2" w:rsidRPr="001D12A6" w:rsidRDefault="00AE28D2" w:rsidP="00AE28D2">
      <w:pPr>
        <w:pStyle w:val="SingleTxtG"/>
        <w:rPr>
          <w:b/>
          <w:bCs/>
        </w:rPr>
      </w:pPr>
      <w:r w:rsidRPr="001D12A6">
        <w:t>61</w:t>
      </w:r>
      <w:r w:rsidRPr="001D12A6">
        <w:rPr>
          <w:b/>
          <w:bCs/>
        </w:rPr>
        <w:t>.</w:t>
      </w:r>
      <w:bookmarkStart w:id="13" w:name="_Hlk168404895"/>
      <w:r w:rsidRPr="001D12A6">
        <w:rPr>
          <w:b/>
          <w:bCs/>
        </w:rPr>
        <w:tab/>
        <w:t xml:space="preserve">The State party should widely disseminate the Covenant, its fourth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other official language </w:t>
      </w:r>
      <w:bookmarkEnd w:id="13"/>
      <w:r w:rsidRPr="001D12A6">
        <w:rPr>
          <w:b/>
          <w:bCs/>
        </w:rPr>
        <w:t>of the State party and should consider translating them into other languages commonly used in the State party.</w:t>
      </w:r>
    </w:p>
    <w:p w14:paraId="0024BFA7" w14:textId="5519111E" w:rsidR="00AE28D2" w:rsidRPr="001D12A6" w:rsidRDefault="00AE28D2" w:rsidP="00AE28D2">
      <w:pPr>
        <w:pStyle w:val="SingleTxtG"/>
        <w:rPr>
          <w:b/>
          <w:bCs/>
        </w:rPr>
      </w:pPr>
      <w:r w:rsidRPr="001D12A6">
        <w:t>62.</w:t>
      </w:r>
      <w:r w:rsidRPr="001D12A6">
        <w:rPr>
          <w:b/>
          <w:bCs/>
        </w:rPr>
        <w:tab/>
        <w:t>In accordance with rule 75 (1) of the Committee</w:t>
      </w:r>
      <w:r w:rsidR="00407CE6">
        <w:rPr>
          <w:b/>
          <w:bCs/>
        </w:rPr>
        <w:t>’</w:t>
      </w:r>
      <w:r w:rsidRPr="001D12A6">
        <w:rPr>
          <w:b/>
          <w:bCs/>
        </w:rPr>
        <w:t xml:space="preserve">s rules of procedure, the State party is requested to provide, by 23 July 2027, information on the implementation of the recommendations made by the Committee in paragraphs 12 (anti-corruption </w:t>
      </w:r>
      <w:r w:rsidRPr="001D12A6">
        <w:rPr>
          <w:b/>
          <w:bCs/>
        </w:rPr>
        <w:lastRenderedPageBreak/>
        <w:t>measures), 16 (non-discrimination) and 28 (counter-terrorism and security measures and accountability for serious human rights violations)</w:t>
      </w:r>
      <w:r w:rsidRPr="009C445B">
        <w:rPr>
          <w:b/>
          <w:bCs/>
        </w:rPr>
        <w:t xml:space="preserve"> </w:t>
      </w:r>
      <w:r w:rsidRPr="001D12A6">
        <w:rPr>
          <w:b/>
          <w:bCs/>
        </w:rPr>
        <w:t>above.</w:t>
      </w:r>
    </w:p>
    <w:p w14:paraId="1CD91E6C" w14:textId="1EA478FA" w:rsidR="00AE28D2" w:rsidRDefault="00AE28D2" w:rsidP="00AE28D2">
      <w:pPr>
        <w:pStyle w:val="SingleTxtG"/>
        <w:rPr>
          <w:b/>
          <w:bCs/>
        </w:rPr>
      </w:pPr>
      <w:r w:rsidRPr="001D12A6">
        <w:t>63.</w:t>
      </w:r>
      <w:r w:rsidRPr="001D12A6">
        <w:rPr>
          <w:b/>
          <w:bCs/>
        </w:rPr>
        <w:tab/>
        <w:t>In line with the Committee</w:t>
      </w:r>
      <w:r w:rsidR="00407CE6">
        <w:rPr>
          <w:b/>
          <w:bCs/>
        </w:rPr>
        <w:t>’</w:t>
      </w:r>
      <w:r w:rsidRPr="001D12A6">
        <w:rPr>
          <w:b/>
          <w:bCs/>
        </w:rPr>
        <w:t>s predictable review cycle, the State party will receive in 2030 the Committee</w:t>
      </w:r>
      <w:r w:rsidR="00407CE6">
        <w:rPr>
          <w:b/>
          <w:bCs/>
        </w:rPr>
        <w:t>’</w:t>
      </w:r>
      <w:r w:rsidRPr="001D12A6">
        <w:rPr>
          <w:b/>
          <w:bCs/>
        </w:rPr>
        <w:t>s list of issues prior to the submission of the report and will be expected to submit within one year its replies, which will constitute its fifth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2032.</w:t>
      </w:r>
    </w:p>
    <w:p w14:paraId="754B9976" w14:textId="77777777" w:rsidR="00AE28D2" w:rsidRPr="00C151E9" w:rsidRDefault="00AE28D2" w:rsidP="00815C25">
      <w:pPr>
        <w:spacing w:before="240"/>
        <w:jc w:val="center"/>
        <w:rPr>
          <w:u w:val="single"/>
        </w:rPr>
      </w:pPr>
      <w:r w:rsidRPr="00C151E9">
        <w:rPr>
          <w:u w:val="single"/>
        </w:rPr>
        <w:tab/>
      </w:r>
      <w:r w:rsidRPr="00C151E9">
        <w:rPr>
          <w:u w:val="single"/>
        </w:rPr>
        <w:tab/>
      </w:r>
      <w:r w:rsidRPr="00C151E9">
        <w:rPr>
          <w:u w:val="single"/>
        </w:rPr>
        <w:tab/>
      </w:r>
    </w:p>
    <w:sectPr w:rsidR="00AE28D2" w:rsidRPr="00C151E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244B7" w14:textId="77777777" w:rsidR="000B6111" w:rsidRPr="00B903E5" w:rsidRDefault="000B6111" w:rsidP="00B903E5">
      <w:pPr>
        <w:pStyle w:val="Footer"/>
      </w:pPr>
    </w:p>
  </w:endnote>
  <w:endnote w:type="continuationSeparator" w:id="0">
    <w:p w14:paraId="3CE846BD" w14:textId="77777777" w:rsidR="000B6111" w:rsidRPr="00B903E5" w:rsidRDefault="000B611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16938" w14:textId="77777777" w:rsidR="00AE28D2" w:rsidRDefault="00AE28D2" w:rsidP="00AE28D2">
    <w:pPr>
      <w:pStyle w:val="Footer"/>
      <w:tabs>
        <w:tab w:val="right" w:pos="9638"/>
      </w:tabs>
    </w:pPr>
    <w:r w:rsidRPr="00AE28D2">
      <w:rPr>
        <w:b/>
        <w:bCs/>
        <w:sz w:val="18"/>
      </w:rPr>
      <w:fldChar w:fldCharType="begin"/>
    </w:r>
    <w:r w:rsidRPr="00AE28D2">
      <w:rPr>
        <w:b/>
        <w:bCs/>
        <w:sz w:val="18"/>
      </w:rPr>
      <w:instrText xml:space="preserve"> PAGE  \* MERGEFORMAT </w:instrText>
    </w:r>
    <w:r w:rsidRPr="00AE28D2">
      <w:rPr>
        <w:b/>
        <w:bCs/>
        <w:sz w:val="18"/>
      </w:rPr>
      <w:fldChar w:fldCharType="separate"/>
    </w:r>
    <w:r w:rsidRPr="00AE28D2">
      <w:rPr>
        <w:b/>
        <w:bCs/>
        <w:noProof/>
        <w:sz w:val="18"/>
      </w:rPr>
      <w:t>2</w:t>
    </w:r>
    <w:r w:rsidRPr="00AE28D2">
      <w:rPr>
        <w:b/>
        <w:bCs/>
        <w:sz w:val="18"/>
      </w:rPr>
      <w:fldChar w:fldCharType="end"/>
    </w:r>
    <w:r>
      <w:tab/>
      <w:t>GE.24-14141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A302" w14:textId="77777777" w:rsidR="00AE28D2" w:rsidRDefault="00AE28D2" w:rsidP="00AE28D2">
    <w:pPr>
      <w:pStyle w:val="Footer"/>
      <w:tabs>
        <w:tab w:val="right" w:pos="9638"/>
      </w:tabs>
    </w:pPr>
    <w:r>
      <w:t>GE.24-14141</w:t>
    </w:r>
    <w:r>
      <w:tab/>
    </w:r>
    <w:r w:rsidRPr="00AE28D2">
      <w:rPr>
        <w:b/>
        <w:bCs/>
        <w:sz w:val="18"/>
      </w:rPr>
      <w:fldChar w:fldCharType="begin"/>
    </w:r>
    <w:r w:rsidRPr="00AE28D2">
      <w:rPr>
        <w:b/>
        <w:bCs/>
        <w:sz w:val="18"/>
      </w:rPr>
      <w:instrText xml:space="preserve"> PAGE  \* MERGEFORMAT </w:instrText>
    </w:r>
    <w:r w:rsidRPr="00AE28D2">
      <w:rPr>
        <w:b/>
        <w:bCs/>
        <w:sz w:val="18"/>
      </w:rPr>
      <w:fldChar w:fldCharType="separate"/>
    </w:r>
    <w:r w:rsidRPr="00AE28D2">
      <w:rPr>
        <w:b/>
        <w:bCs/>
        <w:noProof/>
        <w:sz w:val="18"/>
      </w:rPr>
      <w:t>3</w:t>
    </w:r>
    <w:r w:rsidRPr="00AE28D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1EB98" w14:textId="77777777" w:rsidR="00AE28D2" w:rsidRDefault="00AE28D2">
    <w:pPr>
      <w:pStyle w:val="Footer"/>
      <w:rPr>
        <w:sz w:val="20"/>
      </w:rPr>
    </w:pPr>
    <w:r w:rsidRPr="0027112F">
      <w:rPr>
        <w:noProof/>
        <w:lang w:val="en-US"/>
      </w:rPr>
      <w:drawing>
        <wp:anchor distT="0" distB="0" distL="114300" distR="114300" simplePos="0" relativeHeight="251659264" behindDoc="0" locked="1" layoutInCell="1" allowOverlap="1" wp14:anchorId="40C01C56" wp14:editId="250BE0D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F7EB87" w14:textId="5A2E0197" w:rsidR="00AE28D2" w:rsidRPr="00AE28D2" w:rsidRDefault="00AE28D2" w:rsidP="00AE28D2">
    <w:pPr>
      <w:pStyle w:val="Footer"/>
      <w:tabs>
        <w:tab w:val="right" w:pos="7370"/>
      </w:tabs>
      <w:rPr>
        <w:sz w:val="20"/>
      </w:rPr>
    </w:pPr>
    <w:r>
      <w:rPr>
        <w:sz w:val="20"/>
      </w:rPr>
      <w:t>GE.24-14141  (E)</w:t>
    </w:r>
    <w:r>
      <w:rPr>
        <w:noProof/>
        <w:sz w:val="20"/>
      </w:rPr>
      <w:drawing>
        <wp:anchor distT="0" distB="0" distL="114300" distR="114300" simplePos="0" relativeHeight="251660288" behindDoc="0" locked="0" layoutInCell="1" allowOverlap="1" wp14:anchorId="53BD6A87" wp14:editId="24AC8F64">
          <wp:simplePos x="0" y="0"/>
          <wp:positionH relativeFrom="margin">
            <wp:posOffset>5583555</wp:posOffset>
          </wp:positionH>
          <wp:positionV relativeFrom="margin">
            <wp:posOffset>8981440</wp:posOffset>
          </wp:positionV>
          <wp:extent cx="571500" cy="571500"/>
          <wp:effectExtent l="0" t="0" r="0" b="0"/>
          <wp:wrapNone/>
          <wp:docPr id="1358316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020924    </w:t>
    </w:r>
    <w:r w:rsidR="00407CE6">
      <w:rPr>
        <w:sz w:val="20"/>
      </w:rPr>
      <w:t>02</w:t>
    </w:r>
    <w:r>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357DE" w14:textId="77777777" w:rsidR="000B6111" w:rsidRPr="00B903E5" w:rsidRDefault="000B6111" w:rsidP="00B903E5">
      <w:pPr>
        <w:tabs>
          <w:tab w:val="right" w:pos="2155"/>
        </w:tabs>
        <w:spacing w:after="80" w:line="240" w:lineRule="auto"/>
        <w:ind w:left="680"/>
      </w:pPr>
      <w:r>
        <w:rPr>
          <w:u w:val="single"/>
        </w:rPr>
        <w:tab/>
      </w:r>
    </w:p>
  </w:footnote>
  <w:footnote w:type="continuationSeparator" w:id="0">
    <w:p w14:paraId="583B86F0" w14:textId="77777777" w:rsidR="000B6111" w:rsidRPr="00B903E5" w:rsidRDefault="000B6111" w:rsidP="00B903E5">
      <w:pPr>
        <w:tabs>
          <w:tab w:val="right" w:pos="2155"/>
        </w:tabs>
        <w:spacing w:after="80" w:line="240" w:lineRule="auto"/>
        <w:ind w:left="680"/>
      </w:pPr>
      <w:r>
        <w:rPr>
          <w:u w:val="single"/>
        </w:rPr>
        <w:tab/>
      </w:r>
    </w:p>
  </w:footnote>
  <w:footnote w:id="1">
    <w:p w14:paraId="1118D675" w14:textId="7AE01840" w:rsidR="00AE28D2" w:rsidRPr="001D12A6" w:rsidRDefault="00AE28D2" w:rsidP="00AE28D2">
      <w:pPr>
        <w:pStyle w:val="FootnoteText"/>
      </w:pPr>
      <w:r w:rsidRPr="00651491">
        <w:rPr>
          <w:rStyle w:val="FootnoteReference"/>
          <w:sz w:val="20"/>
          <w:szCs w:val="22"/>
          <w:vertAlign w:val="baseline"/>
        </w:rPr>
        <w:tab/>
        <w:t>*</w:t>
      </w:r>
      <w:r w:rsidRPr="00651491">
        <w:rPr>
          <w:sz w:val="20"/>
          <w:szCs w:val="22"/>
        </w:rPr>
        <w:t xml:space="preserve"> </w:t>
      </w:r>
      <w:r w:rsidRPr="001D12A6">
        <w:tab/>
      </w:r>
      <w:r w:rsidRPr="001D12A6">
        <w:rPr>
          <w:szCs w:val="18"/>
          <w:lang w:val="en-CA"/>
        </w:rPr>
        <w:t xml:space="preserve">Adopted by the Committee at its </w:t>
      </w:r>
      <w:r w:rsidRPr="002613F9">
        <w:t>141st session</w:t>
      </w:r>
      <w:r w:rsidRPr="001D12A6">
        <w:rPr>
          <w:szCs w:val="18"/>
          <w:lang w:val="en-CA"/>
        </w:rPr>
        <w:t xml:space="preserve"> (1–23 July 2024).</w:t>
      </w:r>
    </w:p>
  </w:footnote>
  <w:footnote w:id="2">
    <w:p w14:paraId="00E7EFF2" w14:textId="11462D55" w:rsidR="00AE28D2" w:rsidRPr="001D12A6" w:rsidRDefault="00AE28D2" w:rsidP="00AE28D2">
      <w:pPr>
        <w:pStyle w:val="FootnoteText"/>
        <w:widowControl w:val="0"/>
        <w:tabs>
          <w:tab w:val="clear" w:pos="1021"/>
          <w:tab w:val="right" w:pos="1020"/>
        </w:tabs>
      </w:pPr>
      <w:r w:rsidRPr="001D12A6">
        <w:tab/>
      </w:r>
      <w:r w:rsidRPr="00AF3F1A">
        <w:rPr>
          <w:rStyle w:val="FootnoteReference"/>
        </w:rPr>
        <w:footnoteRef/>
      </w:r>
      <w:r w:rsidRPr="001D12A6">
        <w:tab/>
      </w:r>
      <w:hyperlink r:id="rId1" w:history="1">
        <w:r w:rsidRPr="0079500E">
          <w:rPr>
            <w:rStyle w:val="Hyperlink"/>
          </w:rPr>
          <w:t>CCPR/C/IND/4</w:t>
        </w:r>
      </w:hyperlink>
      <w:r w:rsidRPr="001D12A6">
        <w:t>.</w:t>
      </w:r>
    </w:p>
  </w:footnote>
  <w:footnote w:id="3">
    <w:p w14:paraId="5CECB52F" w14:textId="40A1BD64" w:rsidR="00AE28D2" w:rsidRPr="001D12A6" w:rsidRDefault="00AE28D2" w:rsidP="00AE28D2">
      <w:pPr>
        <w:pStyle w:val="FootnoteText"/>
        <w:widowControl w:val="0"/>
        <w:tabs>
          <w:tab w:val="clear" w:pos="1021"/>
          <w:tab w:val="right" w:pos="1020"/>
        </w:tabs>
        <w:rPr>
          <w:lang w:val="en-US"/>
        </w:rPr>
      </w:pPr>
      <w:r w:rsidRPr="001D12A6">
        <w:tab/>
      </w:r>
      <w:r w:rsidRPr="00AF3F1A">
        <w:rPr>
          <w:rStyle w:val="FootnoteReference"/>
        </w:rPr>
        <w:footnoteRef/>
      </w:r>
      <w:r w:rsidRPr="001D12A6">
        <w:tab/>
      </w:r>
      <w:r w:rsidRPr="001628A0">
        <w:t xml:space="preserve">See </w:t>
      </w:r>
      <w:hyperlink r:id="rId2" w:history="1">
        <w:r w:rsidRPr="0079500E">
          <w:rPr>
            <w:rStyle w:val="Hyperlink"/>
          </w:rPr>
          <w:t>CCPR/C/SR.4134</w:t>
        </w:r>
      </w:hyperlink>
      <w:r w:rsidRPr="001D12A6">
        <w:t xml:space="preserve"> and </w:t>
      </w:r>
      <w:hyperlink r:id="rId3" w:history="1">
        <w:r w:rsidRPr="0079500E">
          <w:rPr>
            <w:rStyle w:val="Hyperlink"/>
          </w:rPr>
          <w:t>CCPR/C/SR.4135</w:t>
        </w:r>
      </w:hyperlink>
      <w:r w:rsidRPr="001D12A6">
        <w:t>.</w:t>
      </w:r>
    </w:p>
  </w:footnote>
  <w:footnote w:id="4">
    <w:p w14:paraId="7FEFB499" w14:textId="3FBE21A3" w:rsidR="00AE28D2" w:rsidRDefault="00AE28D2" w:rsidP="00AE28D2">
      <w:pPr>
        <w:pStyle w:val="FootnoteText"/>
        <w:ind w:left="0" w:firstLine="0"/>
      </w:pPr>
      <w:r w:rsidRPr="001D12A6">
        <w:tab/>
      </w:r>
      <w:r w:rsidRPr="00AF3F1A">
        <w:rPr>
          <w:rStyle w:val="FootnoteReference"/>
        </w:rPr>
        <w:footnoteRef/>
      </w:r>
      <w:r w:rsidRPr="001D12A6">
        <w:t xml:space="preserve"> </w:t>
      </w:r>
      <w:r w:rsidRPr="001D12A6">
        <w:tab/>
      </w:r>
      <w:hyperlink r:id="rId4" w:history="1">
        <w:r w:rsidRPr="0079500E">
          <w:rPr>
            <w:rStyle w:val="Hyperlink"/>
          </w:rPr>
          <w:t>CCPR/C/IND/QPR/4</w:t>
        </w:r>
      </w:hyperlink>
      <w:r w:rsidRPr="001D12A6">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95ED" w14:textId="77777777" w:rsidR="00AE28D2" w:rsidRDefault="00AE28D2" w:rsidP="00AE28D2">
    <w:pPr>
      <w:pStyle w:val="Header"/>
    </w:pPr>
    <w:r>
      <w:t>CCPR/C/IND/CO/4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52A38" w14:textId="77777777" w:rsidR="00AE28D2" w:rsidRDefault="00AE28D2" w:rsidP="00AE28D2">
    <w:pPr>
      <w:pStyle w:val="Header"/>
      <w:jc w:val="right"/>
    </w:pPr>
    <w:r>
      <w:t>CCPR/C/IND/CO/4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300AEC"/>
    <w:multiLevelType w:val="hybridMultilevel"/>
    <w:tmpl w:val="774E6EAA"/>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2" w15:restartNumberingAfterBreak="0">
    <w:nsid w:val="0D954887"/>
    <w:multiLevelType w:val="hybridMultilevel"/>
    <w:tmpl w:val="2B362816"/>
    <w:lvl w:ilvl="0" w:tplc="A34882AA">
      <w:start w:val="1"/>
      <w:numFmt w:val="decimal"/>
      <w:lvlText w:val="%1."/>
      <w:lvlJc w:val="left"/>
      <w:pPr>
        <w:tabs>
          <w:tab w:val="num" w:pos="1701"/>
        </w:tabs>
        <w:ind w:left="1134" w:firstLine="0"/>
      </w:pPr>
      <w:rPr>
        <w:rFonts w:ascii="Times New Roman" w:hAnsi="Times New Roman" w:hint="default"/>
        <w:b w:val="0"/>
        <w:i w:val="0"/>
        <w:sz w:val="20"/>
      </w:rPr>
    </w:lvl>
    <w:lvl w:ilvl="1" w:tplc="4A2044CE" w:tentative="1">
      <w:start w:val="1"/>
      <w:numFmt w:val="lowerLetter"/>
      <w:lvlText w:val="%2."/>
      <w:lvlJc w:val="left"/>
      <w:pPr>
        <w:tabs>
          <w:tab w:val="num" w:pos="1440"/>
        </w:tabs>
        <w:ind w:left="1440" w:hanging="360"/>
      </w:pPr>
    </w:lvl>
    <w:lvl w:ilvl="2" w:tplc="12F23272" w:tentative="1">
      <w:start w:val="1"/>
      <w:numFmt w:val="lowerRoman"/>
      <w:lvlText w:val="%3."/>
      <w:lvlJc w:val="right"/>
      <w:pPr>
        <w:tabs>
          <w:tab w:val="num" w:pos="2160"/>
        </w:tabs>
        <w:ind w:left="2160" w:hanging="180"/>
      </w:pPr>
    </w:lvl>
    <w:lvl w:ilvl="3" w:tplc="85FCACA0" w:tentative="1">
      <w:start w:val="1"/>
      <w:numFmt w:val="decimal"/>
      <w:lvlText w:val="%4."/>
      <w:lvlJc w:val="left"/>
      <w:pPr>
        <w:tabs>
          <w:tab w:val="num" w:pos="2880"/>
        </w:tabs>
        <w:ind w:left="2880" w:hanging="360"/>
      </w:pPr>
    </w:lvl>
    <w:lvl w:ilvl="4" w:tplc="E6943C1E" w:tentative="1">
      <w:start w:val="1"/>
      <w:numFmt w:val="lowerLetter"/>
      <w:lvlText w:val="%5."/>
      <w:lvlJc w:val="left"/>
      <w:pPr>
        <w:tabs>
          <w:tab w:val="num" w:pos="3600"/>
        </w:tabs>
        <w:ind w:left="3600" w:hanging="360"/>
      </w:pPr>
    </w:lvl>
    <w:lvl w:ilvl="5" w:tplc="CC72C22A" w:tentative="1">
      <w:start w:val="1"/>
      <w:numFmt w:val="lowerRoman"/>
      <w:lvlText w:val="%6."/>
      <w:lvlJc w:val="right"/>
      <w:pPr>
        <w:tabs>
          <w:tab w:val="num" w:pos="4320"/>
        </w:tabs>
        <w:ind w:left="4320" w:hanging="180"/>
      </w:pPr>
    </w:lvl>
    <w:lvl w:ilvl="6" w:tplc="78EEAD72" w:tentative="1">
      <w:start w:val="1"/>
      <w:numFmt w:val="decimal"/>
      <w:lvlText w:val="%7."/>
      <w:lvlJc w:val="left"/>
      <w:pPr>
        <w:tabs>
          <w:tab w:val="num" w:pos="5040"/>
        </w:tabs>
        <w:ind w:left="5040" w:hanging="360"/>
      </w:pPr>
    </w:lvl>
    <w:lvl w:ilvl="7" w:tplc="84726B0E" w:tentative="1">
      <w:start w:val="1"/>
      <w:numFmt w:val="lowerLetter"/>
      <w:lvlText w:val="%8."/>
      <w:lvlJc w:val="left"/>
      <w:pPr>
        <w:tabs>
          <w:tab w:val="num" w:pos="5760"/>
        </w:tabs>
        <w:ind w:left="5760" w:hanging="360"/>
      </w:pPr>
    </w:lvl>
    <w:lvl w:ilvl="8" w:tplc="5F0CB89C"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5960BA"/>
    <w:multiLevelType w:val="hybridMultilevel"/>
    <w:tmpl w:val="FB92D246"/>
    <w:lvl w:ilvl="0" w:tplc="717AE822">
      <w:start w:val="10"/>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2F469E"/>
    <w:multiLevelType w:val="hybridMultilevel"/>
    <w:tmpl w:val="947ABAD8"/>
    <w:lvl w:ilvl="0" w:tplc="FFCC021E">
      <w:start w:val="5"/>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9F1CCA"/>
    <w:multiLevelType w:val="hybridMultilevel"/>
    <w:tmpl w:val="75D2946E"/>
    <w:lvl w:ilvl="0" w:tplc="5450EDA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DB31858"/>
    <w:multiLevelType w:val="hybridMultilevel"/>
    <w:tmpl w:val="0688F1DA"/>
    <w:lvl w:ilvl="0" w:tplc="70306D00">
      <w:start w:val="5"/>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0116CC"/>
    <w:multiLevelType w:val="hybridMultilevel"/>
    <w:tmpl w:val="171E2630"/>
    <w:lvl w:ilvl="0" w:tplc="E6A8581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9342C18"/>
    <w:multiLevelType w:val="hybridMultilevel"/>
    <w:tmpl w:val="774E6EAA"/>
    <w:lvl w:ilvl="0" w:tplc="D11EE0E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79007351">
    <w:abstractNumId w:val="19"/>
  </w:num>
  <w:num w:numId="2" w16cid:durableId="349069830">
    <w:abstractNumId w:val="15"/>
  </w:num>
  <w:num w:numId="3" w16cid:durableId="1787767631">
    <w:abstractNumId w:val="10"/>
  </w:num>
  <w:num w:numId="4" w16cid:durableId="1293900602">
    <w:abstractNumId w:val="23"/>
  </w:num>
  <w:num w:numId="5" w16cid:durableId="1427726436">
    <w:abstractNumId w:val="24"/>
  </w:num>
  <w:num w:numId="6" w16cid:durableId="1782727258">
    <w:abstractNumId w:val="26"/>
  </w:num>
  <w:num w:numId="7" w16cid:durableId="401104833">
    <w:abstractNumId w:val="14"/>
  </w:num>
  <w:num w:numId="8" w16cid:durableId="1930693826">
    <w:abstractNumId w:val="12"/>
  </w:num>
  <w:num w:numId="9" w16cid:durableId="1274289546">
    <w:abstractNumId w:val="8"/>
  </w:num>
  <w:num w:numId="10" w16cid:durableId="1330598883">
    <w:abstractNumId w:val="3"/>
  </w:num>
  <w:num w:numId="11" w16cid:durableId="830609459">
    <w:abstractNumId w:val="2"/>
  </w:num>
  <w:num w:numId="12" w16cid:durableId="273944059">
    <w:abstractNumId w:val="1"/>
  </w:num>
  <w:num w:numId="13" w16cid:durableId="2093813959">
    <w:abstractNumId w:val="0"/>
  </w:num>
  <w:num w:numId="14" w16cid:durableId="657273671">
    <w:abstractNumId w:val="9"/>
  </w:num>
  <w:num w:numId="15" w16cid:durableId="1486512344">
    <w:abstractNumId w:val="7"/>
  </w:num>
  <w:num w:numId="16" w16cid:durableId="979726457">
    <w:abstractNumId w:val="6"/>
  </w:num>
  <w:num w:numId="17" w16cid:durableId="771320509">
    <w:abstractNumId w:val="5"/>
  </w:num>
  <w:num w:numId="18" w16cid:durableId="1500192694">
    <w:abstractNumId w:val="4"/>
  </w:num>
  <w:num w:numId="19" w16cid:durableId="1471901851">
    <w:abstractNumId w:val="20"/>
  </w:num>
  <w:num w:numId="20" w16cid:durableId="1959677241">
    <w:abstractNumId w:val="13"/>
  </w:num>
  <w:num w:numId="21" w16cid:durableId="1714117482">
    <w:abstractNumId w:val="22"/>
  </w:num>
  <w:num w:numId="22" w16cid:durableId="1732193572">
    <w:abstractNumId w:val="18"/>
  </w:num>
  <w:num w:numId="23" w16cid:durableId="1815681255">
    <w:abstractNumId w:val="21"/>
  </w:num>
  <w:num w:numId="24" w16cid:durableId="431166106">
    <w:abstractNumId w:val="17"/>
  </w:num>
  <w:num w:numId="25" w16cid:durableId="1165169662">
    <w:abstractNumId w:val="25"/>
  </w:num>
  <w:num w:numId="26" w16cid:durableId="778139176">
    <w:abstractNumId w:val="11"/>
  </w:num>
  <w:num w:numId="27" w16cid:durableId="11093960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111"/>
    <w:rsid w:val="00014EF5"/>
    <w:rsid w:val="00024CEA"/>
    <w:rsid w:val="00046E92"/>
    <w:rsid w:val="00047485"/>
    <w:rsid w:val="0006523D"/>
    <w:rsid w:val="000820E8"/>
    <w:rsid w:val="000B6111"/>
    <w:rsid w:val="000C21B7"/>
    <w:rsid w:val="00131D7A"/>
    <w:rsid w:val="00165C15"/>
    <w:rsid w:val="00167565"/>
    <w:rsid w:val="00247E2C"/>
    <w:rsid w:val="00253708"/>
    <w:rsid w:val="002613F9"/>
    <w:rsid w:val="002A7F22"/>
    <w:rsid w:val="002D6C53"/>
    <w:rsid w:val="002E34D6"/>
    <w:rsid w:val="002E412C"/>
    <w:rsid w:val="002F5595"/>
    <w:rsid w:val="0032402C"/>
    <w:rsid w:val="00334F6A"/>
    <w:rsid w:val="00342AC8"/>
    <w:rsid w:val="00390B0D"/>
    <w:rsid w:val="003B4550"/>
    <w:rsid w:val="00407CE6"/>
    <w:rsid w:val="00461253"/>
    <w:rsid w:val="00472459"/>
    <w:rsid w:val="00472FED"/>
    <w:rsid w:val="005042C2"/>
    <w:rsid w:val="00520418"/>
    <w:rsid w:val="005429B0"/>
    <w:rsid w:val="00564AA7"/>
    <w:rsid w:val="005B0A42"/>
    <w:rsid w:val="005D65FD"/>
    <w:rsid w:val="00651491"/>
    <w:rsid w:val="00652D25"/>
    <w:rsid w:val="00671529"/>
    <w:rsid w:val="00693F72"/>
    <w:rsid w:val="006B24A8"/>
    <w:rsid w:val="006E503E"/>
    <w:rsid w:val="007268F9"/>
    <w:rsid w:val="007327A0"/>
    <w:rsid w:val="0079500E"/>
    <w:rsid w:val="007C52B0"/>
    <w:rsid w:val="00815C25"/>
    <w:rsid w:val="00817E57"/>
    <w:rsid w:val="00825735"/>
    <w:rsid w:val="008445DC"/>
    <w:rsid w:val="00861015"/>
    <w:rsid w:val="00892361"/>
    <w:rsid w:val="008B7FCE"/>
    <w:rsid w:val="008D3450"/>
    <w:rsid w:val="0093378A"/>
    <w:rsid w:val="009411B4"/>
    <w:rsid w:val="00942BE3"/>
    <w:rsid w:val="009B5E4E"/>
    <w:rsid w:val="009C445B"/>
    <w:rsid w:val="009D0139"/>
    <w:rsid w:val="009F5CDC"/>
    <w:rsid w:val="00A23459"/>
    <w:rsid w:val="00A37E5D"/>
    <w:rsid w:val="00A775CF"/>
    <w:rsid w:val="00AE28D2"/>
    <w:rsid w:val="00AF3F1A"/>
    <w:rsid w:val="00B06045"/>
    <w:rsid w:val="00B238FC"/>
    <w:rsid w:val="00B53AA5"/>
    <w:rsid w:val="00B903E5"/>
    <w:rsid w:val="00BB4CAD"/>
    <w:rsid w:val="00BE083E"/>
    <w:rsid w:val="00BE5482"/>
    <w:rsid w:val="00BF3A8A"/>
    <w:rsid w:val="00C151E9"/>
    <w:rsid w:val="00C211E8"/>
    <w:rsid w:val="00C35A27"/>
    <w:rsid w:val="00CA1AEA"/>
    <w:rsid w:val="00CB6AEA"/>
    <w:rsid w:val="00CF7A50"/>
    <w:rsid w:val="00D06C32"/>
    <w:rsid w:val="00D327D6"/>
    <w:rsid w:val="00DB065A"/>
    <w:rsid w:val="00DB29C5"/>
    <w:rsid w:val="00DE4DE5"/>
    <w:rsid w:val="00E02C2B"/>
    <w:rsid w:val="00E05879"/>
    <w:rsid w:val="00E6606A"/>
    <w:rsid w:val="00EC568A"/>
    <w:rsid w:val="00ED6C48"/>
    <w:rsid w:val="00EF5364"/>
    <w:rsid w:val="00F41F0F"/>
    <w:rsid w:val="00F65F5D"/>
    <w:rsid w:val="00F86A3A"/>
    <w:rsid w:val="00FE2C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D88140"/>
  <w15:docId w15:val="{9F6F9798-E34E-4D62-873B-663A45288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4A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6B24A8"/>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6B24A8"/>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6B24A8"/>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rsid w:val="00AE28D2"/>
    <w:rPr>
      <w:color w:val="0000FF"/>
      <w:u w:val="none"/>
    </w:rPr>
  </w:style>
  <w:style w:type="character" w:styleId="FollowedHyperlink">
    <w:name w:val="FollowedHyperlink"/>
    <w:basedOn w:val="DefaultParagraphFont"/>
    <w:semiHidden/>
    <w:rsid w:val="00AE28D2"/>
    <w:rPr>
      <w:color w:val="0000FF"/>
      <w:u w:val="none"/>
    </w:rPr>
  </w:style>
  <w:style w:type="character" w:customStyle="1" w:styleId="SingleTxtGChar">
    <w:name w:val="_ Single Txt_G Char"/>
    <w:link w:val="SingleTxtG"/>
    <w:locked/>
    <w:rsid w:val="00AE28D2"/>
    <w:rPr>
      <w:rFonts w:ascii="Times New Roman" w:hAnsi="Times New Roman" w:cs="Times New Roman"/>
      <w:sz w:val="20"/>
      <w:szCs w:val="20"/>
    </w:rPr>
  </w:style>
  <w:style w:type="paragraph" w:styleId="Revision">
    <w:name w:val="Revision"/>
    <w:hidden/>
    <w:uiPriority w:val="99"/>
    <w:semiHidden/>
    <w:rsid w:val="00AE28D2"/>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semiHidden/>
    <w:qFormat/>
    <w:rsid w:val="00AE28D2"/>
    <w:pPr>
      <w:suppressAutoHyphens w:val="0"/>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UnresolvedMention">
    <w:name w:val="Unresolved Mention"/>
    <w:basedOn w:val="DefaultParagraphFont"/>
    <w:uiPriority w:val="99"/>
    <w:semiHidden/>
    <w:unhideWhenUsed/>
    <w:rsid w:val="007950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135" TargetMode="External"/><Relationship Id="rId2" Type="http://schemas.openxmlformats.org/officeDocument/2006/relationships/hyperlink" Target="http://undocs.org/en/CCPR/C/SR.4134" TargetMode="External"/><Relationship Id="rId1" Type="http://schemas.openxmlformats.org/officeDocument/2006/relationships/hyperlink" Target="http://undocs.org/en/CCPR/C/IND/4" TargetMode="External"/><Relationship Id="rId4" Type="http://schemas.openxmlformats.org/officeDocument/2006/relationships/hyperlink" Target="http://undocs.org/en/CCPR/C/IND/QP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17</Pages>
  <Words>9478</Words>
  <Characters>54143</Characters>
  <Application>Microsoft Office Word</Application>
  <DocSecurity>0</DocSecurity>
  <Lines>833</Lines>
  <Paragraphs>189</Paragraphs>
  <ScaleCrop>false</ScaleCrop>
  <HeadingPairs>
    <vt:vector size="2" baseType="variant">
      <vt:variant>
        <vt:lpstr>Title</vt:lpstr>
      </vt:variant>
      <vt:variant>
        <vt:i4>1</vt:i4>
      </vt:variant>
    </vt:vector>
  </HeadingPairs>
  <TitlesOfParts>
    <vt:vector size="1" baseType="lpstr">
      <vt:lpstr>CCPR/C/IND/CO/4</vt:lpstr>
    </vt:vector>
  </TitlesOfParts>
  <Company>DCM</Company>
  <LinksUpToDate>false</LinksUpToDate>
  <CharactersWithSpaces>63677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CCPR/C/IND/CO/4</dc:title>
  <dc:subject>2414141</dc:subject>
  <dc:creator>cg</dc:creator>
  <cp:keywords/>
  <dc:description/>
  <cp:lastModifiedBy>Ma. Cristina Brigoli</cp:lastModifiedBy>
  <cp:revision>2</cp:revision>
  <dcterms:created xsi:type="dcterms:W3CDTF">2024-09-02T11:04:00Z</dcterms:created>
  <dcterms:modified xsi:type="dcterms:W3CDTF">2024-09-02T11:04:00Z</dcterms:modified>
</cp:coreProperties>
</file>