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411" w:rsidRDefault="00BC1411" w:rsidP="00BC1411">
      <w:pPr>
        <w:spacing w:line="60" w:lineRule="exact"/>
        <w:rPr>
          <w:sz w:val="6"/>
        </w:rPr>
        <w:sectPr w:rsidR="00BC1411" w:rsidSect="00BC141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C1411" w:rsidRDefault="00BC1411" w:rsidP="00BC1411">
      <w:pPr>
        <w:spacing w:line="60" w:lineRule="exact"/>
        <w:rPr>
          <w:sz w:val="6"/>
        </w:rPr>
      </w:pPr>
    </w:p>
    <w:p w:rsidR="00570DD3" w:rsidRDefault="00570DD3" w:rsidP="003B6D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570DD3" w:rsidRPr="003B6DCD" w:rsidRDefault="00570DD3" w:rsidP="003B6DCD">
      <w:pPr>
        <w:pStyle w:val="SingleTxt"/>
        <w:spacing w:after="60"/>
        <w:ind w:left="0" w:right="0"/>
        <w:rPr>
          <w:rFonts w:ascii="SimHei" w:eastAsia="SimHei" w:hint="eastAsia"/>
          <w:color w:val="FF0000"/>
        </w:rPr>
      </w:pPr>
      <w:r w:rsidRPr="003B6DCD">
        <w:rPr>
          <w:rFonts w:ascii="SimHei" w:eastAsia="SimHei" w:hint="eastAsia"/>
          <w:color w:val="FF0000"/>
        </w:rPr>
        <w:t>会前工作组</w:t>
      </w:r>
    </w:p>
    <w:p w:rsidR="00570DD3" w:rsidRPr="003B6DCD" w:rsidRDefault="00570DD3" w:rsidP="003B6DCD">
      <w:pPr>
        <w:pStyle w:val="SingleTxt"/>
        <w:spacing w:after="60"/>
        <w:ind w:left="0" w:right="0"/>
        <w:rPr>
          <w:rFonts w:ascii="SimHei" w:eastAsia="SimHei" w:hint="eastAsia"/>
          <w:color w:val="FF0000"/>
        </w:rPr>
      </w:pPr>
      <w:r w:rsidRPr="003B6DCD">
        <w:rPr>
          <w:rFonts w:ascii="SimHei" w:eastAsia="SimHei" w:hint="eastAsia"/>
          <w:color w:val="FF0000"/>
        </w:rPr>
        <w:t>第四十二届会议</w:t>
      </w:r>
    </w:p>
    <w:p w:rsidR="00570DD3" w:rsidRDefault="00570DD3" w:rsidP="003B6DCD">
      <w:pPr>
        <w:pStyle w:val="SingleTxt"/>
        <w:ind w:left="0" w:right="0"/>
        <w:rPr>
          <w:rFonts w:hint="eastAsia"/>
        </w:rPr>
      </w:pPr>
      <w:r>
        <w:rPr>
          <w:rFonts w:hint="eastAsia"/>
        </w:rPr>
        <w:t>2008年10月20日至11月7日</w:t>
      </w:r>
    </w:p>
    <w:p w:rsidR="003B6DCD" w:rsidRPr="003B6DCD" w:rsidRDefault="003B6DCD" w:rsidP="003B6DC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B6DCD" w:rsidRPr="003B6DCD" w:rsidRDefault="003B6DCD" w:rsidP="003B6DC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570DD3" w:rsidRPr="00EC0450" w:rsidRDefault="003B6DCD" w:rsidP="003B6DC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r>
      <w:r w:rsidR="00570DD3">
        <w:rPr>
          <w:rFonts w:hint="eastAsia"/>
        </w:rPr>
        <w:t>与审议定期报告有关的议题和问题清单</w:t>
      </w:r>
      <w:r w:rsidR="00570DD3" w:rsidRPr="003B6DCD">
        <w:rPr>
          <w:rFonts w:hAnsi="SimSun" w:hint="eastAsia"/>
          <w:vertAlign w:val="superscript"/>
        </w:rPr>
        <w:t>*</w:t>
      </w:r>
    </w:p>
    <w:p w:rsidR="003B6DCD" w:rsidRPr="003B6DCD" w:rsidRDefault="003B6DCD" w:rsidP="003B6D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B6DCD" w:rsidRPr="003B6DCD" w:rsidRDefault="003B6DCD" w:rsidP="003B6D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570DD3" w:rsidRPr="003B6DCD" w:rsidRDefault="003B6DCD" w:rsidP="003B6D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Pr>
          <w:rFonts w:hint="eastAsia"/>
        </w:rPr>
        <w:tab/>
      </w:r>
      <w:r>
        <w:rPr>
          <w:rFonts w:hint="eastAsia"/>
        </w:rPr>
        <w:tab/>
      </w:r>
      <w:r w:rsidR="00570DD3">
        <w:rPr>
          <w:rFonts w:hint="eastAsia"/>
        </w:rPr>
        <w:t>比利时</w:t>
      </w:r>
      <w:r w:rsidR="00570DD3" w:rsidRPr="003B6DCD">
        <w:rPr>
          <w:rFonts w:hAnsi="SimSun" w:hint="eastAsia"/>
          <w:vertAlign w:val="superscript"/>
        </w:rPr>
        <w:t>**</w:t>
      </w:r>
    </w:p>
    <w:p w:rsidR="003B6DCD" w:rsidRPr="003B6DCD" w:rsidRDefault="003B6DCD" w:rsidP="003B6DCD">
      <w:pPr>
        <w:pStyle w:val="SingleTxt"/>
        <w:spacing w:after="0" w:line="120" w:lineRule="exact"/>
        <w:rPr>
          <w:rFonts w:hint="eastAsia"/>
          <w:sz w:val="10"/>
        </w:rPr>
      </w:pPr>
    </w:p>
    <w:p w:rsidR="00570DD3" w:rsidRDefault="003B6DCD" w:rsidP="00570DD3">
      <w:pPr>
        <w:pStyle w:val="SingleTxt"/>
        <w:rPr>
          <w:rFonts w:hint="eastAsia"/>
        </w:rPr>
      </w:pPr>
      <w:r>
        <w:rPr>
          <w:rFonts w:hint="eastAsia"/>
        </w:rPr>
        <w:tab/>
      </w:r>
      <w:r w:rsidR="00570DD3">
        <w:rPr>
          <w:rFonts w:hint="eastAsia"/>
        </w:rPr>
        <w:t>会前工作组审查了比利时第五次和第六次合并定期报告（CEDAW/C/BEL/6）。</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概述</w:t>
      </w:r>
    </w:p>
    <w:p w:rsidR="00570DD3" w:rsidRPr="00A17542" w:rsidRDefault="00570DD3" w:rsidP="00570DD3">
      <w:pPr>
        <w:pStyle w:val="SingleTxt"/>
        <w:rPr>
          <w:rFonts w:hint="eastAsia"/>
          <w:spacing w:val="-4"/>
        </w:rPr>
      </w:pPr>
      <w:r w:rsidRPr="00A17542">
        <w:rPr>
          <w:rFonts w:hint="eastAsia"/>
          <w:spacing w:val="-4"/>
        </w:rPr>
        <w:t>1</w:t>
      </w:r>
      <w:r w:rsidR="003B6DCD" w:rsidRPr="00A17542">
        <w:rPr>
          <w:rFonts w:hint="eastAsia"/>
          <w:spacing w:val="-4"/>
        </w:rPr>
        <w:t>.</w:t>
      </w:r>
      <w:r w:rsidR="003B6DCD" w:rsidRPr="00A17542">
        <w:rPr>
          <w:spacing w:val="-4"/>
        </w:rPr>
        <w:tab/>
      </w:r>
      <w:r w:rsidRPr="00A17542">
        <w:rPr>
          <w:rFonts w:hint="eastAsia"/>
          <w:spacing w:val="-4"/>
        </w:rPr>
        <w:t>委员会在其先前结论意见</w:t>
      </w:r>
      <w:r w:rsidRPr="00A17542">
        <w:rPr>
          <w:rStyle w:val="FootnoteReference"/>
          <w:spacing w:val="-4"/>
        </w:rPr>
        <w:footnoteReference w:id="1"/>
      </w:r>
      <w:r w:rsidRPr="00A17542">
        <w:rPr>
          <w:spacing w:val="-4"/>
        </w:rPr>
        <w:t xml:space="preserve"> </w:t>
      </w:r>
      <w:r w:rsidRPr="00A17542">
        <w:rPr>
          <w:rFonts w:hint="eastAsia"/>
          <w:spacing w:val="-4"/>
        </w:rPr>
        <w:t>中对报告中按性别分列的统计数据不足表示关注，建议全面汇编和分析按性别分列的统计数据，并将数据列入下一次报告；虽然《公约》的某些条款提供了一些按性别分列的统计数据，但其他条款则仍然不足。请在《公约》的每一个实质性条款下提供各联邦实体足够的按性别分列的统计数据。</w:t>
      </w:r>
    </w:p>
    <w:p w:rsidR="00570DD3" w:rsidRDefault="00570DD3" w:rsidP="00570DD3">
      <w:pPr>
        <w:pStyle w:val="SingleTxt"/>
        <w:rPr>
          <w:rFonts w:hint="eastAsia"/>
        </w:rPr>
      </w:pPr>
      <w:r>
        <w:rPr>
          <w:rFonts w:hint="eastAsia"/>
        </w:rPr>
        <w:t>2</w:t>
      </w:r>
      <w:r w:rsidR="006B403F">
        <w:rPr>
          <w:rFonts w:hint="eastAsia"/>
        </w:rPr>
        <w:t>.</w:t>
      </w:r>
      <w:r w:rsidR="006B403F">
        <w:tab/>
      </w:r>
      <w:r>
        <w:rPr>
          <w:rFonts w:hint="eastAsia"/>
        </w:rPr>
        <w:t>请提供资料说明第五次和第六次合并定期报告的编写过程，包括关于缔约国内各级权力机构参与该过程的细节、联邦和联邦实体一级公共机关的贡献，以及与非政府组织协商的细节。</w:t>
      </w:r>
    </w:p>
    <w:p w:rsidR="00570DD3" w:rsidRDefault="00570DD3" w:rsidP="00570DD3">
      <w:pPr>
        <w:pStyle w:val="SingleTxt"/>
        <w:rPr>
          <w:rFonts w:hint="eastAsia"/>
        </w:rPr>
      </w:pPr>
      <w:r>
        <w:rPr>
          <w:rFonts w:hint="eastAsia"/>
        </w:rPr>
        <w:t>3</w:t>
      </w:r>
      <w:r w:rsidR="006B403F">
        <w:rPr>
          <w:rFonts w:hint="eastAsia"/>
        </w:rPr>
        <w:t>.</w:t>
      </w:r>
      <w:r w:rsidR="006B403F">
        <w:tab/>
      </w:r>
      <w:r>
        <w:rPr>
          <w:rFonts w:hint="eastAsia"/>
        </w:rPr>
        <w:t>关于《公约》第2条的报告未提供材料说明德语区为执行《公约》和委员会先前结论意见中各项建议所采取的措施。请提供这方面的资料。关于弗拉芒语社区和大区，请说明旨在确认两项配额法令的法律草案是否已通过，起草《弗拉芒议会平等待遇法》的工作是否已完成以及很可能在何时颁布。是否已为更有力地防止直接和间接歧视而修订了2004年5月19日的法语区法令？</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立法和体制框架</w:t>
      </w:r>
    </w:p>
    <w:p w:rsidR="00570DD3" w:rsidRDefault="00570DD3" w:rsidP="00570DD3">
      <w:pPr>
        <w:pStyle w:val="SingleTxt"/>
        <w:rPr>
          <w:rFonts w:hint="eastAsia"/>
        </w:rPr>
      </w:pPr>
      <w:r>
        <w:rPr>
          <w:rFonts w:hint="eastAsia"/>
        </w:rPr>
        <w:t>4</w:t>
      </w:r>
      <w:r w:rsidR="006B403F">
        <w:rPr>
          <w:rFonts w:hint="eastAsia"/>
        </w:rPr>
        <w:t>.</w:t>
      </w:r>
      <w:r w:rsidR="006B403F">
        <w:tab/>
      </w:r>
      <w:r>
        <w:rPr>
          <w:rFonts w:hint="eastAsia"/>
        </w:rPr>
        <w:t>关于《公约》在缔约国国内法律秩序中的地位，请说明是否已依据《宪法》第六十八条，通过如下行动将其纳入国家法律：议院核准、国王批准并在《比利时公报》上公布。如没有，则请说明各个法院是否曾经就《公约》任何条款的直接适用性作出过裁决。鉴于在比利时境内公认一项国际规定具有直接效力，是否有过法院直接援引《公约》任何条款的事例？请举例说明任何相关的判例法。</w:t>
      </w:r>
    </w:p>
    <w:p w:rsidR="00570DD3" w:rsidRDefault="00570DD3" w:rsidP="00570DD3">
      <w:pPr>
        <w:pStyle w:val="SingleTxt"/>
        <w:rPr>
          <w:rFonts w:hint="eastAsia"/>
        </w:rPr>
      </w:pPr>
      <w:r>
        <w:rPr>
          <w:rFonts w:hint="eastAsia"/>
        </w:rPr>
        <w:t>5</w:t>
      </w:r>
      <w:r w:rsidR="006B403F">
        <w:rPr>
          <w:rFonts w:hint="eastAsia"/>
        </w:rPr>
        <w:t>.</w:t>
      </w:r>
      <w:r w:rsidR="006B403F">
        <w:tab/>
      </w:r>
      <w:r>
        <w:rPr>
          <w:rFonts w:hint="eastAsia"/>
        </w:rPr>
        <w:t>请说明自男女平等研究所成立以来，包括外国血统在内的妇女已提出多少关于性别歧视的投诉。缔约国为使广大公众尤其是妇女了解这一机制的存在采取了哪些措施？报告第15至18页列举了男女平等研究所自成立以来所制定的一些项目、研究和行动计划。请说明是否对这种项目及研究和行动计划进行了任何评价，并提供评价结果及这些措施的影响和成果的细节。</w:t>
      </w:r>
    </w:p>
    <w:p w:rsidR="00570DD3" w:rsidRDefault="00570DD3" w:rsidP="00570DD3">
      <w:pPr>
        <w:pStyle w:val="SingleTxt"/>
        <w:rPr>
          <w:rFonts w:hint="eastAsia"/>
        </w:rPr>
      </w:pPr>
      <w:r>
        <w:rPr>
          <w:rFonts w:hint="eastAsia"/>
        </w:rPr>
        <w:t>6</w:t>
      </w:r>
      <w:r w:rsidR="006B403F">
        <w:rPr>
          <w:rFonts w:hint="eastAsia"/>
        </w:rPr>
        <w:t>.</w:t>
      </w:r>
      <w:r w:rsidR="006B403F">
        <w:tab/>
      </w:r>
      <w:r>
        <w:rPr>
          <w:rFonts w:hint="eastAsia"/>
        </w:rPr>
        <w:t>请提供关于自2003年2月25日的法令颁布以来提出的与《公约》有关的民事和刑事讼案数目的按性别分类的详细统计数据。并请说明获胜的民事和刑事讼案数字和宣判的刑罚。社会法律监察局在没有正式投诉的情况下提出多少在就业方面歧视妇女的案子，并提供案子结果的细节。向布鲁塞尔地区就业办事处反歧视办公室（报告第14页）提出的关于性别歧视投诉的百分比相当低（5</w:t>
      </w:r>
      <w:r w:rsidR="00DC2031">
        <w:rPr>
          <w:rFonts w:hint="eastAsia"/>
        </w:rPr>
        <w:t>％</w:t>
      </w:r>
      <w:r>
        <w:rPr>
          <w:rFonts w:hint="eastAsia"/>
        </w:rPr>
        <w:t>）。请提供2002年在布鲁塞尔首都大区开展提高意识活动以来每年提出案子的数量的最新数据。</w:t>
      </w:r>
    </w:p>
    <w:p w:rsidR="00570DD3" w:rsidRDefault="00570DD3" w:rsidP="00570DD3">
      <w:pPr>
        <w:pStyle w:val="SingleTxt"/>
        <w:rPr>
          <w:rFonts w:hint="eastAsia"/>
        </w:rPr>
      </w:pPr>
      <w:r>
        <w:rPr>
          <w:rFonts w:hint="eastAsia"/>
        </w:rPr>
        <w:t>7</w:t>
      </w:r>
      <w:r w:rsidR="006B403F">
        <w:rPr>
          <w:rFonts w:hint="eastAsia"/>
        </w:rPr>
        <w:t>.</w:t>
      </w:r>
      <w:r w:rsidR="006B403F">
        <w:tab/>
      </w:r>
      <w:r>
        <w:rPr>
          <w:rFonts w:hint="eastAsia"/>
        </w:rPr>
        <w:t>请说明比利时是否考虑根据巴黎原则（大会第48/134号决议）成立一个独立的国家人权机构。</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定型观念和教育</w:t>
      </w:r>
    </w:p>
    <w:p w:rsidR="00570DD3" w:rsidRDefault="00570DD3" w:rsidP="00570DD3">
      <w:pPr>
        <w:pStyle w:val="SingleTxt"/>
        <w:rPr>
          <w:rFonts w:hint="eastAsia"/>
        </w:rPr>
      </w:pPr>
      <w:r>
        <w:rPr>
          <w:rFonts w:hint="eastAsia"/>
        </w:rPr>
        <w:t>8</w:t>
      </w:r>
      <w:r w:rsidR="006B403F">
        <w:rPr>
          <w:rFonts w:hint="eastAsia"/>
        </w:rPr>
        <w:t>.</w:t>
      </w:r>
      <w:r w:rsidR="006B403F">
        <w:tab/>
      </w:r>
      <w:r>
        <w:rPr>
          <w:rFonts w:hint="eastAsia"/>
        </w:rPr>
        <w:t>报告指出，缔约国采取了各种行动，包括议会于2006年通过一项关于广告中男女形象的决议，旨在消除某些关于男女在家庭和广大社会中的角色和责任感的社会文化行为、偏见和传统定型观念（第48至54页）。请说明是否为确定这些方案的主要成就和困难而进行了影响评估，是否采取了任何补救行动。</w:t>
      </w:r>
    </w:p>
    <w:p w:rsidR="00570DD3" w:rsidRDefault="00570DD3" w:rsidP="00570DD3">
      <w:pPr>
        <w:pStyle w:val="SingleTxt"/>
        <w:rPr>
          <w:rFonts w:hint="eastAsia"/>
        </w:rPr>
      </w:pPr>
      <w:r>
        <w:rPr>
          <w:rFonts w:hint="eastAsia"/>
        </w:rPr>
        <w:t>9</w:t>
      </w:r>
      <w:r w:rsidR="006B403F">
        <w:rPr>
          <w:rFonts w:hint="eastAsia"/>
        </w:rPr>
        <w:t>.</w:t>
      </w:r>
      <w:r w:rsidR="006B403F">
        <w:tab/>
      </w:r>
      <w:r>
        <w:rPr>
          <w:rFonts w:hint="eastAsia"/>
        </w:rPr>
        <w:t>请提供资料说明为将性别平等和其他人权准则纳入缔约国不同大区和语区中小学课程所采取的步骤。</w:t>
      </w:r>
    </w:p>
    <w:p w:rsidR="00570DD3" w:rsidRDefault="00570DD3" w:rsidP="00570DD3">
      <w:pPr>
        <w:pStyle w:val="SingleTxt"/>
        <w:rPr>
          <w:rFonts w:hint="eastAsia"/>
        </w:rPr>
      </w:pPr>
      <w:r>
        <w:rPr>
          <w:rFonts w:hint="eastAsia"/>
        </w:rPr>
        <w:t>10</w:t>
      </w:r>
      <w:r w:rsidR="006B403F">
        <w:rPr>
          <w:rFonts w:hint="eastAsia"/>
        </w:rPr>
        <w:t>.</w:t>
      </w:r>
      <w:r w:rsidR="006B403F">
        <w:tab/>
      </w:r>
      <w:r>
        <w:rPr>
          <w:rFonts w:hint="eastAsia"/>
        </w:rPr>
        <w:t>请按照委员会先前结论意见中的要求，</w:t>
      </w:r>
      <w:r w:rsidRPr="00570DD3">
        <w:rPr>
          <w:rStyle w:val="FootnoteReference"/>
        </w:rPr>
        <w:footnoteReference w:id="2"/>
      </w:r>
      <w:r>
        <w:t xml:space="preserve"> </w:t>
      </w:r>
      <w:r>
        <w:rPr>
          <w:rFonts w:hint="eastAsia"/>
        </w:rPr>
        <w:t>提供资料说明外国原籍、少数族裔尤其是罗姆人女孩和妇女以及移民妇女的状况，包括寻求庇护人和难民的状况。请提供详细资料，说明向这些人提供的一般人权教育、尤其是两性平等教育情况，并提供在就外国妇女和女孩面对的特殊困难进行研究之后是否为其采取任何特定措施的资料（国家报告第5页）。</w:t>
      </w:r>
    </w:p>
    <w:p w:rsidR="00570DD3" w:rsidRPr="006B403F" w:rsidRDefault="00570DD3" w:rsidP="00570DD3">
      <w:pPr>
        <w:pStyle w:val="SingleTxt"/>
        <w:rPr>
          <w:rFonts w:ascii="SimHei" w:eastAsia="SimHei" w:hint="eastAsia"/>
          <w:color w:val="FF0000"/>
        </w:rPr>
      </w:pPr>
      <w:bookmarkStart w:id="1" w:name="TmpSave"/>
      <w:bookmarkEnd w:id="1"/>
      <w:r w:rsidRPr="006B403F">
        <w:rPr>
          <w:rFonts w:ascii="SimHei" w:eastAsia="SimHei" w:hint="eastAsia"/>
          <w:color w:val="FF0000"/>
        </w:rPr>
        <w:t>暴力侵害妇女行为</w:t>
      </w:r>
    </w:p>
    <w:p w:rsidR="00570DD3" w:rsidRDefault="00570DD3" w:rsidP="00A17542">
      <w:pPr>
        <w:pStyle w:val="SingleTxt"/>
        <w:rPr>
          <w:rFonts w:hint="eastAsia"/>
        </w:rPr>
      </w:pPr>
      <w:r>
        <w:rPr>
          <w:rFonts w:hint="eastAsia"/>
        </w:rPr>
        <w:t>11</w:t>
      </w:r>
      <w:r w:rsidR="006B403F">
        <w:rPr>
          <w:rFonts w:hint="eastAsia"/>
        </w:rPr>
        <w:t>.</w:t>
      </w:r>
      <w:r w:rsidR="006B403F">
        <w:tab/>
      </w:r>
      <w:r>
        <w:rPr>
          <w:rFonts w:hint="eastAsia"/>
        </w:rPr>
        <w:t>委员会的先前结论意见以及暴力侵害妇女行为问题特别报告员</w:t>
      </w:r>
      <w:r w:rsidRPr="00570DD3">
        <w:rPr>
          <w:rStyle w:val="FootnoteReference"/>
        </w:rPr>
        <w:footnoteReference w:id="3"/>
      </w:r>
      <w:r>
        <w:t xml:space="preserve"> </w:t>
      </w:r>
      <w:r>
        <w:rPr>
          <w:rFonts w:hint="eastAsia"/>
        </w:rPr>
        <w:t>均对缔约国将性犯罪定为危害家庭秩序和公</w:t>
      </w:r>
      <w:r w:rsidR="008C0FA3">
        <w:rPr>
          <w:rFonts w:hint="eastAsia"/>
        </w:rPr>
        <w:t>共</w:t>
      </w:r>
      <w:r>
        <w:rPr>
          <w:rFonts w:hint="eastAsia"/>
        </w:rPr>
        <w:t>道德罪行的法律表示关切。请解释保持这种概念和术语以及议会拒绝更改的根本原因。请提供统计数据和资料，说明性暴力和家庭暴力、包括婚内强奸的情况，尤其是投诉、调查、起诉、定罪和对实施者的惩罚的数字，是否对受害者或其家属提供任何补偿。</w:t>
      </w:r>
    </w:p>
    <w:p w:rsidR="00570DD3" w:rsidRDefault="00570DD3" w:rsidP="00A17542">
      <w:pPr>
        <w:pStyle w:val="SingleTxt"/>
        <w:rPr>
          <w:rFonts w:hint="eastAsia"/>
        </w:rPr>
      </w:pPr>
      <w:r>
        <w:rPr>
          <w:rFonts w:hint="eastAsia"/>
        </w:rPr>
        <w:t>12</w:t>
      </w:r>
      <w:r w:rsidR="006B403F">
        <w:rPr>
          <w:rFonts w:hint="eastAsia"/>
        </w:rPr>
        <w:t>.</w:t>
      </w:r>
      <w:r w:rsidR="006B403F">
        <w:tab/>
      </w:r>
      <w:r>
        <w:rPr>
          <w:rFonts w:hint="eastAsia"/>
        </w:rPr>
        <w:t>报告（第21段）指出，为2004-2007年期间制定了一项适用于各语区和大区的防止婚姻暴力的新《行动计划》。请提供详细资料，说明该计划的执行情况，包括政府预算内为消除暴力危害妇女行为的活动所拨资源，其中含在适当各级执行《行动计划》所用资源。</w:t>
      </w:r>
    </w:p>
    <w:p w:rsidR="00570DD3" w:rsidRDefault="00570DD3" w:rsidP="00A17542">
      <w:pPr>
        <w:pStyle w:val="SingleTxt"/>
        <w:rPr>
          <w:rFonts w:hint="eastAsia"/>
        </w:rPr>
      </w:pPr>
      <w:r>
        <w:rPr>
          <w:rFonts w:hint="eastAsia"/>
        </w:rPr>
        <w:t>13</w:t>
      </w:r>
      <w:r w:rsidR="006B403F">
        <w:rPr>
          <w:rFonts w:hint="eastAsia"/>
        </w:rPr>
        <w:t>.</w:t>
      </w:r>
      <w:r w:rsidR="006B403F">
        <w:tab/>
      </w:r>
      <w:r>
        <w:rPr>
          <w:rFonts w:hint="eastAsia"/>
        </w:rPr>
        <w:t>缔约国如何处理移徙妇女和残疾妇女易受暴力侵害的问题和对移徙妇女和残疾妇女的其他形式虐待的问题？是否对成为基于性别的暴力受害者的移徙妇女和女孩提供在语言和文化方面易于获得的服务？有哪些用于防止对残疾妇女一切形式暴力的特别措施？</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贩运妇女，从妇女卖淫中营利问题</w:t>
      </w:r>
    </w:p>
    <w:p w:rsidR="00570DD3" w:rsidRDefault="00570DD3" w:rsidP="00A17542">
      <w:pPr>
        <w:pStyle w:val="SingleTxt"/>
        <w:rPr>
          <w:rFonts w:hint="eastAsia"/>
        </w:rPr>
      </w:pPr>
      <w:r>
        <w:rPr>
          <w:rFonts w:hint="eastAsia"/>
        </w:rPr>
        <w:t>14</w:t>
      </w:r>
      <w:r w:rsidR="006B403F">
        <w:rPr>
          <w:rFonts w:hint="eastAsia"/>
        </w:rPr>
        <w:t>.</w:t>
      </w:r>
      <w:r w:rsidR="006B403F">
        <w:tab/>
      </w:r>
      <w:r>
        <w:rPr>
          <w:rFonts w:hint="eastAsia"/>
        </w:rPr>
        <w:t>报告提到了防止、打击和惩处贩运妇女和女孩活动的广泛措施，但除护理中心提供的数据外未提供任何其他数据。请提供数据和资料，说明受害者人数以及投诉、调查、起诉、定罪和对实施者的惩罚情况。</w:t>
      </w:r>
    </w:p>
    <w:p w:rsidR="00570DD3" w:rsidRDefault="00570DD3" w:rsidP="00DC2031">
      <w:pPr>
        <w:pStyle w:val="SingleTxt"/>
        <w:spacing w:after="240" w:line="340" w:lineRule="exact"/>
        <w:rPr>
          <w:rFonts w:hint="eastAsia"/>
        </w:rPr>
      </w:pPr>
      <w:r>
        <w:rPr>
          <w:rFonts w:hint="eastAsia"/>
        </w:rPr>
        <w:t>15</w:t>
      </w:r>
      <w:r w:rsidR="006B403F">
        <w:rPr>
          <w:rFonts w:hint="eastAsia"/>
        </w:rPr>
        <w:t>.</w:t>
      </w:r>
      <w:r w:rsidR="006B403F">
        <w:tab/>
      </w:r>
      <w:r>
        <w:rPr>
          <w:rFonts w:hint="eastAsia"/>
        </w:rPr>
        <w:t>请提供资料，说明防止和打击在因特网上使儿童从事色情活动的措施（尤其考虑到女孩特别易受伤害的情况），并说明在缔约国境内外起诉比利时公民在境外犯有尤其涉及儿童的性犯罪的案子。</w:t>
      </w:r>
      <w:r w:rsidRPr="00570DD3">
        <w:rPr>
          <w:rStyle w:val="FootnoteReference"/>
        </w:rPr>
        <w:footnoteReference w:id="4"/>
      </w:r>
    </w:p>
    <w:p w:rsidR="00570DD3" w:rsidRDefault="00570DD3" w:rsidP="00A17542">
      <w:pPr>
        <w:pStyle w:val="SingleTxt"/>
        <w:rPr>
          <w:rFonts w:hint="eastAsia"/>
        </w:rPr>
      </w:pPr>
      <w:r>
        <w:rPr>
          <w:rFonts w:hint="eastAsia"/>
        </w:rPr>
        <w:t>16</w:t>
      </w:r>
      <w:r w:rsidR="006B403F">
        <w:rPr>
          <w:rFonts w:hint="eastAsia"/>
        </w:rPr>
        <w:t>.</w:t>
      </w:r>
      <w:r w:rsidR="006B403F">
        <w:tab/>
      </w:r>
      <w:r>
        <w:rPr>
          <w:rFonts w:hint="eastAsia"/>
        </w:rPr>
        <w:t>请说明有哪些为被贩运加入色情行业的妇女和女孩，包括愿意离开色情行业者制定的复原和重返社会生活的方案。请提供详细资料，说明为旨在通过工作培训、法律援助和保密的保健而为这些女性提供医治并使其重返社会生活的方案所拨资源的情况。关于取消对与妓女同居的罪行指控的问题（第58页），请说明法官认为有从卖淫中营利行为的司法判例案。</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参与政治和共同生活及决策</w:t>
      </w:r>
    </w:p>
    <w:p w:rsidR="00570DD3" w:rsidRDefault="00570DD3" w:rsidP="00570DD3">
      <w:pPr>
        <w:pStyle w:val="SingleTxt"/>
        <w:rPr>
          <w:rFonts w:hint="eastAsia"/>
        </w:rPr>
      </w:pPr>
      <w:r>
        <w:rPr>
          <w:rFonts w:hint="eastAsia"/>
        </w:rPr>
        <w:t>17</w:t>
      </w:r>
      <w:r w:rsidR="006B403F">
        <w:rPr>
          <w:rFonts w:hint="eastAsia"/>
        </w:rPr>
        <w:t>.</w:t>
      </w:r>
      <w:r w:rsidR="006B403F">
        <w:tab/>
      </w:r>
      <w:r>
        <w:rPr>
          <w:rFonts w:hint="eastAsia"/>
        </w:rPr>
        <w:t>报告（第13页）提到弗拉芒机会平等大臣2005年的一项主动行动，即将现有的两项关于咨询和管理机构的配额法令合二为一。请说明该倡议的结果并提供关于妇女参加弗拉芒政府咨询和管理机构的统计数据。请提供关于其他联邦实体的配额或其他临时特别措施的资料。</w:t>
      </w:r>
    </w:p>
    <w:p w:rsidR="00570DD3" w:rsidRPr="00A17542" w:rsidRDefault="00570DD3" w:rsidP="00570DD3">
      <w:pPr>
        <w:pStyle w:val="SingleTxt"/>
        <w:rPr>
          <w:rFonts w:hint="eastAsia"/>
          <w:spacing w:val="-4"/>
        </w:rPr>
      </w:pPr>
      <w:r w:rsidRPr="00A17542">
        <w:rPr>
          <w:rFonts w:hint="eastAsia"/>
          <w:spacing w:val="-4"/>
        </w:rPr>
        <w:t>18</w:t>
      </w:r>
      <w:r w:rsidR="006B403F" w:rsidRPr="00A17542">
        <w:rPr>
          <w:rFonts w:hint="eastAsia"/>
          <w:spacing w:val="-4"/>
        </w:rPr>
        <w:t>.</w:t>
      </w:r>
      <w:r w:rsidR="006B403F" w:rsidRPr="00A17542">
        <w:rPr>
          <w:spacing w:val="-4"/>
        </w:rPr>
        <w:tab/>
      </w:r>
      <w:r w:rsidRPr="00A17542">
        <w:rPr>
          <w:rFonts w:hint="eastAsia"/>
          <w:spacing w:val="-4"/>
        </w:rPr>
        <w:t>已提供的关于妇女在联邦外交部门的人数（第68和69页）以及关于其参加外交职业考试（第70和71页）的数据显示，妇女参加人数仍然偏低。请说明是否根据委员会在先前结论意见</w:t>
      </w:r>
      <w:r w:rsidRPr="00A17542">
        <w:rPr>
          <w:rStyle w:val="FootnoteReference"/>
          <w:spacing w:val="-4"/>
        </w:rPr>
        <w:footnoteReference w:id="5"/>
      </w:r>
      <w:r w:rsidRPr="00A17542">
        <w:rPr>
          <w:spacing w:val="-4"/>
        </w:rPr>
        <w:t xml:space="preserve"> </w:t>
      </w:r>
      <w:r w:rsidRPr="00A17542">
        <w:rPr>
          <w:rFonts w:hint="eastAsia"/>
          <w:spacing w:val="-4"/>
        </w:rPr>
        <w:t>中的建议，为增加外交部门妇女人数采取了任何措施。</w:t>
      </w:r>
    </w:p>
    <w:p w:rsidR="00570DD3" w:rsidRDefault="00570DD3" w:rsidP="00570DD3">
      <w:pPr>
        <w:pStyle w:val="SingleTxt"/>
        <w:rPr>
          <w:rFonts w:hint="eastAsia"/>
        </w:rPr>
      </w:pPr>
      <w:r>
        <w:rPr>
          <w:rFonts w:hint="eastAsia"/>
        </w:rPr>
        <w:t>19</w:t>
      </w:r>
      <w:r w:rsidR="006B403F">
        <w:rPr>
          <w:rFonts w:hint="eastAsia"/>
        </w:rPr>
        <w:t>.</w:t>
      </w:r>
      <w:r w:rsidR="006B403F">
        <w:tab/>
      </w:r>
      <w:r>
        <w:rPr>
          <w:rFonts w:hint="eastAsia"/>
        </w:rPr>
        <w:t>请说明是否按照公约第四条第1款以及委员会一般性建议23和25，在这方面或任何有关妇女参加共同生活的其他领域采取了任何其他临时特别措施。</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就业和贫穷</w:t>
      </w:r>
    </w:p>
    <w:p w:rsidR="00570DD3" w:rsidRDefault="00570DD3" w:rsidP="00570DD3">
      <w:pPr>
        <w:pStyle w:val="SingleTxt"/>
        <w:rPr>
          <w:rFonts w:hint="eastAsia"/>
        </w:rPr>
      </w:pPr>
      <w:r>
        <w:rPr>
          <w:rFonts w:hint="eastAsia"/>
        </w:rPr>
        <w:t>20</w:t>
      </w:r>
      <w:r w:rsidR="006B403F">
        <w:rPr>
          <w:rFonts w:hint="eastAsia"/>
        </w:rPr>
        <w:t>.</w:t>
      </w:r>
      <w:r w:rsidR="006B403F">
        <w:tab/>
      </w:r>
      <w:r>
        <w:rPr>
          <w:rFonts w:hint="eastAsia"/>
        </w:rPr>
        <w:t>报告（第41页）指出，瓦隆的妇女贫穷率为18</w:t>
      </w:r>
      <w:r w:rsidR="00DC2031">
        <w:rPr>
          <w:rFonts w:hint="eastAsia"/>
        </w:rPr>
        <w:t>％</w:t>
      </w:r>
      <w:r>
        <w:rPr>
          <w:rFonts w:hint="eastAsia"/>
        </w:rPr>
        <w:t>，相比之下男子为12</w:t>
      </w:r>
      <w:r w:rsidR="00DC2031">
        <w:rPr>
          <w:rFonts w:hint="eastAsia"/>
        </w:rPr>
        <w:t>％</w:t>
      </w:r>
      <w:r>
        <w:rPr>
          <w:rFonts w:hint="eastAsia"/>
        </w:rPr>
        <w:t>。妇女的贫穷与缺乏经济机会直接有关。在这方面，请提供详细资料，说明为改善贫穷妇女状况所采取的特别措施。为在实现以人为本的可持续发展整体框架内消灭贫穷和减少基于性别的不平等现象而制定了哪些除贫方案，包括就业计划。</w:t>
      </w:r>
    </w:p>
    <w:p w:rsidR="00570DD3" w:rsidRDefault="00570DD3" w:rsidP="00570DD3">
      <w:pPr>
        <w:pStyle w:val="SingleTxt"/>
        <w:rPr>
          <w:rFonts w:hint="eastAsia"/>
        </w:rPr>
      </w:pPr>
      <w:r>
        <w:rPr>
          <w:rFonts w:hint="eastAsia"/>
        </w:rPr>
        <w:t>21</w:t>
      </w:r>
      <w:r w:rsidR="006B403F">
        <w:rPr>
          <w:rFonts w:hint="eastAsia"/>
        </w:rPr>
        <w:t>.</w:t>
      </w:r>
      <w:r w:rsidR="006B403F">
        <w:tab/>
      </w:r>
      <w:r>
        <w:rPr>
          <w:rFonts w:hint="eastAsia"/>
        </w:rPr>
        <w:t>报告指出（第91页），男女之间薪金毛额的差距甚大，高达30</w:t>
      </w:r>
      <w:r w:rsidR="00DC2031">
        <w:rPr>
          <w:rFonts w:hint="eastAsia"/>
        </w:rPr>
        <w:t>％</w:t>
      </w:r>
      <w:r>
        <w:rPr>
          <w:rFonts w:hint="eastAsia"/>
        </w:rPr>
        <w:t>。请说明为缩小私营和公共部门男女之间薪金差距采取了哪些措施，并解释公务员制度中为何仍然存在这种差距。</w:t>
      </w:r>
    </w:p>
    <w:p w:rsidR="00570DD3" w:rsidRDefault="00570DD3" w:rsidP="00570DD3">
      <w:pPr>
        <w:pStyle w:val="SingleTxt"/>
        <w:rPr>
          <w:rFonts w:hint="eastAsia"/>
        </w:rPr>
      </w:pPr>
      <w:r>
        <w:rPr>
          <w:rFonts w:hint="eastAsia"/>
        </w:rPr>
        <w:t>22</w:t>
      </w:r>
      <w:r w:rsidR="006B403F">
        <w:rPr>
          <w:rFonts w:hint="eastAsia"/>
        </w:rPr>
        <w:t>.</w:t>
      </w:r>
      <w:r w:rsidR="006B403F">
        <w:tab/>
      </w:r>
      <w:r>
        <w:rPr>
          <w:rFonts w:hint="eastAsia"/>
        </w:rPr>
        <w:t>报告指出，受长期失业影响的妇女人数超过男子（第91页），妇女从事非全日工作的百分比高于男子。请说明为消除这一持续存在的现象以及确保妇女获得全日和长期工作采取了哪些措施。</w:t>
      </w:r>
    </w:p>
    <w:p w:rsidR="00570DD3" w:rsidRDefault="00570DD3" w:rsidP="00570DD3">
      <w:pPr>
        <w:pStyle w:val="SingleTxt"/>
        <w:rPr>
          <w:rFonts w:hint="eastAsia"/>
        </w:rPr>
      </w:pPr>
      <w:r>
        <w:rPr>
          <w:rFonts w:hint="eastAsia"/>
        </w:rPr>
        <w:t>23</w:t>
      </w:r>
      <w:r w:rsidR="006B403F">
        <w:rPr>
          <w:rFonts w:hint="eastAsia"/>
        </w:rPr>
        <w:t>.</w:t>
      </w:r>
      <w:r w:rsidR="006B403F">
        <w:tab/>
      </w:r>
      <w:r>
        <w:rPr>
          <w:rFonts w:hint="eastAsia"/>
        </w:rPr>
        <w:t>报告重点提到了弗拉芒语区移民妇女在工资差距方面的不确定情况（第97页）：“妇女的平均工资比男子低12</w:t>
      </w:r>
      <w:r w:rsidR="00DC2031">
        <w:rPr>
          <w:rFonts w:hint="eastAsia"/>
        </w:rPr>
        <w:t>％</w:t>
      </w:r>
      <w:r>
        <w:rPr>
          <w:rFonts w:hint="eastAsia"/>
        </w:rPr>
        <w:t>。此外，移民妇女挣的钱比‘西方’妇女还要少10</w:t>
      </w:r>
      <w:r w:rsidR="00DC2031">
        <w:rPr>
          <w:rFonts w:hint="eastAsia"/>
        </w:rPr>
        <w:t>％</w:t>
      </w:r>
      <w:r>
        <w:rPr>
          <w:rFonts w:hint="eastAsia"/>
        </w:rPr>
        <w:t>”。为缩小男女工资之间差别以及移民妇女与“西方妇女”工资之间差别而正在做哪些工作？是否特别注意到在就业方面受到多重歧视的移民妇女？请提供详细资料，说明生活在法语区和瓦隆大区的移民妇女在就业方面受到歧视的情况。</w:t>
      </w:r>
    </w:p>
    <w:p w:rsidR="00570DD3" w:rsidRDefault="00570DD3" w:rsidP="00570DD3">
      <w:pPr>
        <w:pStyle w:val="SingleTxt"/>
        <w:rPr>
          <w:rFonts w:hint="eastAsia"/>
        </w:rPr>
      </w:pPr>
      <w:r>
        <w:rPr>
          <w:rFonts w:hint="eastAsia"/>
        </w:rPr>
        <w:t>24</w:t>
      </w:r>
      <w:r w:rsidR="006B403F">
        <w:rPr>
          <w:rFonts w:hint="eastAsia"/>
        </w:rPr>
        <w:t>.</w:t>
      </w:r>
      <w:r w:rsidR="006B403F">
        <w:tab/>
      </w:r>
      <w:r>
        <w:rPr>
          <w:rFonts w:hint="eastAsia"/>
        </w:rPr>
        <w:t>请提供详细资料，说明2002年6月11日关于防止工作场所的暴力和心理骚扰或性骚扰的法律的实施情况。提供数据说明公共和私营部门妇女提出投诉的数量以及这些投诉的结果。并请提供详细资料，说明2004年对该法律进行的评价的结果以及拟议进行修订的情况。</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保健</w:t>
      </w:r>
    </w:p>
    <w:p w:rsidR="00570DD3" w:rsidRDefault="00570DD3" w:rsidP="00570DD3">
      <w:pPr>
        <w:pStyle w:val="SingleTxt"/>
        <w:rPr>
          <w:rFonts w:hint="eastAsia"/>
        </w:rPr>
      </w:pPr>
      <w:r>
        <w:rPr>
          <w:rFonts w:hint="eastAsia"/>
        </w:rPr>
        <w:t>25</w:t>
      </w:r>
      <w:r w:rsidR="006B403F">
        <w:rPr>
          <w:rFonts w:hint="eastAsia"/>
        </w:rPr>
        <w:t>.</w:t>
      </w:r>
      <w:r w:rsidR="006B403F">
        <w:tab/>
      </w:r>
      <w:r>
        <w:rPr>
          <w:rFonts w:hint="eastAsia"/>
        </w:rPr>
        <w:t>报告提供了按年龄分列的人工流产次数的资料，显示19岁以下孕妇的人工流产率偏高（第108页）。请提供资料，说明为执行委员会关于避免早孕的先前结论意见采取了哪些措施，是否提供了避孕措施。</w:t>
      </w:r>
      <w:r w:rsidRPr="00570DD3">
        <w:rPr>
          <w:rStyle w:val="FootnoteReference"/>
        </w:rPr>
        <w:footnoteReference w:id="6"/>
      </w:r>
      <w:r>
        <w:t xml:space="preserve"> </w:t>
      </w:r>
      <w:r>
        <w:rPr>
          <w:rFonts w:hint="eastAsia"/>
        </w:rPr>
        <w:t>请提供资料，说明为尤其针对女孩和年轻妇女而开展性教育和提高意识以避免意外怀孕的活动。请说明是否注意到青少年的特殊需求以及采取了哪些方案，如关于性健康和生殖健康问题以及关于包括艾滋病毒/艾滋病在内的性传播疾病的教育和资料。</w:t>
      </w:r>
    </w:p>
    <w:p w:rsidR="00570DD3" w:rsidRDefault="00570DD3" w:rsidP="00570DD3">
      <w:pPr>
        <w:pStyle w:val="SingleTxt"/>
        <w:rPr>
          <w:rFonts w:hint="eastAsia"/>
        </w:rPr>
      </w:pPr>
      <w:r>
        <w:rPr>
          <w:rFonts w:hint="eastAsia"/>
        </w:rPr>
        <w:t>26</w:t>
      </w:r>
      <w:r w:rsidR="006B403F">
        <w:rPr>
          <w:rFonts w:hint="eastAsia"/>
        </w:rPr>
        <w:t>.</w:t>
      </w:r>
      <w:r w:rsidR="006B403F">
        <w:tab/>
      </w:r>
      <w:r>
        <w:rPr>
          <w:rFonts w:hint="eastAsia"/>
        </w:rPr>
        <w:t>报告提到切割女孩生殖器的问题（第6、24、25、40和83页）。请提供关于出现这一现象的统计数据，并说明为在移民社区避免和打击这一现象采取了哪些措施以及这些措施的结果。</w:t>
      </w:r>
    </w:p>
    <w:p w:rsidR="00570DD3" w:rsidRPr="006B403F" w:rsidRDefault="00570DD3" w:rsidP="00570DD3">
      <w:pPr>
        <w:pStyle w:val="SingleTxt"/>
        <w:rPr>
          <w:rFonts w:ascii="SimHei" w:eastAsia="SimHei" w:hint="eastAsia"/>
          <w:color w:val="FF0000"/>
        </w:rPr>
      </w:pPr>
      <w:r w:rsidRPr="006B403F">
        <w:rPr>
          <w:rFonts w:ascii="SimHei" w:eastAsia="SimHei" w:hint="eastAsia"/>
          <w:color w:val="FF0000"/>
        </w:rPr>
        <w:t>婚姻和家庭</w:t>
      </w:r>
    </w:p>
    <w:p w:rsidR="00570DD3" w:rsidRDefault="00570DD3" w:rsidP="00570DD3">
      <w:pPr>
        <w:pStyle w:val="SingleTxt"/>
        <w:rPr>
          <w:rFonts w:hint="eastAsia"/>
        </w:rPr>
      </w:pPr>
      <w:r>
        <w:rPr>
          <w:rFonts w:hint="eastAsia"/>
        </w:rPr>
        <w:t>27</w:t>
      </w:r>
      <w:r w:rsidR="006B403F">
        <w:rPr>
          <w:rFonts w:hint="eastAsia"/>
        </w:rPr>
        <w:t>.</w:t>
      </w:r>
      <w:r w:rsidR="006B403F">
        <w:tab/>
      </w:r>
      <w:r>
        <w:rPr>
          <w:rFonts w:hint="eastAsia"/>
        </w:rPr>
        <w:t>请提供最新资料（第119页），说明大臣会议于2006年3月10日批准的关于以威胁或暴力手段迫使某人签订婚约问题的法律草案。并请提供关于这一现象的统计数据。</w:t>
      </w:r>
    </w:p>
    <w:p w:rsidR="00570DD3" w:rsidRDefault="00570DD3" w:rsidP="00570DD3">
      <w:pPr>
        <w:pStyle w:val="SingleTxt"/>
        <w:rPr>
          <w:rFonts w:hint="eastAsia"/>
        </w:rPr>
      </w:pPr>
      <w:r>
        <w:rPr>
          <w:rFonts w:hint="eastAsia"/>
        </w:rPr>
        <w:t>28</w:t>
      </w:r>
      <w:r w:rsidR="006B403F">
        <w:rPr>
          <w:rFonts w:hint="eastAsia"/>
        </w:rPr>
        <w:t>.</w:t>
      </w:r>
      <w:r w:rsidR="006B403F">
        <w:tab/>
      </w:r>
      <w:r>
        <w:rPr>
          <w:rFonts w:hint="eastAsia"/>
        </w:rPr>
        <w:t>委员会在先前结论意见</w:t>
      </w:r>
      <w:r w:rsidRPr="00570DD3">
        <w:rPr>
          <w:rStyle w:val="FootnoteReference"/>
        </w:rPr>
        <w:footnoteReference w:id="7"/>
      </w:r>
      <w:r>
        <w:t xml:space="preserve"> </w:t>
      </w:r>
      <w:r>
        <w:rPr>
          <w:rFonts w:hint="eastAsia"/>
        </w:rPr>
        <w:t>中对关于家庭姓氏传承的法律规定具有歧视性表示关注。请说明为确保父母之间在子女传承家庭姓氏方面平等而采取了哪些措施。报告第121页列出的所有法律草案的目前状况如何？有无颁布这些法律的时间表？</w:t>
      </w:r>
    </w:p>
    <w:p w:rsidR="00570DD3" w:rsidRDefault="00570DD3" w:rsidP="00570DD3">
      <w:pPr>
        <w:pStyle w:val="SingleTxt"/>
        <w:rPr>
          <w:rFonts w:hint="eastAsia"/>
        </w:rPr>
      </w:pPr>
      <w:r>
        <w:rPr>
          <w:rFonts w:hint="eastAsia"/>
        </w:rPr>
        <w:t>29</w:t>
      </w:r>
      <w:r w:rsidR="006B403F">
        <w:rPr>
          <w:rFonts w:hint="eastAsia"/>
        </w:rPr>
        <w:t>.</w:t>
      </w:r>
      <w:r w:rsidR="006B403F">
        <w:tab/>
      </w:r>
      <w:r>
        <w:rPr>
          <w:rFonts w:hint="eastAsia"/>
        </w:rPr>
        <w:t>请提供资料，说明对解除关系的经济后果在性别方面的差异所作的研究和调查结果。请提供关于解除关系后分配财产的类型，尤其说明法律是否承认无形财产（即养恤基金；离职金；保险金）属于要进行分配的财产。并请说明法律是否规定对今后收益能力和人力资本进行分配，或考虑到经分配财产而扩大的收益能力和人力资本（如考虑到另一配偶此类资产预估份额的一次总付判决补偿款，或允许补偿性配偶付款）。</w:t>
      </w:r>
    </w:p>
    <w:p w:rsidR="00570DD3" w:rsidRPr="00F34295" w:rsidRDefault="00570DD3" w:rsidP="00570DD3">
      <w:pPr>
        <w:pStyle w:val="SingleTxt"/>
        <w:rPr>
          <w:rFonts w:ascii="SimHei" w:eastAsia="SimHei" w:hint="eastAsia"/>
          <w:color w:val="FF0000"/>
        </w:rPr>
      </w:pPr>
      <w:r w:rsidRPr="00F34295">
        <w:rPr>
          <w:rFonts w:ascii="SimHei" w:eastAsia="SimHei" w:hint="eastAsia"/>
          <w:color w:val="FF0000"/>
        </w:rPr>
        <w:t>对《公约》第二十条第1款的修订</w:t>
      </w:r>
    </w:p>
    <w:p w:rsidR="00570DD3" w:rsidRDefault="00750411" w:rsidP="00750411">
      <w:pPr>
        <w:pStyle w:val="SingleTxt"/>
        <w:rPr>
          <w:rFonts w:hint="eastAsia"/>
        </w:rPr>
      </w:pPr>
      <w:r>
        <w:rPr>
          <w:rFonts w:hint="eastAsia"/>
          <w:noProof/>
          <w:sz w:val="20"/>
        </w:rPr>
        <w:pict>
          <v:line id="_x0000_s1026" style="position:absolute;left:0;text-align:left;z-index:1" from="215.25pt,51pt" to="287.25pt,51pt" strokeweight=".25pt"/>
        </w:pict>
      </w:r>
      <w:r w:rsidR="00570DD3">
        <w:rPr>
          <w:rFonts w:hint="eastAsia"/>
        </w:rPr>
        <w:t>30</w:t>
      </w:r>
      <w:r w:rsidR="006B403F">
        <w:rPr>
          <w:rFonts w:hint="eastAsia"/>
        </w:rPr>
        <w:t>.</w:t>
      </w:r>
      <w:r w:rsidR="006B403F">
        <w:tab/>
      </w:r>
      <w:r w:rsidR="00570DD3">
        <w:rPr>
          <w:rFonts w:hint="eastAsia"/>
        </w:rPr>
        <w:t>请说明缔约国是否考虑接受对《公约》第二十条第1款的修订。</w:t>
      </w:r>
    </w:p>
    <w:sectPr w:rsidR="00570DD3" w:rsidSect="00BC141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13:59:00Z" w:initials="Start">
    <w:p w:rsidR="00294B72" w:rsidRDefault="00294B7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NO&gt;&gt;N0826224C&lt;&lt;ODS JOB NO&gt;&gt;</w:t>
      </w:r>
    </w:p>
    <w:p w:rsidR="00294B72" w:rsidRDefault="00294B72">
      <w:pPr>
        <w:pStyle w:val="CommentText"/>
      </w:pPr>
      <w:r>
        <w:t>&lt;&lt;ODS DOC SYMBOL1&gt;&gt;CEDAW/C/BEL/Q/6&lt;&lt;ODS DOC SYMBOL1&gt;&gt;</w:t>
      </w:r>
    </w:p>
    <w:p w:rsidR="00294B72" w:rsidRDefault="00294B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B72" w:rsidRDefault="00294B72">
      <w:r>
        <w:separator/>
      </w:r>
    </w:p>
  </w:endnote>
  <w:endnote w:type="continuationSeparator" w:id="0">
    <w:p w:rsidR="00294B72" w:rsidRDefault="0029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4B72" w:rsidTr="00BC1411">
      <w:tblPrEx>
        <w:tblCellMar>
          <w:top w:w="0" w:type="dxa"/>
          <w:bottom w:w="0" w:type="dxa"/>
        </w:tblCellMar>
      </w:tblPrEx>
      <w:tc>
        <w:tcPr>
          <w:tcW w:w="5033" w:type="dxa"/>
          <w:shd w:val="clear" w:color="auto" w:fill="auto"/>
        </w:tcPr>
        <w:p w:rsidR="00294B72" w:rsidRPr="00BC1411" w:rsidRDefault="00294B72" w:rsidP="00BC1411">
          <w:pPr>
            <w:pStyle w:val="Footer"/>
            <w:jc w:val="right"/>
            <w:rPr>
              <w:b w:val="0"/>
              <w:w w:val="103"/>
              <w:sz w:val="14"/>
            </w:rPr>
          </w:pPr>
          <w:r>
            <w:rPr>
              <w:b w:val="0"/>
              <w:w w:val="103"/>
              <w:sz w:val="14"/>
            </w:rPr>
            <w:t>08-26224 (C)</w:t>
          </w:r>
        </w:p>
      </w:tc>
      <w:tc>
        <w:tcPr>
          <w:tcW w:w="5033" w:type="dxa"/>
          <w:shd w:val="clear" w:color="auto" w:fill="auto"/>
        </w:tcPr>
        <w:p w:rsidR="00294B72" w:rsidRPr="00BC1411" w:rsidRDefault="00294B72" w:rsidP="00BC141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2</w:t>
          </w:r>
          <w:r>
            <w:rPr>
              <w:w w:val="103"/>
              <w:sz w:val="17"/>
            </w:rPr>
            <w:fldChar w:fldCharType="end"/>
          </w:r>
        </w:p>
      </w:tc>
    </w:tr>
  </w:tbl>
  <w:p w:rsidR="00294B72" w:rsidRPr="00BC1411" w:rsidRDefault="00294B72" w:rsidP="00BC14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4B72" w:rsidTr="00BC1411">
      <w:tblPrEx>
        <w:tblCellMar>
          <w:top w:w="0" w:type="dxa"/>
          <w:bottom w:w="0" w:type="dxa"/>
        </w:tblCellMar>
      </w:tblPrEx>
      <w:tc>
        <w:tcPr>
          <w:tcW w:w="5033" w:type="dxa"/>
          <w:shd w:val="clear" w:color="auto" w:fill="auto"/>
        </w:tcPr>
        <w:p w:rsidR="00294B72" w:rsidRPr="00BC1411" w:rsidRDefault="00294B72" w:rsidP="00BC1411">
          <w:pPr>
            <w:pStyle w:val="Footer"/>
            <w:jc w:val="right"/>
          </w:pPr>
          <w:r>
            <w:fldChar w:fldCharType="begin"/>
          </w:r>
          <w:r>
            <w:instrText xml:space="preserve"> PAGE  \* MERGEFORMAT </w:instrText>
          </w:r>
          <w:r>
            <w:fldChar w:fldCharType="separate"/>
          </w:r>
          <w:r>
            <w:t>3</w:t>
          </w:r>
          <w:r>
            <w:fldChar w:fldCharType="end"/>
          </w:r>
        </w:p>
      </w:tc>
      <w:tc>
        <w:tcPr>
          <w:tcW w:w="5033" w:type="dxa"/>
          <w:shd w:val="clear" w:color="auto" w:fill="auto"/>
        </w:tcPr>
        <w:p w:rsidR="00294B72" w:rsidRPr="00BC1411" w:rsidRDefault="00294B72" w:rsidP="00BC1411">
          <w:pPr>
            <w:pStyle w:val="Footer"/>
            <w:jc w:val="left"/>
            <w:rPr>
              <w:b w:val="0"/>
              <w:w w:val="103"/>
              <w:sz w:val="14"/>
            </w:rPr>
          </w:pPr>
          <w:r>
            <w:rPr>
              <w:b w:val="0"/>
              <w:w w:val="103"/>
              <w:sz w:val="14"/>
            </w:rPr>
            <w:t>08-26224 (C)</w:t>
          </w:r>
        </w:p>
      </w:tc>
    </w:tr>
  </w:tbl>
  <w:p w:rsidR="00294B72" w:rsidRPr="00BC1411" w:rsidRDefault="00294B72" w:rsidP="00BC14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B72" w:rsidRDefault="00294B72" w:rsidP="00BC141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08-26224 (C)</w:t>
    </w:r>
    <w:r>
      <w:rPr>
        <w:b w:val="0"/>
        <w:sz w:val="21"/>
      </w:rPr>
      <w:fldChar w:fldCharType="end"/>
    </w:r>
    <w:r>
      <w:rPr>
        <w:b w:val="0"/>
        <w:sz w:val="21"/>
      </w:rPr>
      <w:t xml:space="preserve">    2</w:t>
    </w:r>
    <w:r>
      <w:rPr>
        <w:rFonts w:hint="eastAsia"/>
        <w:b w:val="0"/>
        <w:sz w:val="21"/>
      </w:rPr>
      <w:t>4</w:t>
    </w:r>
    <w:r>
      <w:rPr>
        <w:b w:val="0"/>
        <w:sz w:val="21"/>
      </w:rPr>
      <w:t>0308    2</w:t>
    </w:r>
    <w:r>
      <w:rPr>
        <w:rFonts w:hint="eastAsia"/>
        <w:b w:val="0"/>
        <w:sz w:val="21"/>
      </w:rPr>
      <w:t>7</w:t>
    </w:r>
    <w:r>
      <w:rPr>
        <w:b w:val="0"/>
        <w:sz w:val="21"/>
      </w:rPr>
      <w:t>0308</w:t>
    </w:r>
  </w:p>
  <w:p w:rsidR="00294B72" w:rsidRPr="00BC1411" w:rsidRDefault="00294B72" w:rsidP="00BC141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*0826224*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B72" w:rsidRPr="00570DD3" w:rsidRDefault="00294B72" w:rsidP="00570DD3">
      <w:pPr>
        <w:pStyle w:val="Footer"/>
        <w:spacing w:after="80"/>
        <w:ind w:left="792"/>
        <w:rPr>
          <w:sz w:val="16"/>
        </w:rPr>
      </w:pPr>
      <w:r w:rsidRPr="00570DD3">
        <w:rPr>
          <w:sz w:val="16"/>
        </w:rPr>
        <w:t>__________________</w:t>
      </w:r>
    </w:p>
  </w:footnote>
  <w:footnote w:type="continuationSeparator" w:id="0">
    <w:p w:rsidR="00294B72" w:rsidRPr="00570DD3" w:rsidRDefault="00294B72" w:rsidP="00570DD3">
      <w:pPr>
        <w:pStyle w:val="Footer"/>
        <w:spacing w:after="80"/>
        <w:ind w:left="792"/>
        <w:rPr>
          <w:sz w:val="16"/>
        </w:rPr>
      </w:pPr>
      <w:r w:rsidRPr="00570DD3">
        <w:rPr>
          <w:sz w:val="16"/>
        </w:rPr>
        <w:t>__________________</w:t>
      </w:r>
    </w:p>
  </w:footnote>
  <w:footnote w:id="1">
    <w:p w:rsidR="00294B72" w:rsidRPr="00F34295" w:rsidRDefault="00294B72" w:rsidP="00570DD3">
      <w:pPr>
        <w:pStyle w:val="FootnoteText"/>
        <w:tabs>
          <w:tab w:val="clear" w:pos="418"/>
          <w:tab w:val="right" w:pos="1195"/>
          <w:tab w:val="left" w:pos="1264"/>
          <w:tab w:val="left" w:pos="1695"/>
          <w:tab w:val="left" w:pos="2126"/>
          <w:tab w:val="left" w:pos="2557"/>
        </w:tabs>
        <w:ind w:left="1264" w:right="1264" w:hanging="432"/>
      </w:pPr>
      <w:r>
        <w:tab/>
      </w:r>
      <w:r w:rsidRPr="00F34295">
        <w:rPr>
          <w:rFonts w:hAnsi="SimSun" w:hint="eastAsia"/>
          <w:vertAlign w:val="superscript"/>
        </w:rPr>
        <w:t>*</w:t>
      </w:r>
      <w:r>
        <w:tab/>
      </w:r>
      <w:r w:rsidRPr="00F34295">
        <w:rPr>
          <w:rFonts w:hint="eastAsia"/>
        </w:rPr>
        <w:t>本议题和问题清单中的页码指的是报告中文文本的页码。</w:t>
      </w:r>
    </w:p>
    <w:p w:rsidR="00294B72" w:rsidRPr="00F34295" w:rsidRDefault="00294B72" w:rsidP="00570DD3">
      <w:pPr>
        <w:pStyle w:val="FootnoteText"/>
        <w:tabs>
          <w:tab w:val="clear" w:pos="418"/>
          <w:tab w:val="right" w:pos="1195"/>
          <w:tab w:val="left" w:pos="1264"/>
          <w:tab w:val="left" w:pos="1695"/>
          <w:tab w:val="left" w:pos="2126"/>
          <w:tab w:val="left" w:pos="2557"/>
        </w:tabs>
        <w:ind w:left="1264" w:right="1264" w:hanging="432"/>
      </w:pPr>
      <w:r>
        <w:tab/>
      </w:r>
      <w:r w:rsidRPr="00F34295">
        <w:rPr>
          <w:rFonts w:hAnsi="SimSun" w:hint="eastAsia"/>
          <w:vertAlign w:val="superscript"/>
        </w:rPr>
        <w:t>**</w:t>
      </w:r>
      <w:r>
        <w:tab/>
      </w:r>
      <w:r w:rsidRPr="00F34295">
        <w:rPr>
          <w:rFonts w:hint="eastAsia"/>
        </w:rPr>
        <w:t>本报告未经正式编辑。</w:t>
      </w:r>
    </w:p>
    <w:p w:rsidR="00294B72" w:rsidRPr="00F3429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见《大会正式记</w:t>
      </w:r>
      <w:r w:rsidRPr="00F34295">
        <w:rPr>
          <w:rFonts w:hint="eastAsia"/>
        </w:rPr>
        <w:t>录》，第五十七届会议，补编第38号（A/57/38（Part II），第159和160段。）</w:t>
      </w:r>
    </w:p>
  </w:footnote>
  <w:footnote w:id="2">
    <w:p w:rsidR="00294B72" w:rsidRPr="00B511F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511F5">
        <w:rPr>
          <w:rFonts w:hint="eastAsia"/>
        </w:rPr>
        <w:t>同上，第155和156段。</w:t>
      </w:r>
    </w:p>
  </w:footnote>
  <w:footnote w:id="3">
    <w:p w:rsidR="00294B72" w:rsidRPr="00B511F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511F5">
        <w:rPr>
          <w:rFonts w:hint="eastAsia"/>
        </w:rPr>
        <w:t>见E/CN.4/2003/75/Add.1（第151和152段）。</w:t>
      </w:r>
    </w:p>
  </w:footnote>
  <w:footnote w:id="4">
    <w:p w:rsidR="00294B72" w:rsidRPr="00B511F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511F5">
        <w:rPr>
          <w:rFonts w:hint="eastAsia"/>
        </w:rPr>
        <w:t>暴力侵害妇女行为问题特别报告员的报告（E/CN.4/2003/75/Add.1）及买卖儿童、儿童卖淫和儿童色情制品问题特别报告员关于1998年11月30日至12月4日就对儿童的商业性剥削问题访问比利时和荷兰的报告（E/CN.4/2000/73/Add.1）。</w:t>
      </w:r>
    </w:p>
  </w:footnote>
  <w:footnote w:id="5">
    <w:p w:rsidR="00294B72" w:rsidRPr="00B511F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511F5">
        <w:rPr>
          <w:rFonts w:hint="eastAsia"/>
        </w:rPr>
        <w:t>同上，第149段。</w:t>
      </w:r>
    </w:p>
  </w:footnote>
  <w:footnote w:id="6">
    <w:p w:rsidR="00294B72" w:rsidRPr="00B511F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511F5">
        <w:rPr>
          <w:rFonts w:hint="eastAsia"/>
        </w:rPr>
        <w:t>同上。第158段。</w:t>
      </w:r>
    </w:p>
  </w:footnote>
  <w:footnote w:id="7">
    <w:p w:rsidR="00294B72" w:rsidRPr="00B511F5" w:rsidRDefault="00294B72" w:rsidP="00570DD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511F5">
        <w:rPr>
          <w:rFonts w:hint="eastAsia"/>
        </w:rPr>
        <w:t>同上。第</w:t>
      </w:r>
      <w:r>
        <w:rPr>
          <w:rFonts w:hint="eastAsia"/>
        </w:rPr>
        <w:t>165和166</w:t>
      </w:r>
      <w:r w:rsidRPr="00B511F5">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94B72" w:rsidTr="00BC1411">
      <w:tblPrEx>
        <w:tblCellMar>
          <w:top w:w="0" w:type="dxa"/>
          <w:bottom w:w="0" w:type="dxa"/>
        </w:tblCellMar>
      </w:tblPrEx>
      <w:trPr>
        <w:trHeight w:hRule="exact" w:val="864"/>
      </w:trPr>
      <w:tc>
        <w:tcPr>
          <w:tcW w:w="4838" w:type="dxa"/>
          <w:shd w:val="clear" w:color="auto" w:fill="auto"/>
          <w:vAlign w:val="bottom"/>
        </w:tcPr>
        <w:p w:rsidR="00294B72" w:rsidRPr="00BC1411" w:rsidRDefault="00294B72" w:rsidP="00BC141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CEDAW/C/BEL/Q/6</w:t>
          </w:r>
          <w:r>
            <w:rPr>
              <w:b/>
              <w:sz w:val="17"/>
            </w:rPr>
            <w:fldChar w:fldCharType="end"/>
          </w:r>
        </w:p>
      </w:tc>
      <w:tc>
        <w:tcPr>
          <w:tcW w:w="5033" w:type="dxa"/>
          <w:shd w:val="clear" w:color="auto" w:fill="auto"/>
          <w:vAlign w:val="bottom"/>
        </w:tcPr>
        <w:p w:rsidR="00294B72" w:rsidRDefault="00294B72" w:rsidP="00BC1411">
          <w:pPr>
            <w:pStyle w:val="Header"/>
          </w:pPr>
        </w:p>
      </w:tc>
    </w:tr>
  </w:tbl>
  <w:p w:rsidR="00294B72" w:rsidRPr="00BC1411" w:rsidRDefault="00294B72" w:rsidP="00BC14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94B72" w:rsidTr="00BC1411">
      <w:tblPrEx>
        <w:tblCellMar>
          <w:top w:w="0" w:type="dxa"/>
          <w:bottom w:w="0" w:type="dxa"/>
        </w:tblCellMar>
      </w:tblPrEx>
      <w:trPr>
        <w:trHeight w:hRule="exact" w:val="864"/>
      </w:trPr>
      <w:tc>
        <w:tcPr>
          <w:tcW w:w="4838" w:type="dxa"/>
          <w:shd w:val="clear" w:color="auto" w:fill="auto"/>
          <w:vAlign w:val="bottom"/>
        </w:tcPr>
        <w:p w:rsidR="00294B72" w:rsidRDefault="00294B72" w:rsidP="00BC1411">
          <w:pPr>
            <w:pStyle w:val="Header"/>
          </w:pPr>
        </w:p>
      </w:tc>
      <w:tc>
        <w:tcPr>
          <w:tcW w:w="5033" w:type="dxa"/>
          <w:shd w:val="clear" w:color="auto" w:fill="auto"/>
          <w:vAlign w:val="bottom"/>
        </w:tcPr>
        <w:p w:rsidR="00294B72" w:rsidRPr="00BC1411" w:rsidRDefault="00294B72" w:rsidP="00BC141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CEDAW/C/BEL/Q/6</w:t>
          </w:r>
          <w:r>
            <w:rPr>
              <w:b/>
              <w:sz w:val="17"/>
            </w:rPr>
            <w:fldChar w:fldCharType="end"/>
          </w:r>
        </w:p>
      </w:tc>
    </w:tr>
  </w:tbl>
  <w:p w:rsidR="00294B72" w:rsidRPr="00BC1411" w:rsidRDefault="00294B72" w:rsidP="00BC14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94B72" w:rsidTr="00BC141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94B72" w:rsidRDefault="00294B72" w:rsidP="00BC1411">
          <w:pPr>
            <w:pStyle w:val="Header"/>
            <w:spacing w:after="120"/>
          </w:pPr>
        </w:p>
      </w:tc>
      <w:tc>
        <w:tcPr>
          <w:tcW w:w="1872" w:type="dxa"/>
          <w:tcBorders>
            <w:bottom w:val="single" w:sz="4" w:space="0" w:color="auto"/>
          </w:tcBorders>
          <w:shd w:val="clear" w:color="auto" w:fill="auto"/>
          <w:vAlign w:val="bottom"/>
        </w:tcPr>
        <w:p w:rsidR="00294B72" w:rsidRPr="00BC1411" w:rsidRDefault="00294B72" w:rsidP="00BC141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94B72" w:rsidRDefault="00294B72" w:rsidP="00BC1411">
          <w:pPr>
            <w:pStyle w:val="Header"/>
            <w:spacing w:after="120"/>
          </w:pPr>
        </w:p>
      </w:tc>
      <w:tc>
        <w:tcPr>
          <w:tcW w:w="6523" w:type="dxa"/>
          <w:gridSpan w:val="3"/>
          <w:tcBorders>
            <w:bottom w:val="single" w:sz="4" w:space="0" w:color="auto"/>
          </w:tcBorders>
          <w:shd w:val="clear" w:color="auto" w:fill="auto"/>
          <w:vAlign w:val="bottom"/>
        </w:tcPr>
        <w:p w:rsidR="00294B72" w:rsidRPr="00BC1411" w:rsidRDefault="00294B72" w:rsidP="00BC1411">
          <w:pPr>
            <w:spacing w:after="80" w:line="240" w:lineRule="auto"/>
            <w:jc w:val="right"/>
            <w:rPr>
              <w:rFonts w:ascii="Times New Roman"/>
              <w:position w:val="-4"/>
            </w:rPr>
          </w:pPr>
          <w:r>
            <w:rPr>
              <w:rFonts w:ascii="Times New Roman"/>
              <w:position w:val="-4"/>
              <w:sz w:val="40"/>
            </w:rPr>
            <w:t>CEDAW</w:t>
          </w:r>
          <w:r>
            <w:rPr>
              <w:rFonts w:ascii="Times New Roman"/>
              <w:position w:val="-4"/>
            </w:rPr>
            <w:t>/C/BEL/Q/6</w:t>
          </w:r>
        </w:p>
      </w:tc>
    </w:tr>
    <w:tr w:rsidR="00294B72" w:rsidRPr="00BC1411" w:rsidTr="00BC141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94B72" w:rsidRDefault="00294B72" w:rsidP="00BC141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94B72" w:rsidRPr="00BC1411" w:rsidRDefault="00294B72" w:rsidP="00BC1411">
          <w:pPr>
            <w:pStyle w:val="Header"/>
            <w:spacing w:before="109"/>
            <w:ind w:left="-72"/>
          </w:pPr>
        </w:p>
      </w:tc>
      <w:tc>
        <w:tcPr>
          <w:tcW w:w="5227" w:type="dxa"/>
          <w:gridSpan w:val="3"/>
          <w:tcBorders>
            <w:top w:val="single" w:sz="4" w:space="0" w:color="auto"/>
            <w:bottom w:val="single" w:sz="12" w:space="0" w:color="auto"/>
          </w:tcBorders>
          <w:shd w:val="clear" w:color="auto" w:fill="auto"/>
        </w:tcPr>
        <w:p w:rsidR="00294B72" w:rsidRPr="00BC1411" w:rsidRDefault="00294B72" w:rsidP="00BC141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94B72" w:rsidRPr="00BC1411" w:rsidRDefault="00294B72" w:rsidP="00BC1411">
          <w:pPr>
            <w:pStyle w:val="Header"/>
            <w:spacing w:before="109"/>
          </w:pPr>
        </w:p>
      </w:tc>
      <w:tc>
        <w:tcPr>
          <w:tcW w:w="3180" w:type="dxa"/>
          <w:gridSpan w:val="2"/>
          <w:tcBorders>
            <w:top w:val="single" w:sz="4" w:space="0" w:color="auto"/>
            <w:bottom w:val="single" w:sz="12" w:space="0" w:color="auto"/>
          </w:tcBorders>
          <w:shd w:val="clear" w:color="auto" w:fill="auto"/>
        </w:tcPr>
        <w:p w:rsidR="00294B72" w:rsidRDefault="00294B72" w:rsidP="00BC1411">
          <w:pPr>
            <w:spacing w:before="240" w:line="240" w:lineRule="exact"/>
            <w:rPr>
              <w:rFonts w:ascii="Times New Roman"/>
            </w:rPr>
          </w:pPr>
          <w:r>
            <w:rPr>
              <w:rFonts w:ascii="Times New Roman"/>
            </w:rPr>
            <w:t>Distr.: General</w:t>
          </w:r>
        </w:p>
        <w:p w:rsidR="00294B72" w:rsidRDefault="00294B72" w:rsidP="00BC1411">
          <w:pPr>
            <w:spacing w:line="240" w:lineRule="exact"/>
            <w:rPr>
              <w:rFonts w:ascii="Times New Roman"/>
            </w:rPr>
          </w:pPr>
          <w:r>
            <w:rPr>
              <w:rFonts w:ascii="Times New Roman"/>
            </w:rPr>
            <w:t>6 March 2008</w:t>
          </w:r>
        </w:p>
        <w:p w:rsidR="00294B72" w:rsidRDefault="00294B72" w:rsidP="00BC1411">
          <w:pPr>
            <w:spacing w:line="240" w:lineRule="exact"/>
            <w:rPr>
              <w:rFonts w:ascii="Times New Roman"/>
            </w:rPr>
          </w:pPr>
          <w:r>
            <w:rPr>
              <w:rFonts w:ascii="Times New Roman"/>
            </w:rPr>
            <w:t>Chinese</w:t>
          </w:r>
        </w:p>
        <w:p w:rsidR="00294B72" w:rsidRPr="00BC1411" w:rsidRDefault="00294B72" w:rsidP="00BC1411">
          <w:pPr>
            <w:spacing w:line="240" w:lineRule="exact"/>
            <w:rPr>
              <w:rFonts w:ascii="Times New Roman"/>
            </w:rPr>
          </w:pPr>
          <w:r>
            <w:rPr>
              <w:rFonts w:ascii="Times New Roman"/>
            </w:rPr>
            <w:t>Original: English</w:t>
          </w:r>
        </w:p>
      </w:tc>
    </w:tr>
  </w:tbl>
  <w:p w:rsidR="00294B72" w:rsidRPr="00BC1411" w:rsidRDefault="00294B72" w:rsidP="00BC14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24*"/>
    <w:docVar w:name="CreationDt" w:val="26/03/2008 12:49:12"/>
    <w:docVar w:name="DocCategory" w:val="Doc"/>
    <w:docVar w:name="DocType" w:val="Final"/>
    <w:docVar w:name="FooterJN" w:val="08-26224"/>
    <w:docVar w:name="jobn" w:val="08-26224 (C)"/>
    <w:docVar w:name="jobnDT" w:val="08-26224 (C)   260308"/>
    <w:docVar w:name="jobnDTDT" w:val="08-26224 (C)   260308   260308"/>
    <w:docVar w:name="JobNo" w:val="0826224C"/>
    <w:docVar w:name="OandT" w:val="ZHOUAY"/>
    <w:docVar w:name="sss1" w:val="CEDAW/C/BEL/Q/6"/>
    <w:docVar w:name="sss2" w:val="-"/>
    <w:docVar w:name="Symbol1" w:val="CEDAW/C/BEL/Q/6"/>
    <w:docVar w:name="Symbol2" w:val="-"/>
  </w:docVars>
  <w:rsids>
    <w:rsidRoot w:val="00547804"/>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77354"/>
    <w:rsid w:val="001B2814"/>
    <w:rsid w:val="001B4F95"/>
    <w:rsid w:val="001C3F7F"/>
    <w:rsid w:val="001C5166"/>
    <w:rsid w:val="001D0354"/>
    <w:rsid w:val="001E20EC"/>
    <w:rsid w:val="001E4442"/>
    <w:rsid w:val="001E5A51"/>
    <w:rsid w:val="001F03A7"/>
    <w:rsid w:val="00205156"/>
    <w:rsid w:val="00207135"/>
    <w:rsid w:val="00231575"/>
    <w:rsid w:val="00247382"/>
    <w:rsid w:val="00252E35"/>
    <w:rsid w:val="00254858"/>
    <w:rsid w:val="00257053"/>
    <w:rsid w:val="00266257"/>
    <w:rsid w:val="00271BE6"/>
    <w:rsid w:val="0027454D"/>
    <w:rsid w:val="00280671"/>
    <w:rsid w:val="002814F9"/>
    <w:rsid w:val="00282D17"/>
    <w:rsid w:val="00294B72"/>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B6DCD"/>
    <w:rsid w:val="003C7B20"/>
    <w:rsid w:val="003E4565"/>
    <w:rsid w:val="003E748F"/>
    <w:rsid w:val="003E7612"/>
    <w:rsid w:val="00414423"/>
    <w:rsid w:val="004229F8"/>
    <w:rsid w:val="004411AD"/>
    <w:rsid w:val="004424EF"/>
    <w:rsid w:val="00443BC1"/>
    <w:rsid w:val="00453BB0"/>
    <w:rsid w:val="00460162"/>
    <w:rsid w:val="004620A8"/>
    <w:rsid w:val="0047240A"/>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47804"/>
    <w:rsid w:val="005541E4"/>
    <w:rsid w:val="00570DD3"/>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B403F"/>
    <w:rsid w:val="006E2924"/>
    <w:rsid w:val="006E7A26"/>
    <w:rsid w:val="006F2B3D"/>
    <w:rsid w:val="006F6089"/>
    <w:rsid w:val="007319E0"/>
    <w:rsid w:val="00737B00"/>
    <w:rsid w:val="00750411"/>
    <w:rsid w:val="0075155C"/>
    <w:rsid w:val="00753A05"/>
    <w:rsid w:val="00757193"/>
    <w:rsid w:val="00761190"/>
    <w:rsid w:val="007612CD"/>
    <w:rsid w:val="00776537"/>
    <w:rsid w:val="00783A25"/>
    <w:rsid w:val="007877F4"/>
    <w:rsid w:val="007E1B5E"/>
    <w:rsid w:val="007E6253"/>
    <w:rsid w:val="007F2278"/>
    <w:rsid w:val="00805783"/>
    <w:rsid w:val="00806F57"/>
    <w:rsid w:val="00806F90"/>
    <w:rsid w:val="00813DDA"/>
    <w:rsid w:val="00824C19"/>
    <w:rsid w:val="00826250"/>
    <w:rsid w:val="008378D1"/>
    <w:rsid w:val="00846462"/>
    <w:rsid w:val="0086691F"/>
    <w:rsid w:val="00883DB0"/>
    <w:rsid w:val="00884C8F"/>
    <w:rsid w:val="00896D38"/>
    <w:rsid w:val="008C0FA3"/>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542"/>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11F5"/>
    <w:rsid w:val="00B56194"/>
    <w:rsid w:val="00B61A34"/>
    <w:rsid w:val="00B64E8E"/>
    <w:rsid w:val="00B65E8B"/>
    <w:rsid w:val="00B8025A"/>
    <w:rsid w:val="00B827B1"/>
    <w:rsid w:val="00BB23A4"/>
    <w:rsid w:val="00BC1411"/>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078B"/>
    <w:rsid w:val="00D874E1"/>
    <w:rsid w:val="00D9586D"/>
    <w:rsid w:val="00DB0932"/>
    <w:rsid w:val="00DC2031"/>
    <w:rsid w:val="00DC2506"/>
    <w:rsid w:val="00DC49FA"/>
    <w:rsid w:val="00DD16BA"/>
    <w:rsid w:val="00DD3D6B"/>
    <w:rsid w:val="00DD4467"/>
    <w:rsid w:val="00DD61C8"/>
    <w:rsid w:val="00DD772B"/>
    <w:rsid w:val="00E050BA"/>
    <w:rsid w:val="00E25442"/>
    <w:rsid w:val="00E25A1F"/>
    <w:rsid w:val="00E37EEB"/>
    <w:rsid w:val="00E710FB"/>
    <w:rsid w:val="00E806D9"/>
    <w:rsid w:val="00E82CA2"/>
    <w:rsid w:val="00E86EE9"/>
    <w:rsid w:val="00E94E5A"/>
    <w:rsid w:val="00E95594"/>
    <w:rsid w:val="00EA31C3"/>
    <w:rsid w:val="00EB33AC"/>
    <w:rsid w:val="00EC6F21"/>
    <w:rsid w:val="00EE0913"/>
    <w:rsid w:val="00F01440"/>
    <w:rsid w:val="00F13305"/>
    <w:rsid w:val="00F34295"/>
    <w:rsid w:val="00F40463"/>
    <w:rsid w:val="00F50336"/>
    <w:rsid w:val="00F62E3F"/>
    <w:rsid w:val="00F6427B"/>
    <w:rsid w:val="00F67F90"/>
    <w:rsid w:val="00F77B3E"/>
    <w:rsid w:val="00F833CB"/>
    <w:rsid w:val="00F84E7A"/>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5</Pages>
  <Words>594</Words>
  <Characters>3389</Characters>
  <Application>Microsoft Office Word</Application>
  <DocSecurity>4</DocSecurity>
  <Lines>28</Lines>
  <Paragraphs>7</Paragraphs>
  <ScaleCrop>false</ScaleCrop>
  <Company>United Nations</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Aiyun.Zhou</dc:creator>
  <cp:keywords/>
  <dc:description/>
  <cp:lastModifiedBy>Dinghuan.Shen</cp:lastModifiedBy>
  <cp:revision>30</cp:revision>
  <cp:lastPrinted>2008-03-27T08:48:00Z</cp:lastPrinted>
  <dcterms:created xsi:type="dcterms:W3CDTF">2008-03-26T11:49:00Z</dcterms:created>
  <dcterms:modified xsi:type="dcterms:W3CDTF">2008-03-27T08:52:00Z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0826224</vt:lpwstr>
  </property>
  <property fmtid="{D5CDD505-2E9C-101B-9397-08002B2CF9AE}" pid="3" name="Symbol1">
    <vt:lpwstr>CEDAW/C/BEL/Q/6</vt:lpwstr>
  </property>
  <property fmtid="{D5CDD505-2E9C-101B-9397-08002B2CF9AE}" pid="4" name="Symbol2">
    <vt:lpwstr/>
  </property>
  <property fmtid="{D5CDD505-2E9C-101B-9397-08002B2CF9AE}" pid="5" name="Translator">
    <vt:lpwstr/>
  </property>
  <property fmtid="{D5CDD505-2E9C-101B-9397-08002B2CF9AE}" pid="6" name="Operator">
    <vt:lpwstr>ZHOUAY</vt:lpwstr>
  </property>
  <property fmtid="{D5CDD505-2E9C-101B-9397-08002B2CF9AE}" pid="7" name="DraftPages">
    <vt:lpwstr> </vt:lpwstr>
  </property>
  <property fmtid="{D5CDD505-2E9C-101B-9397-08002B2CF9AE}" pid="8" name="Comment">
    <vt:lpwstr/>
  </property>
</Properties>
</file>