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F63" w:rsidRDefault="00D50F63" w:rsidP="00D50F63">
      <w:pPr>
        <w:spacing w:line="60" w:lineRule="exact"/>
        <w:sectPr w:rsidR="00D50F63" w:rsidSect="00D50F6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3pt;margin-top:682.45pt;width:57.45pt;height:57.45pt;z-index:1;mso-position-horizontal-relative:page;mso-position-vertical-relative:page" o:preferrelative="f" filled="t">
            <v:imagedata r:id="rId12" o:title="4-5Size =1Lang = C"/>
            <w10:wrap anchorx="page" anchory="page"/>
          </v:shape>
        </w:pict>
      </w:r>
      <w:commentRangeEnd w:id="0"/>
      <w:r>
        <w:rPr>
          <w:rStyle w:val="CommentReference"/>
        </w:rPr>
        <w:commentReference w:id="0"/>
      </w:r>
    </w:p>
    <w:p w:rsidR="00D50F63" w:rsidRDefault="00D50F63" w:rsidP="00D50F63">
      <w:pPr>
        <w:spacing w:line="60" w:lineRule="exact"/>
      </w:pPr>
    </w:p>
    <w:p w:rsidR="009739D7" w:rsidRDefault="009739D7" w:rsidP="009739D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9739D7" w:rsidRPr="009739D7" w:rsidRDefault="009739D7" w:rsidP="009739D7">
      <w:pPr>
        <w:pStyle w:val="SingleTxt"/>
        <w:spacing w:after="0" w:line="120" w:lineRule="exact"/>
        <w:rPr>
          <w:rFonts w:hint="eastAsia"/>
          <w:sz w:val="10"/>
        </w:rPr>
      </w:pPr>
    </w:p>
    <w:p w:rsidR="009739D7" w:rsidRPr="009739D7" w:rsidRDefault="009739D7" w:rsidP="009739D7">
      <w:pPr>
        <w:pStyle w:val="SingleTxt"/>
        <w:spacing w:after="0" w:line="120" w:lineRule="exact"/>
        <w:rPr>
          <w:rFonts w:hint="eastAsia"/>
          <w:sz w:val="10"/>
        </w:rPr>
      </w:pPr>
    </w:p>
    <w:p w:rsidR="009739D7" w:rsidRPr="009739D7" w:rsidRDefault="009739D7" w:rsidP="009739D7">
      <w:pPr>
        <w:pStyle w:val="SingleTxt"/>
        <w:spacing w:after="0" w:line="120" w:lineRule="exact"/>
        <w:rPr>
          <w:rFonts w:hint="eastAsia"/>
          <w:sz w:val="10"/>
        </w:rPr>
      </w:pPr>
    </w:p>
    <w:p w:rsidR="009739D7" w:rsidRPr="0065793F" w:rsidRDefault="009739D7" w:rsidP="009739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rPr>
      </w:pPr>
      <w:r>
        <w:rPr>
          <w:rFonts w:hint="eastAsia"/>
        </w:rPr>
        <w:tab/>
      </w:r>
      <w:r>
        <w:rPr>
          <w:rFonts w:hint="eastAsia"/>
        </w:rPr>
        <w:tab/>
      </w:r>
      <w:r w:rsidRPr="0065793F">
        <w:rPr>
          <w:rFonts w:hint="eastAsia"/>
          <w:spacing w:val="4"/>
        </w:rPr>
        <w:t>与格鲁吉亚第四和第五次合并定期报告有关的议题和问题清单</w:t>
      </w:r>
      <w:r w:rsidRPr="0065793F">
        <w:rPr>
          <w:rFonts w:hint="eastAsia"/>
          <w:spacing w:val="4"/>
          <w:vertAlign w:val="superscript"/>
        </w:rPr>
        <w:t>*</w:t>
      </w:r>
    </w:p>
    <w:p w:rsidR="009739D7" w:rsidRPr="009739D7" w:rsidRDefault="009739D7" w:rsidP="009739D7">
      <w:pPr>
        <w:pStyle w:val="SingleTxt"/>
        <w:spacing w:after="0" w:line="120" w:lineRule="exact"/>
        <w:rPr>
          <w:rFonts w:hint="eastAsia"/>
          <w:sz w:val="10"/>
        </w:rPr>
      </w:pPr>
    </w:p>
    <w:p w:rsidR="009739D7" w:rsidRPr="009739D7" w:rsidRDefault="009739D7" w:rsidP="009739D7">
      <w:pPr>
        <w:pStyle w:val="SingleTxt"/>
        <w:spacing w:after="0" w:line="120" w:lineRule="exact"/>
        <w:rPr>
          <w:rFonts w:hint="eastAsia"/>
          <w:sz w:val="10"/>
        </w:rPr>
      </w:pPr>
    </w:p>
    <w:p w:rsidR="009739D7" w:rsidRDefault="009739D7" w:rsidP="009739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概述</w:t>
      </w:r>
    </w:p>
    <w:p w:rsidR="009739D7" w:rsidRPr="009739D7" w:rsidRDefault="009739D7" w:rsidP="009739D7">
      <w:pPr>
        <w:pStyle w:val="SingleTxt"/>
        <w:spacing w:after="0" w:line="120" w:lineRule="exact"/>
        <w:rPr>
          <w:rFonts w:hint="eastAsia"/>
          <w:sz w:val="10"/>
        </w:rPr>
      </w:pPr>
    </w:p>
    <w:p w:rsidR="009739D7" w:rsidRPr="009739D7" w:rsidRDefault="009739D7" w:rsidP="009739D7">
      <w:pPr>
        <w:pStyle w:val="SingleTxt"/>
        <w:spacing w:after="0" w:line="120" w:lineRule="exact"/>
        <w:rPr>
          <w:rFonts w:hint="eastAsia"/>
          <w:sz w:val="10"/>
        </w:rPr>
      </w:pPr>
    </w:p>
    <w:p w:rsidR="009739D7" w:rsidRDefault="009739D7" w:rsidP="0065793F">
      <w:pPr>
        <w:pStyle w:val="SingleTxt"/>
        <w:spacing w:line="330" w:lineRule="exact"/>
        <w:rPr>
          <w:rFonts w:hint="eastAsia"/>
        </w:rPr>
      </w:pPr>
      <w:r>
        <w:rPr>
          <w:rFonts w:hint="eastAsia"/>
        </w:rPr>
        <w:t>1.</w:t>
      </w:r>
      <w:r>
        <w:rPr>
          <w:rFonts w:hint="eastAsia"/>
        </w:rPr>
        <w:tab/>
        <w:t>请提供资料，说明采取了哪些措施确保缔约国妇女了解《公约》和有关国内立法赋予她们的权利，并说明法院是否已援引或参考《公约》。</w:t>
      </w:r>
    </w:p>
    <w:p w:rsidR="009739D7" w:rsidRPr="009739D7" w:rsidRDefault="009739D7" w:rsidP="0065793F">
      <w:pPr>
        <w:pStyle w:val="SingleTxt"/>
        <w:spacing w:line="330" w:lineRule="exact"/>
        <w:rPr>
          <w:rFonts w:ascii="SimHei" w:eastAsia="SimHei" w:hint="eastAsia"/>
        </w:rPr>
      </w:pPr>
      <w:r w:rsidRPr="009739D7">
        <w:rPr>
          <w:rFonts w:ascii="SimHei" w:eastAsia="SimHei" w:hint="eastAsia"/>
        </w:rPr>
        <w:t>立法和体制框架</w:t>
      </w:r>
    </w:p>
    <w:p w:rsidR="009739D7" w:rsidRDefault="009739D7" w:rsidP="0065793F">
      <w:pPr>
        <w:pStyle w:val="SingleTxt"/>
        <w:spacing w:line="330" w:lineRule="exact"/>
        <w:rPr>
          <w:rFonts w:hint="eastAsia"/>
        </w:rPr>
      </w:pPr>
      <w:r>
        <w:rPr>
          <w:rFonts w:hint="eastAsia"/>
        </w:rPr>
        <w:t>2.</w:t>
      </w:r>
      <w:r>
        <w:rPr>
          <w:rFonts w:hint="eastAsia"/>
        </w:rPr>
        <w:tab/>
        <w:t xml:space="preserve">根据委员会收到的资料，2013年司法部起草了一部《不歧视法》，其中设立了一个新的保护平等视察员职位，其任务之一是审议个人的投诉。请提供资料，说明该法律草案的范围，包括何种原因的歧视受到禁止，并说明是否有对通过和实施该法规定了时间框架。还请详细说明所设想的保护平等视察员的任务，以及这一新机制与公设辩护人之间在解决妇女的平等权利和不受歧视权利方面(包括解决多种形式的歧视方面)的作用和职责分工。 </w:t>
      </w:r>
    </w:p>
    <w:p w:rsidR="009739D7" w:rsidRDefault="009739D7" w:rsidP="0065793F">
      <w:pPr>
        <w:pStyle w:val="SingleTxt"/>
        <w:spacing w:line="330" w:lineRule="exact"/>
        <w:rPr>
          <w:rFonts w:hint="eastAsia"/>
        </w:rPr>
      </w:pPr>
      <w:r>
        <w:rPr>
          <w:rFonts w:hint="eastAsia"/>
        </w:rPr>
        <w:t>3.</w:t>
      </w:r>
      <w:r>
        <w:rPr>
          <w:rFonts w:hint="eastAsia"/>
        </w:rPr>
        <w:tab/>
      </w:r>
      <w:r w:rsidRPr="0065793F">
        <w:rPr>
          <w:rFonts w:hint="eastAsia"/>
          <w:spacing w:val="-4"/>
        </w:rPr>
        <w:t>报告指出(第47段)，</w:t>
      </w:r>
      <w:r w:rsidR="0065793F" w:rsidRPr="0065793F">
        <w:rPr>
          <w:rStyle w:val="FootnoteReference"/>
          <w:spacing w:val="-4"/>
        </w:rPr>
        <w:footnoteReference w:id="1"/>
      </w:r>
      <w:r w:rsidR="0065793F" w:rsidRPr="0065793F">
        <w:rPr>
          <w:spacing w:val="-4"/>
        </w:rPr>
        <w:t xml:space="preserve"> </w:t>
      </w:r>
      <w:r w:rsidRPr="0065793F">
        <w:rPr>
          <w:rFonts w:hint="eastAsia"/>
          <w:spacing w:val="-4"/>
        </w:rPr>
        <w:t>公设辩护人(监察员)办公室有一个特殊服务机构</w:t>
      </w:r>
      <w:r w:rsidR="0065793F" w:rsidRPr="0065793F">
        <w:rPr>
          <w:rFonts w:hint="eastAsia"/>
          <w:spacing w:val="-4"/>
        </w:rPr>
        <w:t>——</w:t>
      </w:r>
      <w:r w:rsidRPr="0065793F">
        <w:rPr>
          <w:rFonts w:hint="eastAsia"/>
          <w:spacing w:val="-4"/>
        </w:rPr>
        <w:t>儿</w:t>
      </w:r>
      <w:r w:rsidRPr="0065793F">
        <w:rPr>
          <w:rFonts w:hint="eastAsia"/>
          <w:spacing w:val="2"/>
        </w:rPr>
        <w:t>童和妇女权利中心，该中心监测保护儿童和妇女权利及确保性别平等方面的进展情况。请提供资料，说明儿童和妇女权利中心的确切任务和活动，以及提请监察员办公室注意的歧视妇女诉案数目及这些案件的结果。委员会收到的资料还显示，2013年5月在公设辩护人办公室内设立了性别平等司。请详细说明监察员办公室内的这一两性平等制度化任务，包括提供关于该司人力和财政资源的资料。</w:t>
      </w:r>
    </w:p>
    <w:p w:rsidR="009739D7" w:rsidRPr="0065793F" w:rsidRDefault="0065793F" w:rsidP="009739D7">
      <w:pPr>
        <w:pStyle w:val="SingleTxt"/>
        <w:rPr>
          <w:rFonts w:ascii="SimHei" w:eastAsia="SimHei" w:hint="eastAsia"/>
        </w:rPr>
      </w:pPr>
      <w:r>
        <w:br w:type="page"/>
      </w:r>
      <w:r w:rsidR="009739D7" w:rsidRPr="0065793F">
        <w:rPr>
          <w:rFonts w:ascii="SimHei" w:eastAsia="SimHei" w:hint="eastAsia"/>
        </w:rPr>
        <w:t>提高妇女地位国家机构</w:t>
      </w:r>
    </w:p>
    <w:p w:rsidR="009739D7" w:rsidRDefault="009739D7" w:rsidP="009739D7">
      <w:pPr>
        <w:pStyle w:val="SingleTxt"/>
        <w:rPr>
          <w:rFonts w:hint="eastAsia"/>
        </w:rPr>
      </w:pPr>
      <w:r>
        <w:rPr>
          <w:rFonts w:hint="eastAsia"/>
        </w:rPr>
        <w:t>4.</w:t>
      </w:r>
      <w:r>
        <w:rPr>
          <w:rFonts w:hint="eastAsia"/>
        </w:rPr>
        <w:tab/>
        <w:t>委员会在以前的结论性意见(</w:t>
      </w:r>
      <w:hyperlink r:id="rId14" w:history="1">
        <w:r w:rsidRPr="007F38F3">
          <w:rPr>
            <w:rStyle w:val="Hyperlink"/>
            <w:rFonts w:hint="eastAsia"/>
          </w:rPr>
          <w:t>CEDAW/C/GEO/CO/3</w:t>
        </w:r>
      </w:hyperlink>
      <w:r>
        <w:rPr>
          <w:rFonts w:hint="eastAsia"/>
        </w:rPr>
        <w:t xml:space="preserve">，第15段)中表示感到关切的是，缔约国缺乏一个提高妇女地位的全国常设机构。该报告(第52段)指出，性别平等委员会变为议会常设机构。请提供详细的最新资料，说明该任务规定、来自国家预算拨款的用于其性别平等委员会运作的人力和财政资源，以及其目前的性别组成。 </w:t>
      </w:r>
    </w:p>
    <w:p w:rsidR="009739D7" w:rsidRDefault="009739D7" w:rsidP="009739D7">
      <w:pPr>
        <w:pStyle w:val="SingleTxt"/>
        <w:rPr>
          <w:rFonts w:hint="eastAsia"/>
        </w:rPr>
      </w:pPr>
      <w:r>
        <w:rPr>
          <w:rFonts w:hint="eastAsia"/>
        </w:rPr>
        <w:t>5.</w:t>
      </w:r>
      <w:r>
        <w:rPr>
          <w:rFonts w:hint="eastAsia"/>
        </w:rPr>
        <w:tab/>
        <w:t>报告还指出，政府各部委和办事处都设立各自的性别平等协调人(第36段)，在报告起草时，性别平等委员会正在致力于在自治政府一级建立性别平等协调中心(第37段)。请说明政府各部委内设立的性别平等协调中心是常设性还是临时</w:t>
      </w:r>
      <w:r w:rsidRPr="0065793F">
        <w:rPr>
          <w:rFonts w:hint="eastAsia"/>
          <w:spacing w:val="2"/>
        </w:rPr>
        <w:t>性的。请提供最新资料，说明在地方行政当局一级设立性别平等协调中心的倡议的结果、这些性别平等协调中心的确切任务规定及建立后开展的活动。还请说明，是否设想设立一个各司/部委间结构，以协调和监测将性别观点纳入所有有关政策和方案主流的进程，并在国家和地方两级协调此类政策和方案的执行情况。</w:t>
      </w:r>
    </w:p>
    <w:p w:rsidR="009739D7" w:rsidRPr="0065793F" w:rsidRDefault="009739D7" w:rsidP="009739D7">
      <w:pPr>
        <w:pStyle w:val="SingleTxt"/>
        <w:rPr>
          <w:rFonts w:ascii="SimHei" w:eastAsia="SimHei" w:hint="eastAsia"/>
        </w:rPr>
      </w:pPr>
      <w:r w:rsidRPr="0065793F">
        <w:rPr>
          <w:rFonts w:ascii="SimHei" w:eastAsia="SimHei" w:hint="eastAsia"/>
        </w:rPr>
        <w:t>暂行特别措施</w:t>
      </w:r>
    </w:p>
    <w:p w:rsidR="009739D7" w:rsidRDefault="009739D7" w:rsidP="009739D7">
      <w:pPr>
        <w:pStyle w:val="SingleTxt"/>
        <w:rPr>
          <w:rFonts w:hint="eastAsia"/>
        </w:rPr>
      </w:pPr>
      <w:r>
        <w:rPr>
          <w:rFonts w:hint="eastAsia"/>
        </w:rPr>
        <w:t>6.</w:t>
      </w:r>
      <w:r>
        <w:rPr>
          <w:rFonts w:hint="eastAsia"/>
        </w:rPr>
        <w:tab/>
      </w:r>
      <w:r w:rsidRPr="0065793F">
        <w:rPr>
          <w:rFonts w:hint="eastAsia"/>
          <w:spacing w:val="2"/>
        </w:rPr>
        <w:t>报告没有提供准确的资料，说明缔约国对是否有必要采用暂行特别措施解决长期存在的妇女在《公约》涵盖的某些领域内代表性不足和处境不利问题的意见/</w:t>
      </w:r>
      <w:r>
        <w:rPr>
          <w:rFonts w:hint="eastAsia"/>
        </w:rPr>
        <w:t xml:space="preserve">立场。请说明缔约国对于下列问题采取什么态度：根据《公约》第4条第1款采取的暂行特别措施、委员会第25号一般性建议对此类措施的性质、目的和必要性的解释，以及实施这些措施的障碍。请具体举例说明法律为促进和加快男女在公约覆盖的妇女代表性不足或处于不利境地的领域取得实质性平等规定的暂行特别措施，以及通过执行这些措施取得的或设想将取得的成果。 </w:t>
      </w:r>
    </w:p>
    <w:p w:rsidR="009739D7" w:rsidRPr="0065793F" w:rsidRDefault="009739D7" w:rsidP="009739D7">
      <w:pPr>
        <w:pStyle w:val="SingleTxt"/>
        <w:rPr>
          <w:rFonts w:ascii="SimHei" w:eastAsia="SimHei" w:hint="eastAsia"/>
        </w:rPr>
      </w:pPr>
      <w:r w:rsidRPr="0065793F">
        <w:rPr>
          <w:rFonts w:ascii="SimHei" w:eastAsia="SimHei" w:hint="eastAsia"/>
        </w:rPr>
        <w:t>陈规定型观念和有害习俗</w:t>
      </w:r>
    </w:p>
    <w:p w:rsidR="009739D7" w:rsidRDefault="009739D7" w:rsidP="009739D7">
      <w:pPr>
        <w:pStyle w:val="SingleTxt"/>
        <w:rPr>
          <w:rFonts w:hint="eastAsia"/>
        </w:rPr>
      </w:pPr>
      <w:r>
        <w:rPr>
          <w:rFonts w:hint="eastAsia"/>
        </w:rPr>
        <w:t>7.</w:t>
      </w:r>
      <w:r>
        <w:rPr>
          <w:rFonts w:hint="eastAsia"/>
        </w:rPr>
        <w:tab/>
        <w:t xml:space="preserve">报告承认缔约国中持续存在性别陈规定型观念，但没有提供多少资料说明为打击陈规定型观念采取的举措以及这些举措的影响。做过哪些努力去解决对遭受多种形式基于族裔、年龄、残疾或其他特征的歧视的妇女所持陈规定型的态度？是否采取或计划采取任何公共教育方案，以应对此类陈规定型观念和歧视性做法的负面影响，包括在农村地区采取这类方案？根据委员会收到的资料，在农村地区，歧视性习俗往往导致妇女无法享有继承权，财产由其兄弟继承。 </w:t>
      </w:r>
    </w:p>
    <w:p w:rsidR="009739D7" w:rsidRPr="0065793F" w:rsidRDefault="009739D7" w:rsidP="009739D7">
      <w:pPr>
        <w:pStyle w:val="SingleTxt"/>
        <w:rPr>
          <w:rFonts w:ascii="SimHei" w:eastAsia="SimHei" w:hint="eastAsia"/>
        </w:rPr>
      </w:pPr>
      <w:r w:rsidRPr="0065793F">
        <w:rPr>
          <w:rFonts w:ascii="SimHei" w:eastAsia="SimHei" w:hint="eastAsia"/>
        </w:rPr>
        <w:t>暴力侵害妇女行为</w:t>
      </w:r>
    </w:p>
    <w:p w:rsidR="009739D7" w:rsidRDefault="009739D7" w:rsidP="0065793F">
      <w:pPr>
        <w:pStyle w:val="SingleTxt"/>
        <w:spacing w:after="120"/>
        <w:rPr>
          <w:rFonts w:hint="eastAsia"/>
        </w:rPr>
      </w:pPr>
      <w:r>
        <w:rPr>
          <w:rFonts w:hint="eastAsia"/>
        </w:rPr>
        <w:t>8.</w:t>
      </w:r>
      <w:r>
        <w:rPr>
          <w:rFonts w:hint="eastAsia"/>
        </w:rPr>
        <w:tab/>
        <w:t xml:space="preserve">报告指出(第46段)，没有关于法院审理家庭暴力案件的统计数据，《刑法》中也不包括关于家庭暴力罪的具体规定。报告还指出，家庭暴力犯罪条款列入《刑法》的工作计划于2012年完成。请提供资料，说明自提交报告以来已采取哪些步骤修订《刑法》以纳入家庭暴力罪，以及已采取了哪些步骤来提供资料和统计数据说明侵害妇女的家庭暴力和其他形式的基于性别的暴力侵害妇女行为，包括强奸。 </w:t>
      </w:r>
    </w:p>
    <w:p w:rsidR="009739D7" w:rsidRPr="0065793F" w:rsidRDefault="009739D7" w:rsidP="0065793F">
      <w:pPr>
        <w:pStyle w:val="SingleTxt"/>
        <w:spacing w:after="120"/>
        <w:rPr>
          <w:rFonts w:ascii="SimHei" w:eastAsia="SimHei" w:hint="eastAsia"/>
        </w:rPr>
      </w:pPr>
      <w:r w:rsidRPr="0065793F">
        <w:rPr>
          <w:rFonts w:ascii="SimHei" w:eastAsia="SimHei" w:hint="eastAsia"/>
        </w:rPr>
        <w:t>参与政治和公共生活及决策</w:t>
      </w:r>
    </w:p>
    <w:p w:rsidR="009739D7" w:rsidRDefault="009739D7" w:rsidP="0065793F">
      <w:pPr>
        <w:pStyle w:val="SingleTxt"/>
        <w:spacing w:after="120"/>
        <w:rPr>
          <w:rFonts w:hint="eastAsia"/>
        </w:rPr>
      </w:pPr>
      <w:r>
        <w:rPr>
          <w:rFonts w:hint="eastAsia"/>
        </w:rPr>
        <w:t>9.</w:t>
      </w:r>
      <w:r>
        <w:rPr>
          <w:rFonts w:hint="eastAsia"/>
        </w:rPr>
        <w:tab/>
        <w:t xml:space="preserve">报告承认(第110段)，女性在立法机构中的参与程度偏低仍是一大挑战。请提供按照性别分列的最新统计数据和资料，说明2012年议会选举结果和根据新《选举法》鼓励政党在选举的政党名单中增加女性候选人人数的财政奖励的影响(第110段)。还请说明缔约国是否打算制定和实施任何具体的面向结果的措施，包括性别配额等暂行特别措施，以促使妇女更多地参与政治和公共生活，包括在选举产生的自治机构中任职，以及促使妇女更多地参与和平进程和安全部门，这是执行安全理事会关于“妇女、和平与安全”的各项决议的《2012-2015年格鲁吉亚国家行动计划》四大支柱之一(第111段)。 </w:t>
      </w:r>
    </w:p>
    <w:p w:rsidR="009739D7" w:rsidRPr="0065793F" w:rsidRDefault="009739D7" w:rsidP="0065793F">
      <w:pPr>
        <w:pStyle w:val="SingleTxt"/>
        <w:spacing w:after="120"/>
        <w:rPr>
          <w:rFonts w:ascii="SimHei" w:eastAsia="SimHei" w:hint="eastAsia"/>
        </w:rPr>
      </w:pPr>
      <w:r w:rsidRPr="0065793F">
        <w:rPr>
          <w:rFonts w:ascii="SimHei" w:eastAsia="SimHei" w:hint="eastAsia"/>
        </w:rPr>
        <w:t>教育</w:t>
      </w:r>
    </w:p>
    <w:p w:rsidR="009739D7" w:rsidRDefault="009739D7" w:rsidP="0065793F">
      <w:pPr>
        <w:pStyle w:val="SingleTxt"/>
        <w:spacing w:after="120"/>
        <w:rPr>
          <w:rFonts w:hint="eastAsia"/>
        </w:rPr>
      </w:pPr>
      <w:r>
        <w:rPr>
          <w:rFonts w:hint="eastAsia"/>
        </w:rPr>
        <w:t>10.</w:t>
      </w:r>
      <w:r>
        <w:rPr>
          <w:rFonts w:hint="eastAsia"/>
        </w:rPr>
        <w:tab/>
        <w:t>根据公设辩护人2012年报告，女孩的基础教育退学率很高。请提供资料，说明各级教育中男孩和女孩的退学率，妇女和女孩中止学业的主要原因，以及缔约国采取了哪些措施来降低退学率。还请提供资料，说明已采取或打算采取哪些措施，以查明和解决导致贫穷家庭和少数族裔/民族家庭的女孩被剥夺接受学前教育、小学和中学各级教育权利的障碍，并说明残疾女孩和妇女接受教育的机会。</w:t>
      </w:r>
    </w:p>
    <w:p w:rsidR="009739D7" w:rsidRPr="0065793F" w:rsidRDefault="009739D7" w:rsidP="0065793F">
      <w:pPr>
        <w:pStyle w:val="SingleTxt"/>
        <w:spacing w:after="120"/>
        <w:rPr>
          <w:rFonts w:ascii="SimHei" w:eastAsia="SimHei" w:hint="eastAsia"/>
        </w:rPr>
      </w:pPr>
      <w:r w:rsidRPr="0065793F">
        <w:rPr>
          <w:rFonts w:ascii="SimHei" w:eastAsia="SimHei" w:hint="eastAsia"/>
        </w:rPr>
        <w:t>就业</w:t>
      </w:r>
    </w:p>
    <w:p w:rsidR="009739D7" w:rsidRDefault="009739D7" w:rsidP="0065793F">
      <w:pPr>
        <w:pStyle w:val="SingleTxt"/>
        <w:spacing w:after="120"/>
        <w:rPr>
          <w:rFonts w:hint="eastAsia"/>
        </w:rPr>
      </w:pPr>
      <w:r>
        <w:rPr>
          <w:rFonts w:hint="eastAsia"/>
        </w:rPr>
        <w:t>11.</w:t>
      </w:r>
      <w:r>
        <w:rPr>
          <w:rFonts w:hint="eastAsia"/>
        </w:rPr>
        <w:tab/>
        <w:t xml:space="preserve">报告指出(第121和123段)，《性别平等法》(2010年)规定了男女同工同酬的原则，但是，根据格鲁吉亚国家统计办公室的数据，2012年所有领域和所有经济部门妇女的平均名义月薪为572.4格鲁吉亚拉里，而男性则为914格鲁吉亚拉里(差距为40%)。请提供资料说明采取了何种措施确保充分遵守《公约》第11条的规定，在立法中充分表述同值工作同等报酬原则。 </w:t>
      </w:r>
    </w:p>
    <w:p w:rsidR="009739D7" w:rsidRPr="0065793F" w:rsidRDefault="009739D7" w:rsidP="009739D7">
      <w:pPr>
        <w:pStyle w:val="SingleTxt"/>
        <w:rPr>
          <w:rFonts w:hint="eastAsia"/>
          <w:spacing w:val="-2"/>
        </w:rPr>
      </w:pPr>
      <w:r>
        <w:rPr>
          <w:rFonts w:hint="eastAsia"/>
        </w:rPr>
        <w:t>12.</w:t>
      </w:r>
      <w:r>
        <w:rPr>
          <w:rFonts w:hint="eastAsia"/>
        </w:rPr>
        <w:tab/>
        <w:t>报告指出，《格鲁吉亚性别平等法》谴责工作场所的性骚扰(第156段)，而且缔约国的立法将性骚扰定为刑事犯罪，但没有提供进一步资料说明采取了什么措施来保护妇女免于这种形式的歧视，以及向遭受工作场所性骚扰的妇女提供了</w:t>
      </w:r>
      <w:r w:rsidRPr="0065793F">
        <w:rPr>
          <w:rFonts w:hint="eastAsia"/>
          <w:spacing w:val="-2"/>
        </w:rPr>
        <w:t>哪些补救措施。请提供详细资料，说明下列情况：禁止工作场所性骚扰的具体立法、所采取的鼓励雇主确保无性骚扰工作环境的措施，以及是否建立了妇女以保密的方式举报工作场所性骚扰事件的机制。还请提供资料，说明为评估问题的严重程度和找出在这方面的法律框架差距而收集的数据。此外，请说明在多大程度上采取了举证责任倒置做法来保护妇女不受职场歧视的权利以及她们的就业机会。</w:t>
      </w:r>
    </w:p>
    <w:p w:rsidR="009739D7" w:rsidRPr="0065793F" w:rsidRDefault="009739D7" w:rsidP="009739D7">
      <w:pPr>
        <w:pStyle w:val="SingleTxt"/>
        <w:rPr>
          <w:rFonts w:ascii="SimHei" w:eastAsia="SimHei" w:hint="eastAsia"/>
        </w:rPr>
      </w:pPr>
      <w:r w:rsidRPr="0065793F">
        <w:rPr>
          <w:rFonts w:ascii="SimHei" w:eastAsia="SimHei" w:hint="eastAsia"/>
        </w:rPr>
        <w:t>健康</w:t>
      </w:r>
    </w:p>
    <w:p w:rsidR="009739D7" w:rsidRDefault="009739D7" w:rsidP="009739D7">
      <w:pPr>
        <w:pStyle w:val="SingleTxt"/>
        <w:rPr>
          <w:rFonts w:hint="eastAsia"/>
        </w:rPr>
      </w:pPr>
      <w:r>
        <w:rPr>
          <w:rFonts w:hint="eastAsia"/>
        </w:rPr>
        <w:t>13.</w:t>
      </w:r>
      <w:r>
        <w:rPr>
          <w:rFonts w:hint="eastAsia"/>
        </w:rPr>
        <w:tab/>
        <w:t xml:space="preserve">报告指出(第232段)，孕产妇死亡率已降低，政府正在实施《格鲁吉亚围产保健总规划》，以解决孕产妇死亡率问题。报告还指出(第235段)，尽管政府、社会和国际捐助者大力支持使用现代避孕药具，但只有三分之一的已婚妇女表示采用某种避孕方法。请提供资料，说明缔约国为提高妇女和女孩对获得避孕药具途径的认识和促进妇女和女孩进入保健服务和生殖健康中心所采取措施产生的影响。委员会收到的资料表明，由于污名化风气和学校课程中缺乏适龄的性健康和生殖健康及权利教育、包括有关负责任性行为的教育，年轻妇女和少女很少有机会获得性健康和生殖健康教育、信息和服务。请提供资料，说明缔约国如何处理这一挑战，包括关于某些族裔群体的年轻妇女和少女的这方面挑战。 </w:t>
      </w:r>
    </w:p>
    <w:p w:rsidR="009739D7" w:rsidRDefault="009739D7" w:rsidP="009739D7">
      <w:pPr>
        <w:pStyle w:val="SingleTxt"/>
        <w:rPr>
          <w:rFonts w:hint="eastAsia"/>
        </w:rPr>
      </w:pPr>
      <w:r>
        <w:rPr>
          <w:rFonts w:hint="eastAsia"/>
        </w:rPr>
        <w:t>14.</w:t>
      </w:r>
      <w:r>
        <w:rPr>
          <w:rFonts w:hint="eastAsia"/>
        </w:rPr>
        <w:tab/>
        <w:t>根据委员会收到的资料，劳动部、卫生部及社会事务部目前正在制定保健战略，其中孕产妇保健是一项优先事项。请提供最新资料，说明保健战略的状况。</w:t>
      </w:r>
    </w:p>
    <w:p w:rsidR="009739D7" w:rsidRPr="0065793F" w:rsidRDefault="009739D7" w:rsidP="009739D7">
      <w:pPr>
        <w:pStyle w:val="SingleTxt"/>
        <w:rPr>
          <w:rFonts w:ascii="SimHei" w:eastAsia="SimHei" w:hint="eastAsia"/>
        </w:rPr>
      </w:pPr>
      <w:r w:rsidRPr="0065793F">
        <w:rPr>
          <w:rFonts w:ascii="SimHei" w:eastAsia="SimHei" w:hint="eastAsia"/>
        </w:rPr>
        <w:t>农村妇女和老年妇女</w:t>
      </w:r>
    </w:p>
    <w:p w:rsidR="009739D7" w:rsidRDefault="009739D7" w:rsidP="009739D7">
      <w:pPr>
        <w:pStyle w:val="SingleTxt"/>
        <w:rPr>
          <w:rFonts w:hint="eastAsia"/>
        </w:rPr>
      </w:pPr>
      <w:r>
        <w:rPr>
          <w:rFonts w:hint="eastAsia"/>
        </w:rPr>
        <w:t>15.</w:t>
      </w:r>
      <w:r>
        <w:rPr>
          <w:rFonts w:hint="eastAsia"/>
        </w:rPr>
        <w:tab/>
        <w:t>根据报告提供的资料(第145段)，缔约国46.9%的人口生活在农村地区。报告指出，缔约国采取了一些举措来解决贫穷问题并改善基础设施和农村妇女取水便利。请提供资料说明这些举措的结果和对这些举措的评价。还请提供资料，说明采取了哪些措施来促使农村妇女更多地参与政治和公共生活、包括参加地方一级的决策进程，并提高她们在遭受基于性别的暴力时获得司法救助、保护、支助和援助的机会，以及接受保健服务、获得就业、参与决策过程的机会和获得经济机遇的机会。</w:t>
      </w:r>
    </w:p>
    <w:p w:rsidR="009739D7" w:rsidRDefault="009739D7" w:rsidP="009739D7">
      <w:pPr>
        <w:pStyle w:val="SingleTxt"/>
        <w:rPr>
          <w:rFonts w:hint="eastAsia"/>
        </w:rPr>
      </w:pPr>
      <w:r>
        <w:rPr>
          <w:rFonts w:hint="eastAsia"/>
        </w:rPr>
        <w:t>16.</w:t>
      </w:r>
      <w:r>
        <w:rPr>
          <w:rFonts w:hint="eastAsia"/>
        </w:rPr>
        <w:tab/>
        <w:t>报告没有提供任何资料，说明农村妇女获得土地所有权和其他经济资源的机会。请提供全面数据，说明农村妇女在土地拥有权方面的概况，并说明缔约国采取了哪些措施确保妇女平等获得土地的机会，以及为强化农村妇女经济独立所作努力。</w:t>
      </w:r>
    </w:p>
    <w:p w:rsidR="009739D7" w:rsidRDefault="009739D7" w:rsidP="009739D7">
      <w:pPr>
        <w:pStyle w:val="SingleTxt"/>
        <w:rPr>
          <w:rFonts w:hint="eastAsia"/>
        </w:rPr>
      </w:pPr>
      <w:r>
        <w:rPr>
          <w:rFonts w:hint="eastAsia"/>
        </w:rPr>
        <w:t>17.</w:t>
      </w:r>
      <w:r>
        <w:rPr>
          <w:rFonts w:hint="eastAsia"/>
        </w:rPr>
        <w:tab/>
        <w:t xml:space="preserve">请提供资料，说明老年妇女的状况，包括她们获得保健和社会服务的机会以及获得保护不受暴力侵害的机会，并说明任何针对其具体需要的方案和战略。 </w:t>
      </w:r>
    </w:p>
    <w:p w:rsidR="009739D7" w:rsidRPr="0065793F" w:rsidRDefault="009739D7" w:rsidP="009739D7">
      <w:pPr>
        <w:pStyle w:val="SingleTxt"/>
        <w:rPr>
          <w:rFonts w:ascii="SimHei" w:eastAsia="SimHei" w:hint="eastAsia"/>
        </w:rPr>
      </w:pPr>
      <w:r w:rsidRPr="0065793F">
        <w:rPr>
          <w:rFonts w:ascii="SimHei" w:eastAsia="SimHei" w:hint="eastAsia"/>
        </w:rPr>
        <w:t>被拘留妇女</w:t>
      </w:r>
    </w:p>
    <w:p w:rsidR="009739D7" w:rsidRDefault="009739D7" w:rsidP="009739D7">
      <w:pPr>
        <w:pStyle w:val="SingleTxt"/>
        <w:rPr>
          <w:rFonts w:hint="eastAsia"/>
        </w:rPr>
      </w:pPr>
      <w:r>
        <w:rPr>
          <w:rFonts w:hint="eastAsia"/>
        </w:rPr>
        <w:t>18.</w:t>
      </w:r>
      <w:r>
        <w:rPr>
          <w:rFonts w:hint="eastAsia"/>
        </w:rPr>
        <w:tab/>
        <w:t>报告只字未提被拘留妇女的状况。请提供资料，说明被拘留妇女的情况，说明如何监测监狱中妇女状况，以及那些条件是不是符合一般国际标准。还请提供资料说明是否向被拘留的吸毒妇女提供戒除药物依赖的治疗。</w:t>
      </w:r>
    </w:p>
    <w:p w:rsidR="009739D7" w:rsidRPr="0065793F" w:rsidRDefault="009739D7" w:rsidP="009739D7">
      <w:pPr>
        <w:pStyle w:val="SingleTxt"/>
        <w:rPr>
          <w:rFonts w:ascii="SimHei" w:eastAsia="SimHei" w:hint="eastAsia"/>
        </w:rPr>
      </w:pPr>
      <w:r w:rsidRPr="0065793F">
        <w:rPr>
          <w:rFonts w:ascii="SimHei" w:eastAsia="SimHei" w:hint="eastAsia"/>
        </w:rPr>
        <w:t>境内流离失所、逃难、寻求庇护和无国籍妇女</w:t>
      </w:r>
    </w:p>
    <w:p w:rsidR="009739D7" w:rsidRDefault="009739D7" w:rsidP="009739D7">
      <w:pPr>
        <w:pStyle w:val="SingleTxt"/>
        <w:rPr>
          <w:rFonts w:hint="eastAsia"/>
        </w:rPr>
      </w:pPr>
      <w:r>
        <w:rPr>
          <w:rFonts w:hint="eastAsia"/>
        </w:rPr>
        <w:t>19.</w:t>
      </w:r>
      <w:r>
        <w:rPr>
          <w:rFonts w:hint="eastAsia"/>
        </w:rPr>
        <w:tab/>
        <w:t>请提供资料说明目前对《境内流离失所者法》的修订，并提供最新资料，说明任何为向境内流离失所的妇女提供保护而采取的行动计划、政策和战略。还请提供最新资料，说明最近为更好地将对性别问题有敏感认识的方式适用于女难民、寻求庇护的妇女和无国籍妇女而采取的立法、行政措施和其他措施，以及其执行情况。此外，请提供资料，说明国内流离失所妇女目前的生活条件，尤其是住房、粮食安全、免受暴力侵害和寻求司法救助，以及获得健康服务、教育和就业的状况。</w:t>
      </w:r>
    </w:p>
    <w:p w:rsidR="009739D7" w:rsidRPr="0065793F" w:rsidRDefault="009739D7" w:rsidP="009739D7">
      <w:pPr>
        <w:pStyle w:val="SingleTxt"/>
        <w:rPr>
          <w:rFonts w:ascii="SimHei" w:eastAsia="SimHei" w:hint="eastAsia"/>
        </w:rPr>
      </w:pPr>
      <w:r w:rsidRPr="0065793F">
        <w:rPr>
          <w:rFonts w:ascii="SimHei" w:eastAsia="SimHei" w:hint="eastAsia"/>
        </w:rPr>
        <w:t xml:space="preserve">婚姻和家庭关系 </w:t>
      </w:r>
    </w:p>
    <w:p w:rsidR="00EA31C3" w:rsidRDefault="009739D7" w:rsidP="009739D7">
      <w:pPr>
        <w:pStyle w:val="SingleTxt"/>
      </w:pPr>
      <w:r>
        <w:rPr>
          <w:rFonts w:hint="eastAsia"/>
        </w:rPr>
        <w:t>20.</w:t>
      </w:r>
      <w:r>
        <w:rPr>
          <w:rFonts w:hint="eastAsia"/>
        </w:rPr>
        <w:tab/>
        <w:t>报告指出(第172段)，缔约国的法定最低结婚年龄是18岁。根据委员会收到的资料，缔约国存在童婚现象。请提供资料说明这种现象，以及缔约国采取了何种措施来有效解决童婚和强迫婚姻问题。根据委员会收到的资料，没有正式注册的婚姻占较高比例。请详细说明这一问题，并请提供资料，说明缔约国为有效解决这一问题采取了哪些措施。</w:t>
      </w:r>
    </w:p>
    <w:p w:rsidR="0065793F" w:rsidRPr="0065793F" w:rsidRDefault="0065793F" w:rsidP="0065793F">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65793F" w:rsidRPr="0065793F" w:rsidSect="00D50F6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08:31:00Z" w:initials="Start">
    <w:p w:rsidR="004C41DF" w:rsidRDefault="004C41D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7F38F3">
        <w:fldChar w:fldCharType="separate"/>
      </w:r>
      <w:r w:rsidR="007F38F3">
        <w:rPr>
          <w:rFonts w:hint="eastAsia"/>
          <w:noProof/>
        </w:rPr>
        <w:t xml:space="preserve">页: </w:t>
      </w:r>
      <w:r w:rsidR="007F38F3">
        <w:rPr>
          <w:noProof/>
        </w:rPr>
        <w:t>1</w:t>
      </w:r>
      <w:r w:rsidR="007F38F3">
        <w:rPr>
          <w:rFonts w:hint="eastAsia"/>
          <w:noProof/>
        </w:rPr>
        <w:br/>
      </w:r>
      <w:r>
        <w:fldChar w:fldCharType="end"/>
      </w:r>
      <w:r>
        <w:rPr>
          <w:rStyle w:val="CommentReference"/>
        </w:rPr>
        <w:annotationRef/>
      </w:r>
      <w:r>
        <w:t>&lt;&lt;ODS JOB NO&gt;&gt;N1353269C&lt;&lt;ODS JOB NO&gt;&gt;</w:t>
      </w:r>
    </w:p>
    <w:p w:rsidR="004C41DF" w:rsidRDefault="004C41DF">
      <w:pPr>
        <w:pStyle w:val="CommentText"/>
      </w:pPr>
      <w:r>
        <w:t>&lt;&lt;ODS DOC SYMBOL1&gt;&gt;CEDAW/C/GEO/Q/4-5&lt;&lt;ODS DOC SYMBOL1&gt;&gt;</w:t>
      </w:r>
    </w:p>
    <w:p w:rsidR="004C41DF" w:rsidRDefault="004C41D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9BF" w:rsidRDefault="007F69BF">
      <w:r>
        <w:separator/>
      </w:r>
    </w:p>
  </w:endnote>
  <w:endnote w:type="continuationSeparator" w:id="0">
    <w:p w:rsidR="007F69BF" w:rsidRDefault="007F69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新宋体-18030">
    <w:altName w:val="宋体"/>
    <w:charset w:val="86"/>
    <w:family w:val="modern"/>
    <w:pitch w:val="fixed"/>
    <w:sig w:usb0="800022A7" w:usb1="880F3C78" w:usb2="000A005E"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C41DF" w:rsidTr="00D50F63">
      <w:tblPrEx>
        <w:tblCellMar>
          <w:top w:w="0" w:type="dxa"/>
          <w:bottom w:w="0" w:type="dxa"/>
        </w:tblCellMar>
      </w:tblPrEx>
      <w:tc>
        <w:tcPr>
          <w:tcW w:w="5033" w:type="dxa"/>
          <w:shd w:val="clear" w:color="auto" w:fill="auto"/>
        </w:tcPr>
        <w:p w:rsidR="004C41DF" w:rsidRPr="00D50F63" w:rsidRDefault="004C41DF" w:rsidP="00D50F63">
          <w:pPr>
            <w:pStyle w:val="Footer"/>
            <w:jc w:val="right"/>
            <w:rPr>
              <w:b w:val="0"/>
              <w:w w:val="103"/>
              <w:sz w:val="14"/>
            </w:rPr>
          </w:pPr>
          <w:fldSimple w:instr=" DOCVARIABLE &quot;FooterJN&quot; \* MERGEFORMAT ">
            <w:r w:rsidR="007F38F3">
              <w:rPr>
                <w:b w:val="0"/>
                <w:w w:val="103"/>
                <w:sz w:val="14"/>
              </w:rPr>
              <w:t>13-53269 (C)</w:t>
            </w:r>
          </w:fldSimple>
        </w:p>
      </w:tc>
      <w:tc>
        <w:tcPr>
          <w:tcW w:w="5033" w:type="dxa"/>
          <w:shd w:val="clear" w:color="auto" w:fill="auto"/>
        </w:tcPr>
        <w:p w:rsidR="004C41DF" w:rsidRPr="00D50F63" w:rsidRDefault="004C41DF" w:rsidP="00D50F63">
          <w:pPr>
            <w:pStyle w:val="Footer"/>
            <w:jc w:val="left"/>
            <w:rPr>
              <w:w w:val="103"/>
            </w:rPr>
          </w:pPr>
          <w:r>
            <w:rPr>
              <w:w w:val="103"/>
            </w:rPr>
            <w:fldChar w:fldCharType="begin"/>
          </w:r>
          <w:r>
            <w:rPr>
              <w:w w:val="103"/>
            </w:rPr>
            <w:instrText xml:space="preserve"> PAGE  \* Arabic  \* MERGEFORMAT </w:instrText>
          </w:r>
          <w:r>
            <w:rPr>
              <w:w w:val="103"/>
            </w:rPr>
            <w:fldChar w:fldCharType="separate"/>
          </w:r>
          <w:r w:rsidR="007F38F3">
            <w:rPr>
              <w:w w:val="103"/>
            </w:rPr>
            <w:t>2</w:t>
          </w:r>
          <w:r>
            <w:rPr>
              <w:w w:val="103"/>
            </w:rPr>
            <w:fldChar w:fldCharType="end"/>
          </w:r>
          <w:r>
            <w:rPr>
              <w:w w:val="103"/>
            </w:rPr>
            <w:t>/</w:t>
          </w:r>
          <w:fldSimple w:instr=" NUMPAGES  \* Arabic  \* MERGEFORMAT ">
            <w:r w:rsidR="007F38F3">
              <w:rPr>
                <w:w w:val="103"/>
              </w:rPr>
              <w:t>5</w:t>
            </w:r>
          </w:fldSimple>
        </w:p>
      </w:tc>
    </w:tr>
  </w:tbl>
  <w:p w:rsidR="004C41DF" w:rsidRPr="00D50F63" w:rsidRDefault="004C41DF" w:rsidP="00D50F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C41DF" w:rsidTr="00D50F63">
      <w:tblPrEx>
        <w:tblCellMar>
          <w:top w:w="0" w:type="dxa"/>
          <w:bottom w:w="0" w:type="dxa"/>
        </w:tblCellMar>
      </w:tblPrEx>
      <w:tc>
        <w:tcPr>
          <w:tcW w:w="5033" w:type="dxa"/>
          <w:shd w:val="clear" w:color="auto" w:fill="auto"/>
        </w:tcPr>
        <w:p w:rsidR="004C41DF" w:rsidRPr="00D50F63" w:rsidRDefault="004C41DF" w:rsidP="00D50F63">
          <w:pPr>
            <w:pStyle w:val="Footer"/>
            <w:jc w:val="right"/>
          </w:pPr>
          <w:fldSimple w:instr=" PAGE  \* Arabic  \* MERGEFORMAT ">
            <w:r w:rsidR="007F38F3">
              <w:t>5</w:t>
            </w:r>
          </w:fldSimple>
          <w:r>
            <w:t>/</w:t>
          </w:r>
          <w:fldSimple w:instr=" NUMPAGES  \* Arabic  \* MERGEFORMAT ">
            <w:r w:rsidR="007F38F3">
              <w:t>5</w:t>
            </w:r>
          </w:fldSimple>
        </w:p>
      </w:tc>
      <w:tc>
        <w:tcPr>
          <w:tcW w:w="5033" w:type="dxa"/>
          <w:shd w:val="clear" w:color="auto" w:fill="auto"/>
        </w:tcPr>
        <w:p w:rsidR="004C41DF" w:rsidRPr="00D50F63" w:rsidRDefault="004C41DF" w:rsidP="00D50F63">
          <w:pPr>
            <w:pStyle w:val="Footer"/>
            <w:jc w:val="left"/>
            <w:rPr>
              <w:b w:val="0"/>
              <w:w w:val="103"/>
              <w:sz w:val="14"/>
            </w:rPr>
          </w:pPr>
          <w:fldSimple w:instr=" DOCVARIABLE &quot;FooterJN&quot; \* MERGEFORMAT ">
            <w:r w:rsidR="007F38F3">
              <w:rPr>
                <w:b w:val="0"/>
                <w:w w:val="103"/>
                <w:sz w:val="14"/>
              </w:rPr>
              <w:t>13-53269 (C)</w:t>
            </w:r>
          </w:fldSimple>
        </w:p>
      </w:tc>
    </w:tr>
  </w:tbl>
  <w:p w:rsidR="004C41DF" w:rsidRPr="00D50F63" w:rsidRDefault="004C41DF" w:rsidP="00D50F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C41DF" w:rsidTr="00D50F63">
      <w:tblPrEx>
        <w:tblCellMar>
          <w:top w:w="0" w:type="dxa"/>
          <w:bottom w:w="0" w:type="dxa"/>
        </w:tblCellMar>
      </w:tblPrEx>
      <w:tc>
        <w:tcPr>
          <w:tcW w:w="5033" w:type="dxa"/>
        </w:tcPr>
        <w:p w:rsidR="004C41DF" w:rsidRDefault="004C41DF" w:rsidP="00D50F63">
          <w:pPr>
            <w:pStyle w:val="Footer"/>
            <w:rPr>
              <w:b w:val="0"/>
              <w:sz w:val="21"/>
            </w:rPr>
          </w:pPr>
          <w:fldSimple w:instr=" DOCVARIABLE &quot;jobn&quot; \* MERGEFORMAT ">
            <w:r w:rsidR="007F38F3">
              <w:rPr>
                <w:b w:val="0"/>
                <w:sz w:val="21"/>
              </w:rPr>
              <w:t>13-53269 (C)</w:t>
            </w:r>
          </w:fldSimple>
          <w:r>
            <w:rPr>
              <w:b w:val="0"/>
              <w:sz w:val="21"/>
            </w:rPr>
            <w:t xml:space="preserve">    </w:t>
          </w:r>
          <w:r w:rsidR="007F38F3">
            <w:rPr>
              <w:b w:val="0"/>
              <w:sz w:val="21"/>
            </w:rPr>
            <w:t>06</w:t>
          </w:r>
          <w:r>
            <w:rPr>
              <w:b w:val="0"/>
              <w:sz w:val="21"/>
            </w:rPr>
            <w:t>1113    131113</w:t>
          </w:r>
        </w:p>
        <w:p w:rsidR="004C41DF" w:rsidRPr="00D50F63" w:rsidRDefault="004C41DF" w:rsidP="00D50F63">
          <w:pPr>
            <w:spacing w:before="80" w:line="210" w:lineRule="exact"/>
            <w:rPr>
              <w:rFonts w:ascii="Barcode 3 of 9 by request" w:hAnsi="Barcode 3 of 9 by request"/>
              <w:sz w:val="24"/>
            </w:rPr>
          </w:pPr>
          <w:r>
            <w:rPr>
              <w:rFonts w:ascii="Barcode 3 of 9 by request" w:hAnsi="Barcode 3 of 9 by request" w:hint="eastAsia"/>
              <w:sz w:val="24"/>
            </w:rPr>
            <w:t>*1353269*</w:t>
          </w:r>
        </w:p>
      </w:tc>
      <w:tc>
        <w:tcPr>
          <w:tcW w:w="3686" w:type="dxa"/>
        </w:tcPr>
        <w:p w:rsidR="004C41DF" w:rsidRDefault="004C41DF" w:rsidP="00D50F63">
          <w:pPr>
            <w:pStyle w:val="Footer"/>
            <w:jc w:val="right"/>
            <w:rPr>
              <w:b w:val="0"/>
              <w:sz w:val="21"/>
            </w:rPr>
          </w:pPr>
          <w:r w:rsidRPr="00D50F6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C41DF" w:rsidRPr="00D50F63" w:rsidRDefault="004C41DF" w:rsidP="00D50F6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9BF" w:rsidRPr="0065793F" w:rsidRDefault="007F69BF" w:rsidP="0065793F">
      <w:pPr>
        <w:pStyle w:val="Footer"/>
        <w:spacing w:after="80"/>
        <w:ind w:left="792"/>
        <w:rPr>
          <w:sz w:val="16"/>
        </w:rPr>
      </w:pPr>
      <w:r w:rsidRPr="0065793F">
        <w:rPr>
          <w:sz w:val="16"/>
        </w:rPr>
        <w:t>__________________</w:t>
      </w:r>
    </w:p>
  </w:footnote>
  <w:footnote w:type="continuationSeparator" w:id="0">
    <w:p w:rsidR="007F69BF" w:rsidRPr="0065793F" w:rsidRDefault="007F69BF" w:rsidP="0065793F">
      <w:pPr>
        <w:pStyle w:val="Footer"/>
        <w:spacing w:after="80"/>
        <w:ind w:left="792"/>
        <w:rPr>
          <w:sz w:val="16"/>
        </w:rPr>
      </w:pPr>
      <w:r w:rsidRPr="0065793F">
        <w:rPr>
          <w:sz w:val="16"/>
        </w:rPr>
        <w:t>__________________</w:t>
      </w:r>
    </w:p>
  </w:footnote>
  <w:footnote w:id="1">
    <w:p w:rsidR="004C41DF" w:rsidRDefault="004C41DF" w:rsidP="0065793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65793F">
        <w:rPr>
          <w:vertAlign w:val="superscript"/>
        </w:rPr>
        <w:t>*</w:t>
      </w:r>
      <w:r>
        <w:tab/>
      </w:r>
      <w:r>
        <w:rPr>
          <w:rFonts w:hint="eastAsia"/>
        </w:rPr>
        <w:t>已获第五十八届会议会前工作组通过</w:t>
      </w:r>
      <w:r>
        <w:t>(2013</w:t>
      </w:r>
      <w:r>
        <w:rPr>
          <w:rFonts w:hint="eastAsia"/>
        </w:rPr>
        <w:t>年10月</w:t>
      </w:r>
      <w:r>
        <w:t>21</w:t>
      </w:r>
      <w:r>
        <w:rPr>
          <w:rFonts w:hint="eastAsia"/>
        </w:rPr>
        <w:t>日至</w:t>
      </w:r>
      <w:r>
        <w:t>25</w:t>
      </w:r>
      <w:r>
        <w:rPr>
          <w:rFonts w:hint="eastAsia"/>
        </w:rPr>
        <w:t>日</w:t>
      </w:r>
      <w:r>
        <w:t>)</w:t>
      </w:r>
      <w:r>
        <w:rPr>
          <w:rFonts w:hint="eastAsia"/>
        </w:rPr>
        <w:t>。</w:t>
      </w:r>
    </w:p>
    <w:p w:rsidR="004C41DF" w:rsidRDefault="004C41DF" w:rsidP="0065793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新宋体-18030" w:eastAsia="新宋体-18030" w:hAnsi="新宋体-18030" w:cs="新宋体-18030"/>
          <w:color w:val="000000"/>
          <w:sz w:val="16"/>
          <w:szCs w:val="16"/>
        </w:rPr>
      </w:pPr>
      <w:r>
        <w:tab/>
      </w:r>
      <w:r>
        <w:rPr>
          <w:rStyle w:val="FootnoteReference"/>
        </w:rPr>
        <w:footnoteRef/>
      </w:r>
      <w:r>
        <w:tab/>
      </w:r>
      <w:r w:rsidRPr="00806140">
        <w:rPr>
          <w:rFonts w:ascii="新宋体-18030" w:eastAsia="新宋体-18030" w:hAnsi="新宋体-18030" w:cs="新宋体-18030"/>
          <w:color w:val="000000"/>
          <w:sz w:val="16"/>
          <w:szCs w:val="16"/>
        </w:rPr>
        <w:t>除非另有说明，段号均为缔约国第四次和第五次合并定期报告(CEDAW/</w:t>
      </w:r>
      <w:r>
        <w:rPr>
          <w:rFonts w:ascii="新宋体-18030" w:eastAsia="新宋体-18030" w:hAnsi="新宋体-18030" w:cs="新宋体-18030" w:hint="eastAsia"/>
          <w:color w:val="000000"/>
          <w:sz w:val="16"/>
          <w:szCs w:val="16"/>
        </w:rPr>
        <w:t>C</w:t>
      </w:r>
      <w:r w:rsidRPr="00806140">
        <w:rPr>
          <w:rFonts w:ascii="新宋体-18030" w:eastAsia="新宋体-18030" w:hAnsi="新宋体-18030" w:cs="新宋体-18030"/>
          <w:color w:val="000000"/>
          <w:sz w:val="16"/>
          <w:szCs w:val="16"/>
        </w:rPr>
        <w:t>/</w:t>
      </w:r>
      <w:r>
        <w:rPr>
          <w:rFonts w:ascii="新宋体-18030" w:eastAsia="新宋体-18030" w:hAnsi="新宋体-18030" w:cs="新宋体-18030" w:hint="eastAsia"/>
          <w:color w:val="000000"/>
          <w:sz w:val="16"/>
          <w:szCs w:val="16"/>
        </w:rPr>
        <w:t>GEO</w:t>
      </w:r>
      <w:r w:rsidRPr="00806140">
        <w:rPr>
          <w:rFonts w:ascii="新宋体-18030" w:eastAsia="新宋体-18030" w:hAnsi="新宋体-18030" w:cs="新宋体-18030"/>
          <w:color w:val="000000"/>
          <w:sz w:val="16"/>
          <w:szCs w:val="16"/>
        </w:rPr>
        <w:t>/4-5)中的段号。</w:t>
      </w:r>
    </w:p>
    <w:p w:rsidR="007F38F3" w:rsidRDefault="007F38F3" w:rsidP="007F38F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0" w:line="200" w:lineRule="exact"/>
        <w:ind w:left="1270" w:right="1259" w:hanging="578"/>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C41DF" w:rsidTr="00D50F63">
      <w:tblPrEx>
        <w:tblCellMar>
          <w:top w:w="0" w:type="dxa"/>
          <w:bottom w:w="0" w:type="dxa"/>
        </w:tblCellMar>
      </w:tblPrEx>
      <w:trPr>
        <w:trHeight w:hRule="exact" w:val="864"/>
      </w:trPr>
      <w:tc>
        <w:tcPr>
          <w:tcW w:w="4838" w:type="dxa"/>
          <w:shd w:val="clear" w:color="auto" w:fill="auto"/>
          <w:vAlign w:val="bottom"/>
        </w:tcPr>
        <w:p w:rsidR="004C41DF" w:rsidRPr="00D50F63" w:rsidRDefault="004C41DF" w:rsidP="00D50F63">
          <w:pPr>
            <w:pStyle w:val="Header"/>
            <w:spacing w:after="80"/>
            <w:jc w:val="left"/>
            <w:rPr>
              <w:b/>
              <w:sz w:val="17"/>
            </w:rPr>
          </w:pPr>
          <w:fldSimple w:instr=" DOCVARIABLE &quot;sss1&quot; \* MERGEFORMAT ">
            <w:r w:rsidR="007F38F3">
              <w:rPr>
                <w:b/>
                <w:sz w:val="17"/>
              </w:rPr>
              <w:t>CEDAW/C/GEO/Q/4-5</w:t>
            </w:r>
          </w:fldSimple>
        </w:p>
      </w:tc>
      <w:tc>
        <w:tcPr>
          <w:tcW w:w="5033" w:type="dxa"/>
          <w:shd w:val="clear" w:color="auto" w:fill="auto"/>
          <w:vAlign w:val="bottom"/>
        </w:tcPr>
        <w:p w:rsidR="004C41DF" w:rsidRDefault="004C41DF" w:rsidP="00D50F63">
          <w:pPr>
            <w:pStyle w:val="Header"/>
          </w:pPr>
        </w:p>
      </w:tc>
    </w:tr>
  </w:tbl>
  <w:p w:rsidR="004C41DF" w:rsidRPr="00D50F63" w:rsidRDefault="004C41DF" w:rsidP="00D50F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C41DF" w:rsidTr="00D50F63">
      <w:tblPrEx>
        <w:tblCellMar>
          <w:top w:w="0" w:type="dxa"/>
          <w:bottom w:w="0" w:type="dxa"/>
        </w:tblCellMar>
      </w:tblPrEx>
      <w:trPr>
        <w:trHeight w:hRule="exact" w:val="864"/>
      </w:trPr>
      <w:tc>
        <w:tcPr>
          <w:tcW w:w="4838" w:type="dxa"/>
          <w:shd w:val="clear" w:color="auto" w:fill="auto"/>
          <w:vAlign w:val="bottom"/>
        </w:tcPr>
        <w:p w:rsidR="004C41DF" w:rsidRDefault="004C41DF" w:rsidP="00D50F63">
          <w:pPr>
            <w:pStyle w:val="Header"/>
          </w:pPr>
        </w:p>
      </w:tc>
      <w:tc>
        <w:tcPr>
          <w:tcW w:w="5033" w:type="dxa"/>
          <w:shd w:val="clear" w:color="auto" w:fill="auto"/>
          <w:vAlign w:val="bottom"/>
        </w:tcPr>
        <w:p w:rsidR="004C41DF" w:rsidRPr="00D50F63" w:rsidRDefault="004C41DF" w:rsidP="00D50F63">
          <w:pPr>
            <w:pStyle w:val="Header"/>
            <w:spacing w:after="80"/>
            <w:jc w:val="right"/>
            <w:rPr>
              <w:b/>
              <w:sz w:val="17"/>
            </w:rPr>
          </w:pPr>
          <w:fldSimple w:instr=" DOCVARIABLE &quot;sss1&quot; \* MERGEFORMAT ">
            <w:r w:rsidR="007F38F3">
              <w:rPr>
                <w:b/>
                <w:sz w:val="17"/>
              </w:rPr>
              <w:t>CEDAW/C/GEO/Q/4-5</w:t>
            </w:r>
          </w:fldSimple>
        </w:p>
      </w:tc>
    </w:tr>
  </w:tbl>
  <w:p w:rsidR="004C41DF" w:rsidRPr="00D50F63" w:rsidRDefault="004C41DF" w:rsidP="00D50F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C41DF" w:rsidTr="00D50F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41DF" w:rsidRDefault="004C41DF" w:rsidP="00D50F63">
          <w:pPr>
            <w:pStyle w:val="Header"/>
            <w:spacing w:after="120"/>
          </w:pPr>
        </w:p>
      </w:tc>
      <w:tc>
        <w:tcPr>
          <w:tcW w:w="1872" w:type="dxa"/>
          <w:tcBorders>
            <w:bottom w:val="single" w:sz="4" w:space="0" w:color="auto"/>
          </w:tcBorders>
          <w:shd w:val="clear" w:color="auto" w:fill="auto"/>
          <w:vAlign w:val="bottom"/>
        </w:tcPr>
        <w:p w:rsidR="004C41DF" w:rsidRPr="00D50F63" w:rsidRDefault="004C41DF" w:rsidP="00D50F6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C41DF" w:rsidRDefault="004C41DF" w:rsidP="00D50F63">
          <w:pPr>
            <w:pStyle w:val="Header"/>
            <w:spacing w:after="120"/>
          </w:pPr>
        </w:p>
      </w:tc>
      <w:tc>
        <w:tcPr>
          <w:tcW w:w="6523" w:type="dxa"/>
          <w:gridSpan w:val="3"/>
          <w:tcBorders>
            <w:bottom w:val="single" w:sz="4" w:space="0" w:color="auto"/>
          </w:tcBorders>
          <w:shd w:val="clear" w:color="auto" w:fill="auto"/>
          <w:vAlign w:val="bottom"/>
        </w:tcPr>
        <w:p w:rsidR="004C41DF" w:rsidRPr="00D50F63" w:rsidRDefault="004C41DF" w:rsidP="00D50F63">
          <w:pPr>
            <w:spacing w:after="80" w:line="240" w:lineRule="auto"/>
            <w:jc w:val="right"/>
            <w:rPr>
              <w:rFonts w:ascii="Times New Roman"/>
              <w:position w:val="-4"/>
            </w:rPr>
          </w:pPr>
          <w:r>
            <w:rPr>
              <w:rFonts w:ascii="Times New Roman"/>
              <w:position w:val="-4"/>
              <w:sz w:val="40"/>
            </w:rPr>
            <w:t>CEDAW</w:t>
          </w:r>
          <w:r>
            <w:rPr>
              <w:rFonts w:ascii="Times New Roman"/>
              <w:position w:val="-4"/>
            </w:rPr>
            <w:t>/C/GEO/Q/4-5</w:t>
          </w:r>
        </w:p>
      </w:tc>
    </w:tr>
    <w:tr w:rsidR="004C41DF" w:rsidRPr="00D50F63" w:rsidTr="00D50F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41DF" w:rsidRDefault="004C41DF" w:rsidP="00D50F6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C41DF" w:rsidRPr="00D50F63" w:rsidRDefault="004C41DF" w:rsidP="00D50F63">
          <w:pPr>
            <w:pStyle w:val="Header"/>
            <w:spacing w:before="109"/>
            <w:ind w:left="-72"/>
          </w:pPr>
        </w:p>
      </w:tc>
      <w:tc>
        <w:tcPr>
          <w:tcW w:w="5227" w:type="dxa"/>
          <w:gridSpan w:val="3"/>
          <w:tcBorders>
            <w:top w:val="single" w:sz="4" w:space="0" w:color="auto"/>
            <w:bottom w:val="single" w:sz="12" w:space="0" w:color="auto"/>
          </w:tcBorders>
          <w:shd w:val="clear" w:color="auto" w:fill="auto"/>
        </w:tcPr>
        <w:p w:rsidR="004C41DF" w:rsidRPr="00D50F63" w:rsidRDefault="004C41DF" w:rsidP="00D50F6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C41DF" w:rsidRPr="00D50F63" w:rsidRDefault="004C41DF" w:rsidP="00D50F63">
          <w:pPr>
            <w:pStyle w:val="Header"/>
            <w:spacing w:before="109"/>
          </w:pPr>
        </w:p>
      </w:tc>
      <w:tc>
        <w:tcPr>
          <w:tcW w:w="3180" w:type="dxa"/>
          <w:gridSpan w:val="2"/>
          <w:tcBorders>
            <w:top w:val="single" w:sz="4" w:space="0" w:color="auto"/>
            <w:bottom w:val="single" w:sz="12" w:space="0" w:color="auto"/>
          </w:tcBorders>
          <w:shd w:val="clear" w:color="auto" w:fill="auto"/>
        </w:tcPr>
        <w:p w:rsidR="004C41DF" w:rsidRDefault="004C41DF" w:rsidP="00D50F63">
          <w:pPr>
            <w:spacing w:before="240" w:line="240" w:lineRule="exact"/>
            <w:rPr>
              <w:rFonts w:ascii="Times New Roman"/>
            </w:rPr>
          </w:pPr>
          <w:r>
            <w:rPr>
              <w:rFonts w:ascii="Times New Roman"/>
            </w:rPr>
            <w:t>Distr.: General</w:t>
          </w:r>
        </w:p>
        <w:p w:rsidR="004C41DF" w:rsidRDefault="004C41DF" w:rsidP="00D50F63">
          <w:pPr>
            <w:spacing w:line="240" w:lineRule="exact"/>
            <w:rPr>
              <w:rFonts w:ascii="Times New Roman"/>
            </w:rPr>
          </w:pPr>
          <w:r>
            <w:rPr>
              <w:rFonts w:ascii="Times New Roman"/>
            </w:rPr>
            <w:t>28 October 2013</w:t>
          </w:r>
        </w:p>
        <w:p w:rsidR="004C41DF" w:rsidRDefault="004C41DF" w:rsidP="00D50F63">
          <w:pPr>
            <w:spacing w:line="240" w:lineRule="exact"/>
            <w:rPr>
              <w:rFonts w:ascii="Times New Roman"/>
            </w:rPr>
          </w:pPr>
          <w:r>
            <w:rPr>
              <w:rFonts w:ascii="Times New Roman"/>
            </w:rPr>
            <w:t>Chinese</w:t>
          </w:r>
        </w:p>
        <w:p w:rsidR="004C41DF" w:rsidRPr="00D50F63" w:rsidRDefault="004C41DF" w:rsidP="00D50F63">
          <w:pPr>
            <w:spacing w:line="240" w:lineRule="exact"/>
            <w:rPr>
              <w:rFonts w:ascii="Times New Roman"/>
            </w:rPr>
          </w:pPr>
          <w:r>
            <w:rPr>
              <w:rFonts w:ascii="Times New Roman"/>
            </w:rPr>
            <w:t>Original: English</w:t>
          </w:r>
        </w:p>
      </w:tc>
    </w:tr>
  </w:tbl>
  <w:p w:rsidR="004C41DF" w:rsidRPr="00D50F63" w:rsidRDefault="004C41DF" w:rsidP="00D50F6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69*"/>
    <w:docVar w:name="CreationDt" w:val="13/11/2013 08:06:22"/>
    <w:docVar w:name="DocCategory" w:val="Doc"/>
    <w:docVar w:name="DocType" w:val="Final"/>
    <w:docVar w:name="FooterJN" w:val="13-53269 (C)"/>
    <w:docVar w:name="jobn" w:val="13-53269 (C)"/>
    <w:docVar w:name="jobnDT" w:val="13-53269 (C)   131113"/>
    <w:docVar w:name="jobnDTDT" w:val="13-53269 (C)   131113   131113"/>
    <w:docVar w:name="JobNo" w:val="1353269C"/>
    <w:docVar w:name="OandT" w:val="cai"/>
    <w:docVar w:name="sss1" w:val="CEDAW/C/GEO/Q/4-5"/>
    <w:docVar w:name="sss2" w:val="-"/>
    <w:docVar w:name="Symbol1" w:val="CEDAW/C/GEO/Q/4-5"/>
    <w:docVar w:name="Symbol2" w:val="-"/>
  </w:docVars>
  <w:rsids>
    <w:rsidRoot w:val="00AA2111"/>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3842"/>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C41DF"/>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5793F"/>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25D5"/>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7F38F3"/>
    <w:rsid w:val="007F69BF"/>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39D7"/>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2111"/>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0F63"/>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GEO/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1</Pages>
  <Words>1950</Words>
  <Characters>2009</Characters>
  <Application>Microsoft Office Outlook</Application>
  <DocSecurity>4</DocSecurity>
  <Lines>74</Lines>
  <Paragraphs>36</Paragraphs>
  <ScaleCrop>false</ScaleCrop>
  <Company>United Nations</Company>
  <LinksUpToDate>false</LinksUpToDate>
  <CharactersWithSpaces>3923</CharactersWithSpaces>
  <SharedDoc>false</SharedDoc>
  <HLinks>
    <vt:vector size="6" baseType="variant">
      <vt:variant>
        <vt:i4>1376286</vt:i4>
      </vt:variant>
      <vt:variant>
        <vt:i4>0</vt:i4>
      </vt:variant>
      <vt:variant>
        <vt:i4>0</vt:i4>
      </vt:variant>
      <vt:variant>
        <vt:i4>5</vt:i4>
      </vt:variant>
      <vt:variant>
        <vt:lpwstr>http://undocs.org/ch/CEDAW/C/GEO/CO/3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CYH</dc:creator>
  <cp:keywords/>
  <dc:description/>
  <cp:lastModifiedBy>CTPU CYH</cp:lastModifiedBy>
  <cp:revision>6</cp:revision>
  <cp:lastPrinted>2013-11-13T07:32:00Z</cp:lastPrinted>
  <dcterms:created xsi:type="dcterms:W3CDTF">2013-11-13T07:04:00Z</dcterms:created>
  <dcterms:modified xsi:type="dcterms:W3CDTF">2013-11-13T07:34:00Z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1353269</vt:lpwstr>
  </property>
  <property fmtid="{D5CDD505-2E9C-101B-9397-08002B2CF9AE}" pid="3" name="Symbol1">
    <vt:lpwstr>CEDAW/C/GEO/Q/4-5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cai</vt:lpwstr>
  </property>
</Properties>
</file>