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spacing w:line="240" w:lineRule="exact"/>
      </w:pPr>
      <w:r>
        <w:t>Комитет по ликвидации дискриминации</w:t>
      </w:r>
    </w:p>
    <w:p w:rsidR="00000000" w:rsidRDefault="00000000">
      <w:pPr>
        <w:pStyle w:val="H1"/>
        <w:spacing w:line="240" w:lineRule="exact"/>
      </w:pPr>
      <w:r>
        <w:t>в отношении женщин</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rPr>
      </w:pPr>
    </w:p>
    <w:p w:rsidR="00000000" w:rsidRDefault="00000000">
      <w:pPr>
        <w:pStyle w:val="SingleTxt"/>
        <w:spacing w:after="0" w:line="120" w:lineRule="auto"/>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Рассмотрение докладов, представленных государствами-участниками в соответствии</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со статьей 18 Конвенции о ликвидации всех</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форм дискриминации в отношении женщин</w:t>
      </w:r>
    </w:p>
    <w:p w:rsidR="00000000" w:rsidRDefault="00000000">
      <w:pPr>
        <w:spacing w:line="300" w:lineRule="exact"/>
      </w:pPr>
    </w:p>
    <w:p w:rsidR="00000000" w:rsidRDefault="00000000">
      <w:pPr>
        <w:pStyle w:val="H1"/>
        <w:tabs>
          <w:tab w:val="left" w:pos="475"/>
          <w:tab w:val="left" w:pos="1022"/>
          <w:tab w:val="left" w:pos="1267"/>
          <w:tab w:val="left" w:pos="1742"/>
        </w:tabs>
        <w:spacing w:line="240" w:lineRule="exact"/>
      </w:pPr>
      <w:r>
        <w:tab/>
      </w:r>
      <w:r>
        <w:tab/>
      </w:r>
      <w:r>
        <w:tab/>
        <w:t>Пятый периодический доклад государств-участников</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pPr>
      <w:r>
        <w:rPr>
          <w:spacing w:val="4"/>
          <w:sz w:val="24"/>
        </w:rPr>
        <w:tab/>
      </w:r>
      <w:r>
        <w:rPr>
          <w:spacing w:val="4"/>
          <w:sz w:val="24"/>
        </w:rPr>
        <w:tab/>
        <w:t>Финляндия</w:t>
      </w:r>
      <w:r>
        <w:rPr>
          <w:rStyle w:val="FootnoteReference"/>
          <w:b w:val="0"/>
        </w:rPr>
        <w:footnoteReference w:customMarkFollows="1" w:id="1"/>
        <w:t>*</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spacing w:line="480" w:lineRule="auto"/>
      </w:pPr>
      <w:r>
        <w:br w:type="page"/>
      </w:r>
    </w:p>
    <w:p w:rsidR="00000000" w:rsidRDefault="00000000">
      <w:pPr>
        <w:pStyle w:val="SingleTxt"/>
        <w:spacing w:line="480" w:lineRule="auto"/>
      </w:pPr>
    </w:p>
    <w:p w:rsidR="00000000" w:rsidRDefault="00000000">
      <w:pPr>
        <w:pStyle w:val="SingleTxt"/>
        <w:spacing w:line="480" w:lineRule="auto"/>
      </w:pPr>
    </w:p>
    <w:p w:rsidR="00000000" w:rsidRDefault="00000000">
      <w:pPr>
        <w:pStyle w:val="SingleTxt"/>
        <w:spacing w:line="480" w:lineRule="auto"/>
      </w:pPr>
    </w:p>
    <w:p w:rsidR="00000000" w:rsidRDefault="00000000">
      <w:pPr>
        <w:pStyle w:val="SingleTxt"/>
        <w:spacing w:line="240" w:lineRule="auto"/>
        <w:jc w:val="center"/>
        <w:rPr>
          <w:b/>
          <w:sz w:val="32"/>
        </w:rPr>
      </w:pPr>
      <w:r>
        <w:rPr>
          <w:b/>
          <w:sz w:val="32"/>
        </w:rPr>
        <w:t>ПЯТЫЙ ПЕРИОДИЧЕСКИЙ ДОКЛАД ПРАВИТЕЛЬСТВА ФИНЛЯНДИИ ОБ ОСУЩЕСТВЛЕНИИ КОНВЕНЦИИ О ЛИКВИДАЦИИ ВСЕХ ФОРМ ДИСКРИМИНАЦИИ В ОТНОШЕНИИ ЖЕНЩИН</w:t>
      </w:r>
    </w:p>
    <w:p w:rsidR="00000000" w:rsidRDefault="00000000">
      <w:pPr>
        <w:pStyle w:val="SingleTxt"/>
        <w:spacing w:line="480" w:lineRule="auto"/>
      </w:pPr>
    </w:p>
    <w:p w:rsidR="00000000" w:rsidRDefault="00000000">
      <w:pPr>
        <w:pStyle w:val="SingleTxt"/>
        <w:spacing w:line="480" w:lineRule="auto"/>
      </w:pPr>
    </w:p>
    <w:p w:rsidR="00000000" w:rsidRDefault="00000000">
      <w:pPr>
        <w:pStyle w:val="SingleTxt"/>
        <w:spacing w:line="480" w:lineRule="auto"/>
      </w:pPr>
    </w:p>
    <w:p w:rsidR="00000000" w:rsidRDefault="00000000">
      <w:pPr>
        <w:pStyle w:val="SingleTxt"/>
        <w:spacing w:line="480" w:lineRule="auto"/>
      </w:pPr>
    </w:p>
    <w:p w:rsidR="00000000" w:rsidRDefault="00000000">
      <w:pPr>
        <w:pStyle w:val="SingleTxt"/>
        <w:spacing w:line="480" w:lineRule="auto"/>
        <w:jc w:val="center"/>
        <w:rPr>
          <w:sz w:val="24"/>
        </w:rPr>
      </w:pPr>
      <w:r>
        <w:rPr>
          <w:sz w:val="24"/>
        </w:rPr>
        <w:t>Октябрь 2003 года</w:t>
      </w:r>
    </w:p>
    <w:p w:rsidR="00000000" w:rsidRDefault="00000000">
      <w:pPr>
        <w:pStyle w:val="SingleTxt"/>
        <w:spacing w:line="480" w:lineRule="auto"/>
        <w:rPr>
          <w:sz w:val="10"/>
        </w:rPr>
      </w:pPr>
      <w:r>
        <w:br w:type="page"/>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480" w:lineRule="auto"/>
        <w:ind w:left="1267" w:right="1260" w:hanging="1267"/>
      </w:pPr>
      <w:r>
        <w:t>Содержание</w:t>
      </w:r>
    </w:p>
    <w:tbl>
      <w:tblPr>
        <w:tblW w:w="0" w:type="auto"/>
        <w:tblInd w:w="2" w:type="dxa"/>
        <w:tblLayout w:type="fixed"/>
        <w:tblCellMar>
          <w:left w:w="0" w:type="dxa"/>
          <w:right w:w="0" w:type="dxa"/>
        </w:tblCellMar>
        <w:tblLook w:val="0000" w:firstRow="0" w:lastRow="0" w:firstColumn="0" w:lastColumn="0" w:noHBand="0" w:noVBand="0"/>
      </w:tblPr>
      <w:tblGrid>
        <w:gridCol w:w="1080"/>
        <w:gridCol w:w="7295"/>
        <w:gridCol w:w="974"/>
        <w:gridCol w:w="35"/>
        <w:gridCol w:w="533"/>
      </w:tblGrid>
      <w:tr w:rsidR="00000000">
        <w:tblPrEx>
          <w:tblCellMar>
            <w:top w:w="0" w:type="dxa"/>
            <w:left w:w="0" w:type="dxa"/>
            <w:bottom w:w="0" w:type="dxa"/>
            <w:right w:w="0" w:type="dxa"/>
          </w:tblCellMar>
        </w:tblPrEx>
        <w:tc>
          <w:tcPr>
            <w:tcW w:w="1080" w:type="dxa"/>
          </w:tcPr>
          <w:p w:rsidR="00000000" w:rsidRDefault="00000000">
            <w:pPr>
              <w:spacing w:after="120" w:line="240" w:lineRule="auto"/>
              <w:jc w:val="right"/>
              <w:rPr>
                <w:i/>
                <w:sz w:val="14"/>
              </w:rPr>
            </w:pPr>
          </w:p>
        </w:tc>
        <w:tc>
          <w:tcPr>
            <w:tcW w:w="7295" w:type="dxa"/>
          </w:tcPr>
          <w:p w:rsidR="00000000" w:rsidRDefault="00000000">
            <w:pPr>
              <w:spacing w:after="120" w:line="240" w:lineRule="auto"/>
              <w:rPr>
                <w:i/>
                <w:sz w:val="14"/>
              </w:rPr>
            </w:pPr>
          </w:p>
        </w:tc>
        <w:tc>
          <w:tcPr>
            <w:tcW w:w="1009" w:type="dxa"/>
            <w:gridSpan w:val="2"/>
          </w:tcPr>
          <w:p w:rsidR="00000000" w:rsidRDefault="00000000">
            <w:pPr>
              <w:spacing w:after="120" w:line="240" w:lineRule="auto"/>
              <w:jc w:val="right"/>
              <w:rPr>
                <w:i/>
                <w:sz w:val="14"/>
              </w:rPr>
            </w:pPr>
          </w:p>
        </w:tc>
        <w:tc>
          <w:tcPr>
            <w:tcW w:w="533" w:type="dxa"/>
          </w:tcPr>
          <w:p w:rsidR="00000000" w:rsidRDefault="00000000">
            <w:pPr>
              <w:spacing w:after="120" w:line="240" w:lineRule="auto"/>
              <w:jc w:val="right"/>
              <w:rPr>
                <w:i/>
                <w:sz w:val="14"/>
              </w:rPr>
            </w:pPr>
            <w:r>
              <w:rPr>
                <w:i/>
                <w:sz w:val="14"/>
              </w:rPr>
              <w:t>Стр.</w:t>
            </w:r>
          </w:p>
        </w:tc>
      </w:tr>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8269" w:type="dxa"/>
            <w:gridSpan w:val="2"/>
          </w:tcPr>
          <w:p w:rsidR="00000000" w:rsidRDefault="00000000">
            <w:pPr>
              <w:tabs>
                <w:tab w:val="right" w:pos="783"/>
                <w:tab w:val="right" w:leader="dot" w:pos="9360"/>
              </w:tabs>
              <w:spacing w:after="120" w:line="240" w:lineRule="auto"/>
              <w:rPr>
                <w:b/>
                <w:spacing w:val="60"/>
              </w:rPr>
            </w:pPr>
            <w:r>
              <w:rPr>
                <w:b/>
                <w:spacing w:val="60"/>
              </w:rPr>
              <w:t>СОДЕРЖАНИЕ</w:t>
            </w:r>
            <w:r>
              <w:rPr>
                <w:b/>
                <w:spacing w:val="60"/>
              </w:rP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3</w:t>
            </w:r>
          </w:p>
        </w:tc>
      </w:tr>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8269" w:type="dxa"/>
            <w:gridSpan w:val="2"/>
          </w:tcPr>
          <w:p w:rsidR="00000000" w:rsidRDefault="00000000">
            <w:pPr>
              <w:tabs>
                <w:tab w:val="right" w:leader="dot" w:pos="9331"/>
              </w:tabs>
              <w:spacing w:after="120" w:line="240" w:lineRule="auto"/>
              <w:rPr>
                <w:b/>
              </w:rPr>
            </w:pPr>
            <w:r>
              <w:rPr>
                <w:b/>
              </w:rPr>
              <w:t>Статья 1</w:t>
            </w:r>
            <w:r>
              <w:rPr>
                <w:b/>
              </w:rPr>
              <w:tab/>
            </w:r>
            <w:r>
              <w:rPr>
                <w:b/>
              </w:rPr>
              <w:tab/>
            </w:r>
            <w:r>
              <w:rPr>
                <w:b/>
              </w:rPr>
              <w:tab/>
            </w:r>
            <w:r>
              <w:rPr>
                <w:b/>
              </w:rP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7</w:t>
            </w:r>
          </w:p>
        </w:tc>
      </w:tr>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8269" w:type="dxa"/>
            <w:gridSpan w:val="2"/>
          </w:tcPr>
          <w:p w:rsidR="00000000" w:rsidRDefault="00000000">
            <w:pPr>
              <w:tabs>
                <w:tab w:val="right" w:leader="dot" w:pos="9331"/>
              </w:tabs>
              <w:spacing w:after="120" w:line="240" w:lineRule="auto"/>
              <w:rPr>
                <w:b/>
              </w:rPr>
            </w:pPr>
            <w:r>
              <w:rPr>
                <w:b/>
              </w:rPr>
              <w:t>Статья 2</w:t>
            </w:r>
            <w:r>
              <w:rPr>
                <w:b/>
              </w:rP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7</w:t>
            </w:r>
          </w:p>
        </w:tc>
      </w:tr>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8269" w:type="dxa"/>
            <w:gridSpan w:val="2"/>
          </w:tcPr>
          <w:p w:rsidR="00000000" w:rsidRDefault="00000000">
            <w:pPr>
              <w:tabs>
                <w:tab w:val="right" w:leader="dot" w:pos="8300"/>
              </w:tabs>
              <w:spacing w:after="120" w:line="240" w:lineRule="auto"/>
              <w:ind w:left="450" w:hanging="450"/>
            </w:pPr>
            <w:r>
              <w:t>1.</w:t>
            </w:r>
            <w:r>
              <w:tab/>
              <w:t>Реформа в области основных прав</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7</w:t>
            </w:r>
          </w:p>
        </w:tc>
      </w:tr>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rPr>
                <w:lang w:val="en-US"/>
              </w:rPr>
            </w:pPr>
          </w:p>
        </w:tc>
        <w:tc>
          <w:tcPr>
            <w:tcW w:w="8269" w:type="dxa"/>
            <w:gridSpan w:val="2"/>
          </w:tcPr>
          <w:p w:rsidR="00000000" w:rsidRDefault="00000000">
            <w:pPr>
              <w:tabs>
                <w:tab w:val="right" w:leader="dot" w:pos="9331"/>
              </w:tabs>
              <w:spacing w:after="120" w:line="240" w:lineRule="auto"/>
              <w:ind w:left="450" w:hanging="450"/>
            </w:pPr>
            <w:r>
              <w:t>2.</w:t>
            </w:r>
            <w:r>
              <w:tab/>
              <w:t>Закон о равноправии</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8</w:t>
            </w:r>
          </w:p>
        </w:tc>
      </w:tr>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rPr>
                <w:lang w:val="en-US"/>
              </w:rPr>
            </w:pPr>
          </w:p>
        </w:tc>
        <w:tc>
          <w:tcPr>
            <w:tcW w:w="8269" w:type="dxa"/>
            <w:gridSpan w:val="2"/>
          </w:tcPr>
          <w:p w:rsidR="00000000" w:rsidRDefault="00000000">
            <w:pPr>
              <w:tabs>
                <w:tab w:val="left" w:pos="1370"/>
                <w:tab w:val="left" w:pos="1728"/>
                <w:tab w:val="right" w:leader="dot" w:pos="9331"/>
              </w:tabs>
              <w:spacing w:after="120" w:line="240" w:lineRule="auto"/>
              <w:ind w:left="1080" w:hanging="630"/>
              <w:rPr>
                <w:i/>
              </w:rPr>
            </w:pPr>
            <w:r>
              <w:rPr>
                <w:i/>
              </w:rPr>
              <w:t>2.1.</w:t>
            </w:r>
            <w:r>
              <w:rPr>
                <w:i/>
              </w:rPr>
              <w:tab/>
              <w:t>Предложение о внесении поправок в Закон о равноправии</w:t>
            </w:r>
            <w:r>
              <w:rPr>
                <w:i/>
              </w:rP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8</w:t>
            </w:r>
          </w:p>
        </w:tc>
      </w:tr>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rPr>
                <w:lang w:val="en-US"/>
              </w:rPr>
            </w:pPr>
          </w:p>
        </w:tc>
        <w:tc>
          <w:tcPr>
            <w:tcW w:w="8269" w:type="dxa"/>
            <w:gridSpan w:val="2"/>
          </w:tcPr>
          <w:p w:rsidR="00000000" w:rsidRDefault="00000000">
            <w:pPr>
              <w:tabs>
                <w:tab w:val="left" w:pos="1370"/>
                <w:tab w:val="left" w:pos="1728"/>
                <w:tab w:val="right" w:leader="dot" w:pos="9331"/>
              </w:tabs>
              <w:spacing w:after="120" w:line="240" w:lineRule="auto"/>
              <w:ind w:left="1080" w:hanging="630"/>
              <w:rPr>
                <w:i/>
              </w:rPr>
            </w:pPr>
            <w:r>
              <w:rPr>
                <w:i/>
              </w:rPr>
              <w:t>2.2.</w:t>
            </w:r>
            <w:r>
              <w:rPr>
                <w:i/>
              </w:rPr>
              <w:tab/>
              <w:t>Административная реформа по вопросам равноправия</w:t>
            </w:r>
            <w:r>
              <w:rPr>
                <w:i/>
              </w:rP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9</w:t>
            </w:r>
          </w:p>
        </w:tc>
      </w:tr>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rPr>
                <w:lang w:val="en-US"/>
              </w:rPr>
            </w:pPr>
          </w:p>
        </w:tc>
        <w:tc>
          <w:tcPr>
            <w:tcW w:w="8269" w:type="dxa"/>
            <w:gridSpan w:val="2"/>
          </w:tcPr>
          <w:p w:rsidR="00000000" w:rsidRDefault="00000000">
            <w:pPr>
              <w:tabs>
                <w:tab w:val="left" w:pos="1370"/>
                <w:tab w:val="left" w:pos="1728"/>
                <w:tab w:val="right" w:leader="dot" w:pos="9331"/>
              </w:tabs>
              <w:spacing w:after="120" w:line="240" w:lineRule="auto"/>
              <w:ind w:left="1080" w:hanging="630"/>
              <w:rPr>
                <w:i/>
              </w:rPr>
            </w:pPr>
            <w:r>
              <w:rPr>
                <w:i/>
              </w:rPr>
              <w:t>2.3.</w:t>
            </w:r>
            <w:r>
              <w:rPr>
                <w:i/>
              </w:rPr>
              <w:tab/>
              <w:t>Наблюдение за осуществлением Закона о равноправии, осуществляемое др</w:t>
            </w:r>
            <w:r>
              <w:rPr>
                <w:i/>
              </w:rPr>
              <w:t>у</w:t>
            </w:r>
            <w:r>
              <w:rPr>
                <w:i/>
              </w:rPr>
              <w:t>гими сторонами</w:t>
            </w:r>
            <w:r>
              <w:rPr>
                <w:i/>
              </w:rPr>
              <w:tab/>
            </w:r>
            <w:r>
              <w:rPr>
                <w:i/>
              </w:rP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11</w:t>
            </w:r>
          </w:p>
        </w:tc>
      </w:tr>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rPr>
                <w:lang w:val="en-US"/>
              </w:rPr>
            </w:pPr>
          </w:p>
        </w:tc>
        <w:tc>
          <w:tcPr>
            <w:tcW w:w="8269" w:type="dxa"/>
            <w:gridSpan w:val="2"/>
          </w:tcPr>
          <w:p w:rsidR="00000000" w:rsidRDefault="00000000">
            <w:pPr>
              <w:tabs>
                <w:tab w:val="left" w:pos="1370"/>
                <w:tab w:val="right" w:leader="dot" w:pos="9331"/>
              </w:tabs>
              <w:spacing w:after="120" w:line="240" w:lineRule="auto"/>
              <w:ind w:left="450" w:hanging="450"/>
            </w:pPr>
            <w:r>
              <w:t>3.</w:t>
            </w:r>
            <w:r>
              <w:tab/>
              <w:t>Омбудсмен по делам меньшинств как властная инстанция, предупреждающая ди</w:t>
            </w:r>
            <w:r>
              <w:t>с</w:t>
            </w:r>
            <w:r>
              <w:t>криминацию</w:t>
            </w:r>
            <w:r>
              <w:tab/>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12</w:t>
            </w:r>
          </w:p>
        </w:tc>
      </w:tr>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rPr>
                <w:lang w:val="en-US"/>
              </w:rPr>
            </w:pPr>
          </w:p>
        </w:tc>
        <w:tc>
          <w:tcPr>
            <w:tcW w:w="8269" w:type="dxa"/>
            <w:gridSpan w:val="2"/>
          </w:tcPr>
          <w:p w:rsidR="00000000" w:rsidRDefault="00000000">
            <w:pPr>
              <w:tabs>
                <w:tab w:val="right" w:leader="dot" w:pos="9331"/>
              </w:tabs>
              <w:suppressAutoHyphens/>
              <w:spacing w:after="120" w:line="240" w:lineRule="auto"/>
              <w:ind w:left="650" w:hanging="630"/>
              <w:rPr>
                <w:b/>
              </w:rPr>
            </w:pPr>
            <w:r>
              <w:rPr>
                <w:b/>
              </w:rPr>
              <w:t>Статья 3</w:t>
            </w:r>
            <w:r>
              <w:rPr>
                <w:b/>
              </w:rPr>
              <w:tab/>
            </w:r>
            <w:r>
              <w:rPr>
                <w:b/>
              </w:rPr>
              <w:tab/>
            </w:r>
            <w:r>
              <w:rPr>
                <w:b/>
              </w:rP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14</w:t>
            </w:r>
          </w:p>
        </w:tc>
      </w:tr>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rPr>
                <w:lang w:val="en-US"/>
              </w:rPr>
            </w:pPr>
          </w:p>
        </w:tc>
        <w:tc>
          <w:tcPr>
            <w:tcW w:w="8269" w:type="dxa"/>
            <w:gridSpan w:val="2"/>
          </w:tcPr>
          <w:p w:rsidR="00000000" w:rsidRDefault="00000000">
            <w:pPr>
              <w:tabs>
                <w:tab w:val="left" w:pos="1370"/>
                <w:tab w:val="left" w:pos="1728"/>
                <w:tab w:val="right" w:leader="dot" w:pos="9331"/>
              </w:tabs>
              <w:suppressAutoHyphens/>
              <w:spacing w:after="120" w:line="240" w:lineRule="auto"/>
              <w:ind w:left="450" w:hanging="450"/>
            </w:pPr>
            <w:r>
              <w:t>1.</w:t>
            </w:r>
            <w:r>
              <w:tab/>
              <w:t>Правительственная программа</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14</w:t>
            </w:r>
          </w:p>
        </w:tc>
      </w:tr>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rPr>
                <w:lang w:val="en-US"/>
              </w:rPr>
            </w:pPr>
          </w:p>
        </w:tc>
        <w:tc>
          <w:tcPr>
            <w:tcW w:w="8269" w:type="dxa"/>
            <w:gridSpan w:val="2"/>
          </w:tcPr>
          <w:p w:rsidR="00000000" w:rsidRDefault="00000000">
            <w:pPr>
              <w:tabs>
                <w:tab w:val="left" w:pos="1370"/>
                <w:tab w:val="left" w:pos="1728"/>
                <w:tab w:val="right" w:leader="dot" w:pos="9331"/>
              </w:tabs>
              <w:suppressAutoHyphens/>
              <w:spacing w:after="120" w:line="240" w:lineRule="auto"/>
              <w:ind w:left="450" w:hanging="450"/>
            </w:pPr>
            <w:r>
              <w:t>2.</w:t>
            </w:r>
            <w:r>
              <w:tab/>
              <w:t>Национальная программа действия по обеспечению равноправия</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16</w:t>
            </w:r>
          </w:p>
        </w:tc>
      </w:tr>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rPr>
                <w:lang w:val="en-US"/>
              </w:rPr>
            </w:pPr>
          </w:p>
        </w:tc>
        <w:tc>
          <w:tcPr>
            <w:tcW w:w="8269" w:type="dxa"/>
            <w:gridSpan w:val="2"/>
          </w:tcPr>
          <w:p w:rsidR="00000000" w:rsidRDefault="00000000">
            <w:pPr>
              <w:tabs>
                <w:tab w:val="left" w:pos="1370"/>
                <w:tab w:val="left" w:pos="1728"/>
                <w:tab w:val="right" w:leader="dot" w:pos="9331"/>
              </w:tabs>
              <w:suppressAutoHyphens/>
              <w:spacing w:after="120" w:line="240" w:lineRule="auto"/>
              <w:ind w:left="450" w:hanging="450"/>
            </w:pPr>
            <w:r>
              <w:t>3.</w:t>
            </w:r>
            <w:r>
              <w:tab/>
              <w:t>Опрос общественного мнения о равноправии мужчин и женщин</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16</w:t>
            </w:r>
          </w:p>
        </w:tc>
      </w:tr>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rPr>
                <w:lang w:val="en-US"/>
              </w:rPr>
            </w:pPr>
          </w:p>
        </w:tc>
        <w:tc>
          <w:tcPr>
            <w:tcW w:w="8269" w:type="dxa"/>
            <w:gridSpan w:val="2"/>
          </w:tcPr>
          <w:p w:rsidR="00000000" w:rsidRDefault="00000000">
            <w:pPr>
              <w:tabs>
                <w:tab w:val="left" w:pos="1370"/>
                <w:tab w:val="left" w:pos="1728"/>
                <w:tab w:val="right" w:leader="dot" w:pos="9331"/>
              </w:tabs>
              <w:suppressAutoHyphens/>
              <w:spacing w:after="120" w:line="240" w:lineRule="auto"/>
              <w:ind w:left="450" w:hanging="450"/>
            </w:pPr>
            <w:r>
              <w:t>4.</w:t>
            </w:r>
            <w:r>
              <w:tab/>
              <w:t>Проекты, способствующие обеспечению равноправия в органах муниципального управления</w:t>
            </w:r>
            <w:r>
              <w:tab/>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17</w:t>
            </w:r>
          </w:p>
        </w:tc>
      </w:tr>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rPr>
                <w:lang w:val="en-US"/>
              </w:rPr>
            </w:pPr>
          </w:p>
        </w:tc>
        <w:tc>
          <w:tcPr>
            <w:tcW w:w="8269" w:type="dxa"/>
            <w:gridSpan w:val="2"/>
          </w:tcPr>
          <w:p w:rsidR="00000000" w:rsidRDefault="00000000">
            <w:pPr>
              <w:tabs>
                <w:tab w:val="right" w:leader="dot" w:pos="9331"/>
              </w:tabs>
              <w:suppressAutoHyphens/>
              <w:spacing w:after="120" w:line="240" w:lineRule="auto"/>
              <w:ind w:left="650" w:hanging="630"/>
              <w:rPr>
                <w:b/>
              </w:rPr>
            </w:pPr>
            <w:r>
              <w:rPr>
                <w:b/>
              </w:rPr>
              <w:t>Статья 4</w:t>
            </w:r>
            <w:r>
              <w:rPr>
                <w:b/>
              </w:rPr>
              <w:tab/>
            </w:r>
            <w:r>
              <w:rPr>
                <w:b/>
              </w:rPr>
              <w:tab/>
            </w:r>
            <w:r>
              <w:rPr>
                <w:b/>
              </w:rP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18</w:t>
            </w:r>
          </w:p>
        </w:tc>
      </w:tr>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rPr>
                <w:lang w:val="en-US"/>
              </w:rPr>
            </w:pPr>
          </w:p>
        </w:tc>
        <w:tc>
          <w:tcPr>
            <w:tcW w:w="8269" w:type="dxa"/>
            <w:gridSpan w:val="2"/>
          </w:tcPr>
          <w:p w:rsidR="00000000" w:rsidRDefault="00000000">
            <w:pPr>
              <w:tabs>
                <w:tab w:val="left" w:pos="1370"/>
                <w:tab w:val="left" w:pos="1728"/>
                <w:tab w:val="right" w:leader="dot" w:pos="9331"/>
              </w:tabs>
              <w:suppressAutoHyphens/>
              <w:spacing w:after="120" w:line="240" w:lineRule="auto"/>
              <w:ind w:left="450" w:hanging="450"/>
            </w:pPr>
            <w:r>
              <w:t>1.</w:t>
            </w:r>
            <w:r>
              <w:tab/>
              <w:t>Положение о квоте, содержащееся в Законе о равноправии</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18</w:t>
            </w:r>
          </w:p>
        </w:tc>
      </w:tr>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rPr>
                <w:lang w:val="en-US"/>
              </w:rPr>
            </w:pPr>
          </w:p>
        </w:tc>
        <w:tc>
          <w:tcPr>
            <w:tcW w:w="8269" w:type="dxa"/>
            <w:gridSpan w:val="2"/>
          </w:tcPr>
          <w:p w:rsidR="00000000" w:rsidRDefault="00000000">
            <w:pPr>
              <w:tabs>
                <w:tab w:val="right" w:leader="dot" w:pos="9331"/>
              </w:tabs>
              <w:suppressAutoHyphens/>
              <w:spacing w:after="120" w:line="240" w:lineRule="auto"/>
              <w:ind w:left="650" w:hanging="630"/>
              <w:rPr>
                <w:b/>
              </w:rPr>
            </w:pPr>
            <w:r>
              <w:rPr>
                <w:b/>
              </w:rPr>
              <w:t>Статья 5</w:t>
            </w:r>
            <w:r>
              <w:rPr>
                <w:b/>
              </w:rPr>
              <w:tab/>
            </w:r>
            <w:r>
              <w:rPr>
                <w:b/>
              </w:rPr>
              <w:tab/>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19</w:t>
            </w:r>
          </w:p>
        </w:tc>
      </w:tr>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rPr>
                <w:lang w:val="en-US"/>
              </w:rPr>
            </w:pPr>
          </w:p>
        </w:tc>
        <w:tc>
          <w:tcPr>
            <w:tcW w:w="8269" w:type="dxa"/>
            <w:gridSpan w:val="2"/>
          </w:tcPr>
          <w:p w:rsidR="00000000" w:rsidRDefault="00000000">
            <w:pPr>
              <w:tabs>
                <w:tab w:val="left" w:pos="1370"/>
                <w:tab w:val="left" w:pos="1728"/>
                <w:tab w:val="right" w:leader="dot" w:pos="9331"/>
              </w:tabs>
              <w:suppressAutoHyphens/>
              <w:spacing w:after="120" w:line="240" w:lineRule="auto"/>
              <w:ind w:left="450" w:hanging="450"/>
            </w:pPr>
            <w:r>
              <w:t>1.</w:t>
            </w:r>
            <w:r>
              <w:tab/>
              <w:t>Насилие в отношении женщин</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20</w:t>
            </w:r>
          </w:p>
        </w:tc>
      </w:tr>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rPr>
                <w:lang w:val="en-US"/>
              </w:rPr>
            </w:pPr>
          </w:p>
        </w:tc>
        <w:tc>
          <w:tcPr>
            <w:tcW w:w="8269" w:type="dxa"/>
            <w:gridSpan w:val="2"/>
          </w:tcPr>
          <w:p w:rsidR="00000000" w:rsidRDefault="00000000">
            <w:pPr>
              <w:tabs>
                <w:tab w:val="left" w:pos="1370"/>
                <w:tab w:val="left" w:pos="1728"/>
                <w:tab w:val="right" w:leader="dot" w:pos="9331"/>
              </w:tabs>
              <w:spacing w:after="120" w:line="240" w:lineRule="auto"/>
              <w:ind w:left="1080" w:hanging="630"/>
              <w:rPr>
                <w:i/>
              </w:rPr>
            </w:pPr>
            <w:r>
              <w:rPr>
                <w:i/>
              </w:rPr>
              <w:t>1.1.</w:t>
            </w:r>
            <w:r>
              <w:rPr>
                <w:i/>
              </w:rPr>
              <w:tab/>
              <w:t>Проект по предупреждению насилия в отношении женщин</w:t>
            </w:r>
            <w:r>
              <w:rPr>
                <w:i/>
              </w:rPr>
              <w:tab/>
            </w:r>
            <w:r>
              <w:rPr>
                <w:i/>
              </w:rP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21</w:t>
            </w:r>
          </w:p>
        </w:tc>
      </w:tr>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rPr>
                <w:lang w:val="en-US"/>
              </w:rPr>
            </w:pPr>
          </w:p>
        </w:tc>
        <w:tc>
          <w:tcPr>
            <w:tcW w:w="8269" w:type="dxa"/>
            <w:gridSpan w:val="2"/>
          </w:tcPr>
          <w:p w:rsidR="00000000" w:rsidRDefault="00000000">
            <w:pPr>
              <w:tabs>
                <w:tab w:val="left" w:pos="1370"/>
                <w:tab w:val="left" w:pos="1728"/>
                <w:tab w:val="right" w:leader="dot" w:pos="9331"/>
              </w:tabs>
              <w:spacing w:after="120" w:line="240" w:lineRule="auto"/>
              <w:ind w:left="1080" w:hanging="630"/>
              <w:rPr>
                <w:i/>
              </w:rPr>
            </w:pPr>
            <w:r>
              <w:rPr>
                <w:i/>
              </w:rPr>
              <w:t>1.2.</w:t>
            </w:r>
            <w:r>
              <w:rPr>
                <w:i/>
              </w:rPr>
              <w:tab/>
              <w:t>Исследования по вопросу о насилии в отношении женщин</w:t>
            </w:r>
            <w:r>
              <w:rPr>
                <w:i/>
              </w:rPr>
              <w:tab/>
            </w:r>
            <w:r>
              <w:rPr>
                <w:i/>
              </w:rP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22</w:t>
            </w:r>
          </w:p>
        </w:tc>
      </w:tr>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rPr>
                <w:lang w:val="en-US"/>
              </w:rPr>
            </w:pPr>
          </w:p>
        </w:tc>
        <w:tc>
          <w:tcPr>
            <w:tcW w:w="8269" w:type="dxa"/>
            <w:gridSpan w:val="2"/>
          </w:tcPr>
          <w:p w:rsidR="00000000" w:rsidRDefault="00000000">
            <w:pPr>
              <w:tabs>
                <w:tab w:val="left" w:pos="1370"/>
                <w:tab w:val="left" w:pos="1728"/>
                <w:tab w:val="right" w:leader="dot" w:pos="9331"/>
              </w:tabs>
              <w:spacing w:after="120" w:line="240" w:lineRule="auto"/>
              <w:ind w:left="1080" w:hanging="630"/>
              <w:rPr>
                <w:i/>
              </w:rPr>
            </w:pPr>
            <w:r>
              <w:rPr>
                <w:i/>
              </w:rPr>
              <w:t>1.3.</w:t>
            </w:r>
            <w:r>
              <w:rPr>
                <w:i/>
              </w:rPr>
              <w:tab/>
              <w:t>Законодательство, касающееся ограничительных судебных постановлений</w:t>
            </w:r>
            <w:r>
              <w:rPr>
                <w:i/>
              </w:rPr>
              <w:tab/>
            </w:r>
            <w:r>
              <w:rPr>
                <w:i/>
              </w:rP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24</w:t>
            </w:r>
          </w:p>
        </w:tc>
      </w:tr>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rPr>
                <w:lang w:val="en-US"/>
              </w:rPr>
            </w:pPr>
          </w:p>
        </w:tc>
        <w:tc>
          <w:tcPr>
            <w:tcW w:w="8269" w:type="dxa"/>
            <w:gridSpan w:val="2"/>
          </w:tcPr>
          <w:p w:rsidR="00000000" w:rsidRDefault="00000000">
            <w:pPr>
              <w:tabs>
                <w:tab w:val="left" w:pos="1370"/>
                <w:tab w:val="left" w:pos="1728"/>
                <w:tab w:val="right" w:leader="dot" w:pos="9331"/>
              </w:tabs>
              <w:spacing w:after="120" w:line="240" w:lineRule="auto"/>
              <w:ind w:left="1080" w:hanging="630"/>
              <w:rPr>
                <w:i/>
              </w:rPr>
            </w:pPr>
            <w:r>
              <w:rPr>
                <w:i/>
              </w:rPr>
              <w:t>1.4.</w:t>
            </w:r>
            <w:r>
              <w:rPr>
                <w:i/>
              </w:rPr>
              <w:tab/>
              <w:t>Улучшение положения жертв преступлений</w:t>
            </w:r>
            <w:r>
              <w:rPr>
                <w:i/>
              </w:rPr>
              <w:tab/>
            </w:r>
            <w:r>
              <w:rPr>
                <w:i/>
              </w:rP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25</w:t>
            </w:r>
          </w:p>
        </w:tc>
      </w:tr>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rPr>
                <w:lang w:val="en-US"/>
              </w:rPr>
            </w:pPr>
          </w:p>
        </w:tc>
        <w:tc>
          <w:tcPr>
            <w:tcW w:w="8269" w:type="dxa"/>
            <w:gridSpan w:val="2"/>
          </w:tcPr>
          <w:p w:rsidR="00000000" w:rsidRDefault="00000000">
            <w:pPr>
              <w:tabs>
                <w:tab w:val="left" w:pos="1370"/>
                <w:tab w:val="left" w:pos="1728"/>
                <w:tab w:val="right" w:leader="dot" w:pos="9331"/>
              </w:tabs>
              <w:spacing w:after="120" w:line="240" w:lineRule="auto"/>
              <w:ind w:left="1080" w:hanging="630"/>
              <w:rPr>
                <w:i/>
              </w:rPr>
            </w:pPr>
            <w:r>
              <w:rPr>
                <w:i/>
              </w:rPr>
              <w:t>1.5.</w:t>
            </w:r>
            <w:r>
              <w:rPr>
                <w:i/>
              </w:rPr>
              <w:tab/>
              <w:t>Бытовое насилие</w:t>
            </w:r>
            <w:r>
              <w:rPr>
                <w:i/>
              </w:rPr>
              <w:tab/>
            </w:r>
            <w:r>
              <w:rPr>
                <w:i/>
              </w:rP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26</w:t>
            </w:r>
          </w:p>
        </w:tc>
      </w:tr>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rPr>
                <w:lang w:val="en-US"/>
              </w:rPr>
            </w:pPr>
          </w:p>
        </w:tc>
        <w:tc>
          <w:tcPr>
            <w:tcW w:w="8269" w:type="dxa"/>
            <w:gridSpan w:val="2"/>
          </w:tcPr>
          <w:p w:rsidR="00000000" w:rsidRDefault="00000000">
            <w:pPr>
              <w:tabs>
                <w:tab w:val="left" w:pos="1370"/>
                <w:tab w:val="left" w:pos="1728"/>
                <w:tab w:val="right" w:leader="dot" w:pos="9331"/>
              </w:tabs>
              <w:suppressAutoHyphens/>
              <w:spacing w:after="120" w:line="240" w:lineRule="auto"/>
              <w:ind w:left="450" w:hanging="450"/>
            </w:pPr>
            <w:r>
              <w:t>2.</w:t>
            </w:r>
            <w:r>
              <w:tab/>
              <w:t>Меньшинства</w:t>
            </w:r>
            <w:r>
              <w:tab/>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27</w:t>
            </w:r>
          </w:p>
        </w:tc>
      </w:tr>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rPr>
                <w:lang w:val="en-US"/>
              </w:rPr>
            </w:pPr>
          </w:p>
        </w:tc>
        <w:tc>
          <w:tcPr>
            <w:tcW w:w="8269" w:type="dxa"/>
            <w:gridSpan w:val="2"/>
          </w:tcPr>
          <w:p w:rsidR="00000000" w:rsidRDefault="00000000">
            <w:pPr>
              <w:tabs>
                <w:tab w:val="left" w:pos="1370"/>
                <w:tab w:val="left" w:pos="1728"/>
                <w:tab w:val="right" w:leader="dot" w:pos="9331"/>
              </w:tabs>
              <w:spacing w:after="120" w:line="240" w:lineRule="auto"/>
              <w:ind w:left="1080" w:hanging="630"/>
              <w:rPr>
                <w:i/>
              </w:rPr>
            </w:pPr>
            <w:r>
              <w:rPr>
                <w:i/>
              </w:rPr>
              <w:t>2.1.</w:t>
            </w:r>
            <w:r>
              <w:rPr>
                <w:i/>
              </w:rPr>
              <w:tab/>
              <w:t>Введение</w:t>
            </w:r>
            <w:r>
              <w:rPr>
                <w:i/>
              </w:rPr>
              <w:tab/>
            </w:r>
            <w:r>
              <w:rPr>
                <w:i/>
              </w:rP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27</w:t>
            </w:r>
          </w:p>
        </w:tc>
      </w:tr>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rPr>
                <w:lang w:val="en-US"/>
              </w:rPr>
            </w:pPr>
          </w:p>
        </w:tc>
        <w:tc>
          <w:tcPr>
            <w:tcW w:w="8269" w:type="dxa"/>
            <w:gridSpan w:val="2"/>
          </w:tcPr>
          <w:p w:rsidR="00000000" w:rsidRDefault="00000000">
            <w:pPr>
              <w:tabs>
                <w:tab w:val="left" w:pos="1370"/>
                <w:tab w:val="left" w:pos="1728"/>
                <w:tab w:val="right" w:leader="dot" w:pos="9331"/>
              </w:tabs>
              <w:spacing w:after="120" w:line="240" w:lineRule="auto"/>
              <w:ind w:left="1080" w:hanging="630"/>
              <w:rPr>
                <w:i/>
              </w:rPr>
            </w:pPr>
            <w:r>
              <w:rPr>
                <w:i/>
              </w:rPr>
              <w:t>2.2.</w:t>
            </w:r>
            <w:r>
              <w:rPr>
                <w:i/>
              </w:rPr>
              <w:tab/>
              <w:t>Женщины-иммигранты</w:t>
            </w:r>
            <w:r>
              <w:rPr>
                <w:i/>
              </w:rPr>
              <w:tab/>
            </w:r>
            <w:r>
              <w:rPr>
                <w:i/>
              </w:rP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28</w:t>
            </w:r>
          </w:p>
        </w:tc>
      </w:tr>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rPr>
                <w:lang w:val="en-US"/>
              </w:rPr>
            </w:pPr>
          </w:p>
        </w:tc>
        <w:tc>
          <w:tcPr>
            <w:tcW w:w="8269" w:type="dxa"/>
            <w:gridSpan w:val="2"/>
          </w:tcPr>
          <w:p w:rsidR="00000000" w:rsidRDefault="00000000">
            <w:pPr>
              <w:tabs>
                <w:tab w:val="left" w:pos="1370"/>
                <w:tab w:val="left" w:pos="1728"/>
                <w:tab w:val="right" w:leader="dot" w:pos="9331"/>
              </w:tabs>
              <w:spacing w:after="120" w:line="240" w:lineRule="auto"/>
              <w:ind w:left="1080" w:hanging="630"/>
              <w:rPr>
                <w:i/>
              </w:rPr>
            </w:pPr>
            <w:r>
              <w:rPr>
                <w:i/>
              </w:rPr>
              <w:t>2.3.</w:t>
            </w:r>
            <w:r>
              <w:rPr>
                <w:i/>
              </w:rPr>
              <w:tab/>
              <w:t>Женщины-беженцы</w:t>
            </w:r>
            <w:r>
              <w:rPr>
                <w:i/>
              </w:rPr>
              <w:tab/>
            </w:r>
            <w:r>
              <w:rPr>
                <w:i/>
              </w:rP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32</w:t>
            </w:r>
          </w:p>
        </w:tc>
      </w:tr>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rPr>
                <w:lang w:val="en-US"/>
              </w:rPr>
            </w:pPr>
          </w:p>
        </w:tc>
        <w:tc>
          <w:tcPr>
            <w:tcW w:w="8269" w:type="dxa"/>
            <w:gridSpan w:val="2"/>
          </w:tcPr>
          <w:p w:rsidR="00000000" w:rsidRDefault="00000000">
            <w:pPr>
              <w:tabs>
                <w:tab w:val="left" w:pos="1370"/>
                <w:tab w:val="left" w:pos="1728"/>
                <w:tab w:val="right" w:leader="dot" w:pos="9331"/>
              </w:tabs>
              <w:spacing w:after="120" w:line="240" w:lineRule="auto"/>
              <w:ind w:left="1080" w:hanging="630"/>
              <w:rPr>
                <w:i/>
              </w:rPr>
            </w:pPr>
            <w:r>
              <w:rPr>
                <w:i/>
              </w:rPr>
              <w:t>2.4.</w:t>
            </w:r>
            <w:r>
              <w:rPr>
                <w:i/>
              </w:rPr>
              <w:tab/>
              <w:t>Саамские женщины</w:t>
            </w:r>
            <w:r>
              <w:rPr>
                <w:i/>
              </w:rPr>
              <w:tab/>
            </w:r>
            <w:r>
              <w:rPr>
                <w:i/>
              </w:rP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33</w:t>
            </w:r>
          </w:p>
        </w:tc>
      </w:tr>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rPr>
                <w:lang w:val="en-US"/>
              </w:rPr>
            </w:pPr>
          </w:p>
        </w:tc>
        <w:tc>
          <w:tcPr>
            <w:tcW w:w="8269" w:type="dxa"/>
            <w:gridSpan w:val="2"/>
          </w:tcPr>
          <w:p w:rsidR="00000000" w:rsidRDefault="00000000">
            <w:pPr>
              <w:tabs>
                <w:tab w:val="left" w:pos="1370"/>
                <w:tab w:val="left" w:pos="1728"/>
                <w:tab w:val="right" w:leader="dot" w:pos="9331"/>
              </w:tabs>
              <w:spacing w:after="120" w:line="240" w:lineRule="auto"/>
              <w:ind w:left="1080" w:hanging="630"/>
              <w:rPr>
                <w:i/>
              </w:rPr>
            </w:pPr>
            <w:r>
              <w:rPr>
                <w:i/>
              </w:rPr>
              <w:t>2.5.</w:t>
            </w:r>
            <w:r>
              <w:rPr>
                <w:i/>
              </w:rPr>
              <w:tab/>
              <w:t>Женщины-рома</w:t>
            </w:r>
            <w:r>
              <w:rPr>
                <w:i/>
              </w:rP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35</w:t>
            </w:r>
          </w:p>
        </w:tc>
      </w:tr>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rPr>
                <w:lang w:val="en-US"/>
              </w:rPr>
            </w:pPr>
          </w:p>
        </w:tc>
        <w:tc>
          <w:tcPr>
            <w:tcW w:w="8269" w:type="dxa"/>
            <w:gridSpan w:val="2"/>
          </w:tcPr>
          <w:p w:rsidR="00000000" w:rsidRDefault="00000000">
            <w:pPr>
              <w:tabs>
                <w:tab w:val="left" w:pos="1370"/>
                <w:tab w:val="left" w:pos="1728"/>
                <w:tab w:val="right" w:leader="dot" w:pos="9331"/>
              </w:tabs>
              <w:spacing w:after="120" w:line="240" w:lineRule="auto"/>
              <w:ind w:left="450" w:hanging="450"/>
            </w:pPr>
            <w:r>
              <w:t>3.</w:t>
            </w:r>
            <w:r>
              <w:tab/>
              <w:t>Женщины-инвалиды</w:t>
            </w:r>
            <w:r>
              <w:tab/>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37</w:t>
            </w:r>
          </w:p>
        </w:tc>
      </w:tr>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rPr>
                <w:lang w:val="en-US"/>
              </w:rPr>
            </w:pPr>
          </w:p>
        </w:tc>
        <w:tc>
          <w:tcPr>
            <w:tcW w:w="8269" w:type="dxa"/>
            <w:gridSpan w:val="2"/>
          </w:tcPr>
          <w:p w:rsidR="00000000" w:rsidRDefault="00000000">
            <w:pPr>
              <w:tabs>
                <w:tab w:val="left" w:pos="1370"/>
                <w:tab w:val="left" w:pos="1728"/>
                <w:tab w:val="right" w:leader="dot" w:pos="9331"/>
              </w:tabs>
              <w:spacing w:after="120" w:line="240" w:lineRule="auto"/>
              <w:ind w:left="450" w:hanging="450"/>
            </w:pPr>
            <w:r>
              <w:t>4.</w:t>
            </w:r>
            <w:r>
              <w:tab/>
              <w:t>Пропаганда равенства в средствах массовой информации</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39</w:t>
            </w:r>
          </w:p>
        </w:tc>
      </w:tr>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rPr>
                <w:lang w:val="en-US"/>
              </w:rPr>
            </w:pPr>
          </w:p>
        </w:tc>
        <w:tc>
          <w:tcPr>
            <w:tcW w:w="8269" w:type="dxa"/>
            <w:gridSpan w:val="2"/>
          </w:tcPr>
          <w:p w:rsidR="00000000" w:rsidRDefault="00000000">
            <w:pPr>
              <w:tabs>
                <w:tab w:val="left" w:pos="1370"/>
                <w:tab w:val="left" w:pos="1728"/>
                <w:tab w:val="right" w:leader="dot" w:pos="9331"/>
              </w:tabs>
              <w:spacing w:after="120" w:line="240" w:lineRule="auto"/>
              <w:ind w:left="450" w:hanging="450"/>
            </w:pPr>
            <w:r>
              <w:t>5.</w:t>
            </w:r>
            <w:r>
              <w:tab/>
              <w:t>Дискриминация в сфере рекламы</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40</w:t>
            </w:r>
          </w:p>
        </w:tc>
      </w:tr>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rPr>
                <w:lang w:val="en-US"/>
              </w:rPr>
            </w:pPr>
          </w:p>
        </w:tc>
        <w:tc>
          <w:tcPr>
            <w:tcW w:w="8269" w:type="dxa"/>
            <w:gridSpan w:val="2"/>
          </w:tcPr>
          <w:p w:rsidR="00000000" w:rsidRDefault="00000000">
            <w:pPr>
              <w:tabs>
                <w:tab w:val="left" w:pos="1370"/>
                <w:tab w:val="left" w:pos="1728"/>
                <w:tab w:val="right" w:leader="dot" w:pos="9331"/>
              </w:tabs>
              <w:spacing w:after="120" w:line="240" w:lineRule="auto"/>
              <w:ind w:left="450" w:hanging="450"/>
            </w:pPr>
            <w:r>
              <w:t>6.</w:t>
            </w:r>
            <w:r>
              <w:tab/>
              <w:t>Совместные семейные обязанности мужчин и женщин</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41</w:t>
            </w:r>
          </w:p>
        </w:tc>
      </w:tr>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rPr>
                <w:lang w:val="en-US"/>
              </w:rPr>
            </w:pPr>
          </w:p>
        </w:tc>
        <w:tc>
          <w:tcPr>
            <w:tcW w:w="8269" w:type="dxa"/>
            <w:gridSpan w:val="2"/>
          </w:tcPr>
          <w:p w:rsidR="00000000" w:rsidRDefault="00000000">
            <w:pPr>
              <w:tabs>
                <w:tab w:val="left" w:pos="1370"/>
                <w:tab w:val="left" w:pos="1728"/>
                <w:tab w:val="right" w:leader="dot" w:pos="9331"/>
              </w:tabs>
              <w:spacing w:after="120" w:line="240" w:lineRule="auto"/>
              <w:ind w:left="1080" w:hanging="630"/>
              <w:rPr>
                <w:i/>
              </w:rPr>
            </w:pPr>
            <w:r>
              <w:rPr>
                <w:i/>
              </w:rPr>
              <w:t>6.1.</w:t>
            </w:r>
            <w:r>
              <w:rPr>
                <w:i/>
              </w:rPr>
              <w:tab/>
              <w:t>Совмещение трудовой деятельности и семейной жизни</w:t>
            </w:r>
            <w:r>
              <w:rPr>
                <w:i/>
              </w:rP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41</w:t>
            </w:r>
          </w:p>
        </w:tc>
      </w:tr>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rPr>
                <w:lang w:val="en-US"/>
              </w:rPr>
            </w:pPr>
          </w:p>
        </w:tc>
        <w:tc>
          <w:tcPr>
            <w:tcW w:w="8269" w:type="dxa"/>
            <w:gridSpan w:val="2"/>
          </w:tcPr>
          <w:p w:rsidR="00000000" w:rsidRDefault="00000000">
            <w:pPr>
              <w:tabs>
                <w:tab w:val="left" w:pos="1370"/>
                <w:tab w:val="left" w:pos="1728"/>
                <w:tab w:val="right" w:leader="dot" w:pos="9331"/>
              </w:tabs>
              <w:spacing w:after="120" w:line="240" w:lineRule="auto"/>
              <w:ind w:left="1080" w:hanging="630"/>
              <w:rPr>
                <w:i/>
              </w:rPr>
            </w:pPr>
            <w:r>
              <w:rPr>
                <w:i/>
              </w:rPr>
              <w:t>6.2.</w:t>
            </w:r>
            <w:r>
              <w:rPr>
                <w:i/>
              </w:rPr>
              <w:tab/>
              <w:t>Неоплачиваемая домашняя работа</w:t>
            </w:r>
            <w:r>
              <w:rPr>
                <w:i/>
              </w:rP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r>
              <w:tab/>
            </w: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44</w:t>
            </w:r>
          </w:p>
        </w:tc>
      </w:tr>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rPr>
                <w:lang w:val="en-US"/>
              </w:rPr>
            </w:pPr>
          </w:p>
        </w:tc>
        <w:tc>
          <w:tcPr>
            <w:tcW w:w="8269" w:type="dxa"/>
            <w:gridSpan w:val="2"/>
          </w:tcPr>
          <w:p w:rsidR="00000000" w:rsidRDefault="00000000">
            <w:pPr>
              <w:tabs>
                <w:tab w:val="right" w:leader="dot" w:pos="9331"/>
              </w:tabs>
              <w:spacing w:after="120" w:line="240" w:lineRule="auto"/>
              <w:ind w:left="1080" w:hanging="1080"/>
              <w:rPr>
                <w:b/>
              </w:rPr>
            </w:pPr>
            <w:r>
              <w:rPr>
                <w:b/>
              </w:rPr>
              <w:t>Статья 6</w:t>
            </w:r>
            <w:r>
              <w:rPr>
                <w:b/>
              </w:rPr>
              <w:tab/>
            </w:r>
            <w:r>
              <w:rPr>
                <w:b/>
              </w:rPr>
              <w:tab/>
            </w:r>
            <w:r>
              <w:rPr>
                <w:b/>
              </w:rPr>
              <w:tab/>
            </w:r>
            <w:r>
              <w:rPr>
                <w:b/>
              </w:rP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45</w:t>
            </w:r>
          </w:p>
        </w:tc>
      </w:tr>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rPr>
                <w:lang w:val="en-US"/>
              </w:rPr>
            </w:pPr>
          </w:p>
        </w:tc>
        <w:tc>
          <w:tcPr>
            <w:tcW w:w="8269" w:type="dxa"/>
            <w:gridSpan w:val="2"/>
          </w:tcPr>
          <w:p w:rsidR="00000000" w:rsidRDefault="00000000">
            <w:pPr>
              <w:tabs>
                <w:tab w:val="left" w:pos="1370"/>
                <w:tab w:val="left" w:pos="1728"/>
                <w:tab w:val="right" w:leader="dot" w:pos="9331"/>
              </w:tabs>
              <w:spacing w:after="120" w:line="240" w:lineRule="auto"/>
              <w:ind w:left="450" w:hanging="450"/>
            </w:pPr>
            <w:r>
              <w:t>1.</w:t>
            </w:r>
            <w:r>
              <w:tab/>
              <w:t>Недопущение коммерческой эксплуатации женщин</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45</w:t>
            </w:r>
          </w:p>
        </w:tc>
      </w:tr>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rPr>
                <w:lang w:val="en-US"/>
              </w:rPr>
            </w:pPr>
          </w:p>
        </w:tc>
        <w:tc>
          <w:tcPr>
            <w:tcW w:w="8269" w:type="dxa"/>
            <w:gridSpan w:val="2"/>
          </w:tcPr>
          <w:p w:rsidR="00000000" w:rsidRDefault="00000000">
            <w:pPr>
              <w:tabs>
                <w:tab w:val="left" w:pos="1370"/>
                <w:tab w:val="left" w:pos="1728"/>
                <w:tab w:val="right" w:leader="dot" w:pos="9331"/>
              </w:tabs>
              <w:spacing w:after="120" w:line="240" w:lineRule="auto"/>
              <w:ind w:left="1080" w:hanging="630"/>
              <w:rPr>
                <w:i/>
              </w:rPr>
            </w:pPr>
            <w:r>
              <w:rPr>
                <w:i/>
              </w:rPr>
              <w:t>1.1.</w:t>
            </w:r>
            <w:r>
              <w:rPr>
                <w:i/>
              </w:rPr>
              <w:tab/>
              <w:t>Развитие сотрудничества между органами власти</w:t>
            </w:r>
            <w:r>
              <w:rPr>
                <w:i/>
              </w:rP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45</w:t>
            </w:r>
          </w:p>
        </w:tc>
      </w:tr>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rPr>
                <w:lang w:val="en-US"/>
              </w:rPr>
            </w:pPr>
          </w:p>
        </w:tc>
        <w:tc>
          <w:tcPr>
            <w:tcW w:w="8269" w:type="dxa"/>
            <w:gridSpan w:val="2"/>
          </w:tcPr>
          <w:p w:rsidR="00000000" w:rsidRDefault="00000000">
            <w:pPr>
              <w:tabs>
                <w:tab w:val="left" w:pos="1370"/>
                <w:tab w:val="left" w:pos="1728"/>
                <w:tab w:val="right" w:leader="dot" w:pos="9331"/>
              </w:tabs>
              <w:spacing w:after="120" w:line="240" w:lineRule="auto"/>
              <w:ind w:left="1080" w:hanging="630"/>
              <w:rPr>
                <w:i/>
              </w:rPr>
            </w:pPr>
            <w:r>
              <w:rPr>
                <w:i/>
              </w:rPr>
              <w:t>1.2.</w:t>
            </w:r>
            <w:r>
              <w:rPr>
                <w:i/>
              </w:rPr>
              <w:tab/>
              <w:t>Сексуальные услуги по телефону</w:t>
            </w:r>
            <w:r>
              <w:rPr>
                <w:i/>
              </w:rP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46</w:t>
            </w:r>
          </w:p>
        </w:tc>
      </w:tr>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rPr>
                <w:lang w:val="en-US"/>
              </w:rPr>
            </w:pPr>
          </w:p>
        </w:tc>
        <w:tc>
          <w:tcPr>
            <w:tcW w:w="8269" w:type="dxa"/>
            <w:gridSpan w:val="2"/>
          </w:tcPr>
          <w:p w:rsidR="00000000" w:rsidRDefault="00000000">
            <w:pPr>
              <w:tabs>
                <w:tab w:val="left" w:pos="1370"/>
                <w:tab w:val="left" w:pos="1728"/>
                <w:tab w:val="right" w:leader="dot" w:pos="9331"/>
              </w:tabs>
              <w:spacing w:after="120" w:line="240" w:lineRule="auto"/>
              <w:ind w:left="1080" w:hanging="630"/>
              <w:rPr>
                <w:i/>
              </w:rPr>
            </w:pPr>
            <w:r>
              <w:rPr>
                <w:i/>
              </w:rPr>
              <w:t>1.3.</w:t>
            </w:r>
            <w:r>
              <w:rPr>
                <w:i/>
              </w:rPr>
              <w:tab/>
              <w:t>Реформы законодательства</w:t>
            </w:r>
            <w:r>
              <w:rPr>
                <w:i/>
              </w:rP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47</w:t>
            </w:r>
          </w:p>
        </w:tc>
      </w:tr>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rPr>
                <w:lang w:val="en-US"/>
              </w:rPr>
            </w:pPr>
          </w:p>
        </w:tc>
        <w:tc>
          <w:tcPr>
            <w:tcW w:w="8269" w:type="dxa"/>
            <w:gridSpan w:val="2"/>
          </w:tcPr>
          <w:p w:rsidR="00000000" w:rsidRDefault="00000000">
            <w:pPr>
              <w:tabs>
                <w:tab w:val="left" w:pos="1370"/>
                <w:tab w:val="left" w:pos="1728"/>
                <w:tab w:val="right" w:leader="dot" w:pos="9331"/>
              </w:tabs>
              <w:spacing w:after="120" w:line="240" w:lineRule="auto"/>
              <w:ind w:left="450" w:hanging="450"/>
            </w:pPr>
            <w:r>
              <w:t>2.</w:t>
            </w:r>
            <w:r>
              <w:tab/>
              <w:t>Сексуальные права</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49</w:t>
            </w:r>
          </w:p>
        </w:tc>
      </w:tr>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rPr>
                <w:lang w:val="en-US"/>
              </w:rPr>
            </w:pPr>
          </w:p>
        </w:tc>
        <w:tc>
          <w:tcPr>
            <w:tcW w:w="8269" w:type="dxa"/>
            <w:gridSpan w:val="2"/>
          </w:tcPr>
          <w:p w:rsidR="00000000" w:rsidRDefault="00000000">
            <w:pPr>
              <w:tabs>
                <w:tab w:val="right" w:leader="dot" w:pos="9331"/>
              </w:tabs>
              <w:spacing w:after="120" w:line="240" w:lineRule="auto"/>
              <w:ind w:left="450" w:hanging="450"/>
              <w:rPr>
                <w:b/>
              </w:rPr>
            </w:pPr>
            <w:r>
              <w:rPr>
                <w:b/>
              </w:rPr>
              <w:t>Статья 7</w:t>
            </w:r>
            <w:r>
              <w:rPr>
                <w:b/>
              </w:rPr>
              <w:tab/>
            </w:r>
            <w:r>
              <w:rPr>
                <w:b/>
              </w:rPr>
              <w:tab/>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50</w:t>
            </w:r>
          </w:p>
        </w:tc>
      </w:tr>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rPr>
                <w:lang w:val="en-US"/>
              </w:rPr>
            </w:pPr>
          </w:p>
        </w:tc>
        <w:tc>
          <w:tcPr>
            <w:tcW w:w="8269" w:type="dxa"/>
            <w:gridSpan w:val="2"/>
          </w:tcPr>
          <w:p w:rsidR="00000000" w:rsidRDefault="00000000">
            <w:pPr>
              <w:tabs>
                <w:tab w:val="right" w:leader="dot" w:pos="9331"/>
              </w:tabs>
              <w:spacing w:after="120" w:line="240" w:lineRule="auto"/>
              <w:ind w:left="450" w:hanging="450"/>
              <w:rPr>
                <w:b/>
              </w:rPr>
            </w:pPr>
            <w:r>
              <w:t>1.</w:t>
            </w:r>
            <w:r>
              <w:tab/>
              <w:t>Право голосовать</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50</w:t>
            </w:r>
          </w:p>
        </w:tc>
      </w:tr>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rPr>
                <w:lang w:val="en-US"/>
              </w:rPr>
            </w:pPr>
          </w:p>
        </w:tc>
        <w:tc>
          <w:tcPr>
            <w:tcW w:w="8269" w:type="dxa"/>
            <w:gridSpan w:val="2"/>
          </w:tcPr>
          <w:p w:rsidR="00000000" w:rsidRDefault="00000000">
            <w:pPr>
              <w:tabs>
                <w:tab w:val="right" w:leader="dot" w:pos="9331"/>
              </w:tabs>
              <w:spacing w:after="120" w:line="240" w:lineRule="auto"/>
              <w:ind w:left="450" w:hanging="450"/>
            </w:pPr>
            <w:r>
              <w:t>2.</w:t>
            </w:r>
            <w:r>
              <w:tab/>
              <w:t>Состав правительства</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50</w:t>
            </w:r>
          </w:p>
        </w:tc>
      </w:tr>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rPr>
                <w:lang w:val="en-US"/>
              </w:rPr>
            </w:pPr>
          </w:p>
        </w:tc>
        <w:tc>
          <w:tcPr>
            <w:tcW w:w="8269" w:type="dxa"/>
            <w:gridSpan w:val="2"/>
          </w:tcPr>
          <w:p w:rsidR="00000000" w:rsidRDefault="00000000">
            <w:pPr>
              <w:tabs>
                <w:tab w:val="right" w:leader="dot" w:pos="9331"/>
              </w:tabs>
              <w:spacing w:after="120" w:line="240" w:lineRule="auto"/>
              <w:ind w:left="450" w:hanging="450"/>
            </w:pPr>
            <w:r>
              <w:t>3.</w:t>
            </w:r>
            <w:r>
              <w:tab/>
              <w:t>Государственные гражданские служащие</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51</w:t>
            </w:r>
          </w:p>
        </w:tc>
      </w:tr>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rPr>
                <w:lang w:val="en-US"/>
              </w:rPr>
            </w:pPr>
          </w:p>
        </w:tc>
        <w:tc>
          <w:tcPr>
            <w:tcW w:w="8269" w:type="dxa"/>
            <w:gridSpan w:val="2"/>
          </w:tcPr>
          <w:p w:rsidR="00000000" w:rsidRDefault="00000000">
            <w:pPr>
              <w:tabs>
                <w:tab w:val="left" w:pos="1370"/>
                <w:tab w:val="left" w:pos="1728"/>
                <w:tab w:val="right" w:leader="dot" w:pos="9331"/>
              </w:tabs>
              <w:spacing w:after="120" w:line="240" w:lineRule="auto"/>
              <w:ind w:left="1080" w:hanging="630"/>
              <w:rPr>
                <w:i/>
              </w:rPr>
            </w:pPr>
            <w:r>
              <w:rPr>
                <w:i/>
              </w:rPr>
              <w:t>3.1.</w:t>
            </w:r>
            <w:r>
              <w:rPr>
                <w:i/>
              </w:rPr>
              <w:tab/>
              <w:t>Кадровая политика государства</w:t>
            </w:r>
            <w:r>
              <w:rPr>
                <w:i/>
              </w:rP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51</w:t>
            </w:r>
          </w:p>
        </w:tc>
      </w:tr>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rPr>
                <w:lang w:val="en-US"/>
              </w:rPr>
            </w:pPr>
          </w:p>
        </w:tc>
        <w:tc>
          <w:tcPr>
            <w:tcW w:w="8269" w:type="dxa"/>
            <w:gridSpan w:val="2"/>
          </w:tcPr>
          <w:p w:rsidR="00000000" w:rsidRDefault="00000000">
            <w:pPr>
              <w:tabs>
                <w:tab w:val="left" w:pos="1370"/>
                <w:tab w:val="left" w:pos="1728"/>
                <w:tab w:val="right" w:leader="dot" w:pos="9331"/>
              </w:tabs>
              <w:spacing w:after="120" w:line="240" w:lineRule="auto"/>
              <w:ind w:left="1080" w:hanging="630"/>
              <w:rPr>
                <w:i/>
              </w:rPr>
            </w:pPr>
            <w:r>
              <w:rPr>
                <w:i/>
              </w:rPr>
              <w:t>3.2.</w:t>
            </w:r>
            <w:r>
              <w:rPr>
                <w:i/>
              </w:rPr>
              <w:tab/>
              <w:t>Государственные должностные лица высшего уровня</w:t>
            </w:r>
            <w:r>
              <w:rPr>
                <w:i/>
              </w:rP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52</w:t>
            </w:r>
          </w:p>
        </w:tc>
      </w:tr>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rPr>
                <w:lang w:val="en-US"/>
              </w:rPr>
            </w:pPr>
          </w:p>
        </w:tc>
        <w:tc>
          <w:tcPr>
            <w:tcW w:w="8269" w:type="dxa"/>
            <w:gridSpan w:val="2"/>
          </w:tcPr>
          <w:p w:rsidR="00000000" w:rsidRDefault="00000000">
            <w:pPr>
              <w:tabs>
                <w:tab w:val="right" w:leader="dot" w:pos="9331"/>
              </w:tabs>
              <w:spacing w:after="120" w:line="240" w:lineRule="auto"/>
              <w:ind w:left="450" w:hanging="450"/>
            </w:pPr>
            <w:r>
              <w:t>4.</w:t>
            </w:r>
            <w:r>
              <w:tab/>
              <w:t>Финансирование женских организаций</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52</w:t>
            </w:r>
          </w:p>
        </w:tc>
      </w:tr>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rPr>
                <w:lang w:val="en-US"/>
              </w:rPr>
            </w:pPr>
          </w:p>
        </w:tc>
        <w:tc>
          <w:tcPr>
            <w:tcW w:w="8269" w:type="dxa"/>
            <w:gridSpan w:val="2"/>
          </w:tcPr>
          <w:p w:rsidR="00000000" w:rsidRDefault="00000000">
            <w:pPr>
              <w:tabs>
                <w:tab w:val="right" w:leader="dot" w:pos="9331"/>
              </w:tabs>
              <w:spacing w:after="120" w:line="240" w:lineRule="auto"/>
              <w:ind w:left="450" w:hanging="450"/>
              <w:rPr>
                <w:b/>
              </w:rPr>
            </w:pPr>
            <w:r>
              <w:rPr>
                <w:b/>
              </w:rPr>
              <w:t xml:space="preserve">Статья 8 </w:t>
            </w:r>
            <w:r>
              <w:rPr>
                <w:b/>
              </w:rP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53</w:t>
            </w:r>
          </w:p>
        </w:tc>
      </w:tr>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rPr>
                <w:lang w:val="en-US"/>
              </w:rPr>
            </w:pPr>
          </w:p>
        </w:tc>
        <w:tc>
          <w:tcPr>
            <w:tcW w:w="8269" w:type="dxa"/>
            <w:gridSpan w:val="2"/>
          </w:tcPr>
          <w:p w:rsidR="00000000" w:rsidRDefault="00000000">
            <w:pPr>
              <w:tabs>
                <w:tab w:val="right" w:leader="dot" w:pos="9331"/>
              </w:tabs>
              <w:spacing w:after="120" w:line="240" w:lineRule="auto"/>
              <w:ind w:left="450" w:hanging="450"/>
              <w:rPr>
                <w:b/>
              </w:rPr>
            </w:pPr>
            <w:r>
              <w:rPr>
                <w:b/>
              </w:rPr>
              <w:t xml:space="preserve">Статья 9 </w:t>
            </w:r>
            <w:r>
              <w:rPr>
                <w:b/>
              </w:rP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53</w:t>
            </w:r>
          </w:p>
        </w:tc>
      </w:tr>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rPr>
                <w:lang w:val="en-US"/>
              </w:rPr>
            </w:pPr>
          </w:p>
        </w:tc>
        <w:tc>
          <w:tcPr>
            <w:tcW w:w="8269" w:type="dxa"/>
            <w:gridSpan w:val="2"/>
          </w:tcPr>
          <w:p w:rsidR="00000000" w:rsidRDefault="00000000">
            <w:pPr>
              <w:tabs>
                <w:tab w:val="right" w:leader="dot" w:pos="9331"/>
              </w:tabs>
              <w:spacing w:after="120" w:line="240" w:lineRule="auto"/>
              <w:ind w:left="450" w:hanging="450"/>
              <w:rPr>
                <w:b/>
              </w:rPr>
            </w:pPr>
            <w:r>
              <w:rPr>
                <w:b/>
              </w:rPr>
              <w:t>Статья 10</w:t>
            </w:r>
            <w:r>
              <w:rPr>
                <w:b/>
              </w:rP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53</w:t>
            </w:r>
          </w:p>
        </w:tc>
      </w:tr>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rPr>
                <w:lang w:val="en-US"/>
              </w:rPr>
            </w:pPr>
          </w:p>
        </w:tc>
        <w:tc>
          <w:tcPr>
            <w:tcW w:w="8269" w:type="dxa"/>
            <w:gridSpan w:val="2"/>
          </w:tcPr>
          <w:p w:rsidR="00000000" w:rsidRDefault="00000000">
            <w:pPr>
              <w:tabs>
                <w:tab w:val="right" w:leader="dot" w:pos="9331"/>
              </w:tabs>
              <w:spacing w:after="120" w:line="240" w:lineRule="auto"/>
              <w:ind w:left="450" w:hanging="450"/>
              <w:rPr>
                <w:b/>
              </w:rPr>
            </w:pPr>
            <w:r>
              <w:t>1.</w:t>
            </w:r>
            <w:r>
              <w:tab/>
              <w:t>Содействие обеспечению равноправия в трудовой деятельности путем принятия мер в области трудовых отношений</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54</w:t>
            </w:r>
          </w:p>
        </w:tc>
      </w:tr>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rPr>
                <w:lang w:val="en-US"/>
              </w:rPr>
            </w:pPr>
          </w:p>
        </w:tc>
        <w:tc>
          <w:tcPr>
            <w:tcW w:w="8269" w:type="dxa"/>
            <w:gridSpan w:val="2"/>
          </w:tcPr>
          <w:p w:rsidR="00000000" w:rsidRDefault="00000000">
            <w:pPr>
              <w:tabs>
                <w:tab w:val="right" w:leader="dot" w:pos="9331"/>
              </w:tabs>
              <w:spacing w:after="120" w:line="240" w:lineRule="auto"/>
              <w:ind w:left="450" w:hanging="450"/>
            </w:pPr>
            <w:r>
              <w:t>2.</w:t>
            </w:r>
            <w:r>
              <w:tab/>
              <w:t>Различия по признаку пола в сфере образования</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56</w:t>
            </w:r>
          </w:p>
        </w:tc>
      </w:tr>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rPr>
                <w:lang w:val="en-US"/>
              </w:rPr>
            </w:pPr>
          </w:p>
        </w:tc>
        <w:tc>
          <w:tcPr>
            <w:tcW w:w="8269" w:type="dxa"/>
            <w:gridSpan w:val="2"/>
          </w:tcPr>
          <w:p w:rsidR="00000000" w:rsidRDefault="00000000">
            <w:pPr>
              <w:tabs>
                <w:tab w:val="right" w:leader="dot" w:pos="9331"/>
              </w:tabs>
              <w:spacing w:after="120" w:line="240" w:lineRule="auto"/>
              <w:ind w:left="450" w:hanging="450"/>
            </w:pPr>
            <w:r>
              <w:t>3.</w:t>
            </w:r>
            <w:r>
              <w:tab/>
              <w:t>Меры, касающиеся политики в отношении молодежи и спорта</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59</w:t>
            </w:r>
          </w:p>
        </w:tc>
      </w:tr>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rPr>
                <w:lang w:val="en-US"/>
              </w:rPr>
            </w:pPr>
          </w:p>
        </w:tc>
        <w:tc>
          <w:tcPr>
            <w:tcW w:w="8269" w:type="dxa"/>
            <w:gridSpan w:val="2"/>
          </w:tcPr>
          <w:p w:rsidR="00000000" w:rsidRDefault="00000000">
            <w:pPr>
              <w:tabs>
                <w:tab w:val="left" w:pos="1370"/>
                <w:tab w:val="left" w:pos="1728"/>
                <w:tab w:val="right" w:leader="dot" w:pos="9331"/>
              </w:tabs>
              <w:spacing w:after="120" w:line="240" w:lineRule="auto"/>
              <w:ind w:left="1080" w:hanging="630"/>
              <w:rPr>
                <w:i/>
              </w:rPr>
            </w:pPr>
            <w:r>
              <w:rPr>
                <w:i/>
              </w:rPr>
              <w:t>3.1.</w:t>
            </w:r>
            <w:r>
              <w:rPr>
                <w:i/>
              </w:rPr>
              <w:tab/>
              <w:t>Политика в отношении молодежи</w:t>
            </w:r>
            <w:r>
              <w:rPr>
                <w:i/>
              </w:rP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59</w:t>
            </w:r>
          </w:p>
        </w:tc>
      </w:tr>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rPr>
                <w:lang w:val="en-US"/>
              </w:rPr>
            </w:pPr>
          </w:p>
        </w:tc>
        <w:tc>
          <w:tcPr>
            <w:tcW w:w="8269" w:type="dxa"/>
            <w:gridSpan w:val="2"/>
          </w:tcPr>
          <w:p w:rsidR="00000000" w:rsidRDefault="00000000">
            <w:pPr>
              <w:tabs>
                <w:tab w:val="left" w:pos="1370"/>
                <w:tab w:val="left" w:pos="1728"/>
                <w:tab w:val="right" w:leader="dot" w:pos="9331"/>
              </w:tabs>
              <w:spacing w:after="120" w:line="240" w:lineRule="auto"/>
              <w:ind w:left="1080" w:hanging="630"/>
              <w:rPr>
                <w:i/>
              </w:rPr>
            </w:pPr>
            <w:r>
              <w:rPr>
                <w:i/>
              </w:rPr>
              <w:t>3.2.</w:t>
            </w:r>
            <w:r>
              <w:rPr>
                <w:i/>
              </w:rPr>
              <w:tab/>
              <w:t>Политика в области спорта</w:t>
            </w:r>
            <w:r>
              <w:rPr>
                <w:i/>
              </w:rP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60</w:t>
            </w:r>
          </w:p>
        </w:tc>
      </w:tr>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rPr>
                <w:lang w:val="en-US"/>
              </w:rPr>
            </w:pPr>
          </w:p>
        </w:tc>
        <w:tc>
          <w:tcPr>
            <w:tcW w:w="8269" w:type="dxa"/>
            <w:gridSpan w:val="2"/>
          </w:tcPr>
          <w:p w:rsidR="00000000" w:rsidRDefault="00000000">
            <w:pPr>
              <w:tabs>
                <w:tab w:val="right" w:leader="dot" w:pos="9331"/>
              </w:tabs>
              <w:spacing w:after="120" w:line="240" w:lineRule="auto"/>
              <w:ind w:left="450" w:hanging="450"/>
            </w:pPr>
            <w:r>
              <w:t>4.</w:t>
            </w:r>
            <w:r>
              <w:tab/>
              <w:t>Исследования, касающиеся женщин</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61</w:t>
            </w:r>
          </w:p>
        </w:tc>
      </w:tr>
    </w:tbl>
    <w:p w:rsidR="00000000" w:rsidRDefault="00000000">
      <w:r>
        <w:br w:type="page"/>
      </w:r>
    </w:p>
    <w:tbl>
      <w:tblPr>
        <w:tblW w:w="0" w:type="auto"/>
        <w:tblInd w:w="2" w:type="dxa"/>
        <w:tblLayout w:type="fixed"/>
        <w:tblCellMar>
          <w:left w:w="0" w:type="dxa"/>
          <w:right w:w="0" w:type="dxa"/>
        </w:tblCellMar>
        <w:tblLook w:val="0000" w:firstRow="0" w:lastRow="0" w:firstColumn="0" w:lastColumn="0" w:noHBand="0" w:noVBand="0"/>
      </w:tblPr>
      <w:tblGrid>
        <w:gridCol w:w="1080"/>
        <w:gridCol w:w="8269"/>
        <w:gridCol w:w="35"/>
        <w:gridCol w:w="533"/>
      </w:tblGrid>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rPr>
                <w:lang w:val="en-US"/>
              </w:rPr>
            </w:pPr>
          </w:p>
        </w:tc>
        <w:tc>
          <w:tcPr>
            <w:tcW w:w="8269" w:type="dxa"/>
          </w:tcPr>
          <w:p w:rsidR="00000000" w:rsidRDefault="00000000">
            <w:pPr>
              <w:tabs>
                <w:tab w:val="right" w:leader="dot" w:pos="9331"/>
              </w:tabs>
              <w:spacing w:after="120" w:line="240" w:lineRule="auto"/>
              <w:ind w:left="450" w:hanging="450"/>
              <w:rPr>
                <w:b/>
              </w:rPr>
            </w:pPr>
            <w:r>
              <w:rPr>
                <w:b/>
              </w:rPr>
              <w:t>Статья 11</w:t>
            </w:r>
            <w:r>
              <w:rPr>
                <w:b/>
              </w:rP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63</w:t>
            </w:r>
          </w:p>
        </w:tc>
      </w:tr>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rPr>
                <w:lang w:val="en-US"/>
              </w:rPr>
            </w:pPr>
          </w:p>
        </w:tc>
        <w:tc>
          <w:tcPr>
            <w:tcW w:w="8269" w:type="dxa"/>
          </w:tcPr>
          <w:p w:rsidR="00000000" w:rsidRDefault="00000000">
            <w:pPr>
              <w:tabs>
                <w:tab w:val="right" w:leader="dot" w:pos="9331"/>
              </w:tabs>
              <w:spacing w:after="120" w:line="240" w:lineRule="auto"/>
              <w:ind w:left="450" w:hanging="450"/>
            </w:pPr>
            <w:r>
              <w:t>1.</w:t>
            </w:r>
            <w:r>
              <w:tab/>
              <w:t>Искоренение дискриминации в труде</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64</w:t>
            </w:r>
          </w:p>
        </w:tc>
      </w:tr>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rPr>
                <w:lang w:val="en-US"/>
              </w:rPr>
            </w:pPr>
          </w:p>
        </w:tc>
        <w:tc>
          <w:tcPr>
            <w:tcW w:w="8269" w:type="dxa"/>
          </w:tcPr>
          <w:p w:rsidR="00000000" w:rsidRDefault="00000000">
            <w:pPr>
              <w:tabs>
                <w:tab w:val="left" w:pos="1370"/>
                <w:tab w:val="left" w:pos="1728"/>
                <w:tab w:val="right" w:leader="dot" w:pos="9331"/>
              </w:tabs>
              <w:spacing w:after="120" w:line="240" w:lineRule="auto"/>
              <w:ind w:left="1080" w:hanging="630"/>
              <w:rPr>
                <w:i/>
              </w:rPr>
            </w:pPr>
            <w:r>
              <w:rPr>
                <w:i/>
              </w:rPr>
              <w:t>1.1.</w:t>
            </w:r>
            <w:r>
              <w:rPr>
                <w:i/>
              </w:rPr>
              <w:tab/>
              <w:t>Содействие обеспечению равноправия в труде</w:t>
            </w:r>
            <w:r>
              <w:rPr>
                <w:i/>
              </w:rP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64</w:t>
            </w:r>
          </w:p>
        </w:tc>
      </w:tr>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rPr>
                <w:lang w:val="en-US"/>
              </w:rPr>
            </w:pPr>
          </w:p>
        </w:tc>
        <w:tc>
          <w:tcPr>
            <w:tcW w:w="8269" w:type="dxa"/>
          </w:tcPr>
          <w:p w:rsidR="00000000" w:rsidRDefault="00000000">
            <w:pPr>
              <w:tabs>
                <w:tab w:val="left" w:pos="1370"/>
                <w:tab w:val="left" w:pos="1728"/>
                <w:tab w:val="right" w:leader="dot" w:pos="9331"/>
              </w:tabs>
              <w:spacing w:after="120" w:line="240" w:lineRule="auto"/>
              <w:ind w:left="1080" w:hanging="630"/>
              <w:rPr>
                <w:i/>
              </w:rPr>
            </w:pPr>
            <w:r>
              <w:rPr>
                <w:i/>
              </w:rPr>
              <w:t>1.1.1.</w:t>
            </w:r>
            <w:r>
              <w:rPr>
                <w:i/>
              </w:rPr>
              <w:tab/>
              <w:t>Планы обеспечения равенства</w:t>
            </w:r>
            <w:r>
              <w:rPr>
                <w:i/>
              </w:rP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65</w:t>
            </w:r>
          </w:p>
        </w:tc>
      </w:tr>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rPr>
                <w:lang w:val="en-US"/>
              </w:rPr>
            </w:pPr>
          </w:p>
        </w:tc>
        <w:tc>
          <w:tcPr>
            <w:tcW w:w="8269" w:type="dxa"/>
          </w:tcPr>
          <w:p w:rsidR="00000000" w:rsidRDefault="00000000">
            <w:pPr>
              <w:tabs>
                <w:tab w:val="left" w:pos="1370"/>
                <w:tab w:val="left" w:pos="1728"/>
                <w:tab w:val="right" w:leader="dot" w:pos="9331"/>
              </w:tabs>
              <w:spacing w:after="120" w:line="240" w:lineRule="auto"/>
              <w:ind w:left="1080" w:hanging="630"/>
              <w:rPr>
                <w:i/>
              </w:rPr>
            </w:pPr>
            <w:r>
              <w:rPr>
                <w:i/>
              </w:rPr>
              <w:t>1.2.</w:t>
            </w:r>
            <w:r>
              <w:rPr>
                <w:i/>
              </w:rPr>
              <w:tab/>
              <w:t>Сексуальные посягательства</w:t>
            </w:r>
            <w:r>
              <w:rPr>
                <w:i/>
              </w:rP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67</w:t>
            </w:r>
          </w:p>
        </w:tc>
      </w:tr>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rPr>
                <w:lang w:val="en-US"/>
              </w:rPr>
            </w:pPr>
          </w:p>
        </w:tc>
        <w:tc>
          <w:tcPr>
            <w:tcW w:w="8269" w:type="dxa"/>
          </w:tcPr>
          <w:p w:rsidR="00000000" w:rsidRDefault="00000000">
            <w:pPr>
              <w:tabs>
                <w:tab w:val="right" w:leader="dot" w:pos="9331"/>
              </w:tabs>
              <w:spacing w:after="120" w:line="240" w:lineRule="auto"/>
              <w:ind w:left="450" w:hanging="450"/>
            </w:pPr>
            <w:r>
              <w:t>2.</w:t>
            </w:r>
            <w:r>
              <w:tab/>
              <w:t>Непостоянные трудовые отношения</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68</w:t>
            </w:r>
          </w:p>
        </w:tc>
      </w:tr>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rPr>
                <w:lang w:val="en-US"/>
              </w:rPr>
            </w:pPr>
          </w:p>
        </w:tc>
        <w:tc>
          <w:tcPr>
            <w:tcW w:w="8269" w:type="dxa"/>
          </w:tcPr>
          <w:p w:rsidR="00000000" w:rsidRDefault="00000000">
            <w:pPr>
              <w:tabs>
                <w:tab w:val="right" w:leader="dot" w:pos="9331"/>
              </w:tabs>
              <w:spacing w:after="120" w:line="240" w:lineRule="auto"/>
              <w:ind w:left="450" w:hanging="450"/>
            </w:pPr>
            <w:r>
              <w:t>3.</w:t>
            </w:r>
            <w:r>
              <w:tab/>
              <w:t>Женщины-иммигранты на рынке труда</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72</w:t>
            </w:r>
          </w:p>
        </w:tc>
      </w:tr>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rPr>
                <w:lang w:val="en-US"/>
              </w:rPr>
            </w:pPr>
          </w:p>
        </w:tc>
        <w:tc>
          <w:tcPr>
            <w:tcW w:w="8269" w:type="dxa"/>
          </w:tcPr>
          <w:p w:rsidR="00000000" w:rsidRDefault="00000000">
            <w:pPr>
              <w:tabs>
                <w:tab w:val="right" w:leader="dot" w:pos="9331"/>
              </w:tabs>
              <w:spacing w:after="120" w:line="240" w:lineRule="auto"/>
              <w:ind w:left="450" w:hanging="450"/>
            </w:pPr>
            <w:r>
              <w:t>4.</w:t>
            </w:r>
            <w:r>
              <w:tab/>
              <w:t>Предложение о принятии закона о гарантиях равенства</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74</w:t>
            </w:r>
          </w:p>
        </w:tc>
      </w:tr>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rPr>
                <w:lang w:val="en-US"/>
              </w:rPr>
            </w:pPr>
          </w:p>
        </w:tc>
        <w:tc>
          <w:tcPr>
            <w:tcW w:w="8269" w:type="dxa"/>
          </w:tcPr>
          <w:p w:rsidR="00000000" w:rsidRDefault="00000000">
            <w:pPr>
              <w:tabs>
                <w:tab w:val="right" w:leader="dot" w:pos="9331"/>
              </w:tabs>
              <w:spacing w:after="120" w:line="240" w:lineRule="auto"/>
              <w:ind w:left="450" w:hanging="450"/>
            </w:pPr>
            <w:r>
              <w:t>5.</w:t>
            </w:r>
            <w:r>
              <w:tab/>
              <w:t>Система коллективных трудовых договоров</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75</w:t>
            </w:r>
          </w:p>
        </w:tc>
      </w:tr>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rPr>
                <w:lang w:val="en-US"/>
              </w:rPr>
            </w:pPr>
          </w:p>
        </w:tc>
        <w:tc>
          <w:tcPr>
            <w:tcW w:w="8269" w:type="dxa"/>
          </w:tcPr>
          <w:p w:rsidR="00000000" w:rsidRDefault="00000000">
            <w:pPr>
              <w:tabs>
                <w:tab w:val="right" w:leader="dot" w:pos="9331"/>
              </w:tabs>
              <w:spacing w:after="120" w:line="240" w:lineRule="auto"/>
              <w:ind w:left="450" w:hanging="450"/>
            </w:pPr>
            <w:r>
              <w:t>6.</w:t>
            </w:r>
            <w:r>
              <w:tab/>
              <w:t>Заработная плата</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76</w:t>
            </w:r>
          </w:p>
        </w:tc>
      </w:tr>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rPr>
                <w:lang w:val="en-US"/>
              </w:rPr>
            </w:pPr>
          </w:p>
        </w:tc>
        <w:tc>
          <w:tcPr>
            <w:tcW w:w="8269" w:type="dxa"/>
          </w:tcPr>
          <w:p w:rsidR="00000000" w:rsidRDefault="00000000">
            <w:pPr>
              <w:tabs>
                <w:tab w:val="right" w:leader="dot" w:pos="9331"/>
              </w:tabs>
              <w:spacing w:after="120" w:line="240" w:lineRule="auto"/>
              <w:ind w:left="450" w:hanging="450"/>
            </w:pPr>
            <w:r>
              <w:t>7.</w:t>
            </w:r>
            <w:r>
              <w:tab/>
              <w:t>Безработица среди женщин</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78</w:t>
            </w:r>
          </w:p>
        </w:tc>
      </w:tr>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rPr>
                <w:lang w:val="en-US"/>
              </w:rPr>
            </w:pPr>
          </w:p>
        </w:tc>
        <w:tc>
          <w:tcPr>
            <w:tcW w:w="8269" w:type="dxa"/>
          </w:tcPr>
          <w:p w:rsidR="00000000" w:rsidRDefault="00000000">
            <w:pPr>
              <w:tabs>
                <w:tab w:val="left" w:pos="1370"/>
                <w:tab w:val="left" w:pos="1728"/>
                <w:tab w:val="right" w:leader="dot" w:pos="9331"/>
              </w:tabs>
              <w:spacing w:after="120" w:line="240" w:lineRule="auto"/>
              <w:ind w:left="1080" w:hanging="630"/>
              <w:rPr>
                <w:i/>
              </w:rPr>
            </w:pPr>
            <w:r>
              <w:rPr>
                <w:i/>
              </w:rPr>
              <w:t>7.1.</w:t>
            </w:r>
            <w:r>
              <w:rPr>
                <w:i/>
              </w:rPr>
              <w:tab/>
              <w:t>Безработица среди женщин в 2002 году</w:t>
            </w:r>
            <w:r>
              <w:rPr>
                <w:i/>
              </w:rP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78</w:t>
            </w:r>
          </w:p>
        </w:tc>
      </w:tr>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rPr>
                <w:lang w:val="en-US"/>
              </w:rPr>
            </w:pPr>
          </w:p>
        </w:tc>
        <w:tc>
          <w:tcPr>
            <w:tcW w:w="8269" w:type="dxa"/>
          </w:tcPr>
          <w:p w:rsidR="00000000" w:rsidRDefault="00000000">
            <w:pPr>
              <w:tabs>
                <w:tab w:val="left" w:pos="1370"/>
                <w:tab w:val="left" w:pos="1728"/>
                <w:tab w:val="right" w:leader="dot" w:pos="9331"/>
              </w:tabs>
              <w:spacing w:after="120" w:line="240" w:lineRule="auto"/>
              <w:ind w:left="1080" w:hanging="630"/>
              <w:rPr>
                <w:i/>
              </w:rPr>
            </w:pPr>
            <w:r>
              <w:rPr>
                <w:i/>
              </w:rPr>
              <w:t>7.2.</w:t>
            </w:r>
            <w:r>
              <w:rPr>
                <w:i/>
              </w:rPr>
              <w:tab/>
              <w:t>Работающие женщины старше среднего возраста</w:t>
            </w:r>
            <w:r>
              <w:rPr>
                <w:i/>
              </w:rP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78</w:t>
            </w:r>
          </w:p>
        </w:tc>
      </w:tr>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rPr>
                <w:lang w:val="en-US"/>
              </w:rPr>
            </w:pPr>
          </w:p>
        </w:tc>
        <w:tc>
          <w:tcPr>
            <w:tcW w:w="8269" w:type="dxa"/>
          </w:tcPr>
          <w:p w:rsidR="00000000" w:rsidRDefault="00000000">
            <w:pPr>
              <w:tabs>
                <w:tab w:val="right" w:leader="dot" w:pos="9331"/>
              </w:tabs>
              <w:spacing w:after="120" w:line="240" w:lineRule="auto"/>
              <w:ind w:left="450" w:hanging="450"/>
            </w:pPr>
            <w:r>
              <w:t>8.</w:t>
            </w:r>
            <w:r>
              <w:tab/>
              <w:t>Социальное обеспечение</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79</w:t>
            </w:r>
          </w:p>
        </w:tc>
      </w:tr>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rPr>
                <w:lang w:val="en-US"/>
              </w:rPr>
            </w:pPr>
          </w:p>
        </w:tc>
        <w:tc>
          <w:tcPr>
            <w:tcW w:w="8269" w:type="dxa"/>
          </w:tcPr>
          <w:p w:rsidR="00000000" w:rsidRDefault="00000000">
            <w:pPr>
              <w:tabs>
                <w:tab w:val="left" w:pos="1370"/>
                <w:tab w:val="left" w:pos="1728"/>
                <w:tab w:val="right" w:leader="dot" w:pos="9331"/>
              </w:tabs>
              <w:spacing w:after="120" w:line="240" w:lineRule="auto"/>
              <w:ind w:left="1080" w:hanging="630"/>
              <w:rPr>
                <w:i/>
              </w:rPr>
            </w:pPr>
            <w:r>
              <w:rPr>
                <w:i/>
              </w:rPr>
              <w:t>8.1.</w:t>
            </w:r>
            <w:r>
              <w:rPr>
                <w:i/>
              </w:rPr>
              <w:tab/>
              <w:t>Гарантии социального обеспечения и анализ гендерных аспектов его влияния</w:t>
            </w:r>
            <w:r>
              <w:rPr>
                <w:i/>
              </w:rP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79</w:t>
            </w:r>
          </w:p>
        </w:tc>
      </w:tr>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rPr>
                <w:lang w:val="en-US"/>
              </w:rPr>
            </w:pPr>
          </w:p>
        </w:tc>
        <w:tc>
          <w:tcPr>
            <w:tcW w:w="8269" w:type="dxa"/>
          </w:tcPr>
          <w:p w:rsidR="00000000" w:rsidRDefault="00000000">
            <w:pPr>
              <w:tabs>
                <w:tab w:val="left" w:pos="1370"/>
                <w:tab w:val="left" w:pos="1728"/>
                <w:tab w:val="right" w:leader="dot" w:pos="9331"/>
              </w:tabs>
              <w:spacing w:after="120" w:line="240" w:lineRule="auto"/>
              <w:ind w:left="1080" w:hanging="630"/>
              <w:rPr>
                <w:i/>
              </w:rPr>
            </w:pPr>
            <w:r>
              <w:rPr>
                <w:i/>
              </w:rPr>
              <w:t>8.2.</w:t>
            </w:r>
            <w:r>
              <w:rPr>
                <w:i/>
              </w:rPr>
              <w:tab/>
              <w:t>Пенсионные пособия</w:t>
            </w:r>
            <w:r>
              <w:rPr>
                <w:i/>
              </w:rP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83</w:t>
            </w:r>
          </w:p>
        </w:tc>
      </w:tr>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rPr>
                <w:lang w:val="en-US"/>
              </w:rPr>
            </w:pPr>
          </w:p>
        </w:tc>
        <w:tc>
          <w:tcPr>
            <w:tcW w:w="8269" w:type="dxa"/>
          </w:tcPr>
          <w:p w:rsidR="00000000" w:rsidRDefault="00000000">
            <w:pPr>
              <w:tabs>
                <w:tab w:val="right" w:leader="dot" w:pos="9331"/>
              </w:tabs>
              <w:spacing w:after="120" w:line="240" w:lineRule="auto"/>
              <w:ind w:left="450" w:hanging="450"/>
            </w:pPr>
            <w:r>
              <w:t>9.</w:t>
            </w:r>
            <w:r>
              <w:tab/>
              <w:t>Детские дошкольные учреждения</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84</w:t>
            </w:r>
          </w:p>
        </w:tc>
      </w:tr>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rPr>
                <w:lang w:val="en-US"/>
              </w:rPr>
            </w:pPr>
          </w:p>
        </w:tc>
        <w:tc>
          <w:tcPr>
            <w:tcW w:w="8269" w:type="dxa"/>
          </w:tcPr>
          <w:p w:rsidR="00000000" w:rsidRDefault="00000000">
            <w:pPr>
              <w:tabs>
                <w:tab w:val="right" w:leader="dot" w:pos="9331"/>
              </w:tabs>
              <w:spacing w:after="120" w:line="240" w:lineRule="auto"/>
              <w:ind w:left="450" w:hanging="450"/>
              <w:rPr>
                <w:b/>
              </w:rPr>
            </w:pPr>
            <w:r>
              <w:rPr>
                <w:b/>
              </w:rPr>
              <w:t>Статья 12</w:t>
            </w:r>
            <w:r>
              <w:rPr>
                <w:b/>
              </w:rP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84</w:t>
            </w:r>
          </w:p>
        </w:tc>
      </w:tr>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rPr>
                <w:lang w:val="en-US"/>
              </w:rPr>
            </w:pPr>
          </w:p>
        </w:tc>
        <w:tc>
          <w:tcPr>
            <w:tcW w:w="8269" w:type="dxa"/>
          </w:tcPr>
          <w:p w:rsidR="00000000" w:rsidRDefault="00000000">
            <w:pPr>
              <w:tabs>
                <w:tab w:val="right" w:leader="dot" w:pos="9331"/>
              </w:tabs>
              <w:spacing w:after="120" w:line="240" w:lineRule="auto"/>
              <w:ind w:left="450" w:hanging="450"/>
            </w:pPr>
            <w:r>
              <w:t>1.</w:t>
            </w:r>
            <w:r>
              <w:tab/>
              <w:t>Охрана здоровья</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84</w:t>
            </w:r>
          </w:p>
        </w:tc>
      </w:tr>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rPr>
                <w:lang w:val="en-US"/>
              </w:rPr>
            </w:pPr>
          </w:p>
        </w:tc>
        <w:tc>
          <w:tcPr>
            <w:tcW w:w="8269" w:type="dxa"/>
          </w:tcPr>
          <w:p w:rsidR="00000000" w:rsidRDefault="00000000">
            <w:pPr>
              <w:tabs>
                <w:tab w:val="left" w:pos="1370"/>
                <w:tab w:val="left" w:pos="1728"/>
                <w:tab w:val="right" w:leader="dot" w:pos="9331"/>
              </w:tabs>
              <w:spacing w:after="120" w:line="240" w:lineRule="auto"/>
              <w:ind w:left="1080" w:hanging="630"/>
              <w:rPr>
                <w:i/>
              </w:rPr>
            </w:pPr>
            <w:r>
              <w:rPr>
                <w:i/>
              </w:rPr>
              <w:t>1.1.</w:t>
            </w:r>
            <w:r>
              <w:rPr>
                <w:i/>
              </w:rPr>
              <w:tab/>
              <w:t>Общие сведения</w:t>
            </w:r>
            <w:r>
              <w:rPr>
                <w:i/>
              </w:rP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84</w:t>
            </w:r>
          </w:p>
        </w:tc>
      </w:tr>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rPr>
                <w:lang w:val="en-US"/>
              </w:rPr>
            </w:pPr>
          </w:p>
        </w:tc>
        <w:tc>
          <w:tcPr>
            <w:tcW w:w="8269" w:type="dxa"/>
          </w:tcPr>
          <w:p w:rsidR="00000000" w:rsidRDefault="00000000">
            <w:pPr>
              <w:tabs>
                <w:tab w:val="left" w:pos="1370"/>
                <w:tab w:val="left" w:pos="1728"/>
                <w:tab w:val="right" w:leader="dot" w:pos="9331"/>
              </w:tabs>
              <w:spacing w:after="120" w:line="240" w:lineRule="auto"/>
              <w:ind w:left="1080" w:hanging="630"/>
              <w:rPr>
                <w:i/>
              </w:rPr>
            </w:pPr>
            <w:r>
              <w:rPr>
                <w:i/>
              </w:rPr>
              <w:t>1.2.</w:t>
            </w:r>
            <w:r>
              <w:rPr>
                <w:i/>
              </w:rPr>
              <w:tab/>
              <w:t>Наркотики</w:t>
            </w:r>
            <w:r>
              <w:rPr>
                <w:i/>
              </w:rP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85</w:t>
            </w:r>
          </w:p>
        </w:tc>
      </w:tr>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rPr>
                <w:lang w:val="en-US"/>
              </w:rPr>
            </w:pPr>
          </w:p>
        </w:tc>
        <w:tc>
          <w:tcPr>
            <w:tcW w:w="8269" w:type="dxa"/>
          </w:tcPr>
          <w:p w:rsidR="00000000" w:rsidRDefault="00000000">
            <w:pPr>
              <w:tabs>
                <w:tab w:val="left" w:pos="1370"/>
                <w:tab w:val="left" w:pos="1728"/>
                <w:tab w:val="right" w:leader="dot" w:pos="9331"/>
              </w:tabs>
              <w:spacing w:after="120" w:line="240" w:lineRule="auto"/>
              <w:ind w:left="1080" w:hanging="630"/>
              <w:rPr>
                <w:i/>
              </w:rPr>
            </w:pPr>
            <w:r>
              <w:rPr>
                <w:i/>
              </w:rPr>
              <w:t>1.3.</w:t>
            </w:r>
            <w:r>
              <w:rPr>
                <w:i/>
              </w:rPr>
              <w:tab/>
              <w:t>Курение, особенно среди молодежи</w:t>
            </w:r>
            <w:r>
              <w:rPr>
                <w:i/>
              </w:rP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r>
              <w:tab/>
            </w: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86</w:t>
            </w:r>
          </w:p>
        </w:tc>
      </w:tr>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rPr>
                <w:lang w:val="en-US"/>
              </w:rPr>
            </w:pPr>
          </w:p>
        </w:tc>
        <w:tc>
          <w:tcPr>
            <w:tcW w:w="8269" w:type="dxa"/>
          </w:tcPr>
          <w:p w:rsidR="00000000" w:rsidRDefault="00000000">
            <w:pPr>
              <w:tabs>
                <w:tab w:val="right" w:leader="dot" w:pos="9331"/>
              </w:tabs>
              <w:spacing w:after="120" w:line="240" w:lineRule="auto"/>
              <w:ind w:left="450" w:hanging="450"/>
            </w:pPr>
            <w:r>
              <w:t>2.</w:t>
            </w:r>
            <w:r>
              <w:tab/>
              <w:t>Охрана здоровья во время и после беременности</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87</w:t>
            </w:r>
          </w:p>
        </w:tc>
      </w:tr>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rPr>
                <w:lang w:val="en-US"/>
              </w:rPr>
            </w:pPr>
          </w:p>
        </w:tc>
        <w:tc>
          <w:tcPr>
            <w:tcW w:w="8269" w:type="dxa"/>
          </w:tcPr>
          <w:p w:rsidR="00000000" w:rsidRDefault="00000000">
            <w:pPr>
              <w:tabs>
                <w:tab w:val="right" w:leader="dot" w:pos="9331"/>
              </w:tabs>
              <w:spacing w:after="120" w:line="240" w:lineRule="auto"/>
              <w:ind w:left="450" w:hanging="450"/>
            </w:pPr>
            <w:r>
              <w:t>3.</w:t>
            </w:r>
            <w:r>
              <w:tab/>
              <w:t>Планирование размера семьи и аборты</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88</w:t>
            </w:r>
          </w:p>
        </w:tc>
      </w:tr>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rPr>
                <w:lang w:val="en-US"/>
              </w:rPr>
            </w:pPr>
          </w:p>
        </w:tc>
        <w:tc>
          <w:tcPr>
            <w:tcW w:w="8269" w:type="dxa"/>
          </w:tcPr>
          <w:p w:rsidR="00000000" w:rsidRDefault="00000000">
            <w:pPr>
              <w:tabs>
                <w:tab w:val="right" w:leader="dot" w:pos="9331"/>
              </w:tabs>
              <w:spacing w:after="120" w:line="240" w:lineRule="auto"/>
              <w:ind w:left="450" w:hanging="450"/>
            </w:pPr>
            <w:r>
              <w:t>4.</w:t>
            </w:r>
            <w:r>
              <w:tab/>
              <w:t>Венерические заболевания</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89</w:t>
            </w:r>
          </w:p>
        </w:tc>
      </w:tr>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rPr>
                <w:lang w:val="en-US"/>
              </w:rPr>
            </w:pPr>
          </w:p>
        </w:tc>
        <w:tc>
          <w:tcPr>
            <w:tcW w:w="8269" w:type="dxa"/>
          </w:tcPr>
          <w:p w:rsidR="00000000" w:rsidRDefault="00000000">
            <w:pPr>
              <w:tabs>
                <w:tab w:val="right" w:leader="dot" w:pos="9331"/>
              </w:tabs>
              <w:spacing w:after="120" w:line="240" w:lineRule="auto"/>
              <w:ind w:left="450" w:hanging="450"/>
              <w:rPr>
                <w:b/>
              </w:rPr>
            </w:pPr>
            <w:r>
              <w:rPr>
                <w:b/>
              </w:rPr>
              <w:t>Статья 13</w:t>
            </w:r>
            <w:r>
              <w:rPr>
                <w:b/>
              </w:rP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90</w:t>
            </w:r>
          </w:p>
        </w:tc>
      </w:tr>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rPr>
                <w:lang w:val="en-US"/>
              </w:rPr>
            </w:pPr>
          </w:p>
        </w:tc>
        <w:tc>
          <w:tcPr>
            <w:tcW w:w="8269" w:type="dxa"/>
          </w:tcPr>
          <w:p w:rsidR="00000000" w:rsidRDefault="00000000">
            <w:pPr>
              <w:tabs>
                <w:tab w:val="right" w:leader="dot" w:pos="9331"/>
              </w:tabs>
              <w:spacing w:after="120" w:line="240" w:lineRule="auto"/>
              <w:ind w:left="450" w:hanging="450"/>
            </w:pPr>
            <w:r>
              <w:t>1.</w:t>
            </w:r>
            <w:r>
              <w:tab/>
              <w:t>Поддержка женщин-предпринимателей</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90</w:t>
            </w:r>
          </w:p>
        </w:tc>
      </w:tr>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rPr>
                <w:lang w:val="en-US"/>
              </w:rPr>
            </w:pPr>
          </w:p>
        </w:tc>
        <w:tc>
          <w:tcPr>
            <w:tcW w:w="8269" w:type="dxa"/>
          </w:tcPr>
          <w:p w:rsidR="00000000" w:rsidRDefault="00000000">
            <w:pPr>
              <w:tabs>
                <w:tab w:val="left" w:pos="1370"/>
                <w:tab w:val="left" w:pos="1728"/>
                <w:tab w:val="right" w:leader="dot" w:pos="9331"/>
              </w:tabs>
              <w:spacing w:after="120" w:line="240" w:lineRule="auto"/>
              <w:ind w:left="1080" w:hanging="630"/>
              <w:rPr>
                <w:i/>
              </w:rPr>
            </w:pPr>
            <w:r>
              <w:rPr>
                <w:i/>
              </w:rPr>
              <w:t>1.2.</w:t>
            </w:r>
            <w:r>
              <w:rPr>
                <w:i/>
              </w:rPr>
              <w:tab/>
              <w:t>Оказание поддержки женщинам-предпринимателям по линии структурных фондов ЕС и региональных программ развития</w:t>
            </w:r>
            <w:r>
              <w:rPr>
                <w:i/>
              </w:rP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91</w:t>
            </w:r>
          </w:p>
        </w:tc>
      </w:tr>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rPr>
                <w:lang w:val="en-US"/>
              </w:rPr>
            </w:pPr>
          </w:p>
        </w:tc>
        <w:tc>
          <w:tcPr>
            <w:tcW w:w="8269" w:type="dxa"/>
          </w:tcPr>
          <w:p w:rsidR="00000000" w:rsidRDefault="00000000">
            <w:pPr>
              <w:tabs>
                <w:tab w:val="right" w:leader="dot" w:pos="9331"/>
              </w:tabs>
              <w:spacing w:after="120" w:line="240" w:lineRule="auto"/>
              <w:ind w:left="450" w:hanging="450"/>
            </w:pPr>
            <w:r>
              <w:t>2.</w:t>
            </w:r>
            <w:r>
              <w:tab/>
              <w:t>Поощрение равноправия в области культуры</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91</w:t>
            </w:r>
          </w:p>
        </w:tc>
      </w:tr>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rPr>
                <w:lang w:val="en-US"/>
              </w:rPr>
            </w:pPr>
          </w:p>
        </w:tc>
        <w:tc>
          <w:tcPr>
            <w:tcW w:w="8269" w:type="dxa"/>
          </w:tcPr>
          <w:p w:rsidR="00000000" w:rsidRDefault="00000000">
            <w:pPr>
              <w:tabs>
                <w:tab w:val="right" w:leader="dot" w:pos="9331"/>
              </w:tabs>
              <w:spacing w:after="120" w:line="240" w:lineRule="auto"/>
              <w:ind w:left="450" w:hanging="450"/>
              <w:rPr>
                <w:b/>
              </w:rPr>
            </w:pPr>
            <w:r>
              <w:rPr>
                <w:b/>
              </w:rPr>
              <w:t>Статья 14</w:t>
            </w:r>
            <w:r>
              <w:rPr>
                <w:b/>
              </w:rP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93</w:t>
            </w:r>
          </w:p>
        </w:tc>
      </w:tr>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rPr>
                <w:lang w:val="en-US"/>
              </w:rPr>
            </w:pPr>
          </w:p>
        </w:tc>
        <w:tc>
          <w:tcPr>
            <w:tcW w:w="8269" w:type="dxa"/>
          </w:tcPr>
          <w:p w:rsidR="00000000" w:rsidRDefault="00000000">
            <w:pPr>
              <w:tabs>
                <w:tab w:val="right" w:leader="dot" w:pos="9331"/>
              </w:tabs>
              <w:spacing w:after="120" w:line="240" w:lineRule="auto"/>
              <w:ind w:left="450" w:hanging="450"/>
            </w:pPr>
            <w:r>
              <w:t>1.</w:t>
            </w:r>
            <w:r>
              <w:tab/>
              <w:t>Развитие сельских районов</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94</w:t>
            </w:r>
          </w:p>
        </w:tc>
      </w:tr>
    </w:tbl>
    <w:p w:rsidR="00000000" w:rsidRDefault="00000000">
      <w:r>
        <w:br w:type="page"/>
      </w:r>
    </w:p>
    <w:tbl>
      <w:tblPr>
        <w:tblW w:w="0" w:type="auto"/>
        <w:tblInd w:w="2" w:type="dxa"/>
        <w:tblLayout w:type="fixed"/>
        <w:tblCellMar>
          <w:left w:w="0" w:type="dxa"/>
          <w:right w:w="0" w:type="dxa"/>
        </w:tblCellMar>
        <w:tblLook w:val="0000" w:firstRow="0" w:lastRow="0" w:firstColumn="0" w:lastColumn="0" w:noHBand="0" w:noVBand="0"/>
      </w:tblPr>
      <w:tblGrid>
        <w:gridCol w:w="1080"/>
        <w:gridCol w:w="8269"/>
        <w:gridCol w:w="35"/>
        <w:gridCol w:w="533"/>
      </w:tblGrid>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rPr>
                <w:lang w:val="en-US"/>
              </w:rPr>
            </w:pPr>
          </w:p>
        </w:tc>
        <w:tc>
          <w:tcPr>
            <w:tcW w:w="8269" w:type="dxa"/>
          </w:tcPr>
          <w:p w:rsidR="00000000" w:rsidRDefault="00000000">
            <w:pPr>
              <w:tabs>
                <w:tab w:val="right" w:leader="dot" w:pos="9331"/>
              </w:tabs>
              <w:spacing w:after="120" w:line="240" w:lineRule="auto"/>
              <w:ind w:left="450" w:hanging="450"/>
              <w:rPr>
                <w:b/>
              </w:rPr>
            </w:pPr>
            <w:r>
              <w:rPr>
                <w:b/>
              </w:rPr>
              <w:t>Статья 15</w:t>
            </w:r>
            <w:r>
              <w:rPr>
                <w:b/>
              </w:rP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95</w:t>
            </w:r>
          </w:p>
        </w:tc>
      </w:tr>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rPr>
                <w:lang w:val="en-US"/>
              </w:rPr>
            </w:pPr>
          </w:p>
        </w:tc>
        <w:tc>
          <w:tcPr>
            <w:tcW w:w="8269" w:type="dxa"/>
          </w:tcPr>
          <w:p w:rsidR="00000000" w:rsidRDefault="00000000">
            <w:pPr>
              <w:tabs>
                <w:tab w:val="right" w:leader="dot" w:pos="9331"/>
              </w:tabs>
              <w:spacing w:after="120" w:line="240" w:lineRule="auto"/>
              <w:ind w:left="450" w:hanging="450"/>
              <w:rPr>
                <w:b/>
              </w:rPr>
            </w:pPr>
            <w:r>
              <w:rPr>
                <w:b/>
              </w:rPr>
              <w:t>Статья 16</w:t>
            </w:r>
            <w:r>
              <w:rPr>
                <w:b/>
              </w:rP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95</w:t>
            </w:r>
          </w:p>
        </w:tc>
      </w:tr>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rPr>
                <w:lang w:val="en-US"/>
              </w:rPr>
            </w:pPr>
          </w:p>
        </w:tc>
        <w:tc>
          <w:tcPr>
            <w:tcW w:w="8269" w:type="dxa"/>
          </w:tcPr>
          <w:p w:rsidR="00000000" w:rsidRDefault="00000000">
            <w:pPr>
              <w:tabs>
                <w:tab w:val="right" w:leader="dot" w:pos="9331"/>
              </w:tabs>
              <w:spacing w:after="120" w:line="240" w:lineRule="auto"/>
              <w:ind w:left="450" w:hanging="450"/>
            </w:pPr>
            <w:r>
              <w:t>1.</w:t>
            </w:r>
            <w:r>
              <w:tab/>
              <w:t>Реформа законодательства о семье и наследовании</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96</w:t>
            </w:r>
          </w:p>
        </w:tc>
      </w:tr>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rPr>
                <w:lang w:val="en-US"/>
              </w:rPr>
            </w:pPr>
          </w:p>
        </w:tc>
        <w:tc>
          <w:tcPr>
            <w:tcW w:w="8269" w:type="dxa"/>
          </w:tcPr>
          <w:p w:rsidR="00000000" w:rsidRDefault="00000000">
            <w:pPr>
              <w:tabs>
                <w:tab w:val="right" w:leader="dot" w:pos="9331"/>
              </w:tabs>
              <w:spacing w:after="120" w:line="240" w:lineRule="auto"/>
              <w:ind w:left="450" w:hanging="450"/>
            </w:pPr>
            <w:r>
              <w:t>2.</w:t>
            </w:r>
            <w:r>
              <w:tab/>
              <w:t>Признание отцовства</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96</w:t>
            </w:r>
          </w:p>
        </w:tc>
      </w:tr>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rPr>
                <w:lang w:val="en-US"/>
              </w:rPr>
            </w:pPr>
          </w:p>
        </w:tc>
        <w:tc>
          <w:tcPr>
            <w:tcW w:w="8269" w:type="dxa"/>
          </w:tcPr>
          <w:p w:rsidR="00000000" w:rsidRDefault="00000000">
            <w:pPr>
              <w:tabs>
                <w:tab w:val="right" w:leader="dot" w:pos="9331"/>
              </w:tabs>
              <w:spacing w:after="120" w:line="240" w:lineRule="auto"/>
              <w:ind w:left="450" w:hanging="450"/>
            </w:pPr>
            <w:r>
              <w:t>3.</w:t>
            </w:r>
            <w:r>
              <w:tab/>
              <w:t>Соглашение об опеке над детьми</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97</w:t>
            </w:r>
          </w:p>
        </w:tc>
      </w:tr>
      <w:tr w:rsidR="00000000">
        <w:tblPrEx>
          <w:tblCellMar>
            <w:top w:w="0" w:type="dxa"/>
            <w:left w:w="0" w:type="dxa"/>
            <w:bottom w:w="0" w:type="dxa"/>
            <w:right w:w="0" w:type="dxa"/>
          </w:tblCellMar>
        </w:tblPrEx>
        <w:tc>
          <w:tcPr>
            <w:tcW w:w="1080"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rPr>
                <w:lang w:val="en-US"/>
              </w:rPr>
            </w:pPr>
          </w:p>
        </w:tc>
        <w:tc>
          <w:tcPr>
            <w:tcW w:w="8269" w:type="dxa"/>
          </w:tcPr>
          <w:p w:rsidR="00000000" w:rsidRDefault="00000000">
            <w:pPr>
              <w:tabs>
                <w:tab w:val="right" w:leader="dot" w:pos="9331"/>
              </w:tabs>
              <w:spacing w:after="120" w:line="240" w:lineRule="auto"/>
              <w:ind w:left="450" w:hanging="450"/>
            </w:pPr>
            <w:r>
              <w:t>Приложения</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pPr>
          </w:p>
        </w:tc>
        <w:tc>
          <w:tcPr>
            <w:tcW w:w="533" w:type="dxa"/>
          </w:tcPr>
          <w:p w:rsidR="00000000" w:rsidRDefault="00000000">
            <w:pPr>
              <w:tabs>
                <w:tab w:val="right" w:pos="1080"/>
                <w:tab w:val="left" w:pos="1296"/>
                <w:tab w:val="left" w:pos="1800"/>
                <w:tab w:val="left" w:pos="2232"/>
                <w:tab w:val="left" w:pos="2592"/>
                <w:tab w:val="left" w:pos="3024"/>
                <w:tab w:val="left" w:pos="3456"/>
                <w:tab w:val="left" w:pos="3888"/>
              </w:tabs>
              <w:spacing w:after="120" w:line="240" w:lineRule="auto"/>
              <w:jc w:val="right"/>
            </w:pPr>
            <w:r>
              <w:t>98</w:t>
            </w:r>
          </w:p>
        </w:tc>
      </w:tr>
    </w:tbl>
    <w:p w:rsidR="00000000" w:rsidRDefault="00000000">
      <w:pPr>
        <w:pStyle w:val="SingleTxt"/>
        <w:spacing w:line="480" w:lineRule="auto"/>
      </w:pPr>
    </w:p>
    <w:p w:rsidR="00000000" w:rsidRDefault="00000000">
      <w:pPr>
        <w:pStyle w:val="SingleTxt"/>
        <w:spacing w:after="0" w:line="180" w:lineRule="auto"/>
        <w:rPr>
          <w:sz w:val="10"/>
        </w:rPr>
      </w:pPr>
      <w:r>
        <w:br w:type="page"/>
      </w:r>
    </w:p>
    <w:p w:rsidR="00000000" w:rsidRDefault="00000000">
      <w:pPr>
        <w:pStyle w:val="SingleTxt"/>
        <w:spacing w:after="0" w:line="180" w:lineRule="auto"/>
        <w:rPr>
          <w:sz w:val="10"/>
        </w:rPr>
      </w:pPr>
    </w:p>
    <w:p w:rsidR="00000000" w:rsidRDefault="00000000">
      <w:pPr>
        <w:pStyle w:val="HCh"/>
        <w:tabs>
          <w:tab w:val="left" w:pos="990"/>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53" w:hanging="1267"/>
        <w:rPr>
          <w:lang w:val="en-US"/>
        </w:rPr>
      </w:pPr>
      <w:r>
        <w:tab/>
        <w:t>Статья 1</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r>
      <w:r>
        <w:rPr>
          <w:i/>
        </w:rPr>
        <w:t>Для целей настоящей Конвенции понятие "дискриминация в отношении женщин" означает любое различие, исключение или ограничение по признаку пола, которое направлено на ослабление или сводит на нет признание, польз</w:t>
      </w:r>
      <w:r>
        <w:rPr>
          <w:i/>
        </w:rPr>
        <w:t>о</w:t>
      </w:r>
      <w:r>
        <w:rPr>
          <w:i/>
        </w:rPr>
        <w:t>вание или осуществление женщинами, независимо от их семейного положения, на основе равноправия мужчин и женщин, прав человека и основных свобод в политической, экономической, социальной, культурной, гражданской или любой другой области</w:t>
      </w:r>
      <w:r>
        <w:t>.</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Ch"/>
        <w:tabs>
          <w:tab w:val="left" w:pos="990"/>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53" w:hanging="1267"/>
        <w:rPr>
          <w:lang w:val="en-US"/>
        </w:rPr>
      </w:pPr>
      <w:r>
        <w:tab/>
        <w:t>Статья 2</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i/>
        </w:rPr>
      </w:pPr>
      <w:r>
        <w:rPr>
          <w:i/>
        </w:rPr>
        <w:tab/>
        <w:t>Государства-участники осуждают дискриминацию в отношении женщин во всех ее формах, соглашаются безотлагательно всеми соответствующими способами проводить политику ликвидации дискриминации в отношении же</w:t>
      </w:r>
      <w:r>
        <w:rPr>
          <w:i/>
        </w:rPr>
        <w:t>н</w:t>
      </w:r>
      <w:r>
        <w:rPr>
          <w:i/>
        </w:rPr>
        <w:t>щин и с этой целью обязуются: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i/>
        </w:rPr>
      </w:pPr>
      <w:r>
        <w:rPr>
          <w:i/>
        </w:rPr>
        <w:tab/>
      </w:r>
      <w:r>
        <w:rPr>
          <w:i/>
          <w:lang w:val="en-US"/>
        </w:rPr>
        <w:t>a</w:t>
      </w:r>
      <w:r>
        <w:rPr>
          <w:i/>
        </w:rPr>
        <w:t>)</w:t>
      </w:r>
      <w:r>
        <w:rPr>
          <w:i/>
        </w:rPr>
        <w:tab/>
        <w:t>включить принцип равноправия мужчин и женщин в свои национал</w:t>
      </w:r>
      <w:r>
        <w:rPr>
          <w:i/>
        </w:rPr>
        <w:t>ь</w:t>
      </w:r>
      <w:r>
        <w:rPr>
          <w:i/>
        </w:rPr>
        <w:t>ные конституции или другое соответствующее законодательство, если это еще не было сделано, и обеспечить с помощью закона и других соответс</w:t>
      </w:r>
      <w:r>
        <w:rPr>
          <w:i/>
        </w:rPr>
        <w:t>т</w:t>
      </w:r>
      <w:r>
        <w:rPr>
          <w:i/>
        </w:rPr>
        <w:t>вующих средств практическое осуществление этого принципа;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i/>
        </w:rPr>
      </w:pPr>
      <w:r>
        <w:rPr>
          <w:i/>
        </w:rPr>
        <w:tab/>
      </w:r>
      <w:r>
        <w:rPr>
          <w:i/>
          <w:lang w:val="en-US"/>
        </w:rPr>
        <w:t>b</w:t>
      </w:r>
      <w:r>
        <w:rPr>
          <w:i/>
        </w:rPr>
        <w:t>)</w:t>
      </w:r>
      <w:r>
        <w:rPr>
          <w:i/>
        </w:rPr>
        <w:tab/>
        <w:t>принимать соответствующие законодательные и другие меры, включая санкции, там, где это необходимо, запрещающие всякую дискримин</w:t>
      </w:r>
      <w:r>
        <w:rPr>
          <w:i/>
        </w:rPr>
        <w:t>а</w:t>
      </w:r>
      <w:r>
        <w:rPr>
          <w:i/>
        </w:rPr>
        <w:t>цию в отношении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i/>
        </w:rPr>
      </w:pPr>
      <w:r>
        <w:rPr>
          <w:i/>
        </w:rPr>
        <w:tab/>
      </w:r>
      <w:r>
        <w:rPr>
          <w:i/>
          <w:lang w:val="en-US"/>
        </w:rPr>
        <w:t>c</w:t>
      </w:r>
      <w:r>
        <w:rPr>
          <w:i/>
        </w:rPr>
        <w:t>)</w:t>
      </w:r>
      <w:r>
        <w:rPr>
          <w:i/>
        </w:rPr>
        <w:tab/>
        <w:t>установить юридическую защиту прав женщин на равной основе с мужчинами и обеспечить с помощью компетентных национальных судов и других государственных учреждений эффективную защиту женщин против любого акта дискриминации;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i/>
        </w:rPr>
      </w:pPr>
      <w:r>
        <w:rPr>
          <w:i/>
        </w:rPr>
        <w:tab/>
      </w:r>
      <w:r>
        <w:rPr>
          <w:i/>
          <w:lang w:val="en-US"/>
        </w:rPr>
        <w:t>d</w:t>
      </w:r>
      <w:r>
        <w:rPr>
          <w:i/>
        </w:rPr>
        <w:t>)</w:t>
      </w:r>
      <w:r>
        <w:rPr>
          <w:i/>
        </w:rPr>
        <w:tab/>
        <w:t>воздерживаться от совершения каких-либо дискриминационных а</w:t>
      </w:r>
      <w:r>
        <w:rPr>
          <w:i/>
        </w:rPr>
        <w:t>к</w:t>
      </w:r>
      <w:r>
        <w:rPr>
          <w:i/>
        </w:rPr>
        <w:t>тов или действий в отношении женщин и гарантировать, что государстве</w:t>
      </w:r>
      <w:r>
        <w:rPr>
          <w:i/>
        </w:rPr>
        <w:t>н</w:t>
      </w:r>
      <w:r>
        <w:rPr>
          <w:i/>
        </w:rPr>
        <w:t>ные органы и учреждения будут действовать в соответствии с этим обяз</w:t>
      </w:r>
      <w:r>
        <w:rPr>
          <w:i/>
        </w:rPr>
        <w:t>а</w:t>
      </w:r>
      <w:r>
        <w:rPr>
          <w:i/>
        </w:rPr>
        <w:t>тельством;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i/>
        </w:rPr>
      </w:pPr>
      <w:r>
        <w:rPr>
          <w:i/>
        </w:rPr>
        <w:tab/>
      </w:r>
      <w:r>
        <w:rPr>
          <w:i/>
          <w:lang w:val="en-US"/>
        </w:rPr>
        <w:t>e</w:t>
      </w:r>
      <w:r>
        <w:rPr>
          <w:i/>
        </w:rPr>
        <w:t>)</w:t>
      </w:r>
      <w:r>
        <w:rPr>
          <w:i/>
        </w:rPr>
        <w:tab/>
        <w:t>принимать все соответствующие меры для ликвидации дискрим</w:t>
      </w:r>
      <w:r>
        <w:rPr>
          <w:i/>
        </w:rPr>
        <w:t>и</w:t>
      </w:r>
      <w:r>
        <w:rPr>
          <w:i/>
        </w:rPr>
        <w:t>нации в отношении женщин со стороны какого-либо лица, организации или предприятия;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i/>
        </w:rPr>
      </w:pPr>
      <w:r>
        <w:rPr>
          <w:i/>
        </w:rPr>
        <w:tab/>
      </w:r>
      <w:r>
        <w:rPr>
          <w:i/>
          <w:lang w:val="en-US"/>
        </w:rPr>
        <w:t>f</w:t>
      </w:r>
      <w:r>
        <w:rPr>
          <w:i/>
        </w:rPr>
        <w:t>)</w:t>
      </w:r>
      <w:r>
        <w:rPr>
          <w:i/>
        </w:rPr>
        <w:tab/>
        <w:t>принимать все соответствующие меры, включая законодательные, для изменения или отмены действующих законов, постановлений, обычаев и практики, которые представляют собой дискриминацию в отношении же</w:t>
      </w:r>
      <w:r>
        <w:rPr>
          <w:i/>
        </w:rPr>
        <w:t>н</w:t>
      </w:r>
      <w:r>
        <w:rPr>
          <w:i/>
        </w:rPr>
        <w:t>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i/>
          <w:lang w:val="en-US"/>
        </w:rPr>
      </w:pPr>
      <w:r>
        <w:rPr>
          <w:i/>
        </w:rPr>
        <w:tab/>
      </w:r>
      <w:r>
        <w:rPr>
          <w:i/>
          <w:lang w:val="en-US"/>
        </w:rPr>
        <w:t>g</w:t>
      </w:r>
      <w:r>
        <w:rPr>
          <w:i/>
        </w:rPr>
        <w:t>)</w:t>
      </w:r>
      <w:r>
        <w:rPr>
          <w:i/>
        </w:rPr>
        <w:tab/>
        <w:t>отменить все положения своего уголовного законодательства, к</w:t>
      </w:r>
      <w:r>
        <w:rPr>
          <w:i/>
        </w:rPr>
        <w:t>о</w:t>
      </w:r>
      <w:r>
        <w:rPr>
          <w:i/>
        </w:rPr>
        <w:t>торые представляют собой дискриминацию в отношении женщин.</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exact"/>
        <w:ind w:left="1741" w:right="1260" w:hanging="720"/>
      </w:pPr>
      <w:r>
        <w:tab/>
        <w:t>1.</w:t>
      </w:r>
      <w:r>
        <w:tab/>
        <w:t>Реформа в области основных прав</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 отчетный период, 1 марта 2003 года, вступила в силу новая Констит</w:t>
      </w:r>
      <w:r>
        <w:t>у</w:t>
      </w:r>
      <w:r>
        <w:t>ция Финляндии (731/1999). В Конституции содержатся положения о равенстве и запрете дискриминации, соответствующие положениям Конституционного закона 1919 года с поправками, внесенными в контексте общей реформы пол</w:t>
      </w:r>
      <w:r>
        <w:t>о</w:t>
      </w:r>
      <w:r>
        <w:t>жений, касающихся основных прав, в 1995 году. Более подробная информация о реформе содержится в третьем и четвертом докладах правительства Финля</w:t>
      </w:r>
      <w:r>
        <w:t>н</w:t>
      </w:r>
      <w:r>
        <w:t>дии.</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exact"/>
        <w:ind w:left="2288" w:right="1260" w:hanging="1267"/>
      </w:pPr>
      <w:r>
        <w:tab/>
        <w:t>2.</w:t>
      </w:r>
      <w:r>
        <w:tab/>
        <w:t>Закон о равноправии</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exact"/>
        <w:ind w:left="2288" w:right="1260" w:hanging="1267"/>
        <w:rPr>
          <w:i/>
        </w:rPr>
      </w:pPr>
      <w:r>
        <w:tab/>
      </w:r>
      <w:r>
        <w:rPr>
          <w:i/>
        </w:rPr>
        <w:t>2.1.</w:t>
      </w:r>
      <w:r>
        <w:rPr>
          <w:i/>
        </w:rPr>
        <w:tab/>
        <w:t>Предложение о внесении поправок в Закон о равноправии</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13 декабря 2000 года министерство социального обеспечения и здрав</w:t>
      </w:r>
      <w:r>
        <w:t>о</w:t>
      </w:r>
      <w:r>
        <w:t>охранения создало Комитет, которому поручило разработку предложения о внесении поправок в Закон о равноправии мужчин и женщин в целях привед</w:t>
      </w:r>
      <w:r>
        <w:t>е</w:t>
      </w:r>
      <w:r>
        <w:t>ния его в соответствие с Директивой ЕС по вопросу о равноправии (2002/73/ЕС). В решении об учреждении Комитета его задача была определена следующим образом: "Целью работы Комитета является внесение поправок и дополнений в Закон о равноправии, с тем чтобы привести его в соответствие с положениями ЕС и решениями Суда Европейских сообществ (именуемого д</w:t>
      </w:r>
      <w:r>
        <w:t>а</w:t>
      </w:r>
      <w:r>
        <w:t>лее "Европейский суд"), а также с тем, чтобы устранить проблемы и недоста</w:t>
      </w:r>
      <w:r>
        <w:t>т</w:t>
      </w:r>
      <w:r>
        <w:t>ки, выявленные в правоприменительной практике в отношении Зак</w:t>
      </w:r>
      <w:r>
        <w:t>о</w:t>
      </w:r>
      <w:r>
        <w:t>на".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 частности, задача Комитета состояла в том, чтобы: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1)</w:t>
      </w:r>
      <w:r>
        <w:tab/>
        <w:t>четко сформулировать и оценить поправки к Закону о равноправии в соответствии с требованиями положений о равноправии Амстердамского дог</w:t>
      </w:r>
      <w:r>
        <w:t>о</w:t>
      </w:r>
      <w:r>
        <w:t>вора и решений Европейского суда; при этом особое внимание следовало уд</w:t>
      </w:r>
      <w:r>
        <w:t>е</w:t>
      </w:r>
      <w:r>
        <w:t>лять условиям для эффективного осуществления Директивы о бремени доказ</w:t>
      </w:r>
      <w:r>
        <w:t>а</w:t>
      </w:r>
      <w:r>
        <w:t>тельства и работоспособности системы мониторинга;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2)</w:t>
      </w:r>
      <w:r>
        <w:tab/>
        <w:t>оценить потребности, возникшие в период более чем 13-летнего применения Закона о равноправии в связи с положениями, касающимися пр</w:t>
      </w:r>
      <w:r>
        <w:t>о</w:t>
      </w:r>
      <w:r>
        <w:t>должительности трудовой деятельности, и иными способами содействовать равноправию женщин и мужчин (включая планирование целенаправленных мер по обеспечению равноправия, специальный режим "позитивной дискрим</w:t>
      </w:r>
      <w:r>
        <w:t>и</w:t>
      </w:r>
      <w:r>
        <w:t>нации" и вопрос о сексуальных дом</w:t>
      </w:r>
      <w:r>
        <w:t>о</w:t>
      </w:r>
      <w:r>
        <w:t>гательствах);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3)</w:t>
      </w:r>
      <w:r>
        <w:tab/>
        <w:t>определить пути отражения политики, направленной на повышение приоритетности равноправия, и соответствующих обязательств в Законе в виде его конкретных положений;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4)</w:t>
      </w:r>
      <w:r>
        <w:tab/>
        <w:t>рассмотреть возможность расширения компетенции Омбудсмена по вопросам равноправия (например, путем предоставления ему права возбуждать дела в суде), а также усиления роли Совета по вопросам равноправия;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5)</w:t>
      </w:r>
      <w:r>
        <w:tab/>
        <w:t>оценить и обосновать любые иные потребности в изменениях к З</w:t>
      </w:r>
      <w:r>
        <w:t>а</w:t>
      </w:r>
      <w:r>
        <w:t>кону о равноправии, которые могут возникнуть в ходе работы (например, в св</w:t>
      </w:r>
      <w:r>
        <w:t>я</w:t>
      </w:r>
      <w:r>
        <w:t>зи с положениями предложения о директиве, предусматривающей внесение и</w:t>
      </w:r>
      <w:r>
        <w:t>з</w:t>
      </w:r>
      <w:r>
        <w:t>менений в Директиву о по вопросу о равноправии (76/207/ЕЕС), и принимая во внимание результаты оценки текста Закона); 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6)</w:t>
      </w:r>
      <w:r>
        <w:tab/>
        <w:t>подготовить на основе оценки высказанных ранее соображений и доклада правительственный законопроект о внесении поправок в Закон о ра</w:t>
      </w:r>
      <w:r>
        <w:t>в</w:t>
      </w:r>
      <w:r>
        <w:t>ноправии.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11 ноября 2002 года Комитет представил доклад министру, отвечающему за вопросы равноправия (доклад Комитета 2002:9). В докладе содержится ряд предложений, направленных на усиление значимости запретов дискриминации и на повышение эффективности положений, касающихся равноправия. В соответствии с выдвинутыми предложениями в судебном порядке может быть взыскана компенсация в некоторых случаях дискриминации, которые в настоящее время регулируются общим запретом дискриминации и не охвачены компенсационными санкциями. Становится более емким определение сторон в рамках служебных взаимоотношений, что позволяет расширить сферу прим</w:t>
      </w:r>
      <w:r>
        <w:t>е</w:t>
      </w:r>
      <w:r>
        <w:t>нения запрета на дискриминацию в производственной сфере за счет возможн</w:t>
      </w:r>
      <w:r>
        <w:t>о</w:t>
      </w:r>
      <w:r>
        <w:t>сти истребовать компенсацию. Компенсационные санкции распространяются также на некоторые случаи дискриминации за рамками производственной сф</w:t>
      </w:r>
      <w:r>
        <w:t>е</w:t>
      </w:r>
      <w:r>
        <w:t>ры.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Комитет по реформе Закона о равноправии предлагает более четко сфо</w:t>
      </w:r>
      <w:r>
        <w:t>р</w:t>
      </w:r>
      <w:r>
        <w:t>мулировать положение об обязанности работодателя способствовать укрепл</w:t>
      </w:r>
      <w:r>
        <w:t>е</w:t>
      </w:r>
      <w:r>
        <w:t>нию равноправия, а также положения о мерах, направленных на его укрепл</w:t>
      </w:r>
      <w:r>
        <w:t>е</w:t>
      </w:r>
      <w:r>
        <w:t>ние. Эти предложения позволят сосредоточить работу по укреплению равн</w:t>
      </w:r>
      <w:r>
        <w:t>о</w:t>
      </w:r>
      <w:r>
        <w:t>правия на отдельных задачах, решение которых имеет в этой связи первооч</w:t>
      </w:r>
      <w:r>
        <w:t>е</w:t>
      </w:r>
      <w:r>
        <w:t>редное значение. В Законе будет предусмотрена система санкций на тот случай, когда обязанность содейств</w:t>
      </w:r>
      <w:r>
        <w:t>о</w:t>
      </w:r>
      <w:r>
        <w:t>вать укреплению равноправия игнорируется.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Предполагается, что поправки к Закону о равноправии вступят в силу в начале 2005 года.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Поддержка доклада не была единодушной, и был высказан ряд особых мнений. В рамках мнений, выраженных по докладу различными органами вл</w:t>
      </w:r>
      <w:r>
        <w:t>а</w:t>
      </w:r>
      <w:r>
        <w:t>сти и неправительственными организациями, были выдвинуты предложения об исправлениях и изменениях. В частности, женские организации подвергли кр</w:t>
      </w:r>
      <w:r>
        <w:t>и</w:t>
      </w:r>
      <w:r>
        <w:t>тике предложения Комитета по реформе Закона о равноправии, среди прочего потому, что среди них не было предложений, позволяющих повысить эффе</w:t>
      </w:r>
      <w:r>
        <w:t>к</w:t>
      </w:r>
      <w:r>
        <w:t>тивность контроля за осуществлением Закона. По их мнению, по практическим соображениям контроль за осуществлением не должен осуществляться одним органом и, напротив, децентрализация этой функции и вынесение ее на ур</w:t>
      </w:r>
      <w:r>
        <w:t>о</w:t>
      </w:r>
      <w:r>
        <w:t>вень провинций и местных органов, как это делается в Швеции, позволили бы повысить эффективность всего процесса. С другой стороны, контроль за ос</w:t>
      </w:r>
      <w:r>
        <w:t>у</w:t>
      </w:r>
      <w:r>
        <w:t>ществлением планов обеспечения равноправия можно сделать уставной зад</w:t>
      </w:r>
      <w:r>
        <w:t>а</w:t>
      </w:r>
      <w:r>
        <w:t>чей органов, контролирующих безопасность на производстве. По мнению же</w:t>
      </w:r>
      <w:r>
        <w:t>н</w:t>
      </w:r>
      <w:r>
        <w:t>ских организаций, сферу компетенции Омбудсмена по вопросам равноправия следует также расширить, предоставив ему право предпринимать независимые действия от имени отдельных работников и групп работников. Следует также придать Омбудсмену по вопросам равноправия дополнительные ресурсы, с тем чтобы он мог, помимо контроля за осуществлением, давать указания и консул</w:t>
      </w:r>
      <w:r>
        <w:t>ь</w:t>
      </w:r>
      <w:r>
        <w:t>тации при разработке планов обеспечения равноправия на рабочих местах.</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exact"/>
        <w:ind w:left="2288" w:right="1260" w:hanging="1267"/>
        <w:rPr>
          <w:i/>
        </w:rPr>
      </w:pPr>
      <w:r>
        <w:tab/>
      </w:r>
      <w:r>
        <w:rPr>
          <w:i/>
        </w:rPr>
        <w:t>2.2.</w:t>
      </w:r>
      <w:r>
        <w:rPr>
          <w:i/>
        </w:rPr>
        <w:tab/>
        <w:t>Административная реформа по вопросам равноправия</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За период, прошедший с момента представления предыдущего доклада, порядок решения вопросов равноправия в Финляндии подвергся реформе. В начале мая 2001 года началась организационная реформа, в рамках которой вопросы равноправия были разделены на две группы и переданы в подраздел</w:t>
      </w:r>
      <w:r>
        <w:t>е</w:t>
      </w:r>
      <w:r>
        <w:t>ния министерства социального обеспечения и здравоохранения; в дополнение к ранее созданному Управлению Омбудсмена по вопросам равноправия было у</w:t>
      </w:r>
      <w:r>
        <w:t>ч</w:t>
      </w:r>
      <w:r>
        <w:t>реждено новое подразделение по гендерному равенству (добавление 1). Задачи, стоящие перед подразделением по гендерному равенству, включают, в частн</w:t>
      </w:r>
      <w:r>
        <w:t>о</w:t>
      </w:r>
      <w:r>
        <w:t>сти, разработку гендерной политики правительства, подготовку законодател</w:t>
      </w:r>
      <w:r>
        <w:t>ь</w:t>
      </w:r>
      <w:r>
        <w:t>ных инициатив и вопросы, связанные с Европейским союзом. В подразделении функционирует также Совет по вопросам равенства, цель которого состоит в продвижении вопросов социального равенства женщин и мужчин. В частности, он осуществляет контроль за решением вопросов равноправия в обществе, в</w:t>
      </w:r>
      <w:r>
        <w:t>ы</w:t>
      </w:r>
      <w:r>
        <w:t>ступает с инициативами и предложениями, а также публикует заявления, св</w:t>
      </w:r>
      <w:r>
        <w:t>я</w:t>
      </w:r>
      <w:r>
        <w:t>занные с разработкой законодательства и другими мерами, касающимися ра</w:t>
      </w:r>
      <w:r>
        <w:t>в</w:t>
      </w:r>
      <w:r>
        <w:t>ноправия.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 свою очередь, Омбудсмен по вопросам равноправия продолжает де</w:t>
      </w:r>
      <w:r>
        <w:t>я</w:t>
      </w:r>
      <w:r>
        <w:t>тельность в качестве независимой наблюдательной инстанции в консультации с министерством социального обеспечения и здравоохранения. К числу задач, стоящих перед Омбудсменом, относятся наблюдение за осуществлением Зак</w:t>
      </w:r>
      <w:r>
        <w:t>о</w:t>
      </w:r>
      <w:r>
        <w:t>на о равноправии, в частности запретов дискриминации, предусмотренных в Законе, а также содействие осуществлению этого Закона. В своих заявлениях Омбудсмен излагает свою позицию по вопросам, возникающим в процессе н</w:t>
      </w:r>
      <w:r>
        <w:t>а</w:t>
      </w:r>
      <w:r>
        <w:t>блюдения за осуществлением Закона, и другим связанным с этим вопросам. Ежегодное число его заявлений сохраняется примерно на одном и том же уро</w:t>
      </w:r>
      <w:r>
        <w:t>в</w:t>
      </w:r>
      <w:r>
        <w:t>не. В 1999 году такие заявления потребовались в 156 случаях, в 2000 году - в 174 случаях и в 2001 году - в 175 случаях. Большинство просьб о предоставл</w:t>
      </w:r>
      <w:r>
        <w:t>е</w:t>
      </w:r>
      <w:r>
        <w:t>нии заявления связано с дискриминации в сфере производства. В 2001 году 41,1 процента просителей составляли женщины, 44,6 процента - мужчины и 14,3 процента - органы вл</w:t>
      </w:r>
      <w:r>
        <w:t>а</w:t>
      </w:r>
      <w:r>
        <w:t>сти, организации и компании.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За последние несколько лет выросло число контактов, осуществляемых по электронной почте, и в настоящее время они превышают число просьб о пре</w:t>
      </w:r>
      <w:r>
        <w:t>д</w:t>
      </w:r>
      <w:r>
        <w:t>ставлении заявления с изложением позиции. Большинство же контактов ос</w:t>
      </w:r>
      <w:r>
        <w:t>у</w:t>
      </w:r>
      <w:r>
        <w:t>ществляется по телефону. В этой связи управление Омбудсмена по вопросам равноправия стремится во все большей степени ориентировать свою работу на предоставление консультаций по телефону и по электронной почте, когда это возможно, с учетом характера вопроса и необходимости ускорить его рассмо</w:t>
      </w:r>
      <w:r>
        <w:t>т</w:t>
      </w:r>
      <w:r>
        <w:t xml:space="preserve">рение. В тех случаях, когда требуется более глубокое выяснение обстоятельств и заслушивание сторон, представляется заявление с изложением позиции. В 2002 году было сделано 121 заявление, при этом остались неудовлетворенными лишь 112 просьб об их представлении.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Женские организации высказывают критические замечания в адрес р</w:t>
      </w:r>
      <w:r>
        <w:t>е</w:t>
      </w:r>
      <w:r>
        <w:t>формы, считая, что в связи с реорганизацией всей государственной деятельн</w:t>
      </w:r>
      <w:r>
        <w:t>о</w:t>
      </w:r>
      <w:r>
        <w:t>сти по вопросам равноправия недостаточное внимание уделяется предоставл</w:t>
      </w:r>
      <w:r>
        <w:t>е</w:t>
      </w:r>
      <w:r>
        <w:t>нию адекватных ресурсов Омбудсмену по вопросам равноправия. Они обесп</w:t>
      </w:r>
      <w:r>
        <w:t>о</w:t>
      </w:r>
      <w:r>
        <w:t>коены объемом работы в управлении Омбудсмена и тем, какое влияние это ок</w:t>
      </w:r>
      <w:r>
        <w:t>а</w:t>
      </w:r>
      <w:r>
        <w:t>зывает на возможности реагировать на просьбы о представлении заявлений с изложением позиции в сроки, предусмотренные Законом. Обеспокоенность в</w:t>
      </w:r>
      <w:r>
        <w:t>ы</w:t>
      </w:r>
      <w:r>
        <w:t>сказывается также и в связи с недостаточным финансированием Совета по в</w:t>
      </w:r>
      <w:r>
        <w:t>о</w:t>
      </w:r>
      <w:r>
        <w:t>просам равноправия. Совет представляет собой важный инструмент, с пом</w:t>
      </w:r>
      <w:r>
        <w:t>о</w:t>
      </w:r>
      <w:r>
        <w:t>щью которого неправительственные организации могут оказывать воздействие на политику по вопросам равноправия. Контакты Совета с гражданами позв</w:t>
      </w:r>
      <w:r>
        <w:t>о</w:t>
      </w:r>
      <w:r>
        <w:t>ляют накапливать существенный опыт и являются дополнительным вкладом в деятельность всех органов по вопросам равноправия и в разработку и осущес</w:t>
      </w:r>
      <w:r>
        <w:t>т</w:t>
      </w:r>
      <w:r>
        <w:t>вление политики Финляндии в области равнопр</w:t>
      </w:r>
      <w:r>
        <w:t>а</w:t>
      </w:r>
      <w:r>
        <w:t>вия.</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1"/>
        <w:tabs>
          <w:tab w:val="right" w:pos="1021"/>
          <w:tab w:val="left" w:pos="1264"/>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exact"/>
        <w:ind w:left="1800" w:right="1260" w:hanging="540"/>
        <w:rPr>
          <w:i/>
        </w:rPr>
      </w:pPr>
      <w:r>
        <w:tab/>
      </w:r>
      <w:r>
        <w:rPr>
          <w:i/>
        </w:rPr>
        <w:t>2.3.</w:t>
      </w:r>
      <w:r>
        <w:rPr>
          <w:i/>
        </w:rPr>
        <w:tab/>
        <w:t>Наблюдение за осуществлением Закона о равноправии, осуществляемое другими сторонами</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Надзор за осуществлением Закона о равноправии осуществляют также канцлер юстиции и парламентский омбудсмен, которые в рамках своей комп</w:t>
      </w:r>
      <w:r>
        <w:t>е</w:t>
      </w:r>
      <w:r>
        <w:t>тенции обеспечивают общий надзор за соблюдением законности, а также на</w:t>
      </w:r>
      <w:r>
        <w:t>д</w:t>
      </w:r>
      <w:r>
        <w:t>зор за осуществлением основных прав человека. Однако обе эти инстанции п</w:t>
      </w:r>
      <w:r>
        <w:t>о</w:t>
      </w:r>
      <w:r>
        <w:t>лучают значительно меньше жалоб, касающихся дискриминации по принципу пола, поскольку в такого рода случаях граждане, как правило, обращаются к Омбудсмену по в</w:t>
      </w:r>
      <w:r>
        <w:t>о</w:t>
      </w:r>
      <w:r>
        <w:t>просам равноправия.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Среди вопросов, по которым парламентский омбудсмен принял решение в рамках надзора за соблюдением законности, следует упомянуть два, один из которых связан с двумя назначениями на должности в полицейскую службу г</w:t>
      </w:r>
      <w:r>
        <w:t>у</w:t>
      </w:r>
      <w:r>
        <w:t>бернии Турку (дела № 1535/00 и 1536/00), а другой - с основаниями для выпл</w:t>
      </w:r>
      <w:r>
        <w:t>а</w:t>
      </w:r>
      <w:r>
        <w:t>ты муниципальной надбавки к пособию на детей в муниципалитете Туусула (дело № 1053/4/99). Последнее из названных дел Омбудсмен по вопросам ра</w:t>
      </w:r>
      <w:r>
        <w:t>в</w:t>
      </w:r>
      <w:r>
        <w:t>ноправия передал вместе со своим заключением в канцелярию парламентского омбудсмена, чтобы выяснить, не противоречат ли условия выплаты муниц</w:t>
      </w:r>
      <w:r>
        <w:t>и</w:t>
      </w:r>
      <w:r>
        <w:t>пальной надбавки, установленные муниципалитетом, положениям раздела 5 Конституционного закона о (нынешнего раздела 6 Конституции). Парламен</w:t>
      </w:r>
      <w:r>
        <w:t>т</w:t>
      </w:r>
      <w:r>
        <w:t>ский омбудсмен счел, что решение о муниципальной надбавке ставит заявит</w:t>
      </w:r>
      <w:r>
        <w:t>е</w:t>
      </w:r>
      <w:r>
        <w:t>лей в разные условия в зависимости от их пола. Условия выплаты муниципал</w:t>
      </w:r>
      <w:r>
        <w:t>ь</w:t>
      </w:r>
      <w:r>
        <w:t>ной надбавки противоречили Закону о равноправии и нарушали принцип р</w:t>
      </w:r>
      <w:r>
        <w:t>а</w:t>
      </w:r>
      <w:r>
        <w:t>венства согласно разделу 6 Конституции. На основании этого решения мун</w:t>
      </w:r>
      <w:r>
        <w:t>и</w:t>
      </w:r>
      <w:r>
        <w:t>ципальный совет изменил порядок определения размера муниципальной на</w:t>
      </w:r>
      <w:r>
        <w:t>д</w:t>
      </w:r>
      <w:r>
        <w:t>бавки, приведя его в соответствие с законом. В своем решении парламентский омбудсмен подчеркнул также, что указанный муниципалитет обязан в том сл</w:t>
      </w:r>
      <w:r>
        <w:t>у</w:t>
      </w:r>
      <w:r>
        <w:t>чае, если того пожелают родители, обеспечивать уход за детьми в дневное вр</w:t>
      </w:r>
      <w:r>
        <w:t>е</w:t>
      </w:r>
      <w:r>
        <w:t>мя даже тогда, когда один из родителей ребенка находится дома, например, по причине болезни, безработицы или рождения другого ребенка. Он также обр</w:t>
      </w:r>
      <w:r>
        <w:t>а</w:t>
      </w:r>
      <w:r>
        <w:t>тил внимание на то, что муниципалитет обязан обеспечивать равноправие при предо</w:t>
      </w:r>
      <w:r>
        <w:t>с</w:t>
      </w:r>
      <w:r>
        <w:t>тавлении услуг.</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Вопрос о назначениях, о котором говорилось выше, также рассматривался управлением Омбудсмена по вопросам равноправия. В своем решении заме</w:t>
      </w:r>
      <w:r>
        <w:t>с</w:t>
      </w:r>
      <w:r>
        <w:t>титель парламентского омбудсмена присоединился к мнению Омбудсмена по вопросам равноправия и обратил внимание начальника полиции на недопуст</w:t>
      </w:r>
      <w:r>
        <w:t>и</w:t>
      </w:r>
      <w:r>
        <w:t>мость неточностей в объявлении о приеме заявлений и в меморандуме о назн</w:t>
      </w:r>
      <w:r>
        <w:t>а</w:t>
      </w:r>
      <w:r>
        <w:t>чении.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Парламентский омбудсмен ежегодно представляет парламенту доклад о своей деятельности и о состоянии дел с применением законодательства, а та</w:t>
      </w:r>
      <w:r>
        <w:t>к</w:t>
      </w:r>
      <w:r>
        <w:t>же о недостатках, обнаруженных в законодательстве, согласно статье 109 (2) Конституции. В  докладе парламентский омбудсмен и его заместитель затраг</w:t>
      </w:r>
      <w:r>
        <w:t>и</w:t>
      </w:r>
      <w:r>
        <w:t>вают тему или ряд тем, которые определились в ходе их работы. В своем до</w:t>
      </w:r>
      <w:r>
        <w:t>к</w:t>
      </w:r>
      <w:r>
        <w:t>ладе за 2002 год парламентский омбудсмен изложил вопрос, имеют ли место серьезные нарушения основных прав человека в Финляндии. Он обратил вн</w:t>
      </w:r>
      <w:r>
        <w:t>и</w:t>
      </w:r>
      <w:r>
        <w:t>мание на бытовое насилие, отсутствие жилья, проблемы детей, находящихся в наиболее сложных ситуациях, а также на отсутствие терпимости вплоть до дискриминации в отношении меньшинств. Кроме того, в 2002 году парламен</w:t>
      </w:r>
      <w:r>
        <w:t>т</w:t>
      </w:r>
      <w:r>
        <w:t>ский омбудсмен провел ряд совещаний с неправительственными организаци</w:t>
      </w:r>
      <w:r>
        <w:t>я</w:t>
      </w:r>
      <w:r>
        <w:t>ми, в частности с представителями центральных организаций по правам чел</w:t>
      </w:r>
      <w:r>
        <w:t>о</w:t>
      </w:r>
      <w:r>
        <w:t>века, организаций, занимающихся вопросами благосостояния детей, организ</w:t>
      </w:r>
      <w:r>
        <w:t>а</w:t>
      </w:r>
      <w:r>
        <w:t>ций беженцев Финского Красного Креста, а также организаций инвалидов и цыганских организаций.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Наряду с парламентским омбудсменом канцлер юстиции является высшей инстанцией по надзору за законностью в Финляндии. Канцлер юстиции осущ</w:t>
      </w:r>
      <w:r>
        <w:t>е</w:t>
      </w:r>
      <w:r>
        <w:t>ствляет надзор за соблюдением действующего законодательства органами вл</w:t>
      </w:r>
      <w:r>
        <w:t>а</w:t>
      </w:r>
      <w:r>
        <w:t>сти. Кроме того, он осуществляет надзор за реализацией основных прав чел</w:t>
      </w:r>
      <w:r>
        <w:t>о</w:t>
      </w:r>
      <w:r>
        <w:t>века. Среди решений в связи с Законом о равноправии, которые были приняты в ходе осуществления надзора канцлером юстиции, следует отметить решение заместителя канцлера юстиции (дело № 1067/1/00) по вопросу, касающемуся игнорирования одним из университетов положений Закона о равноправии в своем определении. Кроме того, канцелярия канцлера юстиции заранее пров</w:t>
      </w:r>
      <w:r>
        <w:t>о</w:t>
      </w:r>
      <w:r>
        <w:t>дит проверку списка участников заседаний правительства с тем, чтобы обесп</w:t>
      </w:r>
      <w:r>
        <w:t>е</w:t>
      </w:r>
      <w:r>
        <w:t>чить должную представленность лиц мужского и женского полов при решении вопросов о назначениях, а также исключить всякие сомнения относительно дискриминации, как об этом говорится в Законе о равнопр</w:t>
      </w:r>
      <w:r>
        <w:t>а</w:t>
      </w:r>
      <w:r>
        <w:t>вии.</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1"/>
        <w:tabs>
          <w:tab w:val="right" w:pos="1021"/>
          <w:tab w:val="left" w:pos="1264"/>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exact"/>
        <w:ind w:left="1800" w:right="1260" w:hanging="540"/>
      </w:pPr>
      <w:r>
        <w:tab/>
        <w:t>3.</w:t>
      </w:r>
      <w:r>
        <w:tab/>
        <w:t>Омбудсмен по делам меньшинств как властная инстанция, предупреждающая дискриминацию</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Пост омбудсмена по делам меньшинств был учрежден 1 сентября 2001 года в результате вступления в силу Закона (660/2001) и декрета (661/2001) об омбудсмене по делам меньшинств. В этот день было упразднено ранее существовавшее управление омбудсмена по делам иностранцев и отм</w:t>
      </w:r>
      <w:r>
        <w:t>е</w:t>
      </w:r>
      <w:r>
        <w:t>нены закон (446/1991) и декрет (447/1991), касавшиеся этого управления.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Задачей омбудсмена по делам меньшинств является содействие добрым межнациональным отношениям, а также улучшению положения и упрочению прав иностранцев и лиц, принадлежащих к национальным меньшинствам, в финском обществе, осуществление надзора за осуществлением равноправия, осуществление надзора за соблюдением запрета дискриминации в отношении представителей национальных меньшинств, а также выдвижение инициатив, предоставление информации, представление докладов и решение задач, возл</w:t>
      </w:r>
      <w:r>
        <w:t>о</w:t>
      </w:r>
      <w:r>
        <w:t>женных на омбудсмена по делам меньшинств Законом об иностранцах (387/1991).</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Омбудсмен по делам меньшинств является независимой инстанцией, к</w:t>
      </w:r>
      <w:r>
        <w:t>о</w:t>
      </w:r>
      <w:r>
        <w:t>торая с административной точки зрения функционирует в рамках министерства труда. Омбудсмен располагает канцелярией, персонал которой, в частности, обслуживает посетителей, организует учебу, распространяет информацию и з</w:t>
      </w:r>
      <w:r>
        <w:t>а</w:t>
      </w:r>
      <w:r>
        <w:t>нимается подготовкой заявлений и инициатив по вопросам, связанным с мен</w:t>
      </w:r>
      <w:r>
        <w:t>ь</w:t>
      </w:r>
      <w:r>
        <w:t xml:space="preserve">шинствами.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Круг ведения омбудсмена по делам меньшинств включает обе задачи, к</w:t>
      </w:r>
      <w:r>
        <w:t>о</w:t>
      </w:r>
      <w:r>
        <w:t>торые ранее входили в сферу ведения омбудсмена по делам иностранцев, а также новые поставленные перед ним задачи. Теми же остались круг его по</w:t>
      </w:r>
      <w:r>
        <w:t>л</w:t>
      </w:r>
      <w:r>
        <w:t>номочий, характер деятельности как эксперта и в некоторой степени как и</w:t>
      </w:r>
      <w:r>
        <w:t>н</w:t>
      </w:r>
      <w:r>
        <w:t>станции правовой защиты, а также некоторые виды деятельности, в частности предоставление консультаций заявителям. Вместе с тем круг его ведения и масштабы задач были значительно расширены. В число его новых клиентов входят национальные меньшинства и их представители, а в число задач вошло соде</w:t>
      </w:r>
      <w:r>
        <w:t>й</w:t>
      </w:r>
      <w:r>
        <w:t>ствие установлению добрых межнациональных отношений.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Развитие добрых межнациональных отношений включает как отношения между меньшинствами, так и отношения между меньшинствами и этническими финнами. Существо задач не является неизменным. В частности, они могут з</w:t>
      </w:r>
      <w:r>
        <w:t>а</w:t>
      </w:r>
      <w:r>
        <w:t>ключаться в распространении информации и сведений о положении и образе жизни клиентов среди широкой общественности путем проведения интервью, написания материалов и отражения различных точек зрения, наряду с провед</w:t>
      </w:r>
      <w:r>
        <w:t>е</w:t>
      </w:r>
      <w:r>
        <w:t>нием более индивидуальных консультаций и разработкой рекомендаций. С</w:t>
      </w:r>
      <w:r>
        <w:t>о</w:t>
      </w:r>
      <w:r>
        <w:t>действие добрым межнациональным отношениям может быть также связано с урегулированием межнациональных конфликтов, и в более общем смысле, с проведением экспертизы в проблемных ситуациях, касающихся национальных меньшинств.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Ко времени подготовки настоящего доклада омбудсмен по делам мен</w:t>
      </w:r>
      <w:r>
        <w:t>ь</w:t>
      </w:r>
      <w:r>
        <w:t>шинств имел опыт работы чуть более полутора лет. Сегодня поставленные п</w:t>
      </w:r>
      <w:r>
        <w:t>е</w:t>
      </w:r>
      <w:r>
        <w:t>ред омбудсменом задачи можно подразделить на четыре основные категории, каждая из которых касается дискриминации в отношении женщин и ее ликв</w:t>
      </w:r>
      <w:r>
        <w:t>и</w:t>
      </w:r>
      <w:r>
        <w:t>дации.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i/>
        </w:rPr>
      </w:pPr>
      <w:r>
        <w:tab/>
      </w:r>
      <w:r>
        <w:rPr>
          <w:i/>
        </w:rPr>
        <w:t>а)</w:t>
      </w:r>
      <w:r>
        <w:rPr>
          <w:i/>
        </w:rPr>
        <w:tab/>
        <w:t>Создание основных условий для деятельности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По штатному расписанию управления один из сотрудников занимается о</w:t>
      </w:r>
      <w:r>
        <w:t>т</w:t>
      </w:r>
      <w:r>
        <w:t>слеживанием положения и прав женщин, являющихся иностранными гражда</w:t>
      </w:r>
      <w:r>
        <w:t>н</w:t>
      </w:r>
      <w:r>
        <w:t>ками или принадлежащих к национальным меньшинствам.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2250" w:hanging="983"/>
        <w:rPr>
          <w:i/>
        </w:rPr>
      </w:pPr>
      <w:r>
        <w:tab/>
      </w:r>
      <w:r>
        <w:rPr>
          <w:i/>
          <w:lang w:val="en-US"/>
        </w:rPr>
        <w:t>b</w:t>
      </w:r>
      <w:r>
        <w:rPr>
          <w:i/>
        </w:rPr>
        <w:t>)</w:t>
      </w:r>
      <w:r>
        <w:rPr>
          <w:i/>
        </w:rPr>
        <w:tab/>
        <w:t>Предоставление консультаций, советов и помощи по вопросам, к</w:t>
      </w:r>
      <w:r>
        <w:rPr>
          <w:i/>
        </w:rPr>
        <w:t>а</w:t>
      </w:r>
      <w:r>
        <w:rPr>
          <w:i/>
        </w:rPr>
        <w:t>сающимся дискриминации по признаку национальности, надлеж</w:t>
      </w:r>
      <w:r>
        <w:rPr>
          <w:i/>
        </w:rPr>
        <w:t>а</w:t>
      </w:r>
      <w:r>
        <w:rPr>
          <w:i/>
        </w:rPr>
        <w:t>щего обращения и сферы применения Закона об иностра</w:t>
      </w:r>
      <w:r>
        <w:rPr>
          <w:i/>
        </w:rPr>
        <w:t>н</w:t>
      </w:r>
      <w:r>
        <w:rPr>
          <w:i/>
        </w:rPr>
        <w:t>цах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При предоставлении консультаций и советов управление неизменно уч</w:t>
      </w:r>
      <w:r>
        <w:t>и</w:t>
      </w:r>
      <w:r>
        <w:t>тывает пол клиента и возможность множественных форм дискримин</w:t>
      </w:r>
      <w:r>
        <w:t>а</w:t>
      </w:r>
      <w:r>
        <w:t>ции.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2250" w:hanging="983"/>
        <w:rPr>
          <w:i/>
        </w:rPr>
      </w:pPr>
      <w:r>
        <w:tab/>
      </w:r>
      <w:r>
        <w:rPr>
          <w:i/>
        </w:rPr>
        <w:t>с)</w:t>
      </w:r>
      <w:r>
        <w:rPr>
          <w:i/>
        </w:rPr>
        <w:tab/>
        <w:t>Общие меры по улучшению положения иностранцев и этнических меньшинств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 2002 году управление омбудсмена по делам меньшинств участвовало в деятельности рабочей группы, которая занималась подготовкой и публикацией брошюры "Равноправие в Финляндии - информация для иммигрантов". В брошюре содержится основная информация, касающаяся различных сфер жизни. В ней рассказывается также о положении женщин и мужчин в Финля</w:t>
      </w:r>
      <w:r>
        <w:t>н</w:t>
      </w:r>
      <w:r>
        <w:t>дии и говорится о том, как в финском обществе понимается равноправие. Бр</w:t>
      </w:r>
      <w:r>
        <w:t>о</w:t>
      </w:r>
      <w:r>
        <w:t>шюра была издана на восьми языках и размещена на электронной странице министерства труда на тринадцати языках</w:t>
      </w:r>
      <w:r>
        <w:rPr>
          <w:rStyle w:val="FootnoteReference"/>
        </w:rPr>
        <w:footnoteReference w:id="2"/>
      </w:r>
      <w:r>
        <w:t>.</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tab/>
        <w:t>Наряду с изданием брошюры омбудсмен по делам меньшинств и мин</w:t>
      </w:r>
      <w:r>
        <w:t>и</w:t>
      </w:r>
      <w:r>
        <w:t>стерство труда организовали семинар по вопросам равноправия в повседне</w:t>
      </w:r>
      <w:r>
        <w:t>в</w:t>
      </w:r>
      <w:r>
        <w:t>ной жизни семьи иммигрантов (</w:t>
      </w:r>
      <w:r>
        <w:rPr>
          <w:lang w:val="en-US"/>
        </w:rPr>
        <w:t>"Samalla viivalla? Seminaari tasa-arvon ja yhde</w:t>
      </w:r>
      <w:r>
        <w:rPr>
          <w:lang w:val="en-US"/>
        </w:rPr>
        <w:t>n</w:t>
      </w:r>
      <w:r>
        <w:rPr>
          <w:lang w:val="en-US"/>
        </w:rPr>
        <w:t>ve</w:t>
      </w:r>
      <w:r>
        <w:rPr>
          <w:lang w:val="en-US"/>
        </w:rPr>
        <w:t>r</w:t>
      </w:r>
      <w:r>
        <w:rPr>
          <w:lang w:val="en-US"/>
        </w:rPr>
        <w:t>taisuuden toteutumisesta maahanmuuttajaperheen arjessa"</w:t>
      </w:r>
      <w:r>
        <w:t>).</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 2003 году омбудсмен по делам меньшинств участвовал в разработке планов расширения масштабов проекта "Lyö</w:t>
      </w:r>
      <w:r>
        <w:rPr>
          <w:lang w:val="en-US"/>
        </w:rPr>
        <w:t>m</w:t>
      </w:r>
      <w:r>
        <w:t>ä</w:t>
      </w:r>
      <w:r>
        <w:rPr>
          <w:lang w:val="en-US"/>
        </w:rPr>
        <w:t>t</w:t>
      </w:r>
      <w:r>
        <w:t>ö</w:t>
      </w:r>
      <w:r>
        <w:rPr>
          <w:lang w:val="en-US"/>
        </w:rPr>
        <w:t>n Linja</w:t>
      </w:r>
      <w:r>
        <w:t>", осуществляемого в городе Эспоо</w:t>
      </w:r>
      <w:r>
        <w:rPr>
          <w:rStyle w:val="FootnoteReference"/>
        </w:rPr>
        <w:footnoteReference w:id="3"/>
      </w:r>
      <w:r>
        <w:t>. Цель проекта состоит в пресечении и предупреждении насилия со стороны мужчин в рамках семьи. Опорной организацией является ассоци</w:t>
      </w:r>
      <w:r>
        <w:t>а</w:t>
      </w:r>
      <w:r>
        <w:t>ция "Найстен апу эспоосса ри", а финансируется проект городом Эспоо и Фи</w:t>
      </w:r>
      <w:r>
        <w:t>н</w:t>
      </w:r>
      <w:r>
        <w:t>ской ассоциацией игральных автоматов "РАИ". В 2003 году планируется ра</w:t>
      </w:r>
      <w:r>
        <w:t>с</w:t>
      </w:r>
      <w:r>
        <w:t>пространить проект на мужчин-иммигрантов, при этом омбудсмен по делам меньшинств будет использовать в своей работе уже накопленный им опыт.</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2250" w:hanging="983"/>
        <w:rPr>
          <w:i/>
        </w:rPr>
      </w:pPr>
      <w:r>
        <w:tab/>
      </w:r>
      <w:r>
        <w:rPr>
          <w:i/>
          <w:lang w:val="en-US"/>
        </w:rPr>
        <w:t>d</w:t>
      </w:r>
      <w:r>
        <w:rPr>
          <w:i/>
        </w:rPr>
        <w:t>)</w:t>
      </w:r>
      <w:r>
        <w:rPr>
          <w:i/>
        </w:rPr>
        <w:tab/>
        <w:t>Задачи, изложенные в Законе об иностранцах и, в частности, по</w:t>
      </w:r>
      <w:r>
        <w:rPr>
          <w:i/>
        </w:rPr>
        <w:t>д</w:t>
      </w:r>
      <w:r>
        <w:rPr>
          <w:i/>
        </w:rPr>
        <w:t>готовка позиционных документов для представления в связи с зая</w:t>
      </w:r>
      <w:r>
        <w:rPr>
          <w:i/>
        </w:rPr>
        <w:t>в</w:t>
      </w:r>
      <w:r>
        <w:rPr>
          <w:i/>
        </w:rPr>
        <w:t>лениями о предоставлении убежища и предложениями о депорт</w:t>
      </w:r>
      <w:r>
        <w:rPr>
          <w:i/>
        </w:rPr>
        <w:t>и</w:t>
      </w:r>
      <w:r>
        <w:rPr>
          <w:i/>
        </w:rPr>
        <w:t>ровании иностранцев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позиционных документах по вопросам предоставления убежища, пре</w:t>
      </w:r>
      <w:r>
        <w:t>д</w:t>
      </w:r>
      <w:r>
        <w:t>ставляемых омбудсменом по делам меньшинств дирекции по вопросам имм</w:t>
      </w:r>
      <w:r>
        <w:t>и</w:t>
      </w:r>
      <w:r>
        <w:t>грации, в качестве независимого фактора предоставления убежища учитывае</w:t>
      </w:r>
      <w:r>
        <w:t>т</w:t>
      </w:r>
      <w:r>
        <w:t xml:space="preserve">ся пол заявителя.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Кроме того, позиционные документы, представляемые дирекции по в</w:t>
      </w:r>
      <w:r>
        <w:t>о</w:t>
      </w:r>
      <w:r>
        <w:t>просам иммиграции относительно депортации отдельных иностранцев, учит</w:t>
      </w:r>
      <w:r>
        <w:t>ы</w:t>
      </w:r>
      <w:r>
        <w:t>вают возможности женщин.</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Ch"/>
        <w:tabs>
          <w:tab w:val="left" w:pos="990"/>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53" w:hanging="1267"/>
        <w:rPr>
          <w:lang w:val="en-US"/>
        </w:rPr>
      </w:pPr>
      <w:r>
        <w:tab/>
        <w:t>Статья 3</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rPr>
          <w:i/>
        </w:rPr>
      </w:pPr>
      <w:r>
        <w:rPr>
          <w:i/>
        </w:rPr>
        <w:tab/>
        <w:t>Государства-участники принимают во всех областях, и в частности п</w:t>
      </w:r>
      <w:r>
        <w:rPr>
          <w:i/>
        </w:rPr>
        <w:t>о</w:t>
      </w:r>
      <w:r>
        <w:rPr>
          <w:i/>
        </w:rPr>
        <w:t>литической, социальной, экономической и культурной областях, все соотве</w:t>
      </w:r>
      <w:r>
        <w:rPr>
          <w:i/>
        </w:rPr>
        <w:t>т</w:t>
      </w:r>
      <w:r>
        <w:rPr>
          <w:i/>
        </w:rPr>
        <w:t>ствующие меры, включая законодательные, для обеспечения всестороннего развития и прогресса женщин, с тем чтобы гарантировать им осуществление и пользование правами человека и основными свободами на основе равенства с мужчинами.</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exact"/>
        <w:ind w:left="2288" w:right="1260" w:hanging="1267"/>
      </w:pPr>
      <w:r>
        <w:tab/>
        <w:t>1.</w:t>
      </w:r>
      <w:r>
        <w:tab/>
        <w:t xml:space="preserve">Правительственная программа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rPr>
          <w:i/>
        </w:rPr>
        <w:tab/>
      </w:r>
      <w:r>
        <w:t>В том, что касается вопросов равноправия, правительственная программа премьер-министра Матти Ванханена (24 июня 2003 года -) носит более всеоб</w:t>
      </w:r>
      <w:r>
        <w:t>ъ</w:t>
      </w:r>
      <w:r>
        <w:t>емлющий характер и приносит более ощутимые результаты, чем программы предыдущих правительств. В частности, в ней предусмотрено, что содействие достижению гендерного равенства является задачей всего правительства. Пр</w:t>
      </w:r>
      <w:r>
        <w:t>а</w:t>
      </w:r>
      <w:r>
        <w:t>вительство разрабатывает программу действий по достижению гендерного р</w:t>
      </w:r>
      <w:r>
        <w:t>а</w:t>
      </w:r>
      <w:r>
        <w:t>венства и обеспечивает отражение гендерного фактора в работе всех органов государственного управления. Планируется увеличить число женщин, учас</w:t>
      </w:r>
      <w:r>
        <w:t>т</w:t>
      </w:r>
      <w:r>
        <w:t xml:space="preserve">вующих в процессах принятия политических и экономических решений.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Будет проведена оценка вопросов равенства с точки зрения мужчин. Му</w:t>
      </w:r>
      <w:r>
        <w:t>ж</w:t>
      </w:r>
      <w:r>
        <w:t>чин будут поощрять к пользованию семейным отпуском, расходы на такой о</w:t>
      </w:r>
      <w:r>
        <w:t>т</w:t>
      </w:r>
      <w:r>
        <w:t>пуск, производимые работодателем, будут покрываться на более справедливой основе, а это имеет определенное значение с точки зрения расширения во</w:t>
      </w:r>
      <w:r>
        <w:t>з</w:t>
      </w:r>
      <w:r>
        <w:t>можностей женщин выходить на рынок рабочей силы и оставаться в ее рядах. Правительство планирует расширять возможности для трудоустройства и предпринимательства мужчин и женщин, в частности, путем предоставления займов предпринимателям-женщинам. Совместно с социальными партнерами правительство разработает программу по вопросам равной оплаты и равнопр</w:t>
      </w:r>
      <w:r>
        <w:t>а</w:t>
      </w:r>
      <w:r>
        <w:t>вия на производстве, которая направлена на ликвидацию необоснованных ра</w:t>
      </w:r>
      <w:r>
        <w:t>з</w:t>
      </w:r>
      <w:r>
        <w:t>личий в заработной плате.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течение всего периода нахождения нынешнего правительства у власти в бюджете будут предусматриваться ресурсы на предупреждение бытового нас</w:t>
      </w:r>
      <w:r>
        <w:t>и</w:t>
      </w:r>
      <w:r>
        <w:t>лия и насилия в отношении женщин, а также на сокращение масштабов пр</w:t>
      </w:r>
      <w:r>
        <w:t>о</w:t>
      </w:r>
      <w:r>
        <w:t>ституции. Больший объем средств будет выделяться на предоставление реаб</w:t>
      </w:r>
      <w:r>
        <w:t>и</w:t>
      </w:r>
      <w:r>
        <w:t>литационных услуг проституткам и жертвам насилия, будет укрепляться защ</w:t>
      </w:r>
      <w:r>
        <w:t>и</w:t>
      </w:r>
      <w:r>
        <w:t>та жертв торговли женщинами. Будет усилено предусматриваемое законом н</w:t>
      </w:r>
      <w:r>
        <w:t>а</w:t>
      </w:r>
      <w:r>
        <w:t>казание за сводничество, станут более совершенными методы расследования, и будет рассмотрен вопрос о введении уголовного наказания за приобретение сексуальных услуг. Будет усовершенствован процесс принятия обвинительных приговоров в связи с бытовым насилием в результате упразднения положения, допускающего отказ от уголовного преследования, если на этом настаивает жертва.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области внешней политики и политики в области безопасности прав</w:t>
      </w:r>
      <w:r>
        <w:t>и</w:t>
      </w:r>
      <w:r>
        <w:t>тельство будет выступать за повышение эффективности Организации Объед</w:t>
      </w:r>
      <w:r>
        <w:t>и</w:t>
      </w:r>
      <w:r>
        <w:t>ненных Наций и других представительных международных структур сотрудн</w:t>
      </w:r>
      <w:r>
        <w:t>и</w:t>
      </w:r>
      <w:r>
        <w:t>чества в целях укрепления демократии, уважения прав человека и правопоря</w:t>
      </w:r>
      <w:r>
        <w:t>д</w:t>
      </w:r>
      <w:r>
        <w:t>ка. Для достижения устойчивого характера развития будут приняты меры по повышению качества сотрудничества в области развития с уделением основн</w:t>
      </w:r>
      <w:r>
        <w:t>о</w:t>
      </w:r>
      <w:r>
        <w:t>го внимания борьбе с нищетой, обеспечению равноправия и образов</w:t>
      </w:r>
      <w:r>
        <w:t>а</w:t>
      </w:r>
      <w:r>
        <w:t>нию.</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Что касается политики в области труда, то в правительственной програ</w:t>
      </w:r>
      <w:r>
        <w:t>м</w:t>
      </w:r>
      <w:r>
        <w:t>ме, в частности, отмечается, что повышение уровня занятости потребует реш</w:t>
      </w:r>
      <w:r>
        <w:t>е</w:t>
      </w:r>
      <w:r>
        <w:t>ний, способствующих примирению интересов производственной и семейной жизни. В качестве одной из политических мер в этой области будет повышена гибкость проверки на наличие у супругов средств к существованию для пол</w:t>
      </w:r>
      <w:r>
        <w:t>у</w:t>
      </w:r>
      <w:r>
        <w:t>чения поддержки в трудоустройстве. В сфере социальной политики и политики в области здравоохранения программа социального обеспечения позволит ус</w:t>
      </w:r>
      <w:r>
        <w:t>т</w:t>
      </w:r>
      <w:r>
        <w:t>ранить недостатки социального обслуживания, в частности предоставления у</w:t>
      </w:r>
      <w:r>
        <w:t>с</w:t>
      </w:r>
      <w:r>
        <w:t>луг детям и семьям. В том, что касается политики в отношении семей и детей, в программе, среди прочего, говорится, что устойчивая политика в отношении семьи и большее примирение интересов производственной и семейной жизни оказывают благоприятное воздействие, например, на устранение финансовых или производственных причин для отсрочки создания семьи. Будет расширено право родителей на родительский отпуск. Основным правом является право граждан на безопасность, и для снижения уровня насилия в обществе будет разработана всеобъемлющая национальная программа действий по борьбе с насилием, охватывающая все основные сферы, будут усилены механизмы для вмешательства в случае быт</w:t>
      </w:r>
      <w:r>
        <w:t>о</w:t>
      </w:r>
      <w:r>
        <w:t>вого насилия.</w:t>
      </w:r>
    </w:p>
    <w:p w:rsidR="00000000" w:rsidRDefault="00000000">
      <w:pPr>
        <w:pStyle w:val="SingleTxt"/>
        <w:spacing w:after="0" w:line="180" w:lineRule="auto"/>
        <w:rPr>
          <w:sz w:val="10"/>
        </w:rPr>
      </w:pPr>
    </w:p>
    <w:p w:rsidR="00000000" w:rsidRDefault="00000000">
      <w:pPr>
        <w:pStyle w:val="SingleTxt"/>
        <w:spacing w:after="0" w:line="180" w:lineRule="auto"/>
        <w:rPr>
          <w:sz w:val="10"/>
        </w:rPr>
      </w:pPr>
      <w:r>
        <w:rPr>
          <w:sz w:val="10"/>
        </w:rPr>
        <w:br w:type="page"/>
      </w:r>
    </w:p>
    <w:p w:rsidR="00000000" w:rsidRDefault="00000000">
      <w:pPr>
        <w:pStyle w:val="H1"/>
        <w:tabs>
          <w:tab w:val="right" w:pos="1021"/>
          <w:tab w:val="left" w:pos="1264"/>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exact"/>
        <w:ind w:left="1800" w:right="1260" w:hanging="540"/>
      </w:pPr>
      <w:r>
        <w:tab/>
        <w:t>2.</w:t>
      </w:r>
      <w:r>
        <w:tab/>
        <w:t xml:space="preserve">Национальная программа действий по обеспечению равноправия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Финское правительство вновь подтвердило свою приверженность делу осуществления Платформы действий ООН, принятой на специальной сессии Генеральной Ассамблеи Организации Объединенных Наций Пекин + 5 в июне 2000 года. В Пекинской платформе действий правительство обязалось обесп</w:t>
      </w:r>
      <w:r>
        <w:t>е</w:t>
      </w:r>
      <w:r>
        <w:t>чивать тесное сотрудничество между центральными ведомствами и неправ</w:t>
      </w:r>
      <w:r>
        <w:t>и</w:t>
      </w:r>
      <w:r>
        <w:t>тельственными организациями при разработке национальной программы ос</w:t>
      </w:r>
      <w:r>
        <w:t>у</w:t>
      </w:r>
      <w:r>
        <w:t>ществления принятых решений. Вопрос разработки национальной программы действий по обеспечению равноправия правительство отразило в своей пр</w:t>
      </w:r>
      <w:r>
        <w:t>о</w:t>
      </w:r>
      <w:r>
        <w:t>грамме. Ответственность за разработку программы возложена на министерство социального обеспечения и здравоохранения. Разработка программы заверши</w:t>
      </w:r>
      <w:r>
        <w:t>т</w:t>
      </w:r>
      <w:r>
        <w:t>ся зимой 2004 года. Основной этап ее осуществления придется на 2004</w:t>
      </w:r>
      <w:r>
        <w:noBreakHyphen/>
        <w:t>2007 годы. Одним из элементов программы является реформирование З</w:t>
      </w:r>
      <w:r>
        <w:t>а</w:t>
      </w:r>
      <w:r>
        <w:t>кона о равноправии, который, в частности, будет предусматривать планиров</w:t>
      </w:r>
      <w:r>
        <w:t>а</w:t>
      </w:r>
      <w:r>
        <w:t>ние мер по обеспечению равноправия и равную оплату труда. Правительстве</w:t>
      </w:r>
      <w:r>
        <w:t>н</w:t>
      </w:r>
      <w:r>
        <w:t>ный з</w:t>
      </w:r>
      <w:r>
        <w:t>а</w:t>
      </w:r>
      <w:r>
        <w:t>конопроект будет представлен в 2004 году.</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Цель этого заключается во внедрении метода учета факторов равноправия в рамках всего механизма государственного управления. Гендерный фактор б</w:t>
      </w:r>
      <w:r>
        <w:t>у</w:t>
      </w:r>
      <w:r>
        <w:t>дет особо учитываться при принятии новых законов и подготовке бюджета. В 2003 году на экспериментальной основе будет осуществлен проект, каса</w:t>
      </w:r>
      <w:r>
        <w:t>ю</w:t>
      </w:r>
      <w:r>
        <w:t>щийся отражения гендерных факторов в административном секторе, входящем в сферу ведения министерства социального обеспечения и здравоохранения. Распространение его на весь государственный аппарат будет проводиться в с</w:t>
      </w:r>
      <w:r>
        <w:t>о</w:t>
      </w:r>
      <w:r>
        <w:t>трудничестве с министерством юстиции. Проект по рационализации бюджета будет осуществляться в качестве внутреннего экспериментального проекта м</w:t>
      </w:r>
      <w:r>
        <w:t>и</w:t>
      </w:r>
      <w:r>
        <w:t>нистерства социального обеспечения и здравоохранения в консультации с м</w:t>
      </w:r>
      <w:r>
        <w:t>и</w:t>
      </w:r>
      <w:r>
        <w:t>нистерством финансов. По оценке Ассоциации местных и региональных орг</w:t>
      </w:r>
      <w:r>
        <w:t>а</w:t>
      </w:r>
      <w:r>
        <w:t>нов власти Финляндии, уделение повышенного внимания вопросам равнопр</w:t>
      </w:r>
      <w:r>
        <w:t>а</w:t>
      </w:r>
      <w:r>
        <w:t>вия скорее всего приведет к разработке методов оценки гендерных последствий и в муниципальном секторе.</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1"/>
        <w:tabs>
          <w:tab w:val="right" w:pos="1021"/>
          <w:tab w:val="left" w:pos="1264"/>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exact"/>
        <w:ind w:left="1800" w:right="1260" w:hanging="540"/>
      </w:pPr>
      <w:r>
        <w:tab/>
        <w:t>3.</w:t>
      </w:r>
      <w:r>
        <w:tab/>
        <w:t xml:space="preserve">Опрос общественного мнения о равноправии мужчин и женщин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2001 году Финский совет по вопросам равноправия и статистики опу</w:t>
      </w:r>
      <w:r>
        <w:t>б</w:t>
      </w:r>
      <w:r>
        <w:t>ликовал результаты второго опроса общественного мнения о равноправии му</w:t>
      </w:r>
      <w:r>
        <w:t>ж</w:t>
      </w:r>
      <w:r>
        <w:t>чин и женщин в Финляндии (добавление 2); результаты первого опроса были опубликованы в 1998 году. В опросе используются оценки, мнения и личный опыт мужчин и женщин, касающиеся разделения труда и отношений власти между полами, а также их приемлемости в сегодняшней ситуации в обществе. Сопоставление результатов, относящихся к различным периодам времени, п</w:t>
      </w:r>
      <w:r>
        <w:t>о</w:t>
      </w:r>
      <w:r>
        <w:t>зволяет получить информацию о практике поддержания и прекращения отн</w:t>
      </w:r>
      <w:r>
        <w:t>о</w:t>
      </w:r>
      <w:r>
        <w:t>шений между полами. Рассматриваемые в опросе вопросы в значительной мере отражают дискуссию по вопросам гендерного равенства в Фи</w:t>
      </w:r>
      <w:r>
        <w:t>н</w:t>
      </w:r>
      <w:r>
        <w:t>ляндии.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Ответы на общий вопрос о равноправии были в опросах 1998 года и 2001 года примерно одинаковыми. Вместе с тем ответы на более узкие вопросы отражают перемены, которые произошли в общественном мнении. Среди пре</w:t>
      </w:r>
      <w:r>
        <w:t>д</w:t>
      </w:r>
      <w:r>
        <w:t>ставителей обоих полов более широкое распространение получило мнение о мужчине как стороне, несущей основную ответственность за поддержку с</w:t>
      </w:r>
      <w:r>
        <w:t>е</w:t>
      </w:r>
      <w:r>
        <w:t>мьи.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Существенное большинство мужчин и женщин считали, что мужчинам следует расширить участие в заботе и воспитании своих детей. Большинство работающих женщин и мужчин отметили, что на производстве нет достато</w:t>
      </w:r>
      <w:r>
        <w:t>ч</w:t>
      </w:r>
      <w:r>
        <w:t>ных стимулов для того, чтобы мужчины шире пользовались отпуском по уходу за детьми. Другими словами, население Финляндии выступает за совместную ответственность в отношении финансовой поддержки семьи и выполнения р</w:t>
      </w:r>
      <w:r>
        <w:t>о</w:t>
      </w:r>
      <w:r>
        <w:t>дительских обязанностей.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свете результатов опроса 2001 года об отношении в рабочей среде к и</w:t>
      </w:r>
      <w:r>
        <w:t>с</w:t>
      </w:r>
      <w:r>
        <w:t>пользованию полагающегося по закону семейного отпуска был сделан вывод, что отцам гораздо сложнее пользоваться родительским отпуском продолж</w:t>
      </w:r>
      <w:r>
        <w:t>и</w:t>
      </w:r>
      <w:r>
        <w:t>тельностью несколько месяцев, чем матерям пользоваться им вплоть до дост</w:t>
      </w:r>
      <w:r>
        <w:t>и</w:t>
      </w:r>
      <w:r>
        <w:t>жения ребенком трехлетнего возраста. Опрос указал также на то, что за период с 1998 по 2001 год женщины стали более критически относится к вопросам равноправия в рабочей среде.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Публикация результатов следующего опроса о равноправии мужчин и женщин запланирована на 2004 год.</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1"/>
        <w:tabs>
          <w:tab w:val="right" w:pos="1021"/>
          <w:tab w:val="left" w:pos="1264"/>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exact"/>
        <w:ind w:left="1800" w:right="1260" w:hanging="540"/>
      </w:pPr>
      <w:r>
        <w:tab/>
        <w:t>4.</w:t>
      </w:r>
      <w:r>
        <w:tab/>
        <w:t xml:space="preserve">Проекты, способствующие обеспечению равноправия в органах муниципального управления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августе 2003 года Ассоциация местных и региональных органов власти Финляндии приступила к осуществлению экспериментального проекта "Бю</w:t>
      </w:r>
      <w:r>
        <w:t>д</w:t>
      </w:r>
      <w:r>
        <w:t>жет СУВА" в муниципальном секторе. Меры в рамках экспериментального этапа проекта включают повышение осведомленности о значении гендерного равноправия в рамках всех экспериментальных проектов, подготовку участн</w:t>
      </w:r>
      <w:r>
        <w:t>и</w:t>
      </w:r>
      <w:r>
        <w:t>ков бюджетного процесса, оценку бюджета (или его части), а также внесение необходимых изменений в соответствующие бюджетные статьи. По итогам реализации проекта будет подготовлен план действий и проведен семинар по вопросам поэтапного интегрирования оценки гендерных факторов в муниц</w:t>
      </w:r>
      <w:r>
        <w:t>и</w:t>
      </w:r>
      <w:r>
        <w:t>пальный бюджетный процесс.</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Осенью 2003 года Ассоциация подготовит в формате Интернета руков</w:t>
      </w:r>
      <w:r>
        <w:t>о</w:t>
      </w:r>
      <w:r>
        <w:t>дство под названием "</w:t>
      </w:r>
      <w:r>
        <w:rPr>
          <w:lang w:val="en-US"/>
        </w:rPr>
        <w:t>Kuntalaisten vaikuttamisopas</w:t>
      </w:r>
      <w:r>
        <w:t>" ("Руководство по оказанию влияния в муниципалитетах"), в котором рассматриваются права и обязанности жителей муниципальных округов, их возможности и инструменты для оказания воздействия. В руководстве будут также изложены идеи и приведены примеры использования наилучших методов обеспечения равноправия.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Цель проекта "Предупреждение дискриминации на местном уровне", к</w:t>
      </w:r>
      <w:r>
        <w:t>о</w:t>
      </w:r>
      <w:r>
        <w:t>торый будет осуществляться министерством труда и Ассоциацией местных и региональных органов власти Финляндии в 2002</w:t>
      </w:r>
      <w:r>
        <w:noBreakHyphen/>
        <w:t>2004 годах, заключается в развитии диалога между группами населения, подвергающимися дискримин</w:t>
      </w:r>
      <w:r>
        <w:t>а</w:t>
      </w:r>
      <w:r>
        <w:t>ции, и местными властями и в разработке совместных механизмов для выявл</w:t>
      </w:r>
      <w:r>
        <w:t>е</w:t>
      </w:r>
      <w:r>
        <w:t>ния, предупреждения и противодействия дискриминации. Его задача состоит также в разработке, испытании и распространении наилучшей практики и оп</w:t>
      </w:r>
      <w:r>
        <w:t>ы</w:t>
      </w:r>
      <w:r>
        <w:t>та в рамках подпроектов, ориентированных на отдельные районы. Проект ф</w:t>
      </w:r>
      <w:r>
        <w:t>и</w:t>
      </w:r>
      <w:r>
        <w:t>нансир</w:t>
      </w:r>
      <w:r>
        <w:t>у</w:t>
      </w:r>
      <w:r>
        <w:t>ется Европейским союзом.</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Ch"/>
        <w:tabs>
          <w:tab w:val="left" w:pos="990"/>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53" w:hanging="1267"/>
        <w:rPr>
          <w:lang w:val="en-US"/>
        </w:rPr>
      </w:pPr>
      <w:r>
        <w:tab/>
        <w:t>Статья 4</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i/>
        </w:rPr>
      </w:pPr>
      <w:r>
        <w:rPr>
          <w:i/>
        </w:rPr>
        <w:tab/>
        <w:t>1.</w:t>
      </w:r>
      <w:r>
        <w:t xml:space="preserve"> </w:t>
      </w:r>
      <w:r>
        <w:tab/>
      </w:r>
      <w:r>
        <w:rPr>
          <w:i/>
        </w:rPr>
        <w:t>Принятие государствами-участниками временных специальных мер, направленных на ускорение установления фактического равенства между мужчинами и женщинами, не считается, как это определяется в настоящей Конвенции, дискриминационным, однако оно ни в коей мере не должно повлечь за собой сохранения неравноправных или дифференцированных стандартов; эти меры должны быть отменены, когда будут достигнуты цели равенства возможностей и равноправного отношения.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i/>
        </w:rPr>
      </w:pPr>
      <w:r>
        <w:rPr>
          <w:i/>
        </w:rPr>
        <w:tab/>
        <w:t>2.</w:t>
      </w:r>
      <w:r>
        <w:rPr>
          <w:i/>
        </w:rPr>
        <w:tab/>
        <w:t>Принятие государствами-участниками специальных мер, напра</w:t>
      </w:r>
      <w:r>
        <w:rPr>
          <w:i/>
        </w:rPr>
        <w:t>в</w:t>
      </w:r>
      <w:r>
        <w:rPr>
          <w:i/>
        </w:rPr>
        <w:t>ленных на охрану материнства, включая меры, содержащиеся в настоящей Конвенции, не считается дискриминационным.</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1"/>
        <w:tabs>
          <w:tab w:val="right" w:pos="1021"/>
          <w:tab w:val="left" w:pos="1264"/>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exact"/>
        <w:ind w:left="1800" w:right="1260" w:hanging="540"/>
        <w:rPr>
          <w:sz w:val="10"/>
        </w:rPr>
      </w:pPr>
      <w:r>
        <w:tab/>
        <w:t>1.</w:t>
      </w:r>
      <w:r>
        <w:tab/>
        <w:t>Положение о квоте, содержащееся в Законе о равноправии</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Согласно статье 4 (2) Закона о равноправии (17.2.1995/206), государс</w:t>
      </w:r>
      <w:r>
        <w:t>т</w:t>
      </w:r>
      <w:r>
        <w:t>венные комитеты, комиссии, консультативные советы и другие соответству</w:t>
      </w:r>
      <w:r>
        <w:t>ю</w:t>
      </w:r>
      <w:r>
        <w:t>щие органы, а также муниципальные органы, за исключением муниципальных советов, должны иметь в своем составе не менее 40 процентов женщин и му</w:t>
      </w:r>
      <w:r>
        <w:t>ж</w:t>
      </w:r>
      <w:r>
        <w:t>чин, если только конкретные причины не требуют иного.</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Положение о квоте позволило расширить участие женщин в процессе принятия решений на муниципальном уровне. В ходе муниципальных выборов 2000 года доля женщин составила 38,2 процента всех кандидатов и 34,4 процента избранных представителей. Вместе с тем по информации, о</w:t>
      </w:r>
      <w:r>
        <w:t>б</w:t>
      </w:r>
      <w:r>
        <w:t>новленной в январе 2002 года, женщины составляли лишь 21,9 процента пре</w:t>
      </w:r>
      <w:r>
        <w:t>д</w:t>
      </w:r>
      <w:r>
        <w:t>седателей (и заместителей председателей) муниципальных советов, 29,4 процента председателей (и заместителей председателей) муниципальных исполнительных советов и 24,4 процента председателей других муниципал</w:t>
      </w:r>
      <w:r>
        <w:t>ь</w:t>
      </w:r>
      <w:r>
        <w:t>ных органов. В 2002 году женщины составляли 47 процентов членов муниц</w:t>
      </w:r>
      <w:r>
        <w:t>и</w:t>
      </w:r>
      <w:r>
        <w:t>пальных советов. Принимаются меры к тому, чтобы увеличить долю женщин на муниципальных выборах осенью 2004 года.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Комитет, занимающийся изучением вопросов реформы Закона о равн</w:t>
      </w:r>
      <w:r>
        <w:t>о</w:t>
      </w:r>
      <w:r>
        <w:t>правии, предлагает распространить действие положения о 40</w:t>
      </w:r>
      <w:r>
        <w:noBreakHyphen/>
        <w:t>процентной квоте на о</w:t>
      </w:r>
      <w:r>
        <w:t>р</w:t>
      </w:r>
      <w:r>
        <w:t>ганы межмуниципального сотрудничества.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Гендерные квоты согласился применять и Синод Евангелической лют</w:t>
      </w:r>
      <w:r>
        <w:t>е</w:t>
      </w:r>
      <w:r>
        <w:t>ранской церкви Финляндии в отношении административных и других органов церкви и приходов. Предполагается, что решение Синода вступят в силу 1 января 2004 года. Принцип квотирования будет, в частности, применяться в отношении приходских советов, комиссий, советов, комитетов и рабочих групп приходов. На уровне приходов принцип квотирования не будет применяться к административным органам, избираемым на приходских выборах, например, приходским советам и приходским комиссиям. В число других церковных о</w:t>
      </w:r>
      <w:r>
        <w:t>р</w:t>
      </w:r>
      <w:r>
        <w:t>ганов, в отношении которых принцип квотирования не применяется, входят Синод, Епископальная конференция, кафедральный капитул и епархиальный капитул. После реформы Закон о равноправии будет в полной мере применят</w:t>
      </w:r>
      <w:r>
        <w:t>ь</w:t>
      </w:r>
      <w:r>
        <w:t xml:space="preserve">ся в процессе церковного управления за исключением вопросов, касающихся отправлений религии.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Практически во всех сферах церковной деятельности доля работниц-женщин увеличилась. В 2002 году на долю женщин приходилось 69 процентов всех церковных работников. Доля женщин в сфере недвижимости и других сферах обслуживания составляла 66 процентов. Женщины составляют бол</w:t>
      </w:r>
      <w:r>
        <w:t>ь</w:t>
      </w:r>
      <w:r>
        <w:t>шинство кладбищенских, административных и канцелярских работников.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Положение о квотировании, содержащееся в статье 4 (3) Закона о равн</w:t>
      </w:r>
      <w:r>
        <w:t>о</w:t>
      </w:r>
      <w:r>
        <w:t>правии и касающееся государственных и муниципальных органов, позволило увеличить долю женщин, работающих в комитетах. Положение о равном пре</w:t>
      </w:r>
      <w:r>
        <w:t>д</w:t>
      </w:r>
      <w:r>
        <w:t>ставительстве женщин и мужчин в управленческих и административных орг</w:t>
      </w:r>
      <w:r>
        <w:t>а</w:t>
      </w:r>
      <w:r>
        <w:t>нах ведомств и учреждений, а также в выборных органах муниципалитетов и государственных компаний позволило увеличить число женщин, работающих в исполнительных органах ведомств и учреждений. Вместе с тем доля женщин, занимающих руководящие должности в различных компаниях, по-прежнему крайне мала. Согласно уведомлению, направленному министерством торговли и промышленности комитету по реформе Закона о равноправии, следует испр</w:t>
      </w:r>
      <w:r>
        <w:t>а</w:t>
      </w:r>
      <w:r>
        <w:t>вить сложившуюся ситуацию в отношении государственных компаний и ко</w:t>
      </w:r>
      <w:r>
        <w:t>м</w:t>
      </w:r>
      <w:r>
        <w:t>паний, ассоциированных с государством, путем реализации трехлетнего плана действий по достижению гендерного равенства, о чем министры, отвечающие за управление этими компаниями, будут представлять ежегодные доклады О</w:t>
      </w:r>
      <w:r>
        <w:t>м</w:t>
      </w:r>
      <w:r>
        <w:t>будсмену по вопросам равноправия.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Согласно реестру проектов правительства, в 2003 году доля женщин среди членов комитетов, комиссий, консультативных и иных органов, созданных м</w:t>
      </w:r>
      <w:r>
        <w:t>и</w:t>
      </w:r>
      <w:r>
        <w:t>нистерствами и аппаратом правительства, составляла 43 процента, что соотве</w:t>
      </w:r>
      <w:r>
        <w:t>т</w:t>
      </w:r>
      <w:r>
        <w:t>ствовало положению о квоте.</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Ch"/>
        <w:tabs>
          <w:tab w:val="left" w:pos="990"/>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53" w:hanging="1267"/>
        <w:rPr>
          <w:lang w:val="en-US"/>
        </w:rPr>
      </w:pPr>
      <w:r>
        <w:tab/>
        <w:t>Статья 5</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rPr>
          <w:i/>
        </w:rPr>
      </w:pPr>
      <w:r>
        <w:rPr>
          <w:i/>
        </w:rPr>
        <w:tab/>
        <w:t>1.</w:t>
      </w:r>
      <w:r>
        <w:tab/>
      </w:r>
      <w:r>
        <w:rPr>
          <w:i/>
        </w:rPr>
        <w:t>Государства-участники принимают все соответствующие меры с целью:</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rPr>
          <w:i/>
        </w:rPr>
      </w:pPr>
      <w:r>
        <w:rPr>
          <w:i/>
        </w:rPr>
        <w:tab/>
        <w:t>а)</w:t>
      </w:r>
      <w:r>
        <w:rPr>
          <w:i/>
        </w:rPr>
        <w:tab/>
        <w:t>изменить социальные и культурные модели поведения мужчин и женщин с целью достижения искоренения предрассудков и упразднения обыч</w:t>
      </w:r>
      <w:r>
        <w:rPr>
          <w:i/>
        </w:rPr>
        <w:t>а</w:t>
      </w:r>
      <w:r>
        <w:rPr>
          <w:i/>
        </w:rPr>
        <w:t>ев и всей прочей практики, которые основаны на идее неполноценности или превосходства одного из полов или стереотипности роли мужчин и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rPr>
          <w:i/>
        </w:rPr>
      </w:pPr>
      <w:r>
        <w:rPr>
          <w:i/>
        </w:rPr>
        <w:tab/>
      </w:r>
      <w:r>
        <w:rPr>
          <w:i/>
          <w:lang w:val="en-US"/>
        </w:rPr>
        <w:t>b</w:t>
      </w:r>
      <w:r>
        <w:rPr>
          <w:i/>
        </w:rPr>
        <w:t>)</w:t>
      </w:r>
      <w:r>
        <w:rPr>
          <w:i/>
        </w:rPr>
        <w:tab/>
        <w:t>обеспечить, чтобы семейное воспитание включало в себя правил</w:t>
      </w:r>
      <w:r>
        <w:rPr>
          <w:i/>
        </w:rPr>
        <w:t>ь</w:t>
      </w:r>
      <w:r>
        <w:rPr>
          <w:i/>
        </w:rPr>
        <w:t>ное понимание материнства как социальной функции и признание общей о</w:t>
      </w:r>
      <w:r>
        <w:rPr>
          <w:i/>
        </w:rPr>
        <w:t>т</w:t>
      </w:r>
      <w:r>
        <w:rPr>
          <w:i/>
        </w:rPr>
        <w:t>ветственности мужчин и женщин за воспитание и развитие своих детей при условии, что во всех случаях интересы детей являются преобладающими.</w:t>
      </w:r>
    </w:p>
    <w:p w:rsidR="00000000" w:rsidRDefault="00000000">
      <w:pPr>
        <w:pStyle w:val="SingleTxt"/>
        <w:spacing w:after="0" w:line="180" w:lineRule="auto"/>
        <w:rPr>
          <w:sz w:val="10"/>
        </w:rPr>
      </w:pPr>
      <w:r>
        <w:rPr>
          <w:sz w:val="10"/>
        </w:rPr>
        <w:br w:type="page"/>
      </w:r>
    </w:p>
    <w:p w:rsidR="00000000" w:rsidRDefault="00000000">
      <w:pPr>
        <w:pStyle w:val="SingleTxt"/>
        <w:spacing w:after="0" w:line="180" w:lineRule="auto"/>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exact"/>
        <w:ind w:left="2288" w:right="1260" w:hanging="1267"/>
      </w:pPr>
      <w:r>
        <w:tab/>
        <w:t>1.</w:t>
      </w:r>
      <w:r>
        <w:tab/>
        <w:t>Насилие в отношении женщин</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1"/>
        <w:tabs>
          <w:tab w:val="right" w:pos="1021"/>
          <w:tab w:val="left" w:pos="1264"/>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exact"/>
        <w:ind w:left="1800" w:right="1260" w:hanging="540"/>
        <w:rPr>
          <w:i/>
          <w:sz w:val="10"/>
        </w:rPr>
      </w:pPr>
      <w:r>
        <w:tab/>
      </w:r>
      <w:r>
        <w:rPr>
          <w:i/>
        </w:rPr>
        <w:t>1.1.</w:t>
      </w:r>
      <w:r>
        <w:rPr>
          <w:i/>
        </w:rPr>
        <w:tab/>
        <w:t>Проект по предупреждению насилия в отношении женщин</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После предыдущего доклада Комитет по ликвидации дискриминации в отношении женщин выразил озабоченность в связи с большим числом случаев насилия в отношении женщин в Финляндии. Вряд ли можно сказать, что ситу</w:t>
      </w:r>
      <w:r>
        <w:t>а</w:t>
      </w:r>
      <w:r>
        <w:t>ция с тех пор существенно изменилась. Правительство признает серьезность проблемы и всеми силами добивается сокращения масштабов насилия в отн</w:t>
      </w:r>
      <w:r>
        <w:t>о</w:t>
      </w:r>
      <w:r>
        <w:t>шении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Финляндия завершила осуществление широкого пятилетнего плана дейс</w:t>
      </w:r>
      <w:r>
        <w:t>т</w:t>
      </w:r>
      <w:r>
        <w:t>вий по предупреждению насилия и проституции. Данный проект касался всех форм насилия в отношении женщин в личной жизни и в государственном се</w:t>
      </w:r>
      <w:r>
        <w:t>к</w:t>
      </w:r>
      <w:r>
        <w:t>торе. Внимание уделялось также сексуальным домогательствам в рабочей о</w:t>
      </w:r>
      <w:r>
        <w:t>б</w:t>
      </w:r>
      <w:r>
        <w:t>становке. Задача проекта состояла в предании гласности всех случаев насилия в отношении женщин и девушек, усилении настроя против насилия, сокращ</w:t>
      </w:r>
      <w:r>
        <w:t>е</w:t>
      </w:r>
      <w:r>
        <w:t>нии масштабов насилия, а также содействии увеличению объема услуг, оказ</w:t>
      </w:r>
      <w:r>
        <w:t>ы</w:t>
      </w:r>
      <w:r>
        <w:t>ваемых жертвам и направленных против правонарушителей. Проект подразд</w:t>
      </w:r>
      <w:r>
        <w:t>е</w:t>
      </w:r>
      <w:r>
        <w:t>лялся на два подпроекта: программу по предупреждению насилия в отношении женщин и проект по борьбе с проституцией. Оба проекта имели единый испо</w:t>
      </w:r>
      <w:r>
        <w:t>л</w:t>
      </w:r>
      <w:r>
        <w:t>нительный совет во главе с министром здравоохранения и социального обесп</w:t>
      </w:r>
      <w:r>
        <w:t>е</w:t>
      </w:r>
      <w:r>
        <w:t>чения.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Руководило проектом министерство социального обеспечения и здрав</w:t>
      </w:r>
      <w:r>
        <w:t>о</w:t>
      </w:r>
      <w:r>
        <w:t>охранения, а осуществлялся он Национальным центром исследований и разр</w:t>
      </w:r>
      <w:r>
        <w:t>а</w:t>
      </w:r>
      <w:r>
        <w:t>боток по вопросам благосостояния и здравоохранения (Стейкс). В рамках пр</w:t>
      </w:r>
      <w:r>
        <w:t>о</w:t>
      </w:r>
      <w:r>
        <w:t>екта координировалась профилактическая деятельность, направленная против насилия в отношении женщин в семье, и поощрялось сотрудничество с орган</w:t>
      </w:r>
      <w:r>
        <w:t>а</w:t>
      </w:r>
      <w:r>
        <w:t>ми власти, организациями, учреждениями и проектами на местах. Наряду с этим активно распространялась информация по данному вопросу, организов</w:t>
      </w:r>
      <w:r>
        <w:t>ы</w:t>
      </w:r>
      <w:r>
        <w:t>валась учеба для специалистов из различных секторов (в частности полиции), а также разрабатывались различные методы работы. Проект способствовал ра</w:t>
      </w:r>
      <w:r>
        <w:t>з</w:t>
      </w:r>
      <w:r>
        <w:t>витию международного сотрудничества и обмену информацией о признанных надлежащими методах работы, обмену опытом, созданию сетей, в частности на территории Европейского союза. Проект включал 12 региональных групп, з</w:t>
      </w:r>
      <w:r>
        <w:t>а</w:t>
      </w:r>
      <w:r>
        <w:t>нимавшихся координацией и подготовкой кадров на местах, а также обменом информацией. Проект объединял семь разделов в различных областях с целью разработки и создания служебной сети и подготовки учебных материалов и п</w:t>
      </w:r>
      <w:r>
        <w:t>о</w:t>
      </w:r>
      <w:r>
        <w:t>собий по вопросам насилия в отношении женщин и бытового н</w:t>
      </w:r>
      <w:r>
        <w:t>а</w:t>
      </w:r>
      <w:r>
        <w:t>силия.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2001 году министерство социального обеспечения и здравоохранения образовало рабочую группу для изучения вопросов насилия и сексуальных зл</w:t>
      </w:r>
      <w:r>
        <w:t>о</w:t>
      </w:r>
      <w:r>
        <w:t>употреблений и предоставления помощи. В результате проделанной работы весной 2003 года Центр опубликовал пособие для органов социального обесп</w:t>
      </w:r>
      <w:r>
        <w:t>е</w:t>
      </w:r>
      <w:r>
        <w:t>чения и здравоохранения и органов полиции по вопросам выявления и рассл</w:t>
      </w:r>
      <w:r>
        <w:t>е</w:t>
      </w:r>
      <w:r>
        <w:t>дования случаев насилия и сексуальных злоупотреблений в отношении детей</w:t>
      </w:r>
      <w:r>
        <w:rPr>
          <w:rStyle w:val="FootnoteReference"/>
        </w:rPr>
        <w:footnoteReference w:id="4"/>
      </w:r>
      <w:r>
        <w:t>. В пособии содержатся полновесные рекомендации относительно расследов</w:t>
      </w:r>
      <w:r>
        <w:t>а</w:t>
      </w:r>
      <w:r>
        <w:t>ния обстоятельств, связанных с подозрениями в насилии и сексуальных зл</w:t>
      </w:r>
      <w:r>
        <w:t>о</w:t>
      </w:r>
      <w:r>
        <w:t>употре</w:t>
      </w:r>
      <w:r>
        <w:t>б</w:t>
      </w:r>
      <w:r>
        <w:t>лениях в отношении детей.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Заметное и активное участие в деле предупреждения насилия и провед</w:t>
      </w:r>
      <w:r>
        <w:t>е</w:t>
      </w:r>
      <w:r>
        <w:t>нии мероприятий, связанных с насилием в отношении женщин, принимает це</w:t>
      </w:r>
      <w:r>
        <w:t>р</w:t>
      </w:r>
      <w:r>
        <w:t>ковь. Среди проводимых ею кампаний следует, в частности, отметить Экум</w:t>
      </w:r>
      <w:r>
        <w:t>е</w:t>
      </w:r>
      <w:r>
        <w:t>ническое десятилетие Всемирного совета церквей "Солидарность церквей с женскими организациями", а также проходящее в настоящее время десятилетие "От насилия к ненасильственному урегулиров</w:t>
      </w:r>
      <w:r>
        <w:t>а</w:t>
      </w:r>
      <w:r>
        <w:t>нию".</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своей программе от 24 июня 2003 года правительство рассмотрело пр</w:t>
      </w:r>
      <w:r>
        <w:t>о</w:t>
      </w:r>
      <w:r>
        <w:t>блему предупреждения насилия во взаимоотношениях и в отношении женщин и проблему предупреждения проституции с двух точек зрения: как вопрос ге</w:t>
      </w:r>
      <w:r>
        <w:t>н</w:t>
      </w:r>
      <w:r>
        <w:t>дерного равноправия и как явление, наносящее ущерб безопасн</w:t>
      </w:r>
      <w:r>
        <w:t>о</w:t>
      </w:r>
      <w:r>
        <w:t>сти граждан.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период своего пребывания у власти правительство стремится напра</w:t>
      </w:r>
      <w:r>
        <w:t>в</w:t>
      </w:r>
      <w:r>
        <w:t>лять ресурсы на активизацию услуг для жертв злоупотреблений и торговли женщинами и проституток. В ряде административных секторов началось ос</w:t>
      </w:r>
      <w:r>
        <w:t>у</w:t>
      </w:r>
      <w:r>
        <w:t>ществление совместной программы по повышению безопасности граждан и борьбе с насилием. В этой связи будут также усилены механизмы для вмеш</w:t>
      </w:r>
      <w:r>
        <w:t>а</w:t>
      </w:r>
      <w:r>
        <w:t>тельства в случаях бытового насилия. Правительство обязуется гарантировать возможность получения помощи жертвами правонарушений и предоставление другой помощи в кризисных ситуациях на всей территории стр</w:t>
      </w:r>
      <w:r>
        <w:t>а</w:t>
      </w:r>
      <w:r>
        <w:t>ны.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настоящее время министерство социального обеспечения и здравоохр</w:t>
      </w:r>
      <w:r>
        <w:t>а</w:t>
      </w:r>
      <w:r>
        <w:t>нения занимается разработкой национальной программы действий по пред</w:t>
      </w:r>
      <w:r>
        <w:t>у</w:t>
      </w:r>
      <w:r>
        <w:t>преждению насилия в отношении женщин и бытового насилия, которая, в час</w:t>
      </w:r>
      <w:r>
        <w:t>т</w:t>
      </w:r>
      <w:r>
        <w:t>ности, предусматривает развитие системы обслуживания жертв насилия, пр</w:t>
      </w:r>
      <w:r>
        <w:t>а</w:t>
      </w:r>
      <w:r>
        <w:t>вонар</w:t>
      </w:r>
      <w:r>
        <w:t>у</w:t>
      </w:r>
      <w:r>
        <w:t xml:space="preserve">шителей и членов семей.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 xml:space="preserve">Цель программы заключается в том, чтобы </w:t>
      </w:r>
    </w:p>
    <w:p w:rsidR="00000000" w:rsidRDefault="00000000">
      <w:pPr>
        <w:pStyle w:val="SingleTxt"/>
        <w:numPr>
          <w:ilvl w:val="0"/>
          <w:numId w:val="322"/>
        </w:numPr>
        <w:tabs>
          <w:tab w:val="clear" w:pos="360"/>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800"/>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800" w:hanging="540"/>
      </w:pPr>
      <w:r>
        <w:t>определить стратегические источники насилия в рамках близких взаим</w:t>
      </w:r>
      <w:r>
        <w:t>о</w:t>
      </w:r>
      <w:r>
        <w:t>отнош</w:t>
      </w:r>
      <w:r>
        <w:t>е</w:t>
      </w:r>
      <w:r>
        <w:t xml:space="preserve">ний; </w:t>
      </w:r>
    </w:p>
    <w:p w:rsidR="00000000" w:rsidRDefault="00000000">
      <w:pPr>
        <w:pStyle w:val="SingleTxt"/>
        <w:numPr>
          <w:ilvl w:val="0"/>
          <w:numId w:val="322"/>
        </w:numPr>
        <w:tabs>
          <w:tab w:val="clear" w:pos="360"/>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800"/>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800" w:hanging="540"/>
      </w:pPr>
      <w:r>
        <w:t>разработать практические меры по оказанию помощи жертвам насилия, правонарушит</w:t>
      </w:r>
      <w:r>
        <w:t>е</w:t>
      </w:r>
      <w:r>
        <w:t xml:space="preserve">лям и членам семей; </w:t>
      </w:r>
    </w:p>
    <w:p w:rsidR="00000000" w:rsidRDefault="00000000">
      <w:pPr>
        <w:pStyle w:val="SingleTxt"/>
        <w:numPr>
          <w:ilvl w:val="0"/>
          <w:numId w:val="322"/>
        </w:numPr>
        <w:tabs>
          <w:tab w:val="clear" w:pos="360"/>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800"/>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800" w:hanging="540"/>
      </w:pPr>
      <w:r>
        <w:t xml:space="preserve">улучшить положение жертв насилия; </w:t>
      </w:r>
    </w:p>
    <w:p w:rsidR="00000000" w:rsidRDefault="00000000">
      <w:pPr>
        <w:pStyle w:val="SingleTxt"/>
        <w:numPr>
          <w:ilvl w:val="0"/>
          <w:numId w:val="322"/>
        </w:numPr>
        <w:tabs>
          <w:tab w:val="clear" w:pos="360"/>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800"/>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800" w:hanging="540"/>
      </w:pPr>
      <w:r>
        <w:t>четко определить роли и обязанности различных участников производс</w:t>
      </w:r>
      <w:r>
        <w:t>т</w:t>
      </w:r>
      <w:r>
        <w:t>венного процесса по оказанию помощи жертвам насилия и лицам, сове</w:t>
      </w:r>
      <w:r>
        <w:t>р</w:t>
      </w:r>
      <w:r>
        <w:t xml:space="preserve">шающим насилие, в рамках близких взаимоотношений; </w:t>
      </w:r>
    </w:p>
    <w:p w:rsidR="00000000" w:rsidRDefault="00000000">
      <w:pPr>
        <w:pStyle w:val="SingleTxt"/>
        <w:numPr>
          <w:ilvl w:val="0"/>
          <w:numId w:val="322"/>
        </w:numPr>
        <w:tabs>
          <w:tab w:val="clear" w:pos="360"/>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800"/>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800" w:hanging="540"/>
      </w:pPr>
      <w:r>
        <w:t>создать общенациональную сеть оказания базовых и специальных услуг, направленных против насилия, на местном и регионал</w:t>
      </w:r>
      <w:r>
        <w:t>ь</w:t>
      </w:r>
      <w:r>
        <w:t xml:space="preserve">ном уровнях; </w:t>
      </w:r>
    </w:p>
    <w:p w:rsidR="00000000" w:rsidRDefault="00000000">
      <w:pPr>
        <w:pStyle w:val="SingleTxt"/>
        <w:numPr>
          <w:ilvl w:val="0"/>
          <w:numId w:val="322"/>
        </w:numPr>
        <w:tabs>
          <w:tab w:val="clear" w:pos="360"/>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800"/>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800" w:hanging="540"/>
      </w:pPr>
      <w:r>
        <w:t>создать возможности для подготовки всех соответствующих специал</w:t>
      </w:r>
      <w:r>
        <w:t>и</w:t>
      </w:r>
      <w:r>
        <w:t>стов по вопросам, связанным с насил</w:t>
      </w:r>
      <w:r>
        <w:t>и</w:t>
      </w:r>
      <w:r>
        <w:t xml:space="preserve">ем; </w:t>
      </w:r>
    </w:p>
    <w:p w:rsidR="00000000" w:rsidRDefault="00000000">
      <w:pPr>
        <w:pStyle w:val="SingleTxt"/>
        <w:numPr>
          <w:ilvl w:val="0"/>
          <w:numId w:val="322"/>
        </w:numPr>
        <w:tabs>
          <w:tab w:val="clear" w:pos="360"/>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800"/>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800" w:hanging="540"/>
      </w:pPr>
      <w:r>
        <w:t>оказывать поддержку действиям НПО и добровольцев в борьбе с насил</w:t>
      </w:r>
      <w:r>
        <w:t>и</w:t>
      </w:r>
      <w:r>
        <w:t xml:space="preserve">ем и оказании помощи жертвам и правонарушителям; </w:t>
      </w:r>
    </w:p>
    <w:p w:rsidR="00000000" w:rsidRDefault="00000000">
      <w:pPr>
        <w:pStyle w:val="SingleTxt"/>
        <w:numPr>
          <w:ilvl w:val="0"/>
          <w:numId w:val="322"/>
        </w:numPr>
        <w:tabs>
          <w:tab w:val="clear" w:pos="360"/>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800"/>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800" w:hanging="540"/>
      </w:pPr>
      <w:r>
        <w:t>содействовать изменению стереотипов социального и культурного пов</w:t>
      </w:r>
      <w:r>
        <w:t>е</w:t>
      </w:r>
      <w:r>
        <w:t>дения в целях борьбы с насилием; и</w:t>
      </w:r>
    </w:p>
    <w:p w:rsidR="00000000" w:rsidRDefault="00000000">
      <w:pPr>
        <w:pStyle w:val="SingleTxt"/>
        <w:numPr>
          <w:ilvl w:val="0"/>
          <w:numId w:val="322"/>
        </w:numPr>
        <w:tabs>
          <w:tab w:val="clear" w:pos="360"/>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800"/>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800" w:hanging="540"/>
      </w:pPr>
      <w:r>
        <w:t>содействовать осуществлению международных договоров в области прав человека и ра</w:t>
      </w:r>
      <w:r>
        <w:t>в</w:t>
      </w:r>
      <w:r>
        <w:t xml:space="preserve">ноправия в Финляндии.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программе насилие в отношении женщин и бытовое насилие подним</w:t>
      </w:r>
      <w:r>
        <w:t>а</w:t>
      </w:r>
      <w:r>
        <w:t>ются на уровень проблем общества. Ответственность за осуществление пр</w:t>
      </w:r>
      <w:r>
        <w:t>о</w:t>
      </w:r>
      <w:r>
        <w:t>граммы возложена главным образом на административных работников мин</w:t>
      </w:r>
      <w:r>
        <w:t>и</w:t>
      </w:r>
      <w:r>
        <w:t>стерств юстиции, образования, транспорта и связи, внутренних дел, а также министе</w:t>
      </w:r>
      <w:r>
        <w:t>р</w:t>
      </w:r>
      <w:r>
        <w:t>ства социального обеспечения и здравоохранения.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Для достижения поставленных целей в программе определяется взаимное распределение функций и обязанностей соответствующих административных звеньев и других участников на национальном, региональном и местном уро</w:t>
      </w:r>
      <w:r>
        <w:t>в</w:t>
      </w:r>
      <w:r>
        <w:t>нях. Для контроля за осуществлением программы будет создана национальная группа по мониторингу и оценке. В конце срока пребывания нынешнего прав</w:t>
      </w:r>
      <w:r>
        <w:t>и</w:t>
      </w:r>
      <w:r>
        <w:t>тельства у власти оно проведет оценку достигнутых результатов и подготовит предложения о мерах на период пребывания у власти следующего правительс</w:t>
      </w:r>
      <w:r>
        <w:t>т</w:t>
      </w:r>
      <w:r>
        <w:t>ва.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Осуществление программы потребует финансовых ресурсов. В различных административных областях будут зарезервированы достаточные экономич</w:t>
      </w:r>
      <w:r>
        <w:t>е</w:t>
      </w:r>
      <w:r>
        <w:t>ские ресурсы для реализации мер по предупреждению насилия, развития си</w:t>
      </w:r>
      <w:r>
        <w:t>с</w:t>
      </w:r>
      <w:r>
        <w:t>темы и предоставления услуг жертвам и правонарушителям, развития системы уголовного преследования и подготовки персонала, занимающегося вопросами насилия, создания системы исследований и мониторинга. Во всех соответс</w:t>
      </w:r>
      <w:r>
        <w:t>т</w:t>
      </w:r>
      <w:r>
        <w:t>вующих административных областях будет повышен экспертный уровень, н</w:t>
      </w:r>
      <w:r>
        <w:t>е</w:t>
      </w:r>
      <w:r>
        <w:t>обход</w:t>
      </w:r>
      <w:r>
        <w:t>и</w:t>
      </w:r>
      <w:r>
        <w:t>мый для решения задач в этой области.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Распространение информации о содержании программы будет происх</w:t>
      </w:r>
      <w:r>
        <w:t>о</w:t>
      </w:r>
      <w:r>
        <w:t>дить путем публикации в печатных источниках и помещения на сайт в Инте</w:t>
      </w:r>
      <w:r>
        <w:t>р</w:t>
      </w:r>
      <w:r>
        <w:t>нете. Будет подготовлена брошюра о программе, распространением которой будут заниматься пункты обслуживания. В 2004 году будут организованы р</w:t>
      </w:r>
      <w:r>
        <w:t>е</w:t>
      </w:r>
      <w:r>
        <w:t>гиональные семинары, на которых представителям различных администрати</w:t>
      </w:r>
      <w:r>
        <w:t>в</w:t>
      </w:r>
      <w:r>
        <w:t>ных звеньев и организаций будет предоставляться информация о содержании программы и о необходимых в связи с ней мерах. В сотрудничестве со средс</w:t>
      </w:r>
      <w:r>
        <w:t>т</w:t>
      </w:r>
      <w:r>
        <w:t>вами массовой информации будет расширена дискуссия по вопросу о насилии в о</w:t>
      </w:r>
      <w:r>
        <w:t>т</w:t>
      </w:r>
      <w:r>
        <w:t>ношении женщин.</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1"/>
        <w:tabs>
          <w:tab w:val="right" w:pos="1021"/>
          <w:tab w:val="left" w:pos="1264"/>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exact"/>
        <w:ind w:left="1800" w:right="1260" w:hanging="540"/>
        <w:rPr>
          <w:i/>
          <w:sz w:val="10"/>
        </w:rPr>
      </w:pPr>
      <w:r>
        <w:tab/>
      </w:r>
      <w:r>
        <w:rPr>
          <w:i/>
        </w:rPr>
        <w:t>1.2.</w:t>
      </w:r>
      <w:r>
        <w:rPr>
          <w:i/>
        </w:rPr>
        <w:tab/>
        <w:t>Исследования по вопросу о насилии в отношении женщин</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Проблема насилия в отношении женщин рассматривается в рамках прое</w:t>
      </w:r>
      <w:r>
        <w:t>к</w:t>
      </w:r>
      <w:r>
        <w:t>тов сотрудничества между Статистическим управлением Финляндии и Советом по вопросам равноправия в трех статистических докладах, первый из которых был опубликован в 1998 году и был посвящен повторяемости случаев насилия</w:t>
      </w:r>
      <w:r>
        <w:rPr>
          <w:rStyle w:val="FootnoteReference"/>
        </w:rPr>
        <w:footnoteReference w:id="5"/>
      </w:r>
      <w:r>
        <w:t>. О содержании данного исследования говорилось в предыдущем периодическом докладе.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Второе исследование под названием "Цена насилия. Расходы в связи с н</w:t>
      </w:r>
      <w:r>
        <w:t>а</w:t>
      </w:r>
      <w:r>
        <w:t>силием со стороны мужчин в отношении женщин в Финляндии" было провед</w:t>
      </w:r>
      <w:r>
        <w:t>е</w:t>
      </w:r>
      <w:r>
        <w:t>но в 2000 году и опубликовано на финском и английском языках</w:t>
      </w:r>
      <w:r>
        <w:rPr>
          <w:rStyle w:val="FootnoteReference"/>
        </w:rPr>
        <w:footnoteReference w:id="6"/>
      </w:r>
      <w:r>
        <w:t>. В исследовании показано, что насилие в отношении женщин в 1998 году пр</w:t>
      </w:r>
      <w:r>
        <w:t>и</w:t>
      </w:r>
      <w:r>
        <w:t>вело к прямым расходам для общества в размере 49 млн. евро. Косвенные ра</w:t>
      </w:r>
      <w:r>
        <w:t>с</w:t>
      </w:r>
      <w:r>
        <w:t>ходы в связи с насилием составили вдвое большую сумму. Эти расходы были связаны с здравоохранением, услугами по социальному обеспечению и прав</w:t>
      </w:r>
      <w:r>
        <w:t>о</w:t>
      </w:r>
      <w:r>
        <w:t>вой системой. Наибольшая доля расходов приходилась на судебные разбир</w:t>
      </w:r>
      <w:r>
        <w:t>а</w:t>
      </w:r>
      <w:r>
        <w:t>тельства: 26,3 млн. евро, из которых 6 млн. составляли расходы на работу п</w:t>
      </w:r>
      <w:r>
        <w:t>о</w:t>
      </w:r>
      <w:r>
        <w:t>лиции, 6,5 млн. - на фактическую процедуру разбирательства и 13,7 млн. - на соде</w:t>
      </w:r>
      <w:r>
        <w:t>р</w:t>
      </w:r>
      <w:r>
        <w:t>жание правонарушителей под стражей.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Расходы служб социального обеспечения подразделялись на расходы на содержание приютов, оказание кризисных услуг, услуг по социальному обесп</w:t>
      </w:r>
      <w:r>
        <w:t>е</w:t>
      </w:r>
      <w:r>
        <w:t>чению и разного рода терапевтическое лечение. Расходы в связи с предоста</w:t>
      </w:r>
      <w:r>
        <w:t>в</w:t>
      </w:r>
      <w:r>
        <w:t>лением такого рода услуг женщинам, пострадавшим от насилия, составили 14,7 млн. евро. Оказание помощи в связи с нанесением физических травм п</w:t>
      </w:r>
      <w:r>
        <w:t>о</w:t>
      </w:r>
      <w:r>
        <w:t>требовало 3,3 млн. евро по сектору здравоохранения в связи с посещением вр</w:t>
      </w:r>
      <w:r>
        <w:t>а</w:t>
      </w:r>
      <w:r>
        <w:t>чей и пребыванием в больницах. Приблизительно такая же сумма была затр</w:t>
      </w:r>
      <w:r>
        <w:t>а</w:t>
      </w:r>
      <w:r>
        <w:t>чена на приобретение медикаментов в связи с насил</w:t>
      </w:r>
      <w:r>
        <w:t>и</w:t>
      </w:r>
      <w:r>
        <w:t>ем.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Насилие в отношении женщин приводит также к косвенным затратам в виде потери жизней, снижения уровня благосостояния и неучастия в произво</w:t>
      </w:r>
      <w:r>
        <w:t>д</w:t>
      </w:r>
      <w:r>
        <w:t>ственном процессе. Расчеты такого рода всегда носят ориентировочный хара</w:t>
      </w:r>
      <w:r>
        <w:t>к</w:t>
      </w:r>
      <w:r>
        <w:t>тер. Косвенные расходы составляют около 60-110 млн. евро. Однако эти цифры отражают лишь часть фактических затрат. На основе данного исследования точно исчислить соответствующие расходы не представляется возможным. По результатам исследования рекомендовалось более точно определить расходы в небольших масштабах - на муниципальном уровне.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Третье исследование называлось "Затраты в связи с насилием в масштабах муниципалитета. Тематическое исследование по проблеме насилия в отнош</w:t>
      </w:r>
      <w:r>
        <w:t>е</w:t>
      </w:r>
      <w:r>
        <w:t>нии женщин и связанных с ним затрат в городе Хемеенлинна в 2001 году на основе оценок, предоставленных представителями органов власти" (добавл</w:t>
      </w:r>
      <w:r>
        <w:t>е</w:t>
      </w:r>
      <w:r>
        <w:t>ние 3). Большинство случаев насилия в отношении женщин приходится на су</w:t>
      </w:r>
      <w:r>
        <w:t>п</w:t>
      </w:r>
      <w:r>
        <w:t>ружеские пары. В ходе исследования было обнаружено, что меры, принима</w:t>
      </w:r>
      <w:r>
        <w:t>е</w:t>
      </w:r>
      <w:r>
        <w:t>мые органами власти в рамках муниципалитета, имеют четкую направленность по секторам. Преобладающий в секторе стереотип оказывает влияние на форму насилия и тип проблем, на которые обращается внимание при встрече с клие</w:t>
      </w:r>
      <w:r>
        <w:t>н</w:t>
      </w:r>
      <w:r>
        <w:t>том.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Национальный исследовательский институт правовой политики и Стат</w:t>
      </w:r>
      <w:r>
        <w:t>и</w:t>
      </w:r>
      <w:r>
        <w:t>стическое бюро Финляндии при совместном финансировании провели иссл</w:t>
      </w:r>
      <w:r>
        <w:t>е</w:t>
      </w:r>
      <w:r>
        <w:t>дование по вопросу о случаях и попытках изнасилования, доведенных до св</w:t>
      </w:r>
      <w:r>
        <w:t>е</w:t>
      </w:r>
      <w:r>
        <w:t>дения полиции</w:t>
      </w:r>
      <w:r>
        <w:rPr>
          <w:rStyle w:val="FootnoteReference"/>
        </w:rPr>
        <w:footnoteReference w:id="7"/>
      </w:r>
      <w:r>
        <w:t>. Согласно исследованию, среди случаев, доведенных до свед</w:t>
      </w:r>
      <w:r>
        <w:t>е</w:t>
      </w:r>
      <w:r>
        <w:t>ния полиции, случаи изнасилования, совершенного незнакомым лицом, явл</w:t>
      </w:r>
      <w:r>
        <w:t>я</w:t>
      </w:r>
      <w:r>
        <w:t>ются сравнительно редкими. Столь же редко изнасилование происходит в так называемых "ситуациях знакомства". Кроме того, было отмечено, что в ряде случаев лицо, совершившее преступление, и его жертва знали друг друга. До сведения полиции доводятся также случаи изнасилования среди супружеских пар. Большая же часть случаев сексуального насилия остается скрытой и не д</w:t>
      </w:r>
      <w:r>
        <w:t>о</w:t>
      </w:r>
      <w:r>
        <w:t>водится до сведения полиции. Особенно часто это происходит в ситуациях, к</w:t>
      </w:r>
      <w:r>
        <w:t>о</w:t>
      </w:r>
      <w:r>
        <w:t>гда лицо, совершившее преступление, и его жертва знают друг друга. Согласно данным Статистического управления Финляндии, число случаев изнасилов</w:t>
      </w:r>
      <w:r>
        <w:t>а</w:t>
      </w:r>
      <w:r>
        <w:t>ния, доведенных до сведения полиции в 2002 году, составило 550.</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1"/>
        <w:tabs>
          <w:tab w:val="right" w:pos="1021"/>
          <w:tab w:val="left" w:pos="1264"/>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exact"/>
        <w:ind w:left="1800" w:right="1260" w:hanging="540"/>
        <w:rPr>
          <w:i/>
          <w:sz w:val="10"/>
        </w:rPr>
      </w:pPr>
      <w:r>
        <w:tab/>
      </w:r>
      <w:r>
        <w:rPr>
          <w:i/>
        </w:rPr>
        <w:t>1.3.</w:t>
      </w:r>
      <w:r>
        <w:rPr>
          <w:i/>
        </w:rPr>
        <w:tab/>
        <w:t>Законодательство, касающееся ограничительных судебных постановлений</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Закон об ограничительных судебных постановлениях (898/1998), который вступил в силу в начале 1999 года, стал необходимым инструментом защиты лиц, которым угрожает то или иное преступление или незаконное преследов</w:t>
      </w:r>
      <w:r>
        <w:t>а</w:t>
      </w:r>
      <w:r>
        <w:t>ние. В 1999 году было принято в общей сложности 999 ограничительных п</w:t>
      </w:r>
      <w:r>
        <w:t>о</w:t>
      </w:r>
      <w:r>
        <w:t>становлений. В 2000 году их число составило 1219, в 2001 году - чуть менее, 1154, а в 2002 году - более, чем в предыдущие годы, - 1327.</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Министерство юстиции подготовило правительственный законопроект (НЕ 144/2003) о внесении изменений в Закон об ограничительных судебных постановлениях. Осенью 2003 года законопроект был передан в парламент. В нем содержится предложение о внесении дополнительных положений в З</w:t>
      </w:r>
      <w:r>
        <w:t>а</w:t>
      </w:r>
      <w:r>
        <w:t>кон, с тем чтобы его можно было применять и в тех случаях, когда лицо, защ</w:t>
      </w:r>
      <w:r>
        <w:t>и</w:t>
      </w:r>
      <w:r>
        <w:t>щаемое постановлением, и лицо, в отношении которого такое постановление принято, проживают в пределах одного домашнего хозяйства. Предлагается д</w:t>
      </w:r>
      <w:r>
        <w:t>о</w:t>
      </w:r>
      <w:r>
        <w:t>бавить в Закон также положение о так называемом ограничительном постано</w:t>
      </w:r>
      <w:r>
        <w:t>в</w:t>
      </w:r>
      <w:r>
        <w:t>лении внутрисемейного характера. Цель этого предложения заключается в пр</w:t>
      </w:r>
      <w:r>
        <w:t>е</w:t>
      </w:r>
      <w:r>
        <w:t>дупреждении бытового насилия. Вполне возможно, что внутрисемейное огр</w:t>
      </w:r>
      <w:r>
        <w:t>а</w:t>
      </w:r>
      <w:r>
        <w:t>ничительное судебное постановление позволит удержать совместно прож</w:t>
      </w:r>
      <w:r>
        <w:t>и</w:t>
      </w:r>
      <w:r>
        <w:t>вающее лицо от совершения насильственного пр</w:t>
      </w:r>
      <w:r>
        <w:t>е</w:t>
      </w:r>
      <w:r>
        <w:t>ступления.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Лицо, в отношении которого действует внутрисемейное ограничительное судебное постановление, должно покинуть место жительства, в котором он/она и лицо, для защиты которого такое постановление принято, совместно прож</w:t>
      </w:r>
      <w:r>
        <w:t>и</w:t>
      </w:r>
      <w:r>
        <w:t>вают, при этом он/она не должны вступать в контакт с защищаемым лицом. Т</w:t>
      </w:r>
      <w:r>
        <w:t>а</w:t>
      </w:r>
      <w:r>
        <w:t>кое постановление может предусматривать и пребывание в некоторых других местах. Принятие внутрисемейного ограничительного судебного постановл</w:t>
      </w:r>
      <w:r>
        <w:t>е</w:t>
      </w:r>
      <w:r>
        <w:t>ния будет зависеть от наличия угрозы совершения преступления в отношении жизни, здоровья или свободы того или иного лица. Срок действия такого п</w:t>
      </w:r>
      <w:r>
        <w:t>о</w:t>
      </w:r>
      <w:r>
        <w:t>становления ограничивается тремя месяцами. Вопросы, связанные с принятием постановлений внутрисемейного характера, должны решаться безотлаг</w:t>
      </w:r>
      <w:r>
        <w:t>а</w:t>
      </w:r>
      <w:r>
        <w:t>тельно.</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Содержащиеся в действующем Законе положения об обычном огранич</w:t>
      </w:r>
      <w:r>
        <w:t>и</w:t>
      </w:r>
      <w:r>
        <w:t>тельном судебном постановлении предлагается изменить, предусмотрев в них обязанность гражданского служащего, полномочного производить арест, безо</w:t>
      </w:r>
      <w:r>
        <w:t>т</w:t>
      </w:r>
      <w:r>
        <w:t>лагательно предпринять меры по выдаче временного ограничительного пост</w:t>
      </w:r>
      <w:r>
        <w:t>а</w:t>
      </w:r>
      <w:r>
        <w:t>новления. Предлагается также продлить срок действия такого постановления при его возобновлении до двух лет вместо одного года, как это предусматрив</w:t>
      </w:r>
      <w:r>
        <w:t>а</w:t>
      </w:r>
      <w:r>
        <w:t>ется действующими положениями.</w:t>
      </w:r>
    </w:p>
    <w:p w:rsidR="00000000" w:rsidRDefault="00000000">
      <w:pPr>
        <w:pStyle w:val="SingleTxt"/>
        <w:spacing w:after="0" w:line="180" w:lineRule="auto"/>
        <w:rPr>
          <w:sz w:val="10"/>
        </w:rPr>
      </w:pPr>
      <w:r>
        <w:rPr>
          <w:sz w:val="10"/>
        </w:rPr>
        <w:br w:type="page"/>
      </w:r>
    </w:p>
    <w:p w:rsidR="00000000" w:rsidRDefault="00000000">
      <w:pPr>
        <w:pStyle w:val="SingleTxt"/>
        <w:spacing w:after="0" w:line="180" w:lineRule="auto"/>
        <w:rPr>
          <w:sz w:val="10"/>
        </w:rPr>
      </w:pPr>
    </w:p>
    <w:p w:rsidR="00000000" w:rsidRDefault="00000000">
      <w:pPr>
        <w:pStyle w:val="H1"/>
        <w:tabs>
          <w:tab w:val="right" w:pos="1021"/>
          <w:tab w:val="left" w:pos="1264"/>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exact"/>
        <w:ind w:left="1800" w:right="1260" w:hanging="540"/>
        <w:rPr>
          <w:i/>
          <w:sz w:val="10"/>
        </w:rPr>
      </w:pPr>
      <w:r>
        <w:tab/>
      </w:r>
      <w:r>
        <w:rPr>
          <w:i/>
        </w:rPr>
        <w:t>1.4.</w:t>
      </w:r>
      <w:r>
        <w:rPr>
          <w:i/>
        </w:rPr>
        <w:tab/>
        <w:t>Улучшение положения жертв преступлений</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Созданная министерством юстиции целевая группа по проблемам жертв преступлений представила свой доклад 19 июня 2001 года. Группа выступила с предложениями относительно того, как улучшить положение жертв преступл</w:t>
      </w:r>
      <w:r>
        <w:t>е</w:t>
      </w:r>
      <w:r>
        <w:t>ний на практике. На основе предложений целевой группы была, в частности, подготовлена брошюра-пособие для жертв преступлений, которая была перев</w:t>
      </w:r>
      <w:r>
        <w:t>е</w:t>
      </w:r>
      <w:r>
        <w:t>дена на несколько языков.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начале 2003 года вступила в силу поправка к Процессуальному кодексу (360/2003), которая позволила усовершенствовать охрану свидетелей, постр</w:t>
      </w:r>
      <w:r>
        <w:t>а</w:t>
      </w:r>
      <w:r>
        <w:t>давших и других сторон, выступающих в суде. В настоящее время Закон вкл</w:t>
      </w:r>
      <w:r>
        <w:t>ю</w:t>
      </w:r>
      <w:r>
        <w:t>чает положения, позволяющие заслушивать показания лица в ходе судебного заседания в отсутствие одной из сторон или общественности, либо посредс</w:t>
      </w:r>
      <w:r>
        <w:t>т</w:t>
      </w:r>
      <w:r>
        <w:t>вом видеоконференции.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Свидетель или любое другое лицо, например, жертва преступления, м</w:t>
      </w:r>
      <w:r>
        <w:t>о</w:t>
      </w:r>
      <w:r>
        <w:t>жет давать в суде показания в отсутствие другой стороны, если это диктуется интересами охраны свидетеля или близкого к нему лица от угрозы для его жи</w:t>
      </w:r>
      <w:r>
        <w:t>з</w:t>
      </w:r>
      <w:r>
        <w:t>ни или здоровья. Кроме того, любое лицо, нарушающее порядок во время дачи показаний свидетелем, может быть удалено из зала заседаний на весь срок дачи св</w:t>
      </w:r>
      <w:r>
        <w:t>и</w:t>
      </w:r>
      <w:r>
        <w:t>детельских показаний.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С другой стороны, заслушание свидетеля может проводиться в условиях его отсутствия в судебном заседании. При этом могут применяться такие те</w:t>
      </w:r>
      <w:r>
        <w:t>х</w:t>
      </w:r>
      <w:r>
        <w:t>нические средства, как видеоконференция и любые другие технические средс</w:t>
      </w:r>
      <w:r>
        <w:t>т</w:t>
      </w:r>
      <w:r>
        <w:t>ва передачи данных, обеспечивающие условия, при которых стороны слышат и видят друг друга. Такая процедура может применяться в целях охраны свид</w:t>
      </w:r>
      <w:r>
        <w:t>е</w:t>
      </w:r>
      <w:r>
        <w:t>теля или близкого к нему лица и в случаях, когда отсутствует необходимость в личном присутствии свидетеля. Свидетель может давать показания по телеф</w:t>
      </w:r>
      <w:r>
        <w:t>о</w:t>
      </w:r>
      <w:r>
        <w:t>ну, если он, например, по причине болезни лишен возможности присутствовать в судебном заседании или если правдивость показаний свидетеля может быть у</w:t>
      </w:r>
      <w:r>
        <w:t>с</w:t>
      </w:r>
      <w:r>
        <w:t>тановлена в его отсутствие.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Решение о заслушании свидетеля в отсутствие одной из сторон или с п</w:t>
      </w:r>
      <w:r>
        <w:t>о</w:t>
      </w:r>
      <w:r>
        <w:t>мощью технических средств во всех случаях принимается самим судом. Наряду с этим продолжает действовать основное правило, согласно которому все ст</w:t>
      </w:r>
      <w:r>
        <w:t>о</w:t>
      </w:r>
      <w:r>
        <w:t>роны процесса и свидетели должны одновременно присутствовать в судебном заседании. Если совершается отход от данного правила, то сторонам должно быть г</w:t>
      </w:r>
      <w:r>
        <w:t>а</w:t>
      </w:r>
      <w:r>
        <w:t>рантировано право задавать вопросы свидетелю.</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Раздел 2 Декрета о предварительном следствии и принудительных мерах (575/1988) дополнен новым пунктом, касающимся передачи полицейского пр</w:t>
      </w:r>
      <w:r>
        <w:t>о</w:t>
      </w:r>
      <w:r>
        <w:t>токола (288/2002). Если пострадавшая сторона уведомляет полицию или иной орган, ведущий предварительное следствие по делу о преступлении, соверше</w:t>
      </w:r>
      <w:r>
        <w:t>н</w:t>
      </w:r>
      <w:r>
        <w:t>ном на территории другого государства - члена Европейского союза, то заявл</w:t>
      </w:r>
      <w:r>
        <w:t>е</w:t>
      </w:r>
      <w:r>
        <w:t>ние потерпевшей стороны с изложением ее требований должно быть предста</w:t>
      </w:r>
      <w:r>
        <w:t>в</w:t>
      </w:r>
      <w:r>
        <w:t>лено компетентным властям государства-члена, на территории которого сове</w:t>
      </w:r>
      <w:r>
        <w:t>р</w:t>
      </w:r>
      <w:r>
        <w:t>шено данное преступление, если это преступление является серьезным или е</w:t>
      </w:r>
      <w:r>
        <w:t>с</w:t>
      </w:r>
      <w:r>
        <w:t>ли потерпевшая сторона не имела возможности заявить о нем на территории государства, где было совершено данное преступление.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1980, 1988, 1993, 1997 и 2003 годах Финляндия провела широкие н</w:t>
      </w:r>
      <w:r>
        <w:t>а</w:t>
      </w:r>
      <w:r>
        <w:t>циональные обследования положения жертв. Исследование положения жертв-женщин, по результатам которого в 1998 году была подготовлена публикация "Вера, надежда, побои", пока является единственным в своем роде. В исследованиях положения жертв содержится информация, с разбивкой по п</w:t>
      </w:r>
      <w:r>
        <w:t>о</w:t>
      </w:r>
      <w:r>
        <w:t>лу, о жертвах насилия, дорожных происшествий, несчастных случаев на прои</w:t>
      </w:r>
      <w:r>
        <w:t>з</w:t>
      </w:r>
      <w:r>
        <w:t>водстве, несчастных случаев в быту, на транспорте и других.</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1"/>
        <w:tabs>
          <w:tab w:val="right" w:pos="1021"/>
          <w:tab w:val="left" w:pos="1264"/>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exact"/>
        <w:ind w:left="1800" w:right="1260" w:hanging="540"/>
        <w:rPr>
          <w:i/>
          <w:sz w:val="10"/>
        </w:rPr>
      </w:pPr>
      <w:r>
        <w:tab/>
      </w:r>
      <w:r>
        <w:rPr>
          <w:i/>
        </w:rPr>
        <w:t>1.5.</w:t>
      </w:r>
      <w:r>
        <w:rPr>
          <w:i/>
        </w:rPr>
        <w:tab/>
        <w:t>Бытовое насилие</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Большинство случаев насилия в отношении женщин происходит в семье и в рамках близких взаимоотношений. По данным последних исследований, ка</w:t>
      </w:r>
      <w:r>
        <w:t>ж</w:t>
      </w:r>
      <w:r>
        <w:t>дая пятая женщина подвергается насилию или угрозе насилия в рамках вза</w:t>
      </w:r>
      <w:r>
        <w:t>и</w:t>
      </w:r>
      <w:r>
        <w:t>моотношений с супругом, и вместе с тем лишь одна из десяти таких женщин информирует об этом полицию. В период 1998-2003 годов значительных изм</w:t>
      </w:r>
      <w:r>
        <w:t>е</w:t>
      </w:r>
      <w:r>
        <w:t>нений в количестве случаев бытового насилия не произошло. В 2002 году оно составляло 2500, в то время как общее число раскрытых насильственных пр</w:t>
      </w:r>
      <w:r>
        <w:t>е</w:t>
      </w:r>
      <w:r>
        <w:t>ступлений, доведенных до сведения полиции, по данным Статистического б</w:t>
      </w:r>
      <w:r>
        <w:t>ю</w:t>
      </w:r>
      <w:r>
        <w:t>ро Финляндии, составило 28 000.</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Ежегодно в полицию поступает около 50 000 экстренных вызовов на дом. Приблизительно в 43 000 случаев на место происшествия отправляется пол</w:t>
      </w:r>
      <w:r>
        <w:t>и</w:t>
      </w:r>
      <w:r>
        <w:t>цейский патруль. Из общего количества этих случаев около 15 000 связаны с бытовым насилием, т.е. насилием со стороны нынешнего или бывшего члена семьи в отношении другого члена семьи, проживающего по тому же адресу. Большинство случаев бытового насилия - это насилие со стороны одного из супругов или совместно проживающего лица в отношении другого супруга или такого лица. Лишь часть экстренных вызовов, поступающих в полицию, пров</w:t>
      </w:r>
      <w:r>
        <w:t>е</w:t>
      </w:r>
      <w:r>
        <w:t>ряется и классифицируется в статистических данных как пр</w:t>
      </w:r>
      <w:r>
        <w:t>е</w:t>
      </w:r>
      <w:r>
        <w:t>ступление.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Высшее руководство полиции создало консультативную группу по пред</w:t>
      </w:r>
      <w:r>
        <w:t>у</w:t>
      </w:r>
      <w:r>
        <w:t>преждению бытового насилия, возложив на нее задачу профессиональной по</w:t>
      </w:r>
      <w:r>
        <w:t>д</w:t>
      </w:r>
      <w:r>
        <w:t>готовки сотрудников полиции, организацию курсов повышения квалификации без отрыва от службы, проведение исследований и местных полицейских мер</w:t>
      </w:r>
      <w:r>
        <w:t>о</w:t>
      </w:r>
      <w:r>
        <w:t>приятий в рамках борьбы с преступностью, а также задачу получения инфо</w:t>
      </w:r>
      <w:r>
        <w:t>р</w:t>
      </w:r>
      <w:r>
        <w:t>мации. Консультативная группа координирует работу по профилактике бытов</w:t>
      </w:r>
      <w:r>
        <w:t>о</w:t>
      </w:r>
      <w:r>
        <w:t>го насилия. Завершена разработка и началось осуществление программы де</w:t>
      </w:r>
      <w:r>
        <w:t>й</w:t>
      </w:r>
      <w:r>
        <w:t>ствий полиции по предупреждению бытового насилия. Главными задачами в рамках программы являются базовая подготовка полицейских, подготовка без отрыва от службы и повышение квалификации. Одним из направлений являе</w:t>
      </w:r>
      <w:r>
        <w:t>т</w:t>
      </w:r>
      <w:r>
        <w:t>ся сотрудничество между различными органами власти и добровольными орг</w:t>
      </w:r>
      <w:r>
        <w:t>а</w:t>
      </w:r>
      <w:r>
        <w:t>низациями. Высшее руководство полиции считает местные полицейские мер</w:t>
      </w:r>
      <w:r>
        <w:t>о</w:t>
      </w:r>
      <w:r>
        <w:t>приятия одним из главных направлений Плана работы полиции (2003/2006). Важнейшей задачей на 2003 и 2004 годы является предупреждение бытового нас</w:t>
      </w:r>
      <w:r>
        <w:t>и</w:t>
      </w:r>
      <w:r>
        <w:t>лия.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Правительственный законопроект об ограничительных судебных пост</w:t>
      </w:r>
      <w:r>
        <w:t>а</w:t>
      </w:r>
      <w:r>
        <w:t>новлениях (НЕ 144/2003) предусматривает внесение поправки к Уголовному кодексу, которая отменяет действие статьи 17 главы 21 Уголовного кодекса о непреследовании за нападение. Предполагается, что эта поправка должна вст</w:t>
      </w:r>
      <w:r>
        <w:t>у</w:t>
      </w:r>
      <w:r>
        <w:t>пить в силу одновременно с поправкой к Закону об ограничительных судебных постановлениях. Хотя с 1 сентября 1995 года за совершение нападения пред</w:t>
      </w:r>
      <w:r>
        <w:t>у</w:t>
      </w:r>
      <w:r>
        <w:t>сматривается наказание, действие упомянутого положения, особенно в случаях бытового насилия, приводит к росту числа случаев, когда обвинение не пред</w:t>
      </w:r>
      <w:r>
        <w:t>ъ</w:t>
      </w:r>
      <w:r>
        <w:t>является. Согласно этому положению, если сторона, пострадавшая от напад</w:t>
      </w:r>
      <w:r>
        <w:t>е</w:t>
      </w:r>
      <w:r>
        <w:t>ния, в порядке свободного волеизъявления ходатайствует о невозбуждении д</w:t>
      </w:r>
      <w:r>
        <w:t>е</w:t>
      </w:r>
      <w:r>
        <w:t>ла, государственный прокурор имеет право не предъявлять обвинения, если только существенные государственные или частные интересы не требуют его предъявления. После 20 января 2000 года, когда генеральный прокурор издал распоряжение относительно непредъявления обвинений в случаях нападения, число дел, в связи с которыми такие обвинения были предъявлены по просьбе пострадавшей стороны, сократилось. Вместе с тем сохранилась проблема пр</w:t>
      </w:r>
      <w:r>
        <w:t>и</w:t>
      </w:r>
      <w:r>
        <w:t>менения данного положения, состоящая, в частности, в том, что на практике следователю весьма трудно убедиться в том, что потерпевшая сторона обращ</w:t>
      </w:r>
      <w:r>
        <w:t>а</w:t>
      </w:r>
      <w:r>
        <w:t>ется с просьбой об этом добровольно и без какого-либо давл</w:t>
      </w:r>
      <w:r>
        <w:t>е</w:t>
      </w:r>
      <w:r>
        <w:t>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Цель отмены положения о непредъявлении обвинения в случае нападения заключается в совершенствовании мер защиты, предусмотренных уголовным правом для жертв нападения, путем сокращения возможностей подозреваемых в плане воспрепятствования предъявлению обвинений. Отмена данного пол</w:t>
      </w:r>
      <w:r>
        <w:t>о</w:t>
      </w:r>
      <w:r>
        <w:t>жения будет способствовать уголовному преследованию лиц, виновных в с</w:t>
      </w:r>
      <w:r>
        <w:t>о</w:t>
      </w:r>
      <w:r>
        <w:t>вершении нападения, и следует надеяться, что она также позволит сократить возможности для оказания давления на жертву преступления. Предлагаемые поправки к уголовному кодексу и Закону об ограничительных судебных пост</w:t>
      </w:r>
      <w:r>
        <w:t>а</w:t>
      </w:r>
      <w:r>
        <w:t>новлениях свидетельствуют о том, что общество отрицательно относится к б</w:t>
      </w:r>
      <w:r>
        <w:t>ы</w:t>
      </w:r>
      <w:r>
        <w:t>товому насилию и считает его серьезной проблемой, кот</w:t>
      </w:r>
      <w:r>
        <w:t>о</w:t>
      </w:r>
      <w:r>
        <w:t>рую следует решать.</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НПО озабочены насилием в отношении женщин в период после развода. Зачастую нападения и насильственное поведение продолжаются и после разв</w:t>
      </w:r>
      <w:r>
        <w:t>о</w:t>
      </w:r>
      <w:r>
        <w:t>да, и бывший супруг/супруга может подвергаться угрозам, нападениям и др</w:t>
      </w:r>
      <w:r>
        <w:t>у</w:t>
      </w:r>
      <w:r>
        <w:t>гим посягательствам. Убедительные результаты исследований по данной теме отсутствуют, поскольку факты насилия в период после развода могут замалч</w:t>
      </w:r>
      <w:r>
        <w:t>и</w:t>
      </w:r>
      <w:r>
        <w:t>ваться.</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exact"/>
        <w:ind w:left="2288" w:right="1260" w:hanging="1267"/>
      </w:pPr>
      <w:r>
        <w:tab/>
        <w:t>2.</w:t>
      </w:r>
      <w:r>
        <w:tab/>
        <w:t>Меньшинства</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1"/>
        <w:tabs>
          <w:tab w:val="right" w:pos="1021"/>
          <w:tab w:val="left" w:pos="1264"/>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exact"/>
        <w:ind w:left="1800" w:right="1260" w:hanging="540"/>
        <w:rPr>
          <w:i/>
          <w:sz w:val="10"/>
        </w:rPr>
      </w:pPr>
      <w:r>
        <w:tab/>
      </w:r>
      <w:r>
        <w:rPr>
          <w:i/>
        </w:rPr>
        <w:t>2.1.</w:t>
      </w:r>
      <w:r>
        <w:rPr>
          <w:i/>
        </w:rPr>
        <w:tab/>
        <w:t>Введение</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своем заявлении, сделанном на основе третьего и четвертого период</w:t>
      </w:r>
      <w:r>
        <w:t>и</w:t>
      </w:r>
      <w:r>
        <w:t>ческих докладов Финляндии, Комитет по ликвидации дискриминации в отн</w:t>
      </w:r>
      <w:r>
        <w:t>о</w:t>
      </w:r>
      <w:r>
        <w:t>шении женщин выразил озабоченность в связи с сохраняющейся дискримин</w:t>
      </w:r>
      <w:r>
        <w:t>а</w:t>
      </w:r>
      <w:r>
        <w:t xml:space="preserve">цией в отношении женщин-иммигрантов и представительниц меньшинств, проживающих в Финляндии, а также в связи с дискриминацией в ее различных формах в отношении некоторых меньшинств. Комитет призвал правительство принять эффективные меры для ликвидации дискриминации в отношении женщин, принадлежащих к меньшинствам, и активизировать усилия по борьбе с ксенофобией и расизмом в Финляндии.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течение нескольких лет правительство осуществляет План действий по борьбе против расизма и дискриминации. План был подготовлен в результате целенаправленных совместных усилий, а информация о нем получила широкое распространение на национальном и региональном уровне, в частности, в ходе семинаров, благодаря публикациям и сообщениям в Интернете. Как и програ</w:t>
      </w:r>
      <w:r>
        <w:t>м</w:t>
      </w:r>
      <w:r>
        <w:t>ма действий Сообщества по борьбе с дискриминацией, программа правител</w:t>
      </w:r>
      <w:r>
        <w:t>ь</w:t>
      </w:r>
      <w:r>
        <w:t>ства осуществляется посредством общенациональных и международных пр</w:t>
      </w:r>
      <w:r>
        <w:t>о</w:t>
      </w:r>
      <w:r>
        <w:t>ектов, ча</w:t>
      </w:r>
      <w:r>
        <w:t>с</w:t>
      </w:r>
      <w:r>
        <w:t>тично финансируемых Европейской комиссией.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Осенью 2003 года правительство передало в парламент проект закона о гарантиях равноправия (НЕ 44/2003), направленного на предупреждение всех форм дискриминации по признаку расовой и национальной принадлежности. Особой задачей закона является создание механизма для вмешательства в сл</w:t>
      </w:r>
      <w:r>
        <w:t>у</w:t>
      </w:r>
      <w:r>
        <w:t>чае дискриминации в ее множественных формах. Более подробно закон будет рассмотрен ниже, в связи со статьей 11.</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Одна из главных задач при осуществлении проектов, направленных пр</w:t>
      </w:r>
      <w:r>
        <w:t>о</w:t>
      </w:r>
      <w:r>
        <w:t>тив дискриминации, заключается в выявлении множественных форм дискр</w:t>
      </w:r>
      <w:r>
        <w:t>и</w:t>
      </w:r>
      <w:r>
        <w:t>минации и борьбе с ними. В число практических мероприятий входит подг</w:t>
      </w:r>
      <w:r>
        <w:t>о</w:t>
      </w:r>
      <w:r>
        <w:t>товка кадров, проверка методов и создание моделей, формирование сетей и о</w:t>
      </w:r>
      <w:r>
        <w:t>б</w:t>
      </w:r>
      <w:r>
        <w:t>разование структур сотрудничества, а также распространение информации п</w:t>
      </w:r>
      <w:r>
        <w:t>о</w:t>
      </w:r>
      <w:r>
        <w:t>средством публикаций, Интернета и сотрудничества со средствами массовой информации. Среди сотрудников по проектам были женщины-иммигранты и женщины народности рома.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Проекты борьбы с дискриминацией осуществляются совместно четырьмя министерствами, организациями и органами по вопросам равноправия (Ко</w:t>
      </w:r>
      <w:r>
        <w:t>н</w:t>
      </w:r>
      <w:r>
        <w:t>сультативным советом по межэтническим отношениям - ЭТНО и Консульт</w:t>
      </w:r>
      <w:r>
        <w:t>а</w:t>
      </w:r>
      <w:r>
        <w:t>тивным советом по делам народности рома). При рассмотрении вопроса об увеличении числа случаев дискриминации внимание уделяется не только ди</w:t>
      </w:r>
      <w:r>
        <w:t>с</w:t>
      </w:r>
      <w:r>
        <w:t>криминации в отношении этнических меньшинств, но и положению инвалидов, женщин, относящихся к сексуальным меньшинствам, тех, кто подвергается дискриминации по признаку религиозной принадлежности, а также положению престарелых же</w:t>
      </w:r>
      <w:r>
        <w:t>н</w:t>
      </w:r>
      <w:r>
        <w:t>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Вместе с другими министерствами и представителями групп, подверга</w:t>
      </w:r>
      <w:r>
        <w:t>ю</w:t>
      </w:r>
      <w:r>
        <w:t>щихся дискриминации по различным признакам, министерство труда уже с 2001 года занимается осуществлением информационных и учебных проектов, направленных на борьбу с дискриминацией. Цель проектов заключается в пр</w:t>
      </w:r>
      <w:r>
        <w:t>е</w:t>
      </w:r>
      <w:r>
        <w:t>дупреждении всех форм дискриминации, подготовке сотрудников органов вл</w:t>
      </w:r>
      <w:r>
        <w:t>а</w:t>
      </w:r>
      <w:r>
        <w:t>сти к выявлению и предупреждению дискриминации, а также принятию мер в связи с ней. В рамках проектов предпринимаются усилия по расширению во</w:t>
      </w:r>
      <w:r>
        <w:t>з</w:t>
      </w:r>
      <w:r>
        <w:t>можностей групп, подвергаемых дискриминации, в плане ведения борьбы с дискриминацией, а также в плане повышения их осведомленности о своих пр</w:t>
      </w:r>
      <w:r>
        <w:t>а</w:t>
      </w:r>
      <w:r>
        <w:t>вах. Проекты комплексно охватывают различные формы дискриминации, включая вопросы равенства мужчин и женщин и множественные формы ди</w:t>
      </w:r>
      <w:r>
        <w:t>с</w:t>
      </w:r>
      <w:r>
        <w:t>криминации. К числу мероприятий в рамках данной программы относятся по</w:t>
      </w:r>
      <w:r>
        <w:t>д</w:t>
      </w:r>
      <w:r>
        <w:t>готовка координаторов из числа сотрудников трудовой администрации по в</w:t>
      </w:r>
      <w:r>
        <w:t>о</w:t>
      </w:r>
      <w:r>
        <w:t>просам дискриминации по национальному признаку и, в частности, по вопр</w:t>
      </w:r>
      <w:r>
        <w:t>о</w:t>
      </w:r>
      <w:r>
        <w:t>сам, касающимся народности рома, повышение квалификации без отрыва от работы и осуществление экспериментальной учебной программы для работ</w:t>
      </w:r>
      <w:r>
        <w:t>о</w:t>
      </w:r>
      <w:r>
        <w:t>дателей.</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1"/>
        <w:tabs>
          <w:tab w:val="right" w:pos="1021"/>
          <w:tab w:val="left" w:pos="1264"/>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exact"/>
        <w:ind w:left="1800" w:right="1260" w:hanging="540"/>
        <w:rPr>
          <w:i/>
          <w:sz w:val="10"/>
        </w:rPr>
      </w:pPr>
      <w:r>
        <w:tab/>
      </w:r>
      <w:r>
        <w:rPr>
          <w:i/>
        </w:rPr>
        <w:t>2.2.</w:t>
      </w:r>
      <w:r>
        <w:rPr>
          <w:i/>
        </w:rPr>
        <w:tab/>
        <w:t>Женщины-иммигранты</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Иностранные граждане составляют весьма небольшую часть населения Финляндии - 2 процента в 2002 году. В тот период в Финляндии находилось 103 682 иностранных гражданина, 51 985 из которых были женщины. Около трех четвертей всех иностранцев составляли люди рабочего возраста. Для ка</w:t>
      </w:r>
      <w:r>
        <w:t>ж</w:t>
      </w:r>
      <w:r>
        <w:t xml:space="preserve">дой национальности свойственны свои возрастные и гендерные отличия. В частности, женщины составляли большинство в национальных группах из Таиланда, Филиппин, России и Эстонии.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Задача Консультативного совета по межэтническим отношениям (ЭТНО), созданного правительством в 2001 году, непосредственно заключается в соде</w:t>
      </w:r>
      <w:r>
        <w:t>й</w:t>
      </w:r>
      <w:r>
        <w:t>ствии развитию добрых межэтнических отношений и в предупреждении раси</w:t>
      </w:r>
      <w:r>
        <w:t>з</w:t>
      </w:r>
      <w:r>
        <w:t>ма и дискриминации по национальному признаку. Консультативный совет ос</w:t>
      </w:r>
      <w:r>
        <w:t>у</w:t>
      </w:r>
      <w:r>
        <w:t>ществляет деятельность через реализацию проектов борьбы с дискриминацией в сотрудничестве с представителями государства, региональной администр</w:t>
      </w:r>
      <w:r>
        <w:t>а</w:t>
      </w:r>
      <w:r>
        <w:t>ции, третьего сектора и органов по вопросам равноправия, организацию ди</w:t>
      </w:r>
      <w:r>
        <w:t>с</w:t>
      </w:r>
      <w:r>
        <w:t>куссионных мероприятий и семинаров и участие в них и в совместных изд</w:t>
      </w:r>
      <w:r>
        <w:t>а</w:t>
      </w:r>
      <w:r>
        <w:t>тельских проектах.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период 2001-2003 годов Консультативный совет создал три постоянных отдела, занимающихся изучением положения женщин-иммигрантов и семей иммигрантов, вопросов расизма и межэтнических отношений, а также условий обеспечения равных возможностей для работы во всех сферах. В 2002 году о</w:t>
      </w:r>
      <w:r>
        <w:t>т</w:t>
      </w:r>
      <w:r>
        <w:t>дел по вопросам женщин-иммигрантов и семей иммигрантов организовал в различных регионах страны семинары по положению женщин-иммигрантов и их статусу в финском обществе. В качестве продолжения семинаров в сентябре 2003 года отдел провел национальный форум, на котором исследователи, же</w:t>
      </w:r>
      <w:r>
        <w:t>н</w:t>
      </w:r>
      <w:r>
        <w:t>щины-иммигранты и работающие с ними ассоциации, а также представители органов власти стремились разработать рекомендации относительно действий по улучшению положения женщин и по борьбе с дискриминацией в отношении женщин и ее пред</w:t>
      </w:r>
      <w:r>
        <w:t>у</w:t>
      </w:r>
      <w:r>
        <w:t>преждению.</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Кроме того, по линии ЭТНО созданы две постоянные рабочие группы; о</w:t>
      </w:r>
      <w:r>
        <w:t>д</w:t>
      </w:r>
      <w:r>
        <w:t>на из них занимается исследованиями в среде русскоговорящего населения Финляндии, документально отображая его положение, а другая следит за ос</w:t>
      </w:r>
      <w:r>
        <w:t>у</w:t>
      </w:r>
      <w:r>
        <w:t>ществлением Закона об интеграции иммигрантов и приеме лиц, ищущих уб</w:t>
      </w:r>
      <w:r>
        <w:t>е</w:t>
      </w:r>
      <w:r>
        <w:t>жища (Закон об интеграции иммигрантов и приеме лиц, ищущих убежища; 493/1999; далее именуемый "Закон об и</w:t>
      </w:r>
      <w:r>
        <w:t>н</w:t>
      </w:r>
      <w:r>
        <w:t>теграции").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рамках своего многокультурного проекта Центральный союз детского попечительства изучает мнения экспертов по вопросам иммиграции в кру</w:t>
      </w:r>
      <w:r>
        <w:t>п</w:t>
      </w:r>
      <w:r>
        <w:t>нейших муниципалитетах относительно интеграции семей с детьми</w:t>
      </w:r>
      <w:r>
        <w:rPr>
          <w:rStyle w:val="FootnoteReference"/>
        </w:rPr>
        <w:footnoteReference w:id="8"/>
      </w:r>
      <w:r>
        <w:t>. Самым большим недостатком Закона об интеграции работники муниципальных орг</w:t>
      </w:r>
      <w:r>
        <w:t>а</w:t>
      </w:r>
      <w:r>
        <w:t>нов считают тот факт, что он не накладывает на муниципалитеты обязательства принимать меры в поддержку интеграции иммигрантов, оставшихся вне рынка рабочей силы, и подготавливать планы интеграции. В семьях иммигрантов л</w:t>
      </w:r>
      <w:r>
        <w:t>и</w:t>
      </w:r>
      <w:r>
        <w:t>цом, не имеющим работы и занимающимся ее поиском, чаще всего является отец семейства, на которого и распространяются меры по интеграции. В то время как отцу оказывается содействие в устройстве на учебные курсы и на р</w:t>
      </w:r>
      <w:r>
        <w:t>а</w:t>
      </w:r>
      <w:r>
        <w:t>боту, мать, как правило, остается дома и ухаживает за детьми. Согласно докл</w:t>
      </w:r>
      <w:r>
        <w:t>а</w:t>
      </w:r>
      <w:r>
        <w:t>ду, женщины-иммигранты в меньшей степени интегрируются в общество, чем мужчины. Даже те матери, которые проживают в стране десяток лет, могут плохо знать национальные языки Финляндии и само финское общество. Среди иммигра</w:t>
      </w:r>
      <w:r>
        <w:t>н</w:t>
      </w:r>
      <w:r>
        <w:t>тов немало матерей-одиночек. Особо уязвимыми являются родители-одиночки в семьях, где на попечении у главы семейства находится много детей, а сам глава ведет замкнутый образ жизни и не может разговаривать на местном языке.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Осенью 2002 года правительство представило доклад об осуществлении Закона об интеграции (доклад правительства 5/2002). В нем был указан ряд н</w:t>
      </w:r>
      <w:r>
        <w:t>е</w:t>
      </w:r>
      <w:r>
        <w:t>достатков, связанных с интеграцией, и было выдвинуто несколько десятков предложений по исправлению положения. В докладе предлагалось усилить н</w:t>
      </w:r>
      <w:r>
        <w:t>а</w:t>
      </w:r>
      <w:r>
        <w:t>правленность и улучшить координацию мер по интеграции, а также усове</w:t>
      </w:r>
      <w:r>
        <w:t>р</w:t>
      </w:r>
      <w:r>
        <w:t>шенствовать разделение труда на уровне как муниципалитетов, так и госуда</w:t>
      </w:r>
      <w:r>
        <w:t>р</w:t>
      </w:r>
      <w:r>
        <w:t>ственной администрации. Ряд таких предложений касался мер в поддержку и</w:t>
      </w:r>
      <w:r>
        <w:t>н</w:t>
      </w:r>
      <w:r>
        <w:t>теграции женщин-иммигрантов и более полного учета их потребностей при разработке мер и услуг в их поддержку. Осуществление некоторых предлож</w:t>
      </w:r>
      <w:r>
        <w:t>е</w:t>
      </w:r>
      <w:r>
        <w:t>ний уже началось, а в связи с другими было положено начало законодательной проц</w:t>
      </w:r>
      <w:r>
        <w:t>е</w:t>
      </w:r>
      <w:r>
        <w:t>дуры.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Меры по борьбе с дискриминацией осуществляются также в рамках и</w:t>
      </w:r>
      <w:r>
        <w:t>н</w:t>
      </w:r>
      <w:r>
        <w:t>формационный и мировоззренческой учебы. Консультативный совет по межэ</w:t>
      </w:r>
      <w:r>
        <w:t>т</w:t>
      </w:r>
      <w:r>
        <w:t>ническим отношениям назначил десять послов доброй воли, которые способс</w:t>
      </w:r>
      <w:r>
        <w:t>т</w:t>
      </w:r>
      <w:r>
        <w:t>вуют вынесению вопросов дискриминации на обсуждение на повседневной о</w:t>
      </w:r>
      <w:r>
        <w:t>с</w:t>
      </w:r>
      <w:r>
        <w:t>нове для создания атмосферы, препятствующей дискриминации и расизму. С помощью послов стало возможным обсуждение вопросов дискриминации на различных общественных мероприятиях, в учебных заведениях и в средствах массовой информации. Все послы хорошо известны в обществе; шестеро из них - же</w:t>
      </w:r>
      <w:r>
        <w:t>н</w:t>
      </w:r>
      <w:r>
        <w:t>щины, и двое имеют этническое происхождение.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ЭТНО обращает внимание на традиции и практику, сохраняющиеся в н</w:t>
      </w:r>
      <w:r>
        <w:t>е</w:t>
      </w:r>
      <w:r>
        <w:t>которых этнических обществах и противоречащие нормам правопорядка и прав человека, отмечая, в частности, обрезание у девочек, насильственные и заранее спланированные браки, а также воспрепятствование участию в мероприятиях гражданского общества и получению образования. Совет стремится предупр</w:t>
      </w:r>
      <w:r>
        <w:t>е</w:t>
      </w:r>
      <w:r>
        <w:t>ждать и искоренять эти недостатки путем информационной работы, преследуя при этом цель сделать ее результаты более ощутимыми. Это касается, в частн</w:t>
      </w:r>
      <w:r>
        <w:t>о</w:t>
      </w:r>
      <w:r>
        <w:t>сти, деятельности ЭТНО по предупреждению бытового насилия и учета п</w:t>
      </w:r>
      <w:r>
        <w:t>о</w:t>
      </w:r>
      <w:r>
        <w:t>требностей женщин-иммигрантов при организации ночлежных домов и пр</w:t>
      </w:r>
      <w:r>
        <w:t>и</w:t>
      </w:r>
      <w:r>
        <w:t>ютов.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Лига прав человека осуществляет проект "КокоНайнен" в целях предо</w:t>
      </w:r>
      <w:r>
        <w:t>т</w:t>
      </w:r>
      <w:r>
        <w:t>вращения обрезания девочек, а также обеспечения ухода и реабилитации лиц, подвергшихся такой операции. Задача этого проекта заключается в том, чтобы заранее предотвратить обрезание женщин и улучшить состояние здоровья женщин и девочек, принадлежащих к этническим группам, где практикуется традиция обрезания женщин в их странах происхождения. Еще одна задача з</w:t>
      </w:r>
      <w:r>
        <w:t>а</w:t>
      </w:r>
      <w:r>
        <w:t>ключается в расширении знаний и укреплении навыков медицинских работн</w:t>
      </w:r>
      <w:r>
        <w:t>и</w:t>
      </w:r>
      <w:r>
        <w:t>ков в области предотвращения обрезания женщин и ухода за ними, а также в изменении взглядов иммигрантов с помощью работы на низовом уровне. В свою очередь Финский Красный Крест в 2002 году осуществил проект "Хаво тако", направленный на формирование надлежащего подхода к процедуре обр</w:t>
      </w:r>
      <w:r>
        <w:t>е</w:t>
      </w:r>
      <w:r>
        <w:t xml:space="preserve">зания на уровне общин. В рамках этого проекта, в частности, был подготовлен мультфильм на сомалийском языке.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Кроме того, неправительственные организации предоставляют консульт</w:t>
      </w:r>
      <w:r>
        <w:t>а</w:t>
      </w:r>
      <w:r>
        <w:t>ции по телефону и в личных беседах в целях оказания помощи женщинам-иммигрантам, подвергающимся насилию. Например, ассоциация под названием "Моника уимен" предоставляет помощь женщинам и детям из числа иммигра</w:t>
      </w:r>
      <w:r>
        <w:t>н</w:t>
      </w:r>
      <w:r>
        <w:t>тов, подвергающимся психическому или физическому насилию, и проводит профилактическую работу по искоренению насилия и устранению угрозы н</w:t>
      </w:r>
      <w:r>
        <w:t>а</w:t>
      </w:r>
      <w:r>
        <w:t>силия со стороны близких родственников и членов семьи. Ассоциация изучает проблемы насилия в отношении женщин и детей из числа иммигрантов и со</w:t>
      </w:r>
      <w:r>
        <w:t>з</w:t>
      </w:r>
      <w:r>
        <w:t>дала справочный центр круглосуточного обслуживания по телефону, который предоставляет женщинам-иммигрантам информацию, юридические консульт</w:t>
      </w:r>
      <w:r>
        <w:t>а</w:t>
      </w:r>
      <w:r>
        <w:t>ции и помощь частным лицам, а также создает группы самопомощи и оказыв</w:t>
      </w:r>
      <w:r>
        <w:t>а</w:t>
      </w:r>
      <w:r>
        <w:t xml:space="preserve">ет им поддержку.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Ассоциация "Найстен линья" ("Женская линия") обеспечивает работу о</w:t>
      </w:r>
      <w:r>
        <w:t>б</w:t>
      </w:r>
      <w:r>
        <w:t>щенациональной телефонной службы, предоставляющей консультации и по</w:t>
      </w:r>
      <w:r>
        <w:t>д</w:t>
      </w:r>
      <w:r>
        <w:t>держку всем женщинам и девушкам, подвергающимся насилию или угрозе н</w:t>
      </w:r>
      <w:r>
        <w:t>а</w:t>
      </w:r>
      <w:r>
        <w:t>силия. Ассоциация также стремится удовлетворять потребности женщин, пре</w:t>
      </w:r>
      <w:r>
        <w:t>д</w:t>
      </w:r>
      <w:r>
        <w:t>ставляющих языковые и культурные меньшинства, и оказывать услуги имм</w:t>
      </w:r>
      <w:r>
        <w:t>и</w:t>
      </w:r>
      <w:r>
        <w:t xml:space="preserve">грантам на их родных языках.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Кроме того, на муниципальном уровне проводятся мероприятия по пов</w:t>
      </w:r>
      <w:r>
        <w:t>ы</w:t>
      </w:r>
      <w:r>
        <w:t>шению уровня информированности в вопросах, касающихся дискриминации. Ассоциация финских местных и региональных органов власти в 2002 году ра</w:t>
      </w:r>
      <w:r>
        <w:t>з</w:t>
      </w:r>
      <w:r>
        <w:t>вернула проект под названием "Мониторинг процесса принятия решений в рамках ЕС по социальным вопросам, вопросам здравоохранения, иммиграции и профилактики преступлений" в целях развития рациональных видов практики в работе муниципальных органов, особенно в вопросах, касающихся беженцев и иммигрантов. На базе проекта будет подготовлена публикация с изложением вопросов и задач политики ЕС, а также соответствующих ведущих европейских организаций в социальной о</w:t>
      </w:r>
      <w:r>
        <w:t>б</w:t>
      </w:r>
      <w:r>
        <w:t xml:space="preserve">ласти и в области здравоохранения.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Кроме того, в рамках работы муниципальных органов по проблемам м</w:t>
      </w:r>
      <w:r>
        <w:t>о</w:t>
      </w:r>
      <w:r>
        <w:t>лодежи и иммиграции проводятся специальные мероприятия в интересах д</w:t>
      </w:r>
      <w:r>
        <w:t>е</w:t>
      </w:r>
      <w:r>
        <w:t>вушек. Например, в Хельсинки Городской молодежный центр в сотрудничестве с молодежными организациями осуществил проект под названием "Дом для девушек", задача которого заключается в организации мероприятий, конкретно предназначенных для девушек-иммигрантов. Как свидетельствует опыт, нако</w:t>
      </w:r>
      <w:r>
        <w:t>п</w:t>
      </w:r>
      <w:r>
        <w:t>ленный в ходе осуществления проекта, проведение специализированных мер</w:t>
      </w:r>
      <w:r>
        <w:t>о</w:t>
      </w:r>
      <w:r>
        <w:t>приятий, предназначенных для девушек, позволяет расширить участие дев</w:t>
      </w:r>
      <w:r>
        <w:t>у</w:t>
      </w:r>
      <w:r>
        <w:t xml:space="preserve">шек-иммигрантов.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феврале 2002 года в Финляндии была создана так называемая сеть РАСМУС для борьбы с расизмом и преодоления страха перед иностранцами; она объединяет представителей НПО, религиозных организаций, организаций, действующих на рынке труда, представителей научных кругов, меньшинств и иммигрантов, а также частных лиц. Сеть состоит из нескольких подгрупп и р</w:t>
      </w:r>
      <w:r>
        <w:t>е</w:t>
      </w:r>
      <w:r>
        <w:t>гиональных групп, одной из которых является неофициальная подгруппа "Женщины РАСМУС". В своей работе группа стремится улучшить ныне уязв</w:t>
      </w:r>
      <w:r>
        <w:t>и</w:t>
      </w:r>
      <w:r>
        <w:t xml:space="preserve">мое положение женщин из числа меньшинств и иммигрантов и расширить их участие в процессе принятия решений по вопросам, касающимся их жизни. В работе этой подгруппы наряду с другими участвует Управление по вопросам иммиграции.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1"/>
        <w:tabs>
          <w:tab w:val="right" w:pos="1021"/>
          <w:tab w:val="left" w:pos="1264"/>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exact"/>
        <w:ind w:left="1800" w:right="1260" w:hanging="540"/>
        <w:rPr>
          <w:i/>
          <w:sz w:val="10"/>
        </w:rPr>
      </w:pPr>
      <w:r>
        <w:tab/>
      </w:r>
      <w:r>
        <w:rPr>
          <w:i/>
        </w:rPr>
        <w:t>2.3.</w:t>
      </w:r>
      <w:r>
        <w:rPr>
          <w:i/>
        </w:rPr>
        <w:tab/>
        <w:t>Женщины-беженцы</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соответствии со сложившейся в Финляндии практикой предоставления убежища лицо, ищущее убежище, которое достигло совершеннолетнего возра</w:t>
      </w:r>
      <w:r>
        <w:t>с</w:t>
      </w:r>
      <w:r>
        <w:t>та, регистрируется и рассматривается как самостоятельное лицо, ходатайс</w:t>
      </w:r>
      <w:r>
        <w:t>т</w:t>
      </w:r>
      <w:r>
        <w:t>вующее о предоставлении убежища. Таким образом, в Финляндии лицом, ход</w:t>
      </w:r>
      <w:r>
        <w:t>а</w:t>
      </w:r>
      <w:r>
        <w:t>тайствующим о предоставлении убежища, не принято считать только так наз</w:t>
      </w:r>
      <w:r>
        <w:t>ы</w:t>
      </w:r>
      <w:r>
        <w:t>ваемого главу семьи, которым зачастую является мужчина, и всякий, кто ход</w:t>
      </w:r>
      <w:r>
        <w:t>а</w:t>
      </w:r>
      <w:r>
        <w:t>тайствует о предоставлении убежища, имеет одинаковые процедурные права. В связи с разработкой Европейским союзом директивы по процедуре предо</w:t>
      </w:r>
      <w:r>
        <w:t>с</w:t>
      </w:r>
      <w:r>
        <w:t xml:space="preserve">тавления убежища Финляндия попыталась сформулировать свою концепцию обращения с женщинами как с независимыми лицами, ищущими убежище, с точки зрения распространения на них как процедуры предоставления убежища, так и связанных с этим процедурных прав.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Финляндии базовая концепция заключается в том, что всякий, кто до</w:t>
      </w:r>
      <w:r>
        <w:t>с</w:t>
      </w:r>
      <w:r>
        <w:t>тиг совершеннолетнего возраста, имеет право на личное собеседование, пред</w:t>
      </w:r>
      <w:r>
        <w:t>у</w:t>
      </w:r>
      <w:r>
        <w:t>смотренное процедурой предоставления убежища. Эти собеседования проводят сотрудники Управления по вопросам иммиграции или полиции. Органы власти обязаны соблюдать конфиденциальность в вопросах убежища, и каждое ищ</w:t>
      </w:r>
      <w:r>
        <w:t>у</w:t>
      </w:r>
      <w:r>
        <w:t>щее убежище лицо, состоящее в официальном или гражданском браке, должно заслушиваться отдельно. В соответствии с резолюцией Совета Европы о мин</w:t>
      </w:r>
      <w:r>
        <w:t>и</w:t>
      </w:r>
      <w:r>
        <w:t>мальных гарантиях, предусмотренных процедурой предоставления убежища, Финляндия стремится, по мере необходимости, к тому, чтобы ходатайством о предоставлении убежища занималась компетентная сотрудница или использ</w:t>
      </w:r>
      <w:r>
        <w:t>о</w:t>
      </w:r>
      <w:r>
        <w:t>вались услуги переводчицы, в частности если в противном случае женщине, ищущей убежище, трудно было бы изложить все основания для своего ход</w:t>
      </w:r>
      <w:r>
        <w:t>а</w:t>
      </w:r>
      <w:r>
        <w:t>тайства в связи с неблагоприятным опытом или по причинам, связанным с ее собственной культурной средой. В отношении каждого ищущего убежище лица выносится также отдельное решение, которое подлежит регистрации, хотя по практическим соображениям для каждой семьи решение, как правило, форм</w:t>
      </w:r>
      <w:r>
        <w:t>у</w:t>
      </w:r>
      <w:r>
        <w:t xml:space="preserve">лируется на одном листе.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ходе дискуссий с УВКБ Финляндия стремится также подчеркнуть, что регистрационные бланки для целей расселения, используемые в рамках проц</w:t>
      </w:r>
      <w:r>
        <w:t>е</w:t>
      </w:r>
      <w:r>
        <w:t>дуры квотирования УВКБ, должны содержать сведения о всех членах семьи, а не только о так называемом основном заявителе. Важно иметь сведения о всех членах семьи в целях обеспечения как единства семьи, так и учета предста</w:t>
      </w:r>
      <w:r>
        <w:t>в</w:t>
      </w:r>
      <w:r>
        <w:t xml:space="preserve">ленных женщинами оснований для преследования.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За отчетный период в Финляндии было подано несколько ходатайств о предоставлении убежища с просьбой о предоставлении международной защ</w:t>
      </w:r>
      <w:r>
        <w:t>и</w:t>
      </w:r>
      <w:r>
        <w:t>ты в связи с преследованиями по признаку пола, например в связи с насилием в семье или сексуальным насилием. По состоянию на данный момент не было ни одного случая предоставления убежища в связи с преследованием по признаку пола. На рассмотрении апелляционных судов находятся дела, юридическая с</w:t>
      </w:r>
      <w:r>
        <w:t>о</w:t>
      </w:r>
      <w:r>
        <w:t xml:space="preserve">ставляющая которых связана с преследованием по признаку пола. Однако до сих пор не принято ни одного решения.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2003 году в парламент был направлен подготовленный правительством проект нового закона об иностранцах (НЕ 28/2003). Он также предусматривает возможность отдельно учитывать случаи преследования женщин по признаку пола. Законопроект гласит следующее: "В некоторых случаях женщина может также подвергаться преследованию по причине, которую нельзя рассматривать как связанную с расовой, религиозной или национальной принадлежностью либо с политическими взглядами. В этом случае в качестве основания для пр</w:t>
      </w:r>
      <w:r>
        <w:t>е</w:t>
      </w:r>
      <w:r>
        <w:t>следования может рассматриваться принадлежность к определенной социал</w:t>
      </w:r>
      <w:r>
        <w:t>ь</w:t>
      </w:r>
      <w:r>
        <w:t>ной группе".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соответствии с ежегодной квотой Финляндия принимает в качестве б</w:t>
      </w:r>
      <w:r>
        <w:t>е</w:t>
      </w:r>
      <w:r>
        <w:t xml:space="preserve">женцев так называемых </w:t>
      </w:r>
      <w:r>
        <w:rPr>
          <w:i/>
        </w:rPr>
        <w:t>женщин, подвергающихся риску</w:t>
      </w:r>
      <w:r>
        <w:t>, т.е. женщин, подве</w:t>
      </w:r>
      <w:r>
        <w:t>р</w:t>
      </w:r>
      <w:r>
        <w:t>гающихся насилию или пыткам или по другим причинам находящихся в уязв</w:t>
      </w:r>
      <w:r>
        <w:t>и</w:t>
      </w:r>
      <w:r>
        <w:t xml:space="preserve">мом положении в связи со своей гендерной принадлежностью. В Финляндии не существует особой квоты для специальных групп; лица, принадлежащие к этим группам, допускаются в Финляндию в рамках обычной квоты. За последние несколько лет наибольшее количество </w:t>
      </w:r>
      <w:r>
        <w:rPr>
          <w:i/>
        </w:rPr>
        <w:t>женщин, подвергающихся риску</w:t>
      </w:r>
      <w:r>
        <w:t>, кот</w:t>
      </w:r>
      <w:r>
        <w:t>о</w:t>
      </w:r>
      <w:r>
        <w:t xml:space="preserve">рые были допущены в Финляндию, составили афганские женщины. Зачастую если речь идет о </w:t>
      </w:r>
      <w:r>
        <w:rPr>
          <w:i/>
        </w:rPr>
        <w:t>женщинах, подвергающихся риску</w:t>
      </w:r>
      <w:r>
        <w:t>, то имеется в виду ситу</w:t>
      </w:r>
      <w:r>
        <w:t>а</w:t>
      </w:r>
      <w:r>
        <w:t>ция, когда они не располагают необходимой сетью поддержки или сталкиваю</w:t>
      </w:r>
      <w:r>
        <w:t>т</w:t>
      </w:r>
      <w:r>
        <w:t>ся с угрозой со стороны членов собственной семьи или когда социальная си</w:t>
      </w:r>
      <w:r>
        <w:t>с</w:t>
      </w:r>
      <w:r>
        <w:t>тема не может обеспечить их надлежащую защиту. Для таких женщин муниц</w:t>
      </w:r>
      <w:r>
        <w:t>и</w:t>
      </w:r>
      <w:r>
        <w:t>палитеты осуществляют проекты реабилитации и специальной поддер</w:t>
      </w:r>
      <w:r>
        <w:t>ж</w:t>
      </w:r>
      <w:r>
        <w:t xml:space="preserve">ки.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1"/>
        <w:tabs>
          <w:tab w:val="right" w:pos="1021"/>
          <w:tab w:val="left" w:pos="1264"/>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exact"/>
        <w:ind w:left="1800" w:right="1260" w:hanging="540"/>
        <w:rPr>
          <w:i/>
          <w:sz w:val="10"/>
        </w:rPr>
      </w:pPr>
      <w:r>
        <w:tab/>
      </w:r>
      <w:r>
        <w:rPr>
          <w:i/>
        </w:rPr>
        <w:t>2.4.</w:t>
      </w:r>
      <w:r>
        <w:rPr>
          <w:i/>
        </w:rPr>
        <w:tab/>
        <w:t>Саамские женщины</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Народ саамов является единственным коренным народом в Финляндии. Будучи коренным народом, саамы имеют право на собственный язык и культ</w:t>
      </w:r>
      <w:r>
        <w:t>у</w:t>
      </w:r>
      <w:r>
        <w:t>ру в соответствии с разделом 17 конституции и на культурную автономию на родине саамов в соответствии с разделом 121(4). В конституции культура са</w:t>
      </w:r>
      <w:r>
        <w:t>а</w:t>
      </w:r>
      <w:r>
        <w:t xml:space="preserve">мов определяется как форма культуры, отличающейся своими традиционными источниками средств к существованию, такими, как оленеводство, рыболовство и охота. Численность саамов постоянно сокращается на их родине, поскольку они выезжают на жительство за пределы этой территории.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У саамов женщины занимают традиционно прочные позиции. Однако в современном обществе саамская женщина сталкивается с новыми видами в</w:t>
      </w:r>
      <w:r>
        <w:t>ы</w:t>
      </w:r>
      <w:r>
        <w:t xml:space="preserve">зовов, например при выполнении функций избранного представителя. Наличие дискриминации в отношении саамских женщин связано с экономическим, культурным и языковым статусом семей и уровнем социального обеспечения и услуг в области здравоохранения на родине саамов. Это в свою очередь влияет на возможности женщин с точки зрения их участия в процессе образования, трудовой деятельности и принятия решений по социальным вопросам.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некоторых отношениях положение саамских женщин может отличаться от положения большинства населения, например в плане доступа к медици</w:t>
      </w:r>
      <w:r>
        <w:t>н</w:t>
      </w:r>
      <w:r>
        <w:t>скому обслуживанию матери и ребенка, поскольку это обслуживание не всегда осуществляется на саамском языке или поскольку культурная самобытность саамов не учитывается должным образом при организации такого обслужив</w:t>
      </w:r>
      <w:r>
        <w:t>а</w:t>
      </w:r>
      <w:r>
        <w:t>ния. На его доступности негативно сказываются также большие расстояния. Например, расстояние от родины саамов до родильного дома может составлять 300</w:t>
      </w:r>
      <w:r>
        <w:noBreakHyphen/>
        <w:t xml:space="preserve">500 километров.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Роль саамской матери заключается, в частности, в передаче своему ребе</w:t>
      </w:r>
      <w:r>
        <w:t>н</w:t>
      </w:r>
      <w:r>
        <w:t>ку самобытности саамов и саамского языка и культуры и их укреплении. Это ограничивает возможности женщин в плане их участия в трудовой деятельн</w:t>
      </w:r>
      <w:r>
        <w:t>о</w:t>
      </w:r>
      <w:r>
        <w:t>сти. Проблемой в этом отношении может быть также доступность учреждений по уходу за детьми в дневное время, работающих с использованием саамского языка. По данным Саамского парламента, в случае отсутствия доступа к сист</w:t>
      </w:r>
      <w:r>
        <w:t>е</w:t>
      </w:r>
      <w:r>
        <w:t>ме ухода за детьми в дневное время с использованием саамского языка саа</w:t>
      </w:r>
      <w:r>
        <w:t>м</w:t>
      </w:r>
      <w:r>
        <w:t>ская женщина может оказаться перед выбором между экономическими факт</w:t>
      </w:r>
      <w:r>
        <w:t>о</w:t>
      </w:r>
      <w:r>
        <w:t>рами и саамской самобытностью. В силу причин финансового характера саа</w:t>
      </w:r>
      <w:r>
        <w:t>м</w:t>
      </w:r>
      <w:r>
        <w:t xml:space="preserve">ская женщина не всегда имеет реальный выбор, поскольку уровень заработка саамских оленеводов весьма низок и поэтому работать по найму вынуждены оба супруга.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Саамский парламент выражает недовольство также тем, что муниципал</w:t>
      </w:r>
      <w:r>
        <w:t>и</w:t>
      </w:r>
      <w:r>
        <w:t>теты родины саамов не обеспечивают надлежащего обслуживания детей и м</w:t>
      </w:r>
      <w:r>
        <w:t>о</w:t>
      </w:r>
      <w:r>
        <w:t>лодежи на саамском языке. Это означает, что укрепление самобытности саамов все в большей степени становится сферой ответственности только родителей. За пределами родины саамов для их семей эта проблема может стоять еще б</w:t>
      </w:r>
      <w:r>
        <w:t>о</w:t>
      </w:r>
      <w:r>
        <w:t xml:space="preserve">лее остро.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По сравнению с большей частью населения у саамских женщин меньше возможностей для получения образования на своем родном языке. Это небл</w:t>
      </w:r>
      <w:r>
        <w:t>а</w:t>
      </w:r>
      <w:r>
        <w:t>гоприятно сказывается на их возможностях дальнейшей профессиональной подготовки и трудоустройства. Кроме того, центры дальнейшей професси</w:t>
      </w:r>
      <w:r>
        <w:t>о</w:t>
      </w:r>
      <w:r>
        <w:t>нальной подготовки находятся далеко от родины саамов и, следовательно, для получения образования необходимо хотя бы временно выехать с этой террит</w:t>
      </w:r>
      <w:r>
        <w:t>о</w:t>
      </w:r>
      <w:r>
        <w:t xml:space="preserve">рии.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Задача заключается в том, чтобы заменить нынешний закон об использ</w:t>
      </w:r>
      <w:r>
        <w:t>о</w:t>
      </w:r>
      <w:r>
        <w:t>вании саамского языка в официальных учреждениях (516/1991) новым законом о саамском языке, который вступит в силу 1 января 2004 года. Цель этого нов</w:t>
      </w:r>
      <w:r>
        <w:t>о</w:t>
      </w:r>
      <w:r>
        <w:t>го закона заключается в устранении недостатков, выявленных в процессе ос</w:t>
      </w:r>
      <w:r>
        <w:t>у</w:t>
      </w:r>
      <w:r>
        <w:t>ществления ныне действующего закона. Разработанный правительством проект закона по этому вопросу (НЕ 46/2003) был направлен в парламент в сентябре 2003 года. В соответствии с требованиями конституции и положениями межд</w:t>
      </w:r>
      <w:r>
        <w:t>у</w:t>
      </w:r>
      <w:r>
        <w:t>народных договоров, являющихся обязательными для Финляндии, новый закон будет гарантировать право народа саамов на сохранение и развитие своего яз</w:t>
      </w:r>
      <w:r>
        <w:t>ы</w:t>
      </w:r>
      <w:r>
        <w:t>ка и культуры и использование различных диалектов саамского языка, на кот</w:t>
      </w:r>
      <w:r>
        <w:t>о</w:t>
      </w:r>
      <w:r>
        <w:t>рых говорят саамы Инари, скольтские саамы и северные саамы в судах и др</w:t>
      </w:r>
      <w:r>
        <w:t>у</w:t>
      </w:r>
      <w:r>
        <w:t xml:space="preserve">гих официальных учреждениях.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Закон будет обязательным не только для государственных и муниципал</w:t>
      </w:r>
      <w:r>
        <w:t>ь</w:t>
      </w:r>
      <w:r>
        <w:t>ных органов власти на родине саамов, но и для некоторых органов власти, ва</w:t>
      </w:r>
      <w:r>
        <w:t>ж</w:t>
      </w:r>
      <w:r>
        <w:t>ных с точки зрения обеспечения правовой безопасности граждан за пределами этой территории. Сфера действия закона будет охватывать также Ассамблею скольтских деревень, Омбудсмена по делам меньшинств и Ассоциацию олен</w:t>
      </w:r>
      <w:r>
        <w:t>е</w:t>
      </w:r>
      <w:r>
        <w:t>водов. Закон будет также обязательным для государственных коммерческих предприятий и, при определенных условиях, для других структур, помимо о</w:t>
      </w:r>
      <w:r>
        <w:t>р</w:t>
      </w:r>
      <w:r>
        <w:t>ганов власти, которые по поручению того или иного органа власти обеспеч</w:t>
      </w:r>
      <w:r>
        <w:t>и</w:t>
      </w:r>
      <w:r>
        <w:t xml:space="preserve">вают предоставление услуг на родине саамов. Согласно этому закону органы власти должны будут по собственной инициативе обеспечивать сохранение языковых прав.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При общении с представителями государственных или муниципальных органов власти, расположенных на родине саамов, любой представитель са</w:t>
      </w:r>
      <w:r>
        <w:t>а</w:t>
      </w:r>
      <w:r>
        <w:t>мов будет иметь право по своему выбору использовать либо финский, либо с</w:t>
      </w:r>
      <w:r>
        <w:t>а</w:t>
      </w:r>
      <w:r>
        <w:t>амский язык. Эти органы власти будут обязаны содействовать расширению и</w:t>
      </w:r>
      <w:r>
        <w:t>с</w:t>
      </w:r>
      <w:r>
        <w:t>пользования саамского языка в своей деятельности. Они также должны будут использовать саамский язык в случае направления письменных сообщений той или иной стороне или лицу, которое в соответствии с законом должно быть уведомлено о деле, находящемся на рассмотрении или ожидающем своего ра</w:t>
      </w:r>
      <w:r>
        <w:t>с</w:t>
      </w:r>
      <w:r>
        <w:t>смотрения. При наборе кадров государственные и муниципальные органы вл</w:t>
      </w:r>
      <w:r>
        <w:t>а</w:t>
      </w:r>
      <w:r>
        <w:t>сти, действующие на родине саамов, должны будут обеспечить возможность обслуживания посетителей в каждом учреждении, расположенном на этой те</w:t>
      </w:r>
      <w:r>
        <w:t>р</w:t>
      </w:r>
      <w:r>
        <w:t>ритории, и на саамском языке. Саамский парламент должен будет контролир</w:t>
      </w:r>
      <w:r>
        <w:t>о</w:t>
      </w:r>
      <w:r>
        <w:t xml:space="preserve">вать применение этого закона и, в случае необходимости, давать рекомендации и выдвигать инициативы.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1"/>
        <w:tabs>
          <w:tab w:val="right" w:pos="1021"/>
          <w:tab w:val="left" w:pos="1264"/>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exact"/>
        <w:ind w:left="1800" w:right="1260" w:hanging="540"/>
        <w:rPr>
          <w:i/>
          <w:sz w:val="10"/>
        </w:rPr>
      </w:pPr>
      <w:r>
        <w:tab/>
      </w:r>
      <w:r>
        <w:rPr>
          <w:i/>
        </w:rPr>
        <w:t>2.5.</w:t>
      </w:r>
      <w:r>
        <w:rPr>
          <w:i/>
        </w:rPr>
        <w:tab/>
        <w:t>Женщины-рома</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Раздел 17(3) новой конституции, вступившей в силу в 2000 году, пред</w:t>
      </w:r>
      <w:r>
        <w:t>у</w:t>
      </w:r>
      <w:r>
        <w:t>сматривает право народа рома на сохранение и развитие своего языка и культ</w:t>
      </w:r>
      <w:r>
        <w:t>у</w:t>
      </w:r>
      <w:r>
        <w:t>ры. Это право включено также в специальное законодательство, касающееся социальной сферы, сектора здравоохранения, образования и тюремной админ</w:t>
      </w:r>
      <w:r>
        <w:t>и</w:t>
      </w:r>
      <w:r>
        <w:t>страции. Содержащееся в разделе 6 конституции положение о равноправии также закрепило правовой статус народа рома. Право меньшинств также закр</w:t>
      </w:r>
      <w:r>
        <w:t>е</w:t>
      </w:r>
      <w:r>
        <w:t>плено в рамках Европейского союза статьей 13 Амстердамского договора и так называемой Директивой Европейского сообщества о борьбе с запрещении ди</w:t>
      </w:r>
      <w:r>
        <w:t>с</w:t>
      </w:r>
      <w:r>
        <w:t>криминации (Директива Совета 2000/43/ЕС о соблюдении принципа равного обращения с лицами, независимо от их расового или этнического происхожд</w:t>
      </w:r>
      <w:r>
        <w:t>е</w:t>
      </w:r>
      <w:r>
        <w:t xml:space="preserve">ния).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Проблемы дискриминации, с которыми сталкиваются женщины-рома, ч</w:t>
      </w:r>
      <w:r>
        <w:t>а</w:t>
      </w:r>
      <w:r>
        <w:t>ще всего связаны с дискриминацией на рынке труда и с точки зрения доступа к услугам частного сектора. Фактором, могущим вызывать дискриминацию, я</w:t>
      </w:r>
      <w:r>
        <w:t>в</w:t>
      </w:r>
      <w:r>
        <w:t>ляется, в частности, национальная одежда женщин-рома. С другой стороны, с</w:t>
      </w:r>
      <w:r>
        <w:t>е</w:t>
      </w:r>
      <w:r>
        <w:t>годня женщины-рома в большей степени, чем ранее, осведомлены о своих пр</w:t>
      </w:r>
      <w:r>
        <w:t>а</w:t>
      </w:r>
      <w:r>
        <w:t>вах и чаще возбуждают иски в связи с дискриминацией. Ежегодно суды первой инстанции рассматривают около 20 дел, связанных с дискриминацией в отн</w:t>
      </w:r>
      <w:r>
        <w:t>о</w:t>
      </w:r>
      <w:r>
        <w:t>шении народа рома. С точки зрения трудоустройства главными проблемами я</w:t>
      </w:r>
      <w:r>
        <w:t>в</w:t>
      </w:r>
      <w:r>
        <w:t>ляются дискриминация и предрассудки, а также низкий уровень образования нар</w:t>
      </w:r>
      <w:r>
        <w:t>о</w:t>
      </w:r>
      <w:r>
        <w:t xml:space="preserve">да рома.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2000</w:t>
      </w:r>
      <w:r>
        <w:noBreakHyphen/>
        <w:t>2002 годах в рамках финансируемого Европейским социальным фондом проекта "Финитико ромако" была оказана помощь в трудоустройстве и профессиональной подготовке представителей народа рома путем предоста</w:t>
      </w:r>
      <w:r>
        <w:t>в</w:t>
      </w:r>
      <w:r>
        <w:t>ления возможности индивидуальной подготовки в рамках общеобразовател</w:t>
      </w:r>
      <w:r>
        <w:t>ь</w:t>
      </w:r>
      <w:r>
        <w:t>ной системы и путем содействия их трудоустройству. Кроме того, для предст</w:t>
      </w:r>
      <w:r>
        <w:t>а</w:t>
      </w:r>
      <w:r>
        <w:t>вителей народа рома были организованы специальные курсы ориентации и обучения в целях их трудоустройства. Одна из задач проекта заключалась в п</w:t>
      </w:r>
      <w:r>
        <w:t>о</w:t>
      </w:r>
      <w:r>
        <w:t>вышении их образовательного уровня и устранении предрассудков в отношен</w:t>
      </w:r>
      <w:r>
        <w:t>и</w:t>
      </w:r>
      <w:r>
        <w:t>ях между народом рома и большинством населения. На индивидуальном уро</w:t>
      </w:r>
      <w:r>
        <w:t>в</w:t>
      </w:r>
      <w:r>
        <w:t>не задача заключалась в укреплении возможностей рома определять свою со</w:t>
      </w:r>
      <w:r>
        <w:t>б</w:t>
      </w:r>
      <w:r>
        <w:t>ственную жизнь и усилении их мотивации и способности существовать в о</w:t>
      </w:r>
      <w:r>
        <w:t>б</w:t>
      </w:r>
      <w:r>
        <w:t>ществе наравне с другими. Благодаря этому проекту десятки представителей рома получили работу и/или возможность участвовать в программе образов</w:t>
      </w:r>
      <w:r>
        <w:t>а</w:t>
      </w:r>
      <w:r>
        <w:t xml:space="preserve">ния взрослых. Проект осуществлялся в учреждениях по образованию взрослых и в региональных центрах занятости и экономического развития, с тем чтобы те, кто отвечает за трудоустройство и образование взрослых из числа рома, в процессе трудоустройства могли использовать опыт и навыки, накопленные ими в процессе осуществления проекта.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По инициативе Омбудсмена по делам меньшинств министерство труда приступило к проведению исследования по вопросу создания служб занятости для народа рома в сфере управления трудовыми отношениями. Оценка необх</w:t>
      </w:r>
      <w:r>
        <w:t>о</w:t>
      </w:r>
      <w:r>
        <w:t>димости проведения такого исследования и планы осуществления его первых этапов также были направлены для замечаний Консультативному совету по д</w:t>
      </w:r>
      <w:r>
        <w:t>е</w:t>
      </w:r>
      <w:r>
        <w:t xml:space="preserve">лам рома - органу, занимающемуся вопросами сотрудничества между народом рома и органами власти. Совместно с другими органами власти продолжается работа по планированию.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По данным Консультативного совета по делам рома, для предупреждения дискриминации женщин-рома требуется больший объем информации о запр</w:t>
      </w:r>
      <w:r>
        <w:t>е</w:t>
      </w:r>
      <w:r>
        <w:t>щении дискриминации со стороны как сотрудников государственных органов управления, так и поставщиков услуг в частном секторе. Одной из важнейших задач в деле искоренения дискриминации является борьба с предрассудками в отношении рома. Консультативный совет предлагает также установить более суровые меры наказания осужденных за дискриминацию лиц с целью обесп</w:t>
      </w:r>
      <w:r>
        <w:t>е</w:t>
      </w:r>
      <w:r>
        <w:t xml:space="preserve">чения применения такого рода санкций.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Безработица среди рома выше по сравнению с большинством населения. По мнению Консультативного совета по делам рома, такая ситуация объясняе</w:t>
      </w:r>
      <w:r>
        <w:t>т</w:t>
      </w:r>
      <w:r>
        <w:t>ся скорее взглядами и, как правило, низким образовательным уровнем рома, чем общим экономическим положением и положением в области занятости. Однако на протяжении последних нескольких лет в положении с занятостью женщин-рома наблюдаются позитивные тенденции, особенно в свете более а</w:t>
      </w:r>
      <w:r>
        <w:t>к</w:t>
      </w:r>
      <w:r>
        <w:t>тивного участия молодых женщин и девушек в системе дальнейшего образов</w:t>
      </w:r>
      <w:r>
        <w:t>а</w:t>
      </w:r>
      <w:r>
        <w:t>ния и образования взрослых. Особый интерес женщины-рома проявляют к с</w:t>
      </w:r>
      <w:r>
        <w:t>о</w:t>
      </w:r>
      <w:r>
        <w:t xml:space="preserve">циальной сфере.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Однако взрослым учащимся трудно обеспечить уход за детьми и их с</w:t>
      </w:r>
      <w:r>
        <w:t>о</w:t>
      </w:r>
      <w:r>
        <w:t>держание во время учебы, особенно если в семье уже есть несколько детей. Что касается работающих лиц, то для них обеспечение ухода за детьми также явл</w:t>
      </w:r>
      <w:r>
        <w:t>я</w:t>
      </w:r>
      <w:r>
        <w:t>ется существенной проблемой. Консультативный совет предпринимает усилия по информированию женщин-рома о существующих альтернативных возмо</w:t>
      </w:r>
      <w:r>
        <w:t>ж</w:t>
      </w:r>
      <w:r>
        <w:t>ностях обеспечения ухода за детьми в дневное время и предусмотренном зак</w:t>
      </w:r>
      <w:r>
        <w:t>о</w:t>
      </w:r>
      <w:r>
        <w:t>ном праве шестилетних детей посещать дошкольные учреждения. По данным проекта базового образования, реализованного Национальным советом образ</w:t>
      </w:r>
      <w:r>
        <w:t>о</w:t>
      </w:r>
      <w:r>
        <w:t>вания в 2002 году, дошкольные учреждения посещают лишь около 2 процентов детей рома. Консультативный совет также предпринимает усилия по повыш</w:t>
      </w:r>
      <w:r>
        <w:t>е</w:t>
      </w:r>
      <w:r>
        <w:t>нию уровня информированности о детях рома и культуре рома лиц, ответс</w:t>
      </w:r>
      <w:r>
        <w:t>т</w:t>
      </w:r>
      <w:r>
        <w:t>венных за обеспечение ухода за детьми в дневное время. Такая работа пров</w:t>
      </w:r>
      <w:r>
        <w:t>о</w:t>
      </w:r>
      <w:r>
        <w:t>дится на практике, о чем свидетельствует, в частности, тот факт, что Консул</w:t>
      </w:r>
      <w:r>
        <w:t>ь</w:t>
      </w:r>
      <w:r>
        <w:t>тативный совет по делам рома принял участие в так называемой программе ВАСУ, разработанной министерством социальных дел и здравоохранения и Н</w:t>
      </w:r>
      <w:r>
        <w:t>а</w:t>
      </w:r>
      <w:r>
        <w:t>циональным центром научных исследований и разработок в области социал</w:t>
      </w:r>
      <w:r>
        <w:t>ь</w:t>
      </w:r>
      <w:r>
        <w:t>ного обеспечения и здравоохранения, цель которой, согласно постановлению правительства, заключается в разработке общенациональных рекомендаций для муниципалитетов в области воспитания детей раннего возраста. В этих рек</w:t>
      </w:r>
      <w:r>
        <w:t>о</w:t>
      </w:r>
      <w:r>
        <w:t>мендациях, которые будут опубликованы в 2003</w:t>
      </w:r>
      <w:r>
        <w:noBreakHyphen/>
        <w:t xml:space="preserve">2004 годах, отдельная глава будет посвящена детям рома и их потребностям.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exact"/>
        <w:ind w:left="1741" w:right="1260" w:hanging="720"/>
      </w:pPr>
      <w:r>
        <w:tab/>
        <w:t>3.</w:t>
      </w:r>
      <w:r>
        <w:tab/>
        <w:t xml:space="preserve">Женщины-инвалиды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Согласно оценкам, около 10 процентов населения имеют травму или н</w:t>
      </w:r>
      <w:r>
        <w:t>а</w:t>
      </w:r>
      <w:r>
        <w:t>рушение функций, причиняющие существенный ущерб. Среди них около 60 процентов приходится на долю женщин. Для женщин-инвалидов существует опасность дискриминации по многим направлениям, а пожилые женщ</w:t>
      </w:r>
      <w:r>
        <w:t>и</w:t>
      </w:r>
      <w:r>
        <w:t>ны-инвалиды составляют особую группу риска. Практически отсутствуют к</w:t>
      </w:r>
      <w:r>
        <w:t>а</w:t>
      </w:r>
      <w:r>
        <w:t>кие</w:t>
      </w:r>
      <w:r>
        <w:noBreakHyphen/>
        <w:t>либо данные результатов исследований или статистические данные, к</w:t>
      </w:r>
      <w:r>
        <w:t>а</w:t>
      </w:r>
      <w:r>
        <w:t>сающиеся дискриминации, которой подвергаются же</w:t>
      </w:r>
      <w:r>
        <w:t>н</w:t>
      </w:r>
      <w:r>
        <w:t xml:space="preserve">щины-инвалиды.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Задача политики Финляндии в отношении инвалидов заключается в с</w:t>
      </w:r>
      <w:r>
        <w:t>о</w:t>
      </w:r>
      <w:r>
        <w:t>действии обеспечению самостоятельной жизни инвалидов, равных возможн</w:t>
      </w:r>
      <w:r>
        <w:t>о</w:t>
      </w:r>
      <w:r>
        <w:t>стей для них и их участия в жизни общества. Для достижения этих целей о</w:t>
      </w:r>
      <w:r>
        <w:t>б</w:t>
      </w:r>
      <w:r>
        <w:t>щество стремится укреплять самостоятельную деятельность и возможности инвалидов в области принятия решений и устранять материальные препятствия и препятствия, связанные с взглядами, на пути их участия, а также препятс</w:t>
      </w:r>
      <w:r>
        <w:t>т</w:t>
      </w:r>
      <w:r>
        <w:t xml:space="preserve">вия, связанные с общением и доступностью услуг.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Закон о статусе и правах пользователей системы социального обеспеч</w:t>
      </w:r>
      <w:r>
        <w:t>е</w:t>
      </w:r>
      <w:r>
        <w:t>ния, принятый в 2000 году (812/2000), также закрепляет права инвалидов как пользователей служб социального обеспечения. В частности, создавая семью, женщины-инвалиды нуждаются в существенной поддержке для организации своей повседневной деятельности. В этом отношении важно, например, иметь доступ к системе ухода на дому. Для инвалидов важное значение имеют также меры по усилению их поддержки в период беременности, родов и послерод</w:t>
      </w:r>
      <w:r>
        <w:t>о</w:t>
      </w:r>
      <w:r>
        <w:t>вой период. Пожилые инвалиды также нуждаются в многочисленных услугах си</w:t>
      </w:r>
      <w:r>
        <w:t>с</w:t>
      </w:r>
      <w:r>
        <w:t xml:space="preserve">темы социального обеспечения.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2001 году был опубликован доклад под названием "Женщины-инвалиды и насилие". Идею подготовки такого доклада выдвинула Финская ассоциация лиц с нарушением двигательных функций, а осуществила кафедра психологии Або Академи (Шведский университет Финляндии). В нем исследовались част</w:t>
      </w:r>
      <w:r>
        <w:t>о</w:t>
      </w:r>
      <w:r>
        <w:t>та случаев насилия в отношении женщин-инвалидов, его формы, лица, сове</w:t>
      </w:r>
      <w:r>
        <w:t>р</w:t>
      </w:r>
      <w:r>
        <w:t>шающие акты насилия, и его причины, а также средства, которыми располаг</w:t>
      </w:r>
      <w:r>
        <w:t>а</w:t>
      </w:r>
      <w:r>
        <w:t>ют жертвы в плане получения помощи и преодоления этой ситуации. Насилие, которому подвергаются женщины-инвалиды, представляет собой явление, тр</w:t>
      </w:r>
      <w:r>
        <w:t>е</w:t>
      </w:r>
      <w:r>
        <w:t>бующее серьезного внимания, но, к сожалению, в докладе не говорится о ма</w:t>
      </w:r>
      <w:r>
        <w:t>с</w:t>
      </w:r>
      <w:r>
        <w:t>штабах его распространения. Однако очевидно, что женщины-инвалиды ос</w:t>
      </w:r>
      <w:r>
        <w:t>о</w:t>
      </w:r>
      <w:r>
        <w:t>бенно подвержены насилию. Физические недостатки делают трудным обесп</w:t>
      </w:r>
      <w:r>
        <w:t>е</w:t>
      </w:r>
      <w:r>
        <w:t>чение ими своей защиты. В свою очередь психические отклонения могут огр</w:t>
      </w:r>
      <w:r>
        <w:t>а</w:t>
      </w:r>
      <w:r>
        <w:t>ничивать их возможность предотвращать насилие или защищаться от насильс</w:t>
      </w:r>
      <w:r>
        <w:t>т</w:t>
      </w:r>
      <w:r>
        <w:t>венных действий. Кроме того, та или иная форма нарушений может сделать ч</w:t>
      </w:r>
      <w:r>
        <w:t>е</w:t>
      </w:r>
      <w:r>
        <w:t>ловека объектом угроз и грубого обращения. Потребность женщины-инвалида в помощи может сделать ее зависимой от лица, которое совершает насилие в отношении ее. В таких ситуациях женщины-инвалиды в первую очередь дол</w:t>
      </w:r>
      <w:r>
        <w:t>ж</w:t>
      </w:r>
      <w:r>
        <w:t>ны иметь доступ к помощи. Важно было бы также организовать систему по</w:t>
      </w:r>
      <w:r>
        <w:t>д</w:t>
      </w:r>
      <w:r>
        <w:t>держки со стороны других женщин-инвалидов, ставших жертвами преступл</w:t>
      </w:r>
      <w:r>
        <w:t>е</w:t>
      </w:r>
      <w:r>
        <w:t xml:space="preserve">ния.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Финляндия предпринимает усилия по расширению возможностей в обла</w:t>
      </w:r>
      <w:r>
        <w:t>с</w:t>
      </w:r>
      <w:r>
        <w:t>ти трудоустройства для недееспособных лиц и лиц с физическими или умс</w:t>
      </w:r>
      <w:r>
        <w:t>т</w:t>
      </w:r>
      <w:r>
        <w:t>венными недостатками, с тем чтобы приблизить уровень их участия в трудовой деятельности к уровню участия остальной части населения. В 2002 году была проведена соответствующая реформа (правительственный законопр</w:t>
      </w:r>
      <w:r>
        <w:t>о</w:t>
      </w:r>
      <w:r>
        <w:t>ект НЕ 169/2001) путем внесения изменений в Закон о социальном обеспеч</w:t>
      </w:r>
      <w:r>
        <w:t>е</w:t>
      </w:r>
      <w:r>
        <w:t>нии, законодательство о социальном страховании и Закон о трудовых догов</w:t>
      </w:r>
      <w:r>
        <w:t>о</w:t>
      </w:r>
      <w:r>
        <w:t>рах. Кроме того, в сентябре 2003 года был принят правительственный закон</w:t>
      </w:r>
      <w:r>
        <w:t>о</w:t>
      </w:r>
      <w:r>
        <w:t>проект о социальных обязательствах (НЕ 132/2003). Подобного рода усилия могли бы стать одним из средств содействия обеспечению занятости недеесп</w:t>
      </w:r>
      <w:r>
        <w:t>о</w:t>
      </w:r>
      <w:r>
        <w:t xml:space="preserve">собных лиц и лиц с физическими или умственными недостатками.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Европейский союз провозгласил 2003 год Европейским годом инвалидов. Его задача заключается в содействии осуществлению прав инвалидов на по</w:t>
      </w:r>
      <w:r>
        <w:t>л</w:t>
      </w:r>
      <w:r>
        <w:t>ное и равное участие в жизни общества. В Финляндии темами Года инвалидов определены участие и недискриминация, при этом особое внимание уделяется проблемам, связанным с дискриминацией инвалидов, а также различным фо</w:t>
      </w:r>
      <w:r>
        <w:t>р</w:t>
      </w:r>
      <w:r>
        <w:t>мам инвалидности. Разумеется, в течение этого года будут обсуждаться также вопросы, касающиеся трудовой деятельности и профессиональной подготовки инвалидов. На европейском уровне за проведение мероприятий в рамках Года инвалидов будут нести ответственность Европейская комиссия совместно с Е</w:t>
      </w:r>
      <w:r>
        <w:t>в</w:t>
      </w:r>
      <w:r>
        <w:t>ропейским форумом по проблемам инвалидов (ЕФИ). В Финляндии меропри</w:t>
      </w:r>
      <w:r>
        <w:t>я</w:t>
      </w:r>
      <w:r>
        <w:t>тия Года координирует Финский национальный совет по проблемам инвали</w:t>
      </w:r>
      <w:r>
        <w:t>д</w:t>
      </w:r>
      <w:r>
        <w:t>ности, действующий совместно с министерством социальных дел и здрав</w:t>
      </w:r>
      <w:r>
        <w:t>о</w:t>
      </w:r>
      <w:r>
        <w:t>охранения в качестве органа сотрудничества между органами власти, инвал</w:t>
      </w:r>
      <w:r>
        <w:t>и</w:t>
      </w:r>
      <w:r>
        <w:t>дами, членами их семей и их ассоциаци</w:t>
      </w:r>
      <w:r>
        <w:t>я</w:t>
      </w:r>
      <w:r>
        <w:t xml:space="preserve">ми.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рамках Года инвалидов в 2003 году было опубликовано исследование по вопросам прав человека инвалидов</w:t>
      </w:r>
      <w:r>
        <w:rPr>
          <w:rStyle w:val="FootnoteReference"/>
        </w:rPr>
        <w:footnoteReference w:id="9"/>
      </w:r>
      <w:r>
        <w:t>. Кроме того, Финский национальный совет по проблемам инвалидности опубликовал руководство по правам человека и</w:t>
      </w:r>
      <w:r>
        <w:t>н</w:t>
      </w:r>
      <w:r>
        <w:t>валидов, посвященное вопросам дискриминации инвалидов и ее предупрежд</w:t>
      </w:r>
      <w:r>
        <w:t>е</w:t>
      </w:r>
      <w:r>
        <w:t>ния. В октябре 2003 года был организован семинар для женщин-инвалидов. Его основная цель заключалась в повышении уровня информированности дире</w:t>
      </w:r>
      <w:r>
        <w:t>к</w:t>
      </w:r>
      <w:r>
        <w:t>тивных органов и женщин-инвалидов о равноправии, поощрении дискуссий и обмене опытом и укреплении сотрудничества между ассоциациями защиты и</w:t>
      </w:r>
      <w:r>
        <w:t>н</w:t>
      </w:r>
      <w:r>
        <w:t>валидов и женщин. В ходе этого семинара была также организована художес</w:t>
      </w:r>
      <w:r>
        <w:t>т</w:t>
      </w:r>
      <w:r>
        <w:t xml:space="preserve">венная выставка произведений женщин-инвалидов.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На муниципальном уровне был осуществлен проект "Услуги, предоста</w:t>
      </w:r>
      <w:r>
        <w:t>в</w:t>
      </w:r>
      <w:r>
        <w:t>ляемые инвалидам муниципалитетами". Его задача заключалась в получении общего представления о том, как на практике действует Закон о предоставл</w:t>
      </w:r>
      <w:r>
        <w:t>е</w:t>
      </w:r>
      <w:r>
        <w:t>нии услуг и осуществлении мер поддержки с учетом вида недееспособности (380/1987). В рамках этого проекта, в частности, изучались вопросы распред</w:t>
      </w:r>
      <w:r>
        <w:t>е</w:t>
      </w:r>
      <w:r>
        <w:t>ления услуг, предоставляемых инвалидам, по регионам и возрастным группам, альтернативных услуг, разрабатываемых муниципалитетами, и конкретный опыт муниципалитетов по осуществлению Закона об обслуживании инвалидов. Итоги проекта обобщены в докладе под названием "Обслуживание инвалидов на муниципальном уровне - пользователи услуг и их стоимость, а также меры финансовой поддержки в соответствии с Законом об обслуживании инвалидов за 2001 год"</w:t>
      </w:r>
      <w:r>
        <w:rPr>
          <w:rStyle w:val="FootnoteReference"/>
        </w:rPr>
        <w:footnoteReference w:id="10"/>
      </w:r>
      <w:r>
        <w:t>. Доклад представляет собой один из элементов утвержденного правительством целевого плана действий в области социального обеспечения и здравоохранения в 2000</w:t>
      </w:r>
      <w:r>
        <w:noBreakHyphen/>
        <w:t>2003 годах. За отчетный период были разработаны также рекомендации по обслуживанию на дому и обеспечению вспомогател</w:t>
      </w:r>
      <w:r>
        <w:t>ь</w:t>
      </w:r>
      <w:r>
        <w:t xml:space="preserve">ными средствами.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Кроме того, в 2002</w:t>
      </w:r>
      <w:r>
        <w:noBreakHyphen/>
        <w:t>2004 годах будет осуществлен проект "Лукибусси". Он предусматривает организацию информационной кампании по повышению уровня осведомленности о проблемах усвоения знаний учителей, медицинских и социальных работников, работников органов трудоустройства, а также род</w:t>
      </w:r>
      <w:r>
        <w:t>и</w:t>
      </w:r>
      <w:r>
        <w:t>телей и лиц, испытывающих трудности с усвоением учебного материала. Зад</w:t>
      </w:r>
      <w:r>
        <w:t>а</w:t>
      </w:r>
      <w:r>
        <w:t>ча проекта заключается в создании национальной сети поддержки, консульт</w:t>
      </w:r>
      <w:r>
        <w:t>и</w:t>
      </w:r>
      <w:r>
        <w:t>рования и обслуживания лиц различных категорий, занимающихся обучением, а также в определении различных организационных моделей и возможностей их внедрения в целях выявления и учета различий в процессе обучения. Проект "Лукибусси" будет охват</w:t>
      </w:r>
      <w:r>
        <w:t>ы</w:t>
      </w:r>
      <w:r>
        <w:t xml:space="preserve">вать практически все муниципалитеты Финляндии.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exact"/>
        <w:ind w:left="1741" w:right="1260" w:hanging="720"/>
      </w:pPr>
      <w:r>
        <w:tab/>
        <w:t>4.</w:t>
      </w:r>
      <w:r>
        <w:tab/>
        <w:t xml:space="preserve">Пропаганда равенства в средствах массовой информации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1997 году Финская вещательная компания, лтд. (</w:t>
      </w:r>
      <w:r>
        <w:rPr>
          <w:lang w:val="en-US"/>
        </w:rPr>
        <w:t>Oy Yleisradio Ab</w:t>
      </w:r>
      <w:r>
        <w:t>), и пять других вещательных европейских компаний приступили к осуществлению трехлетнего проекта под названием "Выявление гендерных проблем" в целях разработки просветительской программы для телевидения. В ходе осуществл</w:t>
      </w:r>
      <w:r>
        <w:t>е</w:t>
      </w:r>
      <w:r>
        <w:t>ния этого проекта различные вещательные компании проанализировали свои программы и аудиторию. Они отметили, что чаще всего женщины появляются на экране в программах, посвященных традиционным "женским" вопросам, т</w:t>
      </w:r>
      <w:r>
        <w:t>а</w:t>
      </w:r>
      <w:r>
        <w:t>ким, как отношения между людьми, вопросы семьи, социального обеспечения и здоровья. Реже всего женщины присутствуют в программах, посвященных проблемам преступности, науки и техники, а также спорта. В целом наимен</w:t>
      </w:r>
      <w:r>
        <w:t>ь</w:t>
      </w:r>
      <w:r>
        <w:t>ший коэффициент участия женщин (9 процентов) отмечался в спортивных пр</w:t>
      </w:r>
      <w:r>
        <w:t>о</w:t>
      </w:r>
      <w:r>
        <w:t>граммах, а наиболее сбалансированной была доля участия женщин в програ</w:t>
      </w:r>
      <w:r>
        <w:t>м</w:t>
      </w:r>
      <w:r>
        <w:t>мах, посвященных детям и молодежи, (44 процента). Важным является также возрастной фактор: у более молодых женщин больше вероятности появления на экране. Незначительное большинство участников телепередач (51 процент) составляют женщины от 19 лет и младше, однако по мере увеличения возраста эта цифра резко идет вниз: на долю женщин в возрасте 20</w:t>
      </w:r>
      <w:r>
        <w:noBreakHyphen/>
        <w:t>34 лет приходится 43 процента, в возрасте 35</w:t>
      </w:r>
      <w:r>
        <w:noBreakHyphen/>
        <w:t xml:space="preserve">49 лет - 32 процента, а в возрасте старше 50 лет женщины составляют всего 20 процентов.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Вещательные компании совместно подготовители просветительский пакет "Освещение гендерной проблематики", который популяризирует рациональные виды практики в области представления женщин и мужчин на телевидении. Этот просветительский пакет является серьезной попыткой использования пр</w:t>
      </w:r>
      <w:r>
        <w:t>о</w:t>
      </w:r>
      <w:r>
        <w:t>грамм, посвященных проблемам гендерного равенства, а также средств комм</w:t>
      </w:r>
      <w:r>
        <w:t>у</w:t>
      </w:r>
      <w:r>
        <w:t>никации и гендерных теорий в интересах как аудитории, так и журналистов. Его задача заключается в установлении взаимосвязи между процессом измен</w:t>
      </w:r>
      <w:r>
        <w:t>е</w:t>
      </w:r>
      <w:r>
        <w:t>ния европейских рынков средств коммуникации, национальными и междун</w:t>
      </w:r>
      <w:r>
        <w:t>а</w:t>
      </w:r>
      <w:r>
        <w:t>родными программами обеспечения равенства и нынешней концепцией разр</w:t>
      </w:r>
      <w:r>
        <w:t>а</w:t>
      </w:r>
      <w:r>
        <w:t>ботки телевизионных программ с точки зрения пола или гендерного фактора. Финская вещательная компания подготовила версию этого просветительского пакета на финском языке, доступную для всех лиц, заинтересованных в сове</w:t>
      </w:r>
      <w:r>
        <w:t>р</w:t>
      </w:r>
      <w:r>
        <w:t xml:space="preserve">шенствовании работы финских журналистов. Кроме того, была подготовлена группа журналистов, которые готовы представить соответствующий материал и организовать обучение редакторов и других сотрудников в вопросах освещения гендерной проблематики.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2003 году Финская вещательная компания провела реформу одного из радиоканалов в целях определения ориентации и сферы охвата различных р</w:t>
      </w:r>
      <w:r>
        <w:t>а</w:t>
      </w:r>
      <w:r>
        <w:t>диоканалов. В соответствии с планом обеспечения равенства, утвержденным в 1998 году, к 2004 году доля представителей обоих полов должна составить не менее 40 процентов. Однако по крайней мере на начальном этапе реформы р</w:t>
      </w:r>
      <w:r>
        <w:t>а</w:t>
      </w:r>
      <w:r>
        <w:t>диоканала доля женщин оставалась на уровне 22 процентов, т.е. ниже поста</w:t>
      </w:r>
      <w:r>
        <w:t>в</w:t>
      </w:r>
      <w:r>
        <w:t>ленной цели, что вызвало критику со стороны женских организаций. Они та</w:t>
      </w:r>
      <w:r>
        <w:t>к</w:t>
      </w:r>
      <w:r>
        <w:t>же выразили недовольство тем, что в связи с этой реформой перестала вых</w:t>
      </w:r>
      <w:r>
        <w:t>о</w:t>
      </w:r>
      <w:r>
        <w:t>дить специальная, предназначенная для женщин радиопрограмма под назван</w:t>
      </w:r>
      <w:r>
        <w:t>и</w:t>
      </w:r>
      <w:r>
        <w:t>ем "Женский час", и какой</w:t>
      </w:r>
      <w:r>
        <w:noBreakHyphen/>
        <w:t xml:space="preserve">либо специальной программы для женщин взамен этой предложено не было.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Канал МТВ</w:t>
      </w:r>
      <w:r>
        <w:noBreakHyphen/>
        <w:t>3 давно занимается вопросами равенства. У компании имее</w:t>
      </w:r>
      <w:r>
        <w:t>т</w:t>
      </w:r>
      <w:r>
        <w:t>ся собственная группа по вопросам равенства и план обеспечения равенства при осуществлении кадровой политики и политики в области разработки пр</w:t>
      </w:r>
      <w:r>
        <w:t>о</w:t>
      </w:r>
      <w:r>
        <w:t>грамм. О работе канала МТВ</w:t>
      </w:r>
      <w:r>
        <w:noBreakHyphen/>
        <w:t xml:space="preserve">3 в области обеспечения равенства уже шла речь в предыдущих периодических докладах Финляндии.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Союз журналистов Финляндии в своей работе по формированию кадров и реальной журналистской работе стремится учитывать аспекты, касающиеся р</w:t>
      </w:r>
      <w:r>
        <w:t>а</w:t>
      </w:r>
      <w:r>
        <w:t>венства. Союз, в частности, призывает журналистов к активному отказу от тр</w:t>
      </w:r>
      <w:r>
        <w:t>а</w:t>
      </w:r>
      <w:r>
        <w:t>диционных моделей ролей. Группа по вопросам равенства Союза ежегодно с</w:t>
      </w:r>
      <w:r>
        <w:t>о</w:t>
      </w:r>
      <w:r>
        <w:t>ставляет доклад по проблемам обеспечения равенства, в частности, предста</w:t>
      </w:r>
      <w:r>
        <w:t>в</w:t>
      </w:r>
      <w:r>
        <w:t xml:space="preserve">ляя данные о его членском составе в разбивке по полу. Доля женщин среди членов Союза из года в год растет, и в настоящее время на долю женщин уже приходится более половины членов.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exact"/>
        <w:ind w:left="1741" w:right="1260" w:hanging="720"/>
      </w:pPr>
      <w:r>
        <w:tab/>
        <w:t>5.</w:t>
      </w:r>
      <w:r>
        <w:tab/>
        <w:t xml:space="preserve">Дискриминация в сфере рекламы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мае 2001 года приступил к работе Совет Финляндии по этике в области рекламы. Он пришел на смену бывшему Совету по вопросам равенства в о</w:t>
      </w:r>
      <w:r>
        <w:t>б</w:t>
      </w:r>
      <w:r>
        <w:t>ласти рекламы, который функционировал в течение 12 лет. Если Совет по в</w:t>
      </w:r>
      <w:r>
        <w:t>о</w:t>
      </w:r>
      <w:r>
        <w:t>просам равенства в области рекламы сосредоточивал свои усилия прежде всего на обеспечении равенства в области рекламы, то задача Совета Финляндии по этике в области рекламы заключается скорее в осуществлении надзора за с</w:t>
      </w:r>
      <w:r>
        <w:t>о</w:t>
      </w:r>
      <w:r>
        <w:t>блюдением надлежащих принятых норм в сфере рекламы. Кроме того, этот с</w:t>
      </w:r>
      <w:r>
        <w:t>о</w:t>
      </w:r>
      <w:r>
        <w:t>вет разрабатывает этические принципы рекламной деятельности. Он составл</w:t>
      </w:r>
      <w:r>
        <w:t>я</w:t>
      </w:r>
      <w:r>
        <w:t>ет заключения о приемлемости рекламы с этической точки зрения, но не зан</w:t>
      </w:r>
      <w:r>
        <w:t>и</w:t>
      </w:r>
      <w:r>
        <w:t>мается вопросами, касающимися соблюдения законности в области рекламы. Совет концентрирует свою деятельность главным образом на рассмотрении з</w:t>
      </w:r>
      <w:r>
        <w:t>а</w:t>
      </w:r>
      <w:r>
        <w:t>просов, поступающих от потребителей и могущих иметь отношение к любой рекламе, а также вопросов, которые расцениваются как представляющие вс</w:t>
      </w:r>
      <w:r>
        <w:t>е</w:t>
      </w:r>
      <w:r>
        <w:t>общую знач</w:t>
      </w:r>
      <w:r>
        <w:t>и</w:t>
      </w:r>
      <w:r>
        <w:t xml:space="preserve">мость.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Согласно принципам равенства, принятым Советом по этике в области рекламы, реклама не должна содержать материалов, одобряющих дискримин</w:t>
      </w:r>
      <w:r>
        <w:t>а</w:t>
      </w:r>
      <w:r>
        <w:t>цию по признаку пола либо могущих унизить, выразить пренебрежительное отношение или опорочить человека по признаку пола. Кроме того, ни мужч</w:t>
      </w:r>
      <w:r>
        <w:t>и</w:t>
      </w:r>
      <w:r>
        <w:t>ны, ни женщины не должны изображаться как сексуальный объект, а генде</w:t>
      </w:r>
      <w:r>
        <w:t>р</w:t>
      </w:r>
      <w:r>
        <w:t>ный фактор не должен использоваться в рекламе каким</w:t>
      </w:r>
      <w:r>
        <w:noBreakHyphen/>
        <w:t>либо иным, унижа</w:t>
      </w:r>
      <w:r>
        <w:t>ю</w:t>
      </w:r>
      <w:r>
        <w:t>щим достоинство, пренебрежительным или клеветническим образом. Запрещ</w:t>
      </w:r>
      <w:r>
        <w:t>е</w:t>
      </w:r>
      <w:r>
        <w:t>но также распространение рекламных материалов, если они утверждают или внушают идею о том, что в социальном, экономическом или культурном отн</w:t>
      </w:r>
      <w:r>
        <w:t>о</w:t>
      </w:r>
      <w:r>
        <w:t>шении роль одного пола менее значима, чем роль другого, или если в них дае</w:t>
      </w:r>
      <w:r>
        <w:t>т</w:t>
      </w:r>
      <w:r>
        <w:t xml:space="preserve">ся стереотипное изображение ролей.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Кроме Совета по вопросам этики в области рекламы, случаями нарушения равенства в этой области может заниматься также омбудсмен по защите потр</w:t>
      </w:r>
      <w:r>
        <w:t>е</w:t>
      </w:r>
      <w:r>
        <w:t>бителей. Омбудсмен по защите потребителей может, в частности, рассматр</w:t>
      </w:r>
      <w:r>
        <w:t>и</w:t>
      </w:r>
      <w:r>
        <w:t>вать жалобы в связи с дискриминацией в области маркетинга и запрещать ди</w:t>
      </w:r>
      <w:r>
        <w:t>с</w:t>
      </w:r>
      <w:r>
        <w:t>кр</w:t>
      </w:r>
      <w:r>
        <w:t>и</w:t>
      </w:r>
      <w:r>
        <w:t xml:space="preserve">минационные меры в области маркетинга.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На протяжении последних нескольких лет ряд НПО выражает беспоко</w:t>
      </w:r>
      <w:r>
        <w:t>й</w:t>
      </w:r>
      <w:r>
        <w:t>ство по поводу расширяющегося распространения в средствах массовой и</w:t>
      </w:r>
      <w:r>
        <w:t>н</w:t>
      </w:r>
      <w:r>
        <w:t>формации и рекламе порнографических материалов более откровенного хара</w:t>
      </w:r>
      <w:r>
        <w:t>к</w:t>
      </w:r>
      <w:r>
        <w:t>тера, что может повлиять на общее восприятие женщин и мужчин и сформир</w:t>
      </w:r>
      <w:r>
        <w:t>о</w:t>
      </w:r>
      <w:r>
        <w:t xml:space="preserve">вать у мальчиков и особенно у молодых девушек искаженное представление о роли полов. Они выражают надежду, что органы власти усилят контроль и для лиц, работающих в сфере рекламы, будет организована подготовка по вопросам равенства.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exact"/>
        <w:ind w:left="1741" w:right="1260" w:hanging="720"/>
      </w:pPr>
      <w:r>
        <w:tab/>
        <w:t>6.</w:t>
      </w:r>
      <w:r>
        <w:tab/>
        <w:t xml:space="preserve">Совместные семейные обязанности мужчин и женщин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1"/>
        <w:tabs>
          <w:tab w:val="right" w:pos="1021"/>
          <w:tab w:val="left" w:pos="1264"/>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exact"/>
        <w:ind w:left="1800" w:right="1260" w:hanging="540"/>
        <w:rPr>
          <w:i/>
          <w:sz w:val="10"/>
        </w:rPr>
      </w:pPr>
      <w:r>
        <w:tab/>
      </w:r>
      <w:r>
        <w:rPr>
          <w:i/>
        </w:rPr>
        <w:t>6.1.</w:t>
      </w:r>
      <w:r>
        <w:rPr>
          <w:i/>
        </w:rPr>
        <w:tab/>
        <w:t xml:space="preserve">Совмещение трудовой деятельности и семейной жизни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своих рекомендациях по предыдущему докладу Комитет по ликвидации дискриминации в отношении женщин настоятельно призвал финское прав</w:t>
      </w:r>
      <w:r>
        <w:t>и</w:t>
      </w:r>
      <w:r>
        <w:t>тельство повысить стимулы для использования мужчинами своего права на р</w:t>
      </w:r>
      <w:r>
        <w:t>о</w:t>
      </w:r>
      <w:r>
        <w:t xml:space="preserve">дительский отпуск.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Финляндии отпуском по семейным обстоятельствам пользуются в о</w:t>
      </w:r>
      <w:r>
        <w:t>с</w:t>
      </w:r>
      <w:r>
        <w:t>новном женщины. Они используют 98 процентов родительского отпуска, кот</w:t>
      </w:r>
      <w:r>
        <w:t>о</w:t>
      </w:r>
      <w:r>
        <w:t>рый, согласно законодательству, могут использовать отец или мать ребенка. Женщины практически всегда имеют четырехмесячный отпуск по беременн</w:t>
      </w:r>
      <w:r>
        <w:t>о</w:t>
      </w:r>
      <w:r>
        <w:t>сти и родам и нередко могут использовать также весь родительский отпуск продолжительностью около шести месяцев. Это означает, что всего около 2 процентов отцов используют родительский отпуск, но почти две трети их х</w:t>
      </w:r>
      <w:r>
        <w:t>о</w:t>
      </w:r>
      <w:r>
        <w:t>тя бы частично используют трехнедельный отцовский отпуск. В то же время около половины отцов, использующих отцовский отпуск, берут его в полном объеме. В последние годы практика использования отцовского отпуска н</w:t>
      </w:r>
      <w:r>
        <w:t>е</w:t>
      </w:r>
      <w:r>
        <w:t>сколько расширилась. Количество отцов, использующих такой отпуск, увел</w:t>
      </w:r>
      <w:r>
        <w:t>и</w:t>
      </w:r>
      <w:r>
        <w:t>чилось, хотя средняя продолжительность его практически не изменилась. Фи</w:t>
      </w:r>
      <w:r>
        <w:t>н</w:t>
      </w:r>
      <w:r>
        <w:t xml:space="preserve">ская система отпусков по семейным обстоятельствам гарантирует постоянно работающим лицам возвращение после отпуска на свою прежнюю работу.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Вышеприведенная информация взята из меморандума за 2001 год Рабочей группы по вопросам совмещения трудовой деятельности и семейной жизни (ПЕВА </w:t>
      </w:r>
      <w:r>
        <w:rPr>
          <w:lang w:val="en-US"/>
        </w:rPr>
        <w:t>II</w:t>
      </w:r>
      <w:r>
        <w:t>), созданной министерством социальных дел и здравоохранения. М</w:t>
      </w:r>
      <w:r>
        <w:t>и</w:t>
      </w:r>
      <w:r>
        <w:t>нистерство учредило широкую трехстороннюю рабочую группу в составе представителей различных видов трудовой деятельности для обсуждения в</w:t>
      </w:r>
      <w:r>
        <w:t>о</w:t>
      </w:r>
      <w:r>
        <w:t>просов совмещения трудовой деятельности и семейной жизни. Рабочая группа рекомендовала внести в предусмотренные законами положения об отпуске по семейным обстоятельствам ряд усовершенствований и рассмотрела возможн</w:t>
      </w:r>
      <w:r>
        <w:t>о</w:t>
      </w:r>
      <w:r>
        <w:t xml:space="preserve">сти придания большей гибкости альтернативам, которыми располагают семьи в области выбора.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1 января 2003 года вступил в силу так называемый пакет законов об о</w:t>
      </w:r>
      <w:r>
        <w:t>т</w:t>
      </w:r>
      <w:r>
        <w:t>пуске по семейным обстоятельствам (НЕ 147/2002), в связи с чем были внес</w:t>
      </w:r>
      <w:r>
        <w:t>е</w:t>
      </w:r>
      <w:r>
        <w:t>ны поправки в Закон о страховании по болезни, Закон о трудовых договорах, Закон об уходе за детьми в дневное время, Закон об обеспечении ухода за дет</w:t>
      </w:r>
      <w:r>
        <w:t>ь</w:t>
      </w:r>
      <w:r>
        <w:t>ми на дому и Закон о компенсации расходов на ежегодный отпуск, подлежащих оплате в период выплаты родительских пособий. Главная задача этих поправок заключалась в повышении гибкости и расширении возможностей обеспечения совмещения трудовой деятельности и семейной жизни в соответствии с п</w:t>
      </w:r>
      <w:r>
        <w:t>о</w:t>
      </w:r>
      <w:r>
        <w:t xml:space="preserve">требностями семьи, а также в укреплении равенства женщин и мужчин в сфере труда и в семейной жизни.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Пакет законов об отпуске по семейным обстоятельствам предусматривает новую форму отпуска по семейным обстоятельствам, т.е. частичный родител</w:t>
      </w:r>
      <w:r>
        <w:t>ь</w:t>
      </w:r>
      <w:r>
        <w:t>ский отпуск. В основу этого нового отпуска положен принцип совместного в</w:t>
      </w:r>
      <w:r>
        <w:t>ы</w:t>
      </w:r>
      <w:r>
        <w:t>полнения родителями обязанностей по уходу за детьми. Это означает, что оба родителя заключают со своими работодателями соглашения о работе неполный рабочий день в течение м</w:t>
      </w:r>
      <w:r>
        <w:t>и</w:t>
      </w:r>
      <w:r>
        <w:t xml:space="preserve">нимум двух месяцев.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Эта реформа призвана, в частности, расширить участие отцов в деятел</w:t>
      </w:r>
      <w:r>
        <w:t>ь</w:t>
      </w:r>
      <w:r>
        <w:t>ности по уходу за малолетними детьми путем расширения их возможностей выбора. В рамках этой реформы родительский отпуск, на который имеет право как биологический, так и приемный отец, был расширен, с тем чтобы отец имел возможность взять на работе непрерывный отпуск продолжительностью один месяц, объединяя свой родительский и отцовский отпуска. Кроме того, поправки в законодательство сделали более гибкой систему выплаты родител</w:t>
      </w:r>
      <w:r>
        <w:t>ь</w:t>
      </w:r>
      <w:r>
        <w:t>ских пособий, с тем чтобы родители малолетних детей могли также брать ча</w:t>
      </w:r>
      <w:r>
        <w:t>с</w:t>
      </w:r>
      <w:r>
        <w:t>тичный родительский отпуск, хотя родители несут совместную ответстве</w:t>
      </w:r>
      <w:r>
        <w:t>н</w:t>
      </w:r>
      <w:r>
        <w:t xml:space="preserve">ность за уход за ребенком, одновременно находясь в частичном родительском отпуске и работая неполный рабочий день.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Надзор за использованием нового периода получения родительских пос</w:t>
      </w:r>
      <w:r>
        <w:t>о</w:t>
      </w:r>
      <w:r>
        <w:t>бий и использованием частичного родительского отпуска осуществляет Инст</w:t>
      </w:r>
      <w:r>
        <w:t>и</w:t>
      </w:r>
      <w:r>
        <w:t>тут социального страхования в рамках специального научно-исследовательского проекта. Надзор за использованием выплат осуществляется с помощью специального реестра, и наряду с этим родителям направляются вопросники с целью выяснения их отношения к реформам и оценки родител</w:t>
      </w:r>
      <w:r>
        <w:t>я</w:t>
      </w:r>
      <w:r>
        <w:t>ми их воздействия на решение проблем, касающихся совмещения трудовой деятельности и семейной жизни и участия отцов в уходе за малолетними дет</w:t>
      </w:r>
      <w:r>
        <w:t>ь</w:t>
      </w:r>
      <w:r>
        <w:t>ми. Результаты исследований используются для отслеживания влияния реформ на использование родительского отпуска и обеспечение равенства, и, в случае необходимости, будут приниматься меры для дальнейшей разработки полож</w:t>
      </w:r>
      <w:r>
        <w:t>е</w:t>
      </w:r>
      <w:r>
        <w:t xml:space="preserve">ний, касающихся отпуска по семейным обстоятельствам.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Кроме того, в 2002</w:t>
      </w:r>
      <w:r>
        <w:noBreakHyphen/>
        <w:t>2003 годах министерство социальных дел и здрав</w:t>
      </w:r>
      <w:r>
        <w:t>о</w:t>
      </w:r>
      <w:r>
        <w:t>охранения провело кампанию поощрения использования родительского отпуска под названием "Пользуйтесь своим родительским отпуском", в рамках которой, например, родильные дома занимались распространением среди родителей брошюры с информацией о родительском отпуске при посещении ими этого учреждения. Цель распространения информации об отпусках по семейным о</w:t>
      </w:r>
      <w:r>
        <w:t>б</w:t>
      </w:r>
      <w:r>
        <w:t>стоятельствам заключалась в поощрении отцов к осуществлению своих прав и использованию возможностей ухода за своими детьми и в повышении уровня их ответственности в вопросах ухода за детьми и их воспитания. Основными целевыми группами этой кампании были, наряду с родителями малолетних д</w:t>
      </w:r>
      <w:r>
        <w:t>е</w:t>
      </w:r>
      <w:r>
        <w:t>тей и особенно отцами, также представители сферы труда и лица, ответстве</w:t>
      </w:r>
      <w:r>
        <w:t>н</w:t>
      </w:r>
      <w:r>
        <w:t>ные за принятие решений. Мероприятия кампании, посвященной различным видам отпуска по семейным обстоятельствам, стали, например, темами газе</w:t>
      </w:r>
      <w:r>
        <w:t>т</w:t>
      </w:r>
      <w:r>
        <w:t xml:space="preserve">ных рекламных материалов, комиксов и плакатов.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Ведущие организации, занимающиеся вопросами труда, в своей деятел</w:t>
      </w:r>
      <w:r>
        <w:t>ь</w:t>
      </w:r>
      <w:r>
        <w:t>ности также предпринимали усилия по пропаганде более сбалансированного использования мужчинами и женщинами отпуска по семейным обстоятельс</w:t>
      </w:r>
      <w:r>
        <w:t>т</w:t>
      </w:r>
      <w:r>
        <w:t>вам. Весной 2002 года они провели ряд региональных мероприятий в рамках проекта "Тайм</w:t>
      </w:r>
      <w:r>
        <w:noBreakHyphen/>
        <w:t>аут для семьи". Кампания проводилась на основе Соглашения о политике в области доходов на 2001</w:t>
      </w:r>
      <w:r>
        <w:noBreakHyphen/>
        <w:t>2002 годы. Соглашение о политике в о</w:t>
      </w:r>
      <w:r>
        <w:t>б</w:t>
      </w:r>
      <w:r>
        <w:t>ласти доходов на 2003</w:t>
      </w:r>
      <w:r>
        <w:noBreakHyphen/>
        <w:t>2004 годы предусматривает информирование работн</w:t>
      </w:r>
      <w:r>
        <w:t>и</w:t>
      </w:r>
      <w:r>
        <w:t>ков и работодателей о положениях по содействию совмещению трудовой де</w:t>
      </w:r>
      <w:r>
        <w:t>я</w:t>
      </w:r>
      <w:r>
        <w:t>тельности и семейной жизни. В ноябре 2002 года стороны Комплексного с</w:t>
      </w:r>
      <w:r>
        <w:t>о</w:t>
      </w:r>
      <w:r>
        <w:t>глашения о политике в области доходов договорились создать рабочую группу для разработки предложения о внесении изменений в Закон о трудовых догов</w:t>
      </w:r>
      <w:r>
        <w:t>о</w:t>
      </w:r>
      <w:r>
        <w:t>рах в отношении частичного родительского отпуска. Соответствующие попра</w:t>
      </w:r>
      <w:r>
        <w:t>в</w:t>
      </w:r>
      <w:r>
        <w:t>ки разрабатыв</w:t>
      </w:r>
      <w:r>
        <w:t>а</w:t>
      </w:r>
      <w:r>
        <w:t xml:space="preserve">ются для государственных коллективных договоров.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Однако и после проведения реформ при осуществлении права на испол</w:t>
      </w:r>
      <w:r>
        <w:t>ь</w:t>
      </w:r>
      <w:r>
        <w:t>зование родительского отпуска возникают определенные трудности, которым, в частности, уделяют внимание НПО. Право на родительский отпуск имеют только родители, живущие в том же домашнем хозяйстве, что и ребенок. Если родители ребенка живут раздельно, то ребенок, как правило, живет с матерью. В этом случае отец не может использовать родительский отпуск или отпуск по семейным обстоятельствам либо воспользоваться гарантированной возможн</w:t>
      </w:r>
      <w:r>
        <w:t>о</w:t>
      </w:r>
      <w:r>
        <w:t>стью на временный отпуск по уходу за ребенком и остаться дома, чтобы ух</w:t>
      </w:r>
      <w:r>
        <w:t>а</w:t>
      </w:r>
      <w:r>
        <w:t>живать за больным ребенком. Женщинам этой категории трудно совмещать трудовую деятельность и семейную жизнь также потому, что расходы работ</w:t>
      </w:r>
      <w:r>
        <w:t>о</w:t>
      </w:r>
      <w:r>
        <w:t>дателей, связанные с появлением ребенка, несут главным образом работодатели женщин. Поэтому те, кто не доволен такой практикой, требуют разработать систему более сбалансированного разделения расходов на детей между работ</w:t>
      </w:r>
      <w:r>
        <w:t>о</w:t>
      </w:r>
      <w:r>
        <w:t>дателями обоих родителей. Следует упростить процедуру подачи ходатайств о выплате компенсации, которая должна также учитывать косвенные расходы, возлагаемые на работодателя в связи с беременностью и родами своей рабо</w:t>
      </w:r>
      <w:r>
        <w:t>т</w:t>
      </w:r>
      <w:r>
        <w:t xml:space="preserve">ницы.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Со времени представления предыдущего доклада виды семей, признава</w:t>
      </w:r>
      <w:r>
        <w:t>е</w:t>
      </w:r>
      <w:r>
        <w:t xml:space="preserve">мые финским законодательством, стали более разнообразными после того, как начиная с 1 марта 2002 года появилась возможность регистрации отношений партнерства между лицами одного пола. К концу 2002 года, по данным Центра регистрации населения, было зарегистрировано 433 таких партнерства: 202 - между женщинами и 231 - между мужчинами.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1"/>
        <w:tabs>
          <w:tab w:val="right" w:pos="1021"/>
          <w:tab w:val="left" w:pos="1264"/>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exact"/>
        <w:ind w:left="1800" w:right="1260" w:hanging="540"/>
        <w:rPr>
          <w:i/>
          <w:sz w:val="10"/>
        </w:rPr>
      </w:pPr>
      <w:r>
        <w:tab/>
      </w:r>
      <w:r>
        <w:rPr>
          <w:i/>
        </w:rPr>
        <w:t>6.2.</w:t>
      </w:r>
      <w:r>
        <w:rPr>
          <w:i/>
        </w:rPr>
        <w:tab/>
        <w:t xml:space="preserve">Неоплачиваемая домашняя работа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По данным исследования о формах использования времени, проведенного в 1987</w:t>
      </w:r>
      <w:r>
        <w:noBreakHyphen/>
        <w:t>1988 и 1999</w:t>
      </w:r>
      <w:r>
        <w:noBreakHyphen/>
        <w:t>2000 годах, в Финляндии идет процесс выравнивания тр</w:t>
      </w:r>
      <w:r>
        <w:t>у</w:t>
      </w:r>
      <w:r>
        <w:t>довой нагрузки в рамках семьи. Мужчины, разумеется, тратят больше времени на оплачиваемую работу, чем женщины. Разница в объеме домашней работы, осуществляемой представителями обоих полов, уменьшилась в 90</w:t>
      </w:r>
      <w:r>
        <w:noBreakHyphen/>
        <w:t>е годы, к</w:t>
      </w:r>
      <w:r>
        <w:t>о</w:t>
      </w:r>
      <w:r>
        <w:t xml:space="preserve">гда мужчины начали более активно участвовать в домашней работе. Общий объем трудового участия, складывающийся из периодов оплачиваемой работы и домашней работы, сократился примерно на три часа в неделю. Это связано с сокращением объема оплачиваемой работы в равной степени применительно к мужчинам и женщинам.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Осуществление домашней работы связано в основном с определенным этапом жизни того или иного человека. Создание семьи и рождение детей влияют на объем домашней работы. Наибольший объем домашней работы ос</w:t>
      </w:r>
      <w:r>
        <w:t>у</w:t>
      </w:r>
      <w:r>
        <w:t>ществляют матери детей дошкольного возраста. Женщины осуществляют более 60 процентов домашней работы. В качестве фактора выравнивания разделения труда в семье рассматривается сокращение объема домашней работы, осущес</w:t>
      </w:r>
      <w:r>
        <w:t>т</w:t>
      </w:r>
      <w:r>
        <w:t>вляемой женщинами на всех этапах их жизни, особенно в семьях, имеющих д</w:t>
      </w:r>
      <w:r>
        <w:t>е</w:t>
      </w:r>
      <w:r>
        <w:t>тей школьного возраста, и в семьях людей более старшего возраста, не име</w:t>
      </w:r>
      <w:r>
        <w:t>ю</w:t>
      </w:r>
      <w:r>
        <w:t>щих детей до 18 лет. В наибольшей степени объем домашней работы сократи</w:t>
      </w:r>
      <w:r>
        <w:t>л</w:t>
      </w:r>
      <w:r>
        <w:t>ся у женщин-предпринимателей, участие которых в оплачиваемой работе в 90</w:t>
      </w:r>
      <w:r>
        <w:noBreakHyphen/>
        <w:t>е годы возросло. Участие мужчин в домашней работе в 90</w:t>
      </w:r>
      <w:r>
        <w:noBreakHyphen/>
        <w:t>е годы возросло, за исключением лиц моложе 45 лет, не имеющих дома детей до 18 лет. Особе</w:t>
      </w:r>
      <w:r>
        <w:t>н</w:t>
      </w:r>
      <w:r>
        <w:t>но возросла доля участия в домашней работе пожилых мужчин </w:t>
      </w:r>
      <w:r>
        <w:noBreakHyphen/>
        <w:t xml:space="preserve"> как безрабо</w:t>
      </w:r>
      <w:r>
        <w:t>т</w:t>
      </w:r>
      <w:r>
        <w:t xml:space="preserve">ных, так и работающих.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Утратило былую четкость деление домашней работы на "женскую" и "мужскую", поскольку мужчины все активнее занимаются приготовлением п</w:t>
      </w:r>
      <w:r>
        <w:t>и</w:t>
      </w:r>
      <w:r>
        <w:t>щи и уборкой, а женщины в свою очередь чаще, чем прежде, занимаются ух</w:t>
      </w:r>
      <w:r>
        <w:t>о</w:t>
      </w:r>
      <w:r>
        <w:t xml:space="preserve">дом за домом.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процессе обсуждения в Финляндии вопросов равенства рассматривется также вклад женщин в неоплачиваемую работу по уходу. Например, среди тех, кто ухаживает за родственниками, большинство составляют женщины. С точки зрения равенства предоставляемые муниципалитетами услуги по уходу явл</w:t>
      </w:r>
      <w:r>
        <w:t>я</w:t>
      </w:r>
      <w:r>
        <w:t>ются в этом отношении важными факторами обеспечения этого равенства, так как в большинстве случаев они позволяют женщинам заниматься трудовой де</w:t>
      </w:r>
      <w:r>
        <w:t>я</w:t>
      </w:r>
      <w:r>
        <w:t>тельностью полный рабочий день и дают силы родственникам, обеспечива</w:t>
      </w:r>
      <w:r>
        <w:t>ю</w:t>
      </w:r>
      <w:r>
        <w:t xml:space="preserve">щим уход, дольше справляться со своими функциями.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Финляндии среди лиц старше 70 лет большинство составляют женщ</w:t>
      </w:r>
      <w:r>
        <w:t>и</w:t>
      </w:r>
      <w:r>
        <w:t>ны. В 2002 году Ассоциация финских местных и региональных муниципалит</w:t>
      </w:r>
      <w:r>
        <w:t>е</w:t>
      </w:r>
      <w:r>
        <w:t>тов приступила к осуществлению программы "Профилактические посещения домов престарелых", в рамках которой ведется разработка, опробование и оценка различных действующих моделей профилактических посещений домов престарелых в различных муниципалитетах. Целевые группы составляют ж</w:t>
      </w:r>
      <w:r>
        <w:t>и</w:t>
      </w:r>
      <w:r>
        <w:t>вущие в таких домах пожилые люди, которым предоставляется возможность принимать с профилактической целью социального или медицинского рабо</w:t>
      </w:r>
      <w:r>
        <w:t>т</w:t>
      </w:r>
      <w:r>
        <w:t>ника. Во время такого посещения проводится оценка функциональных возмо</w:t>
      </w:r>
      <w:r>
        <w:t>ж</w:t>
      </w:r>
      <w:r>
        <w:t>ностей пожилого человека, его жилищных условий и потребностей в обслуж</w:t>
      </w:r>
      <w:r>
        <w:t>и</w:t>
      </w:r>
      <w:r>
        <w:t>вании, а он имеет возможность, например, узнавать об услугах, а также о ра</w:t>
      </w:r>
      <w:r>
        <w:t>з</w:t>
      </w:r>
      <w:r>
        <w:t xml:space="preserve">влекательных мероприятиях и видах досуга.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Ch"/>
        <w:tabs>
          <w:tab w:val="left" w:pos="990"/>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53" w:hanging="1267"/>
        <w:rPr>
          <w:lang w:val="en-US"/>
        </w:rPr>
      </w:pPr>
      <w:r>
        <w:tab/>
        <w:t>Статья 6</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rPr>
          <w:i/>
        </w:rPr>
        <w:tab/>
        <w:t>Государства-участники принимают все соответствующие меры, вкл</w:t>
      </w:r>
      <w:r>
        <w:rPr>
          <w:i/>
        </w:rPr>
        <w:t>ю</w:t>
      </w:r>
      <w:r>
        <w:rPr>
          <w:i/>
        </w:rPr>
        <w:t>чая законодательные, для пресечения всех видов торговли женщинами и эк</w:t>
      </w:r>
      <w:r>
        <w:rPr>
          <w:i/>
        </w:rPr>
        <w:t>с</w:t>
      </w:r>
      <w:r>
        <w:rPr>
          <w:i/>
        </w:rPr>
        <w:t>плуат</w:t>
      </w:r>
      <w:r>
        <w:rPr>
          <w:i/>
        </w:rPr>
        <w:t>а</w:t>
      </w:r>
      <w:r>
        <w:rPr>
          <w:i/>
        </w:rPr>
        <w:t>ции проституции женщин.</w:t>
      </w:r>
      <w:r>
        <w:t xml:space="preserve">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exact"/>
        <w:ind w:left="1741" w:right="1260" w:hanging="720"/>
      </w:pPr>
      <w:r>
        <w:tab/>
        <w:t>1.</w:t>
      </w:r>
      <w:r>
        <w:tab/>
        <w:t xml:space="preserve">Недопущение коммерческой эксплуатации женщин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1"/>
        <w:tabs>
          <w:tab w:val="right" w:pos="1021"/>
          <w:tab w:val="left" w:pos="1264"/>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exact"/>
        <w:ind w:left="1800" w:right="1260" w:hanging="540"/>
        <w:rPr>
          <w:i/>
          <w:sz w:val="10"/>
        </w:rPr>
      </w:pPr>
      <w:r>
        <w:tab/>
      </w:r>
      <w:r>
        <w:rPr>
          <w:i/>
        </w:rPr>
        <w:t>1.1.</w:t>
      </w:r>
      <w:r>
        <w:rPr>
          <w:i/>
        </w:rPr>
        <w:tab/>
        <w:t xml:space="preserve">Развитие сотрудничества между органами власти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своем заявлении по предыдущему докладу Финляндии Комитет по ли</w:t>
      </w:r>
      <w:r>
        <w:t>к</w:t>
      </w:r>
      <w:r>
        <w:t>видации дискриминации в отношении женщин выразил озабоченность в связи с увеличением числа случаев торговли женщинами и эксплуатации простит</w:t>
      </w:r>
      <w:r>
        <w:t>у</w:t>
      </w:r>
      <w:r>
        <w:t>ции женщин. Он настоятельно призвал правительство Финляндии активизир</w:t>
      </w:r>
      <w:r>
        <w:t>о</w:t>
      </w:r>
      <w:r>
        <w:t>вать свои усилия по укреплению сотрудничества между национальными и м</w:t>
      </w:r>
      <w:r>
        <w:t>е</w:t>
      </w:r>
      <w:r>
        <w:t>ждународными органами и органами других стран (особенно Российской Ф</w:t>
      </w:r>
      <w:r>
        <w:t>е</w:t>
      </w:r>
      <w:r>
        <w:t>дерации и стран Балтии) в целях разработки совместных действий по пред</w:t>
      </w:r>
      <w:r>
        <w:t>у</w:t>
      </w:r>
      <w:r>
        <w:t xml:space="preserve">преждению торговли женщинами и борьбе с нею.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Что касается проституции, исходящей из стран Балтии и России, то Фи</w:t>
      </w:r>
      <w:r>
        <w:t>н</w:t>
      </w:r>
      <w:r>
        <w:t>ляндия является страной как назначения, так и транзита. По данным Централ</w:t>
      </w:r>
      <w:r>
        <w:t>ь</w:t>
      </w:r>
      <w:r>
        <w:t>ной уголовной полиции, ежегодно из этих стран в Финляндию прибывают п</w:t>
      </w:r>
      <w:r>
        <w:t>о</w:t>
      </w:r>
      <w:r>
        <w:t>рядка 10 000</w:t>
      </w:r>
      <w:r>
        <w:noBreakHyphen/>
        <w:t>15 000 проституток. Сексуальные услуги чаще всего предоста</w:t>
      </w:r>
      <w:r>
        <w:t>в</w:t>
      </w:r>
      <w:r>
        <w:t>ляют организованные структуры, занимающиеся сводничеством, главным обр</w:t>
      </w:r>
      <w:r>
        <w:t>а</w:t>
      </w:r>
      <w:r>
        <w:t>зом на частных квартирах, в ресторанах и в заведениях гостиничного типа. Уличная проституция в Финляндии не получила широкого распространения. Проституция связана главным образом с профессиональным сводничеством. По данным промежуточного доклада Рабочей группы министерства юстиции по реформе законодательства в области торговли людьми, прибытие простит</w:t>
      </w:r>
      <w:r>
        <w:t>у</w:t>
      </w:r>
      <w:r>
        <w:t>ток в Финляндию не связано с наиболее серьезными формами торговли люд</w:t>
      </w:r>
      <w:r>
        <w:t>ь</w:t>
      </w:r>
      <w:r>
        <w:t xml:space="preserve">ми; скорее оно связано с обманом и грубым обращением.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течение отчетного периода правительство предпринимало усилия по развитию и укреплению сотрудничества, особенно с властями России и стран Балтии. В 2001 году министерством юстиции была создана должность прок</w:t>
      </w:r>
      <w:r>
        <w:t>у</w:t>
      </w:r>
      <w:r>
        <w:t>рора в Таллине, Эстония, для поддержания контактов между правоохранител</w:t>
      </w:r>
      <w:r>
        <w:t>ь</w:t>
      </w:r>
      <w:r>
        <w:t>ными органами Финляндии и Эстонии и содействия и развития сотрудничества между этими органами. В сентябре 2003 года такая должность была создана в Санкт</w:t>
      </w:r>
      <w:r>
        <w:noBreakHyphen/>
        <w:t>Петербурге. Прокуроры, занимающиеся связями с представителями пр</w:t>
      </w:r>
      <w:r>
        <w:t>а</w:t>
      </w:r>
      <w:r>
        <w:t>воохранительных органов других стран, могут оказаться полезными также в расследовании преступлений, связанных с торговлей женщинами, и в выдв</w:t>
      </w:r>
      <w:r>
        <w:t>и</w:t>
      </w:r>
      <w:r>
        <w:t xml:space="preserve">жении обвинений.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2001 году в Вильнюсе, Литва, была организована конференция на тему "Современное рабство", на которой была достигнута договоренность провести в 2002 году совместную информационную кампанию против торговли женщ</w:t>
      </w:r>
      <w:r>
        <w:t>и</w:t>
      </w:r>
      <w:r>
        <w:t>нами. Кроме того, Финляндия участвовала в кампании против торговли же</w:t>
      </w:r>
      <w:r>
        <w:t>н</w:t>
      </w:r>
      <w:r>
        <w:t>щинами, которая охватывала Северные страны и страны Балтии и координир</w:t>
      </w:r>
      <w:r>
        <w:t>о</w:t>
      </w:r>
      <w:r>
        <w:t>валась Советом министров Северных стран (приложение 4). Адресной аудит</w:t>
      </w:r>
      <w:r>
        <w:t>о</w:t>
      </w:r>
      <w:r>
        <w:t>рией этой кампании стали клиенты из Северных стран, мужчины, с тем чтобы они отказывались от приобретения сексуальных услуг. Для стран Балтии задача заключалась в недопущении новых жертв торговли. Во всех странах в рамках кампании действовали специальные целевые группы в составе специалистов в различных областях. В связи с этой кампанией на базе сотрудничества было организовано три международных семинара и создан совместный сайт в И</w:t>
      </w:r>
      <w:r>
        <w:t>н</w:t>
      </w:r>
      <w:r>
        <w:t xml:space="preserve">тернете, который ведет Эстония.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1998</w:t>
      </w:r>
      <w:r>
        <w:noBreakHyphen/>
        <w:t>2000 годах министерство социальных дел и здравоохранения ос</w:t>
      </w:r>
      <w:r>
        <w:t>у</w:t>
      </w:r>
      <w:r>
        <w:t>ществило национальный проект по предупреждению насилия в отношении женщин и проституции, о котором уже сообщалось в связи со статьей 5. В рамках этого проекта были созданы службы по работе с женщинами, подве</w:t>
      </w:r>
      <w:r>
        <w:t>р</w:t>
      </w:r>
      <w:r>
        <w:t>гающимися насилию, и с мужчинами, прибегающими к насилию. Кроме того, на базе проекта получило развитие международное сотрудничество по пред</w:t>
      </w:r>
      <w:r>
        <w:t>у</w:t>
      </w:r>
      <w:r>
        <w:t>преждению проституции и торговли женщинами. Наряду с этим была орган</w:t>
      </w:r>
      <w:r>
        <w:t>и</w:t>
      </w:r>
      <w:r>
        <w:t>зована подготовка специалистов в различных областях, опубликована литер</w:t>
      </w:r>
      <w:r>
        <w:t>а</w:t>
      </w:r>
      <w:r>
        <w:t>тура по вопросам профилактической работы и проведены национальные и</w:t>
      </w:r>
      <w:r>
        <w:t>н</w:t>
      </w:r>
      <w:r>
        <w:t>формационные камп</w:t>
      </w:r>
      <w:r>
        <w:t>а</w:t>
      </w:r>
      <w:r>
        <w:t xml:space="preserve">нии.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ind w:left="1260"/>
      </w:pPr>
      <w:r>
        <w:tab/>
        <w:t>Опыт, накопленный в процессе осуществления этого проекта, ляжет в о</w:t>
      </w:r>
      <w:r>
        <w:t>с</w:t>
      </w:r>
      <w:r>
        <w:t>нову дальнейшей работы на последующие несколько лет. В апреле 2003 года министерство социальных дел и здравоохранения назначило омбудсмена и у</w:t>
      </w:r>
      <w:r>
        <w:t>ч</w:t>
      </w:r>
      <w:r>
        <w:t>редило вспомогательную Руководящую группу для изучения мер, которые н</w:t>
      </w:r>
      <w:r>
        <w:t>е</w:t>
      </w:r>
      <w:r>
        <w:t>обходимо осуществлять в связи с незаконным ввозом женщин и детей в Фи</w:t>
      </w:r>
      <w:r>
        <w:t>н</w:t>
      </w:r>
      <w:r>
        <w:t>ляндию, в рамках деятельности министерства. Задача заключается также в ра</w:t>
      </w:r>
      <w:r>
        <w:t>з</w:t>
      </w:r>
      <w:r>
        <w:t>работке национальной программы предупреждения торговли женщинами. В рамках этой программы будут, в частности, изучаться методы предупрежд</w:t>
      </w:r>
      <w:r>
        <w:t>е</w:t>
      </w:r>
      <w:r>
        <w:t>ния такой торговли. К ним относятся конкретные планы и мероприятия по з</w:t>
      </w:r>
      <w:r>
        <w:t>а</w:t>
      </w:r>
      <w:r>
        <w:t>щите жертв и свидетелей торговли женщинами. Будут также изучаться меры, которые могут быть реализованы для пресечения каналов сбыта в процессе торговли женщинами. Исследование будет посвящено также изучению мер по сокращению секс</w:t>
      </w:r>
      <w:r>
        <w:noBreakHyphen/>
        <w:t>туризма в сотрудничестве с туристическими организациями и министерством торговли и промышленности и возможностей по повышению уровня занятости и подготовки женщин в соседних регионах, например с п</w:t>
      </w:r>
      <w:r>
        <w:t>о</w:t>
      </w:r>
      <w:r>
        <w:t>мощью проектов, осуществляемых при поддержке Северных стран и Европе</w:t>
      </w:r>
      <w:r>
        <w:t>й</w:t>
      </w:r>
      <w:r>
        <w:t>ского союза. Другими темами исследования станут половое воспитание мол</w:t>
      </w:r>
      <w:r>
        <w:t>о</w:t>
      </w:r>
      <w:r>
        <w:t>дежи и возможности ограничения порнографии, особенно наиболее открове</w:t>
      </w:r>
      <w:r>
        <w:t>н</w:t>
      </w:r>
      <w:r>
        <w:t xml:space="preserve">ных ее форм.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1"/>
        <w:tabs>
          <w:tab w:val="right" w:pos="1021"/>
          <w:tab w:val="left" w:pos="1264"/>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exact"/>
        <w:ind w:left="1800" w:right="1260" w:hanging="540"/>
        <w:rPr>
          <w:i/>
          <w:sz w:val="10"/>
        </w:rPr>
      </w:pPr>
      <w:r>
        <w:tab/>
      </w:r>
      <w:r>
        <w:rPr>
          <w:i/>
        </w:rPr>
        <w:t>1.2.</w:t>
      </w:r>
      <w:r>
        <w:rPr>
          <w:i/>
        </w:rPr>
        <w:tab/>
        <w:t>Сексуальные услуги по телефону</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своих заключениях по предыдущему периодическому докладу Финля</w:t>
      </w:r>
      <w:r>
        <w:t>н</w:t>
      </w:r>
      <w:r>
        <w:t>дии Комитет по ликвидации дискриминации в отношении женщин настоятел</w:t>
      </w:r>
      <w:r>
        <w:t>ь</w:t>
      </w:r>
      <w:r>
        <w:t>но призвал правительство содействовать формированию надлежащей атмосф</w:t>
      </w:r>
      <w:r>
        <w:t>е</w:t>
      </w:r>
      <w:r>
        <w:t>ры в вопросах противодействия предоставлению сексуальных услуг по телеф</w:t>
      </w:r>
      <w:r>
        <w:t>о</w:t>
      </w:r>
      <w:r>
        <w:t xml:space="preserve">ну.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рамках проекта по предупреждению насилия в отношении женщин и проституции министерство социальных дел и здравоохранения и Национал</w:t>
      </w:r>
      <w:r>
        <w:t>ь</w:t>
      </w:r>
      <w:r>
        <w:t>ный центр изучения и развития системы социального обеспечения и здрав</w:t>
      </w:r>
      <w:r>
        <w:t>о</w:t>
      </w:r>
      <w:r>
        <w:t>охранения, СТАКЕС, провели исследование, посвященное рекламе сексуал</w:t>
      </w:r>
      <w:r>
        <w:t>ь</w:t>
      </w:r>
      <w:r>
        <w:t>ных услуг в ежедневных газетах в 1999 году. Исследование показало, что в 35 изученных газетах ежегодно публиковалось порядка 180 000 рекламных объявлений, приносивших существенную экономическую выгоду. Двадцать ч</w:t>
      </w:r>
      <w:r>
        <w:t>е</w:t>
      </w:r>
      <w:r>
        <w:t>тыре из 35 изученных газет публиковали рекламу сексуальных услуг, а 11 отказались публиковать такие материалы. Семьдесят процентов опублик</w:t>
      </w:r>
      <w:r>
        <w:t>о</w:t>
      </w:r>
      <w:r>
        <w:t xml:space="preserve">ванных рекламных объявлений о сексуальных услугах были посвящены сексу по телефону. Исследование также показало, что реклама становится все более откровенной.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Положение с публикацией рекламных объявлений о сексуальных услугах изменилось в 2002 году, когда ряд ведущих ежедневных и вечерних газет, включая крупнейшую ежедневную газету "Хельсингин саномат" и крупнейшее вечернее издание "Илталехти" и "Илтасаномат", решили прекратить публик</w:t>
      </w:r>
      <w:r>
        <w:t>а</w:t>
      </w:r>
      <w:r>
        <w:t>цию рекламы сексуальных услуг. После этого реклама эротических и других услуг по телефону в газетах существенно сократилась. Как сообщил, например, главный редактор "Хельсингин саномат", его издание стремится исключить возможность публикации рекламных объявлений о сексуальных услугах под замаскированными названиями в объявлениях других видов. По существу, н</w:t>
      </w:r>
      <w:r>
        <w:t>а</w:t>
      </w:r>
      <w:r>
        <w:t xml:space="preserve">чинается процесс ограничения рекламы сексуальных услуг практически по всему Интернету.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Как таковая реклама сексуальных услуг в газетах Финляндии не запрещ</w:t>
      </w:r>
      <w:r>
        <w:t>е</w:t>
      </w:r>
      <w:r>
        <w:t xml:space="preserve">на. Контроль за содержанием рекламных объявлений осуществляют главные редакторы.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1"/>
        <w:tabs>
          <w:tab w:val="right" w:pos="1021"/>
          <w:tab w:val="left" w:pos="1264"/>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exact"/>
        <w:ind w:left="1800" w:right="1260" w:hanging="540"/>
        <w:rPr>
          <w:i/>
          <w:sz w:val="10"/>
        </w:rPr>
      </w:pPr>
      <w:r>
        <w:tab/>
      </w:r>
      <w:r>
        <w:rPr>
          <w:i/>
        </w:rPr>
        <w:t>1.3.</w:t>
      </w:r>
      <w:r>
        <w:rPr>
          <w:i/>
        </w:rPr>
        <w:tab/>
        <w:t xml:space="preserve">Реформы законодательства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Приобретение сексуальных услуг в общественных местах запрещено в соответствии с новым Законом об общественном порядке (612/2003), который вступил в силу в начале октября 2003 года. Этот закон предусматривает также наказание за предложение платных сексуальных услуг в общественном месте. Еще в 1999 году высшее полицейское руководство издало распоряжение пол</w:t>
      </w:r>
      <w:r>
        <w:t>и</w:t>
      </w:r>
      <w:r>
        <w:t>ции о пресечении торговли женщинами и проституции и связанных с этим пр</w:t>
      </w:r>
      <w:r>
        <w:t>е</w:t>
      </w:r>
      <w:r>
        <w:t xml:space="preserve">ступлений.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ноябре 2002 года министерство юстиции создало Рабочую группу по разработке предложения о видах наказания за торговлю людьми и некоторых других соответствующих поправок в Уголовный кодекс. Рабочая группа по в</w:t>
      </w:r>
      <w:r>
        <w:t>о</w:t>
      </w:r>
      <w:r>
        <w:t>просам торговли людьми, сводничества и проституции представила свой пе</w:t>
      </w:r>
      <w:r>
        <w:t>р</w:t>
      </w:r>
      <w:r>
        <w:t>вый частичный меморандум в июле 2003 года</w:t>
      </w:r>
      <w:r>
        <w:rPr>
          <w:rStyle w:val="FootnoteReference"/>
        </w:rPr>
        <w:footnoteReference w:id="11"/>
      </w:r>
      <w:r>
        <w:t>. В нем предлагается увеличить наказание за преступления, связанные со сводничеством, путем включения в Уголовный кодекс нового положения о квалифицированном сводничестве. С</w:t>
      </w:r>
      <w:r>
        <w:t>о</w:t>
      </w:r>
      <w:r>
        <w:t>гласно этому предложению, лицо, которое путем передачи контактной инфо</w:t>
      </w:r>
      <w:r>
        <w:t>р</w:t>
      </w:r>
      <w:r>
        <w:t>мации или иным образом предлагает другое лицо для половых сношений или другого соответствующего сексуального акта за плату, также может быть осу</w:t>
      </w:r>
      <w:r>
        <w:t>ж</w:t>
      </w:r>
      <w:r>
        <w:t xml:space="preserve">дено за сводничество.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соответствии с этим предложением в Уголовный кодекс будет добавлено положение о наказании за приобретение сексуальных услуг. Одновременно б</w:t>
      </w:r>
      <w:r>
        <w:t>у</w:t>
      </w:r>
      <w:r>
        <w:t>дет увеличено максимальное наказание за приобретение сексуальных услуг молодого человека или девушки. Наказание за продажу сексуальных услуг о</w:t>
      </w:r>
      <w:r>
        <w:t>г</w:t>
      </w:r>
      <w:r>
        <w:t>ран</w:t>
      </w:r>
      <w:r>
        <w:t>и</w:t>
      </w:r>
      <w:r>
        <w:t xml:space="preserve">чивается случаями, указанными в Законе об общественном порядке.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Глава 25 Уголовного кодекса о преступлениях против свободы будет д</w:t>
      </w:r>
      <w:r>
        <w:t>о</w:t>
      </w:r>
      <w:r>
        <w:t>полнена новым положением о торговле людьми. Квалификация преступления, связанного с торговлей людьми, будет соответствовать положениям междун</w:t>
      </w:r>
      <w:r>
        <w:t>а</w:t>
      </w:r>
      <w:r>
        <w:t>родных конвенций, таких, как Дополнительный протокол к Конвенции Орган</w:t>
      </w:r>
      <w:r>
        <w:t>и</w:t>
      </w:r>
      <w:r>
        <w:t>зации Объединенных Наций против транснациональной организованной пр</w:t>
      </w:r>
      <w:r>
        <w:t>е</w:t>
      </w:r>
      <w:r>
        <w:t>ступности. Минимальное наказание за торговлю людьми предусматривает т</w:t>
      </w:r>
      <w:r>
        <w:t>ю</w:t>
      </w:r>
      <w:r>
        <w:t>ремное заключение на срок четыре месяца, а максимальное - шесть лет. В эту главу будет также добавлено новое положение о квалифицированной торговле людьми, и в этом случае предусмотрено наказание в виде тюремного заключ</w:t>
      </w:r>
      <w:r>
        <w:t>е</w:t>
      </w:r>
      <w:r>
        <w:t xml:space="preserve">ния на срок от двух до десяти лет.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Закон о мерах принуждения (450/1987) будет внесено изменение, д</w:t>
      </w:r>
      <w:r>
        <w:t>е</w:t>
      </w:r>
      <w:r>
        <w:t>лающее возможным телефонное прослушивание в случае наиболее тяжких преступлений в форме торговли людьми и сводничества. В соответствии с п</w:t>
      </w:r>
      <w:r>
        <w:t>о</w:t>
      </w:r>
      <w:r>
        <w:t>правкой к Закону о мерах принуждения, который вступает в силу в начале 2004 года (646/2003), становится возможным также видеонаблюдение для ц</w:t>
      </w:r>
      <w:r>
        <w:t>е</w:t>
      </w:r>
      <w:r>
        <w:t>лей расследования случаев сводничес</w:t>
      </w:r>
      <w:r>
        <w:t>т</w:t>
      </w:r>
      <w:r>
        <w:t xml:space="preserve">ва.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Зимой 2004 года, по всей видимости, будет принят правительственный з</w:t>
      </w:r>
      <w:r>
        <w:t>а</w:t>
      </w:r>
      <w:r>
        <w:t>конопроект о торговле людьми, сводничестве и проституции после его напра</w:t>
      </w:r>
      <w:r>
        <w:t>в</w:t>
      </w:r>
      <w:r>
        <w:t>ления на предмет получения заключений и оконч</w:t>
      </w:r>
      <w:r>
        <w:t>а</w:t>
      </w:r>
      <w:r>
        <w:t xml:space="preserve">тельной доработки.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целом НПО поддерживают предложение Рабочей группы о торговле людьми, хотя оно подвергается критике в связи с тем, что не предусматривает надлежащей защиты жертв такой торговли. Кроме того, НПО призывают орг</w:t>
      </w:r>
      <w:r>
        <w:t>а</w:t>
      </w:r>
      <w:r>
        <w:t>ны власти обеспечить дополнительную подготовку кадров для профилактики проблемы торговли женщинами. Предлагается также, чтобы правительство приняло кодекс этики, являющийся обязательным для сотрудников и гражда</w:t>
      </w:r>
      <w:r>
        <w:t>н</w:t>
      </w:r>
      <w:r>
        <w:t>ских служащих государственных компаний и миротворческих сил и направле</w:t>
      </w:r>
      <w:r>
        <w:t>н</w:t>
      </w:r>
      <w:r>
        <w:t>ный на предупреждение приобретения сексуальных услуг в Финляндии и за рубежом. В качестве важного направления деятельности рассматривается также укрепление различных служб п</w:t>
      </w:r>
      <w:r>
        <w:t>о</w:t>
      </w:r>
      <w:r>
        <w:t xml:space="preserve">мощи жертвам.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Кроме того, Омбудсмен по делам меньшинств отметил, что на практике иностранным женщинам, занимающимся проституцией в Финляндии, бывает очень трудно оставить свою работу, если они этого захотят. По мнению Омбу</w:t>
      </w:r>
      <w:r>
        <w:t>д</w:t>
      </w:r>
      <w:r>
        <w:t>смена, для иностранки, занимающейся проституцией, обращение к финским властям может быть связано с определенным риском. Если женщина, жела</w:t>
      </w:r>
      <w:r>
        <w:t>ю</w:t>
      </w:r>
      <w:r>
        <w:t>щая порвать с проституцией, обращается к властям, ей грозит высылка или д</w:t>
      </w:r>
      <w:r>
        <w:t>е</w:t>
      </w:r>
      <w:r>
        <w:t>портация, что в конечном итоге может поставить эту женщину в опасное пол</w:t>
      </w:r>
      <w:r>
        <w:t>о</w:t>
      </w:r>
      <w:r>
        <w:t>жение или даже сделать жертвой насилия в ее собственной стране. По мнению омбудсмена по делам меньшинств, в Финляндии следует разработать програ</w:t>
      </w:r>
      <w:r>
        <w:t>м</w:t>
      </w:r>
      <w:r>
        <w:t>му действий по оказанию помощи находящимся на ее территории иностранным женщинам, которые стремятся порвать с проституцией. Такая программа п</w:t>
      </w:r>
      <w:r>
        <w:t>о</w:t>
      </w:r>
      <w:r>
        <w:t>мощи потребует как минимум сотрудничества иммиграционных и социальных органов и полиции, а также изучения некоторых аспектов, касающихся проц</w:t>
      </w:r>
      <w:r>
        <w:t>е</w:t>
      </w:r>
      <w:r>
        <w:t>дуры выдачи вида на жительс</w:t>
      </w:r>
      <w:r>
        <w:t>т</w:t>
      </w:r>
      <w:r>
        <w:t xml:space="preserve">во.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Европейский союз подготовил предложение о разработке директивы С</w:t>
      </w:r>
      <w:r>
        <w:t>о</w:t>
      </w:r>
      <w:r>
        <w:t>вета о выдаче краткосрочных видов на жительство жертвам действий, связа</w:t>
      </w:r>
      <w:r>
        <w:t>н</w:t>
      </w:r>
      <w:r>
        <w:t xml:space="preserve">ных с незаконной иммиграцией или торговлей людьми, которые сотрудничают с компетентными органами </w:t>
      </w:r>
      <w:r>
        <w:rPr>
          <w:lang w:val="en-US"/>
        </w:rPr>
        <w:t>[</w:t>
      </w:r>
      <w:r>
        <w:t xml:space="preserve">СОМ (2000) 71]. Вид на жительство обеспечивает его владельцу доступ на рынок труда и право на общую или профессиональную подготовку, с тем чтобы он мог вырваться из сети торговли людьми.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exact"/>
        <w:ind w:left="1741" w:right="1260" w:hanging="720"/>
      </w:pPr>
      <w:r>
        <w:tab/>
        <w:t>2.</w:t>
      </w:r>
      <w:r>
        <w:tab/>
        <w:t xml:space="preserve">Сексуальные права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С 1 марта 2002 года представители одного пола могут зарегистрировать свое партнерство. В этот день вступил в силу Закон о регистрации партнерства (950/2001). За небольшими исключениями регистрация партнерства имеет те же правовые последствия, что и брак. Одно из исключений состоит в том, что зарегистрированное партнерство не регулируется положениями Закона об о</w:t>
      </w:r>
      <w:r>
        <w:t>т</w:t>
      </w:r>
      <w:r>
        <w:t>цовстве (700/1975) относительно учреждения партнерства на основе брака или другими положениями, применимыми в отношении супруга/супруги исключ</w:t>
      </w:r>
      <w:r>
        <w:t>и</w:t>
      </w:r>
      <w:r>
        <w:t>тельно в силу его/ее пола. На зарегистрированное партнерство не распростр</w:t>
      </w:r>
      <w:r>
        <w:t>а</w:t>
      </w:r>
      <w:r>
        <w:t>няются также положения Закона об усыновлении (153/1985) с точки зрения права одного из супругов на усыновление, а также положения Закона о фам</w:t>
      </w:r>
      <w:r>
        <w:t>и</w:t>
      </w:r>
      <w:r>
        <w:t>лиях (694/1985), касающиеся фамилии о</w:t>
      </w:r>
      <w:r>
        <w:t>д</w:t>
      </w:r>
      <w:r>
        <w:t xml:space="preserve">ного из супругов.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апреле 2002 года министерство социальных дел и здравоохранения со</w:t>
      </w:r>
      <w:r>
        <w:t>з</w:t>
      </w:r>
      <w:r>
        <w:t>дало комитет для изучения особых вопросов, касающихся зарегистрированного партнерства. Его задача заключается в разъяснении социальных и правовых проблем, связанных с положением детей в семьях, в которых взрослые живут в статусе зарегистрированного партнерства, а также в разработке предложений о внесении в законодательство всех необходимых поправок. Задача заключается также в изучении вопроса о целесообразности подготовки положений, дела</w:t>
      </w:r>
      <w:r>
        <w:t>ю</w:t>
      </w:r>
      <w:r>
        <w:t xml:space="preserve">щих возможным межсемейное усыновление в рамках зарегистрированного партнерства.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Комитет представил свой доклад в сентябре 2003 года</w:t>
      </w:r>
      <w:r>
        <w:rPr>
          <w:rStyle w:val="FootnoteReference"/>
          <w:sz w:val="17"/>
        </w:rPr>
        <w:footnoteReference w:id="12"/>
      </w:r>
      <w:r>
        <w:t>. По его мнению, в определенных конкретных случаях интересам ребенка может отвечать ситу</w:t>
      </w:r>
      <w:r>
        <w:t>а</w:t>
      </w:r>
      <w:r>
        <w:t>ция, когда лицо, живущее в рамках зарегистрированного партнерства, может усыновить ребенка своего зарегистрированного партнера или когда зарегис</w:t>
      </w:r>
      <w:r>
        <w:t>т</w:t>
      </w:r>
      <w:r>
        <w:t>рированные партнеры могут совместно усыновить ребенка. Поэтому Комитет предлагает внести поправку в Закон об усыновлении и Закон о зарегистрир</w:t>
      </w:r>
      <w:r>
        <w:t>о</w:t>
      </w:r>
      <w:r>
        <w:t>ванном партнерстве с целью предоставить зарегистрированным партнерам возможность межсемейного усыновления (усыновления неродными родител</w:t>
      </w:r>
      <w:r>
        <w:t>я</w:t>
      </w:r>
      <w:r>
        <w:t>ми) и возможность усыновления ребенка, родители которого умерли, из бл</w:t>
      </w:r>
      <w:r>
        <w:t>и</w:t>
      </w:r>
      <w:r>
        <w:t>жайшего круга родственников или друзей этой пары. Кроме того, Комитет предлагает внести поправки в Закон об установлении опеки над ребенком и правах доступа к нему, с тем чтобы, если это наилучшим образом отвечает и</w:t>
      </w:r>
      <w:r>
        <w:t>н</w:t>
      </w:r>
      <w:r>
        <w:t>тересам ребенка, суд мог подтвердить права доступа к ребенку со стороны з</w:t>
      </w:r>
      <w:r>
        <w:t>а</w:t>
      </w:r>
      <w:r>
        <w:t>регистрированного партнера его родителя, если партнеры живут раздельно или их партнерские отношения были прекращены. Доклад Комитета был распр</w:t>
      </w:r>
      <w:r>
        <w:t>о</w:t>
      </w:r>
      <w:r>
        <w:t xml:space="preserve">странен на предмет получения заключений, после чего будут приняты решения относительно дальнейшей разработки этого вопроса.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Ch"/>
        <w:tabs>
          <w:tab w:val="left" w:pos="990"/>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53" w:hanging="1267"/>
        <w:rPr>
          <w:lang w:val="en-US"/>
        </w:rPr>
      </w:pPr>
      <w:r>
        <w:tab/>
        <w:t>Статья 7</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rPr>
          <w:i/>
        </w:rPr>
        <w:tab/>
        <w:t>Государства-участники принимают все соответствующие меры по ли</w:t>
      </w:r>
      <w:r>
        <w:rPr>
          <w:i/>
        </w:rPr>
        <w:t>к</w:t>
      </w:r>
      <w:r>
        <w:rPr>
          <w:i/>
        </w:rPr>
        <w:t>видации дискриминации в отношении женщин в политической и общественной жизни страны и, в частности, обеспечивают женщинам на равных условиях с мужчинами право:</w:t>
      </w:r>
      <w: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rPr>
          <w:i/>
        </w:rPr>
        <w:tab/>
        <w:t>а)</w:t>
      </w:r>
      <w:r>
        <w:rPr>
          <w:i/>
        </w:rPr>
        <w:tab/>
        <w:t>голосовать на всех выборах и публичных референдумах и избираться во все публично избира</w:t>
      </w:r>
      <w:r>
        <w:rPr>
          <w:i/>
        </w:rPr>
        <w:t>е</w:t>
      </w:r>
      <w:r>
        <w:rPr>
          <w:i/>
        </w:rPr>
        <w:t>мые органы;</w:t>
      </w:r>
      <w: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rPr>
          <w:i/>
        </w:rPr>
        <w:tab/>
      </w:r>
      <w:r>
        <w:rPr>
          <w:i/>
          <w:lang w:val="en-US"/>
        </w:rPr>
        <w:t>b</w:t>
      </w:r>
      <w:r>
        <w:rPr>
          <w:i/>
        </w:rPr>
        <w:t>)</w:t>
      </w:r>
      <w:r>
        <w:rPr>
          <w:i/>
        </w:rPr>
        <w:tab/>
        <w:t>участвовать в формулировании и осуществлении политики прав</w:t>
      </w:r>
      <w:r>
        <w:rPr>
          <w:i/>
        </w:rPr>
        <w:t>и</w:t>
      </w:r>
      <w:r>
        <w:rPr>
          <w:i/>
        </w:rPr>
        <w:t>тельства и занимать государственные посты, а также осуществлять все г</w:t>
      </w:r>
      <w:r>
        <w:rPr>
          <w:i/>
        </w:rPr>
        <w:t>о</w:t>
      </w:r>
      <w:r>
        <w:rPr>
          <w:i/>
        </w:rPr>
        <w:t>сударственные функции на всех уровнях государс</w:t>
      </w:r>
      <w:r>
        <w:rPr>
          <w:i/>
        </w:rPr>
        <w:t>т</w:t>
      </w:r>
      <w:r>
        <w:rPr>
          <w:i/>
        </w:rPr>
        <w:t>венного управления;</w:t>
      </w:r>
      <w: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rPr>
          <w:i/>
        </w:rPr>
        <w:tab/>
        <w:t>с)</w:t>
      </w:r>
      <w:r>
        <w:rPr>
          <w:i/>
        </w:rPr>
        <w:tab/>
        <w:t>принимать участие в деятельности неправительственных орган</w:t>
      </w:r>
      <w:r>
        <w:rPr>
          <w:i/>
        </w:rPr>
        <w:t>и</w:t>
      </w:r>
      <w:r>
        <w:rPr>
          <w:i/>
        </w:rPr>
        <w:t>заций и ассоциаций, занимающихся проблемами общественной и политической жизни страны.</w:t>
      </w:r>
      <w:r>
        <w:t xml:space="preserve">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exact"/>
        <w:ind w:left="1741" w:right="1260" w:hanging="720"/>
      </w:pPr>
      <w:r>
        <w:tab/>
        <w:t>1.</w:t>
      </w:r>
      <w:r>
        <w:tab/>
        <w:t xml:space="preserve">Право голосовать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На парламентских выборах 2003 года женщины получили 42,6 процента голосов, а доля кандидатов-женщин составляла 39,8 процента. Женщины зан</w:t>
      </w:r>
      <w:r>
        <w:t>и</w:t>
      </w:r>
      <w:r>
        <w:t>мают 37,5 процента мест в парламенте. Наибольшее число было избрано в па</w:t>
      </w:r>
      <w:r>
        <w:t>р</w:t>
      </w:r>
      <w:r>
        <w:t>ламент в 1991 году (38,5 процента). Начиная с выборов 1983 года доля женщин, избиравшихся в состав парламента, превышала 30 процентов. Начиная с выб</w:t>
      </w:r>
      <w:r>
        <w:t>о</w:t>
      </w:r>
      <w:r>
        <w:t>ров 1987 года женщины принимали в них более активное участие, чем мужч</w:t>
      </w:r>
      <w:r>
        <w:t>и</w:t>
      </w:r>
      <w:r>
        <w:t>ны. На выборах 2003 года доля участвовавших в голосовании женщин состав</w:t>
      </w:r>
      <w:r>
        <w:t>и</w:t>
      </w:r>
      <w:r>
        <w:t xml:space="preserve">ла 68,0 процента, а доля мужчин - 65,3 процента.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течение нескольких десятилетий отмечается рост числа женщин, изб</w:t>
      </w:r>
      <w:r>
        <w:t>и</w:t>
      </w:r>
      <w:r>
        <w:t>раемых на должности в ходе муниципальных выборов. На выборах 1992 года их доля впервые превысила 30 процентов. В ходе муниципальных выборов 2000 года доля избранных на должности женщин составила 34,4 процента. Д</w:t>
      </w:r>
      <w:r>
        <w:t>о</w:t>
      </w:r>
      <w:r>
        <w:t>ля женщин в муниципальных органах власти также возрастала, и на настоящее время, за несколькими исключениями, доля женщин среди членов муниц</w:t>
      </w:r>
      <w:r>
        <w:t>и</w:t>
      </w:r>
      <w:r>
        <w:t>пальных исполнительных советов и других советов составляет по меньшей м</w:t>
      </w:r>
      <w:r>
        <w:t>е</w:t>
      </w:r>
      <w:r>
        <w:t>ре 40 процентов. Кроме того, доля женщин, принявших участие в муниципал</w:t>
      </w:r>
      <w:r>
        <w:t>ь</w:t>
      </w:r>
      <w:r>
        <w:t xml:space="preserve">ных выборах в 2000 году, была выше (57,7 процента), чем доля мужчин (53,9 процента).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exact"/>
        <w:ind w:left="1741" w:right="1260" w:hanging="720"/>
      </w:pPr>
      <w:r>
        <w:tab/>
        <w:t>2.</w:t>
      </w:r>
      <w:r>
        <w:tab/>
        <w:t xml:space="preserve">Состав правительства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Из 18 министров правительства премьер-министра Матти Ванханен в</w:t>
      </w:r>
      <w:r>
        <w:t>о</w:t>
      </w:r>
      <w:r>
        <w:t>семь являются женщинами, что составляет 44 процента членов правительства. Женщины занимают должности министра внешней торговли и развития, втор</w:t>
      </w:r>
      <w:r>
        <w:t>о</w:t>
      </w:r>
      <w:r>
        <w:t>го министра финансов, министра культуры, министра транспорта и коммуник</w:t>
      </w:r>
      <w:r>
        <w:t>а</w:t>
      </w:r>
      <w:r>
        <w:t>ций, министра социальных дел и здравоохранения, министра труда, министра просвещения и министра здрав</w:t>
      </w:r>
      <w:r>
        <w:t>о</w:t>
      </w:r>
      <w:r>
        <w:t xml:space="preserve">охранения и социальных служб.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 xml:space="preserve">Премьер-министром правительства, назначенным после парламентских выборов 2003 года и работавшим в период с 17 апреля 2003 года по 24 июня 2003 года, впервые стала женщина, когда парламент избрал на эту должность Аннели Яаттеенмяки. В то время в составе правительства было также восемь других женщин-министров. Таким образом, гендерное распределение членов правительства было равномерным, когда девять постов министров занимали женщины и девять постов - мужчины.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Кроме того, укрепилось и положение женщин в Финляндии на должн</w:t>
      </w:r>
      <w:r>
        <w:t>о</w:t>
      </w:r>
      <w:r>
        <w:t>стях, связанных с принятием политических решений. В период с 1993 по 2003 год женщинами были двое из спикеров парламента: Риитта Уосукайнен, занимавшая должность спикера, и Сирка-Лииса Анттила, занимавшая дол</w:t>
      </w:r>
      <w:r>
        <w:t>ж</w:t>
      </w:r>
      <w:r>
        <w:t>ность первого заместителя спикера. Кроме того, в 2000 году впервые президе</w:t>
      </w:r>
      <w:r>
        <w:t>н</w:t>
      </w:r>
      <w:r>
        <w:t xml:space="preserve">том республики стала женщина - Тарья Халонен.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exact"/>
        <w:ind w:left="1741" w:right="1260" w:hanging="720"/>
      </w:pPr>
      <w:r>
        <w:tab/>
        <w:t>3.</w:t>
      </w:r>
      <w:r>
        <w:tab/>
        <w:t xml:space="preserve">Государственные гражданские служащие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exact"/>
        <w:ind w:left="1741" w:right="1260" w:hanging="720"/>
      </w:pPr>
      <w:r>
        <w:tab/>
      </w:r>
      <w:r>
        <w:rPr>
          <w:i/>
        </w:rPr>
        <w:t>3.1.</w:t>
      </w:r>
      <w:r>
        <w:rPr>
          <w:i/>
        </w:rPr>
        <w:tab/>
        <w:t>Кадровая политика государства</w:t>
      </w:r>
      <w:r>
        <w:t xml:space="preserve">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30 августа 2001 года правительство приняло стратегическое решение о государственной кадровой политике. Правительство считает важным, чтобы государство выступало в роли образцового работодателя в плане осуществл</w:t>
      </w:r>
      <w:r>
        <w:t>е</w:t>
      </w:r>
      <w:r>
        <w:t>ния последовательной и рациональной кадровой политики. Эффективное управление кадровой политикой, рациональность в вопросах управления и кв</w:t>
      </w:r>
      <w:r>
        <w:t>а</w:t>
      </w:r>
      <w:r>
        <w:t>лифицированный и заинтересованный в результативности своей работы перс</w:t>
      </w:r>
      <w:r>
        <w:t>о</w:t>
      </w:r>
      <w:r>
        <w:t>нал создадут предпосылки для эффективной работы органов государственного управления и их возможностей по оказанию услуг и тем самым для повышения конкурент</w:t>
      </w:r>
      <w:r>
        <w:t>о</w:t>
      </w:r>
      <w:r>
        <w:t xml:space="preserve">способности на национальном уровне.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соответствии с этим стратегическим решением государственным орг</w:t>
      </w:r>
      <w:r>
        <w:t>а</w:t>
      </w:r>
      <w:r>
        <w:t>низациям надлежит задействовать все управленческие ресурсы и создать новую атмосферу для управленческих кадров в целях улучшения функционирования работы трудовых коллективов. Работодатель в лице государства обеспечивает систематизированное повышение квалификации работающих на него сотру</w:t>
      </w:r>
      <w:r>
        <w:t>д</w:t>
      </w:r>
      <w:r>
        <w:t>ников и лиц, стремящихся трудоустроиться на должности в государственном аппарате. Он оказывает также поддержку женщинам в их стремлении к зан</w:t>
      </w:r>
      <w:r>
        <w:t>я</w:t>
      </w:r>
      <w:r>
        <w:t xml:space="preserve">тию должностей ведущих и управленческих работников.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2001 году министерство финансов издало Рекомендацию о мерах по с</w:t>
      </w:r>
      <w:r>
        <w:t>о</w:t>
      </w:r>
      <w:r>
        <w:t>действию обеспечению равенства мужчин и женщин в государственных учре</w:t>
      </w:r>
      <w:r>
        <w:t>ж</w:t>
      </w:r>
      <w:r>
        <w:t>дениях и ведомствах. Отправным пунктом Рекомендации об обеспечении р</w:t>
      </w:r>
      <w:r>
        <w:t>а</w:t>
      </w:r>
      <w:r>
        <w:t>венства являются определенные законодательством обязательства, согласно к</w:t>
      </w:r>
      <w:r>
        <w:t>о</w:t>
      </w:r>
      <w:r>
        <w:t>торым никто не может быть безосновательно поставлен в неравное положение на основе половой принадлежности или других связанных с этим фактов. В соответствии с так называемым принципом актуализации гендерной пробл</w:t>
      </w:r>
      <w:r>
        <w:t>е</w:t>
      </w:r>
      <w:r>
        <w:t>матики в Рекомендации делается ссылка на меры, направленные на увеличение числа женщин на должностях самого высокого уровня. В ней приводятся также примеры того, каким образом содействовать обеспечению равенства мужчин и женщин в рамках мер в области людских ресурсов. Вопросы содействия обе</w:t>
      </w:r>
      <w:r>
        <w:t>с</w:t>
      </w:r>
      <w:r>
        <w:t>печению равенства можно принимать во внимание при отборе ведущих кадров, при планировании профессионального роста сотрудников и повышении их по должности и в рамках осуществления целого ряда проектов, касающихся тр</w:t>
      </w:r>
      <w:r>
        <w:t>у</w:t>
      </w:r>
      <w:r>
        <w:t>довых коллективов и условий труда. Значительная составляющая образуется за счет факторов, имеющих отношение к этике рабочей среды и созданию соо</w:t>
      </w:r>
      <w:r>
        <w:t>т</w:t>
      </w:r>
      <w:r>
        <w:t>ветс</w:t>
      </w:r>
      <w:r>
        <w:t>т</w:t>
      </w:r>
      <w:r>
        <w:t xml:space="preserve">вующей атмосферы.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2002 году министерство финансов инициировало проект по содействию привлечению женщин к должностям в сфере государственного управления. Цель проекта заключается в содействии занятию женщинами государственных должностей ведущих сотрудников, в частности путем содействия объединению усилий женщин, работающих на должностях ведущих сотрудников. Другая цель состоит в изучении того, какого рода поддержка необходима для содейс</w:t>
      </w:r>
      <w:r>
        <w:t>т</w:t>
      </w:r>
      <w:r>
        <w:t>вия увеличению числа женщин на должностях ведущих сотрудников и, с др</w:t>
      </w:r>
      <w:r>
        <w:t>у</w:t>
      </w:r>
      <w:r>
        <w:t>гой стороны, любых препятствий, стоящих на пути женщин, стремящихся к з</w:t>
      </w:r>
      <w:r>
        <w:t>а</w:t>
      </w:r>
      <w:r>
        <w:t>нятию должностей ведущих сотрудников и занимающих их. Для отслеживания изменений в числе женщин, занимающих должности ведущих сотрудников на государственной службе, ведется учет статистических данных. В рамках прое</w:t>
      </w:r>
      <w:r>
        <w:t>к</w:t>
      </w:r>
      <w:r>
        <w:t>та ведутся, в частности, воспитательная работа, беседы, а также дискуссии и профе</w:t>
      </w:r>
      <w:r>
        <w:t>с</w:t>
      </w:r>
      <w:r>
        <w:t xml:space="preserve">сиональная подготовка.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exact"/>
        <w:ind w:left="1741" w:right="1260" w:hanging="720"/>
      </w:pPr>
      <w:r>
        <w:tab/>
      </w:r>
      <w:r>
        <w:rPr>
          <w:i/>
        </w:rPr>
        <w:t>3.2.</w:t>
      </w:r>
      <w:r>
        <w:rPr>
          <w:i/>
        </w:rPr>
        <w:tab/>
        <w:t>Государственные должностные лица высшего уровня</w:t>
      </w:r>
      <w:r>
        <w:t xml:space="preserve">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Государственных должностных лиц самого высокого уровня насчитывае</w:t>
      </w:r>
      <w:r>
        <w:t>т</w:t>
      </w:r>
      <w:r>
        <w:t>ся 203 человека, 31 из которых, т.е. 15,2 процента, являются женщинами. Гру</w:t>
      </w:r>
      <w:r>
        <w:t>п</w:t>
      </w:r>
      <w:r>
        <w:t>па руководящих кадров рангом ниже включает других директоров государс</w:t>
      </w:r>
      <w:r>
        <w:t>т</w:t>
      </w:r>
      <w:r>
        <w:t>венных учреждений и ведомств, а также директоров исполнительных подра</w:t>
      </w:r>
      <w:r>
        <w:t>з</w:t>
      </w:r>
      <w:r>
        <w:t>делений и соответствующих отделов, на которые возложена ответственность за выполнение важных задач, за исключением надзорных функций. В этой группе доля женщин возросла с 16,5 процента в 1997 году до 31 процента в 2001 году. Среди экспертов, работающих в государственной администрации, 45 процентов составляют женщины, а среди всех государственных служащих женщины с</w:t>
      </w:r>
      <w:r>
        <w:t>о</w:t>
      </w:r>
      <w:r>
        <w:t xml:space="preserve">ставляют 48 процентов.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exact"/>
        <w:ind w:left="1741" w:right="1260" w:hanging="720"/>
      </w:pPr>
      <w:r>
        <w:tab/>
        <w:t>4.</w:t>
      </w:r>
      <w:r>
        <w:tab/>
        <w:t xml:space="preserve">Финансирование женских организаций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Участие женщин в общественной жизни посредством различных НПО представляет собой одну из значительных форм участия в финской демократии. Финские организации характеризуются также широким и активным участием в их работе женщин, которое является уникальным по своим масштабам и разн</w:t>
      </w:r>
      <w:r>
        <w:t>о</w:t>
      </w:r>
      <w:r>
        <w:t>образию даже по сравнению с другими странами Северной Европы. Так, н</w:t>
      </w:r>
      <w:r>
        <w:t>а</w:t>
      </w:r>
      <w:r>
        <w:t xml:space="preserve">пример, Национальный совет женщин Финляндии работает над вопросами обеспечения равенства мужчин и женщин с 1911 года. В Национальном совете насчитывается 56 организаций-членов, которые объединяют свыше 500 000 человек.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отличие от деятельности многих других организаций, в которых учас</w:t>
      </w:r>
      <w:r>
        <w:t>т</w:t>
      </w:r>
      <w:r>
        <w:t>вуют как мужчины, так и женщины, деятельность женских организаций в Фи</w:t>
      </w:r>
      <w:r>
        <w:t>н</w:t>
      </w:r>
      <w:r>
        <w:t>ляндии не обеспечивается поддержкой за счет предусмотренных законом гос</w:t>
      </w:r>
      <w:r>
        <w:t>у</w:t>
      </w:r>
      <w:r>
        <w:t>дарственных средств. Однако министерство просвещения оказывает целевую государственную помощь Коалиции финских женских ассоциаций в поддержку совместных действий (НИТКИС). Хотя женским организациям и не оказывае</w:t>
      </w:r>
      <w:r>
        <w:t>т</w:t>
      </w:r>
      <w:r>
        <w:t>ся постоянной государственной помощи, они получают другую поддержку и целевую помощь по проектам. Несколько женских организаций испытывают неопределенность в отношении финансирования, считая это препятствием в их работе. Помимо улучшения положения с финансированием Коалиция предл</w:t>
      </w:r>
      <w:r>
        <w:t>о</w:t>
      </w:r>
      <w:r>
        <w:t>жила создать конкретный координационный центр по вопросам равенства и н</w:t>
      </w:r>
      <w:r>
        <w:t>а</w:t>
      </w:r>
      <w:r>
        <w:t>учных исследований в отношении женщин в целях обеспечения фактического равенства и укрепления связей между проводимыми научными исследованиями в отношении женщин, движением женщин и политикой по обеспечению раве</w:t>
      </w:r>
      <w:r>
        <w:t>н</w:t>
      </w:r>
      <w:r>
        <w:t xml:space="preserve">ства.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Ch"/>
        <w:tabs>
          <w:tab w:val="left" w:pos="990"/>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53" w:hanging="1267"/>
        <w:rPr>
          <w:lang w:val="en-US"/>
        </w:rPr>
      </w:pPr>
      <w:r>
        <w:tab/>
        <w:t>Статья 8</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rPr>
          <w:i/>
        </w:rPr>
        <w:tab/>
        <w:t>Государства-участники принимают все соответствующие меры, чтобы обеспечить женщинам возможность на равных условиях с мужчинами и без какой-либо дискриминации представлять свои правительства на междунаро</w:t>
      </w:r>
      <w:r>
        <w:rPr>
          <w:i/>
        </w:rPr>
        <w:t>д</w:t>
      </w:r>
      <w:r>
        <w:rPr>
          <w:i/>
        </w:rPr>
        <w:t>ном уровне и участвовать в работе международных организаций.</w:t>
      </w:r>
      <w: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Правительство обращает в этой связи внимание на информацию, изл</w:t>
      </w:r>
      <w:r>
        <w:t>о</w:t>
      </w:r>
      <w:r>
        <w:t>женную в его предыдущих до</w:t>
      </w:r>
      <w:r>
        <w:t>к</w:t>
      </w:r>
      <w:r>
        <w:t xml:space="preserve">ладах.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Ch"/>
        <w:tabs>
          <w:tab w:val="left" w:pos="990"/>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53" w:hanging="1267"/>
        <w:rPr>
          <w:lang w:val="en-US"/>
        </w:rPr>
      </w:pPr>
      <w:r>
        <w:tab/>
        <w:t>Статья 9</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rPr>
          <w:i/>
        </w:rPr>
        <w:tab/>
        <w:t>1.</w:t>
      </w:r>
      <w:r>
        <w:rPr>
          <w:i/>
        </w:rPr>
        <w:tab/>
        <w:t>Государства-участники предоставляют женщинам равные с му</w:t>
      </w:r>
      <w:r>
        <w:rPr>
          <w:i/>
        </w:rPr>
        <w:t>ж</w:t>
      </w:r>
      <w:r>
        <w:rPr>
          <w:i/>
        </w:rPr>
        <w:t>чинами права в отношении приобретения, изменения или сохранения их гра</w:t>
      </w:r>
      <w:r>
        <w:rPr>
          <w:i/>
        </w:rPr>
        <w:t>ж</w:t>
      </w:r>
      <w:r>
        <w:rPr>
          <w:i/>
        </w:rPr>
        <w:t>данства. Они, в частности, обеспечивают, что ни вступление в брак с ин</w:t>
      </w:r>
      <w:r>
        <w:rPr>
          <w:i/>
        </w:rPr>
        <w:t>о</w:t>
      </w:r>
      <w:r>
        <w:rPr>
          <w:i/>
        </w:rPr>
        <w:t>странцем, ни изменение гражданства мужа во время брака не влекут за собой автоматического изменения гражданства жены, не превращают ее в лицо без гражда</w:t>
      </w:r>
      <w:r>
        <w:rPr>
          <w:i/>
        </w:rPr>
        <w:t>н</w:t>
      </w:r>
      <w:r>
        <w:rPr>
          <w:i/>
        </w:rPr>
        <w:t>ства и не могут заставить ее принять гражданство мужа.</w:t>
      </w:r>
      <w: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rPr>
          <w:i/>
        </w:rPr>
        <w:tab/>
        <w:t>2.</w:t>
      </w:r>
      <w:r>
        <w:rPr>
          <w:i/>
        </w:rPr>
        <w:tab/>
        <w:t>Государства-участники предоставляют женщинам равные с му</w:t>
      </w:r>
      <w:r>
        <w:rPr>
          <w:i/>
        </w:rPr>
        <w:t>ж</w:t>
      </w:r>
      <w:r>
        <w:rPr>
          <w:i/>
        </w:rPr>
        <w:t>чинами права в отношении гра</w:t>
      </w:r>
      <w:r>
        <w:rPr>
          <w:i/>
        </w:rPr>
        <w:t>ж</w:t>
      </w:r>
      <w:r>
        <w:rPr>
          <w:i/>
        </w:rPr>
        <w:t>данства их детей.</w:t>
      </w:r>
      <w: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Правительство обращает в этой связи внимание на информацию, изл</w:t>
      </w:r>
      <w:r>
        <w:t>о</w:t>
      </w:r>
      <w:r>
        <w:t>женную в его предыдущих до</w:t>
      </w:r>
      <w:r>
        <w:t>к</w:t>
      </w:r>
      <w:r>
        <w:t xml:space="preserve">ладах.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Ch"/>
        <w:tabs>
          <w:tab w:val="left" w:pos="990"/>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53" w:hanging="1267"/>
        <w:rPr>
          <w:lang w:val="en-US"/>
        </w:rPr>
      </w:pPr>
      <w:r>
        <w:tab/>
        <w:t>Статья 10</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rPr>
          <w:i/>
        </w:rPr>
        <w:tab/>
        <w:t>Государства-участники принимают все соответствующие меры для т</w:t>
      </w:r>
      <w:r>
        <w:rPr>
          <w:i/>
        </w:rPr>
        <w:t>о</w:t>
      </w:r>
      <w:r>
        <w:rPr>
          <w:i/>
        </w:rPr>
        <w:t>го, чтобы ликвидировать дискриминацию в отношении женщин, с тем чтобы обеспечить им равные права с мужчинами в области образования и, в частн</w:t>
      </w:r>
      <w:r>
        <w:rPr>
          <w:i/>
        </w:rPr>
        <w:t>о</w:t>
      </w:r>
      <w:r>
        <w:rPr>
          <w:i/>
        </w:rPr>
        <w:t>сти, обеспечить на основе равенства мужчин и женщин:</w:t>
      </w:r>
      <w: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rPr>
          <w:i/>
        </w:rPr>
        <w:tab/>
        <w:t>а)</w:t>
      </w:r>
      <w:r>
        <w:rPr>
          <w:i/>
        </w:rPr>
        <w:tab/>
        <w:t>одинаковые условия для ориентации в выборе профессии или спец</w:t>
      </w:r>
      <w:r>
        <w:rPr>
          <w:i/>
        </w:rPr>
        <w:t>и</w:t>
      </w:r>
      <w:r>
        <w:rPr>
          <w:i/>
        </w:rPr>
        <w:t>альности, для доступа к образованию и получению дипломов в учебных завед</w:t>
      </w:r>
      <w:r>
        <w:rPr>
          <w:i/>
        </w:rPr>
        <w:t>е</w:t>
      </w:r>
      <w:r>
        <w:rPr>
          <w:i/>
        </w:rPr>
        <w:t>ниях всех категорий как в сельских, так и в городских районах; это равенство обеспечивается в дошкольном, общем, специальном и высшем техническом о</w:t>
      </w:r>
      <w:r>
        <w:rPr>
          <w:i/>
        </w:rPr>
        <w:t>б</w:t>
      </w:r>
      <w:r>
        <w:rPr>
          <w:i/>
        </w:rPr>
        <w:t>р</w:t>
      </w:r>
      <w:r>
        <w:rPr>
          <w:i/>
        </w:rPr>
        <w:t>а</w:t>
      </w:r>
      <w:r>
        <w:rPr>
          <w:i/>
        </w:rPr>
        <w:t>зовании, а также во всех видах профессиональной подготовки;</w:t>
      </w:r>
      <w: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rPr>
          <w:i/>
        </w:rPr>
        <w:tab/>
      </w:r>
      <w:r>
        <w:rPr>
          <w:i/>
          <w:lang w:val="en-US"/>
        </w:rPr>
        <w:t>b</w:t>
      </w:r>
      <w:r>
        <w:rPr>
          <w:i/>
        </w:rPr>
        <w:t>)</w:t>
      </w:r>
      <w:r>
        <w:rPr>
          <w:i/>
        </w:rPr>
        <w:tab/>
        <w:t>доступ к одинаковым программам обучения, одинаковым экзаменам, преподавательскому составу одинаковой квалификации, школьным помещен</w:t>
      </w:r>
      <w:r>
        <w:rPr>
          <w:i/>
        </w:rPr>
        <w:t>и</w:t>
      </w:r>
      <w:r>
        <w:rPr>
          <w:i/>
        </w:rPr>
        <w:t>ям и оборудованию равного качества;</w:t>
      </w:r>
      <w: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rPr>
          <w:i/>
        </w:rPr>
        <w:tab/>
      </w:r>
      <w:r>
        <w:rPr>
          <w:i/>
          <w:lang w:val="en-US"/>
        </w:rPr>
        <w:t>c</w:t>
      </w:r>
      <w:r>
        <w:rPr>
          <w:i/>
        </w:rPr>
        <w:t>)</w:t>
      </w:r>
      <w:r>
        <w:rPr>
          <w:i/>
        </w:rPr>
        <w:tab/>
        <w:t>устранение любой стереотипной концепции роли мужчин и женщин на всех уровнях и во всех формах обучения путем поощрения совместного об</w:t>
      </w:r>
      <w:r>
        <w:rPr>
          <w:i/>
        </w:rPr>
        <w:t>у</w:t>
      </w:r>
      <w:r>
        <w:rPr>
          <w:i/>
        </w:rPr>
        <w:t>чения и других видов обучения, которые будут содействовать достижению этой цели, и, в частности, путем пересмотра учебных пособий и школьных программ и адаптации методов обучения;</w:t>
      </w:r>
      <w: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rPr>
          <w:i/>
        </w:rPr>
        <w:tab/>
      </w:r>
      <w:r>
        <w:rPr>
          <w:i/>
          <w:lang w:val="en-US"/>
        </w:rPr>
        <w:t>d</w:t>
      </w:r>
      <w:r>
        <w:rPr>
          <w:i/>
        </w:rPr>
        <w:t>)</w:t>
      </w:r>
      <w:r>
        <w:rPr>
          <w:i/>
        </w:rPr>
        <w:tab/>
        <w:t>одинаковые возможности получения стипендий и других пособий на образование;</w:t>
      </w:r>
      <w: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rPr>
          <w:i/>
        </w:rPr>
        <w:tab/>
      </w:r>
      <w:r>
        <w:rPr>
          <w:i/>
          <w:lang w:val="en-US"/>
        </w:rPr>
        <w:t>e</w:t>
      </w:r>
      <w:r>
        <w:rPr>
          <w:i/>
        </w:rPr>
        <w:t>)</w:t>
      </w:r>
      <w:r>
        <w:rPr>
          <w:i/>
        </w:rPr>
        <w:tab/>
        <w:t>одинаковые возможности доступа к программам продолжения о</w:t>
      </w:r>
      <w:r>
        <w:rPr>
          <w:i/>
        </w:rPr>
        <w:t>б</w:t>
      </w:r>
      <w:r>
        <w:rPr>
          <w:i/>
        </w:rPr>
        <w:t>разования, включая программы распространения грамотности среди взрослых и программы функциональной грамотности, направленные, в частности, на сокращение как можно скорее любого разрыва в знаниях мужчин и женщин;</w:t>
      </w:r>
      <w: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rPr>
          <w:i/>
        </w:rPr>
        <w:tab/>
      </w:r>
      <w:r>
        <w:rPr>
          <w:i/>
          <w:lang w:val="en-US"/>
        </w:rPr>
        <w:t>f</w:t>
      </w:r>
      <w:r>
        <w:rPr>
          <w:i/>
        </w:rPr>
        <w:t>)</w:t>
      </w:r>
      <w:r>
        <w:rPr>
          <w:i/>
        </w:rPr>
        <w:tab/>
        <w:t>сокращение числа девушек, не заканчивающих школу, и разработку программ для девушек и женщин, преждевременно покинувших школу;</w:t>
      </w:r>
      <w: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rPr>
          <w:i/>
        </w:rPr>
        <w:tab/>
      </w:r>
      <w:r>
        <w:rPr>
          <w:i/>
          <w:lang w:val="en-US"/>
        </w:rPr>
        <w:t>g</w:t>
      </w:r>
      <w:r>
        <w:rPr>
          <w:i/>
        </w:rPr>
        <w:t>)</w:t>
      </w:r>
      <w:r>
        <w:rPr>
          <w:i/>
        </w:rPr>
        <w:tab/>
        <w:t>одинаковые возможности активно участвовать в занятиях спо</w:t>
      </w:r>
      <w:r>
        <w:rPr>
          <w:i/>
        </w:rPr>
        <w:t>р</w:t>
      </w:r>
      <w:r>
        <w:rPr>
          <w:i/>
        </w:rPr>
        <w:t>том и физической подгото</w:t>
      </w:r>
      <w:r>
        <w:rPr>
          <w:i/>
        </w:rPr>
        <w:t>в</w:t>
      </w:r>
      <w:r>
        <w:rPr>
          <w:i/>
        </w:rPr>
        <w:t>кой;</w:t>
      </w:r>
      <w: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rPr>
          <w:i/>
        </w:rPr>
        <w:tab/>
      </w:r>
      <w:r>
        <w:rPr>
          <w:i/>
          <w:lang w:val="en-US"/>
        </w:rPr>
        <w:t>h</w:t>
      </w:r>
      <w:r>
        <w:rPr>
          <w:i/>
        </w:rPr>
        <w:t>)</w:t>
      </w:r>
      <w:r>
        <w:rPr>
          <w:i/>
        </w:rPr>
        <w:tab/>
        <w:t>доступ к специальной информации образовательного характера в целях содействия обеспечению здоровья и благосостояния семей, включая и</w:t>
      </w:r>
      <w:r>
        <w:rPr>
          <w:i/>
        </w:rPr>
        <w:t>н</w:t>
      </w:r>
      <w:r>
        <w:rPr>
          <w:i/>
        </w:rPr>
        <w:t>формацию и консультации о планировании размера с</w:t>
      </w:r>
      <w:r>
        <w:rPr>
          <w:i/>
        </w:rPr>
        <w:t>е</w:t>
      </w:r>
      <w:r>
        <w:rPr>
          <w:i/>
        </w:rPr>
        <w:t>мьи.</w:t>
      </w:r>
      <w:r>
        <w:t xml:space="preserve">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exact"/>
        <w:ind w:left="1741" w:right="1260" w:hanging="720"/>
      </w:pPr>
      <w:r>
        <w:tab/>
        <w:t>1.</w:t>
      </w:r>
      <w:r>
        <w:tab/>
        <w:t xml:space="preserve">Содействие обеспечению равноправия в трудовой деятельности путем принятия мер в области трудовых отношений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КЛДЖ настоятельно призвал правительство активизировать усилия по и</w:t>
      </w:r>
      <w:r>
        <w:t>с</w:t>
      </w:r>
      <w:r>
        <w:t>коренению стереотипов, существующих в сфере просвещения для женщин, а также представлений в отношении определения квалификации и размеров о</w:t>
      </w:r>
      <w:r>
        <w:t>п</w:t>
      </w:r>
      <w:r>
        <w:t>латы труда применительно к традиционным сферам занятости женщин. Так, в частности, Комитет рекомендует принимать меры по взаимному обмену в сф</w:t>
      </w:r>
      <w:r>
        <w:t>е</w:t>
      </w:r>
      <w:r>
        <w:t>ре профессионально-технической подготовки в областях, где традиционно пр</w:t>
      </w:r>
      <w:r>
        <w:t>е</w:t>
      </w:r>
      <w:r>
        <w:t>обладают женщины или мужчины. Комитет настоятельно призывает также а</w:t>
      </w:r>
      <w:r>
        <w:t>к</w:t>
      </w:r>
      <w:r>
        <w:t>туализировать изучение гендерной проблематики во всех сферах просвещ</w:t>
      </w:r>
      <w:r>
        <w:t>е</w:t>
      </w:r>
      <w:r>
        <w:t xml:space="preserve">ния.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1 октября 2001 года министерство просвещения назначило Рабочую гру</w:t>
      </w:r>
      <w:r>
        <w:t>п</w:t>
      </w:r>
      <w:r>
        <w:t>пу по проекту "Равные возможности на рынках труда" в соответствии с План</w:t>
      </w:r>
      <w:r>
        <w:t>а</w:t>
      </w:r>
      <w:r>
        <w:t>ми действий в отношении политики Финляндии в области занятости на период 2001-2003 годов. Цель проекта заключается в воздействии на механизмы, ок</w:t>
      </w:r>
      <w:r>
        <w:t>а</w:t>
      </w:r>
      <w:r>
        <w:t>зывающие влияние на прием для обучения в различных сферах професси</w:t>
      </w:r>
      <w:r>
        <w:t>о</w:t>
      </w:r>
      <w:r>
        <w:t>нально-технической подготовки, с тем чтобы женщины и мужчины более ра</w:t>
      </w:r>
      <w:r>
        <w:t>в</w:t>
      </w:r>
      <w:r>
        <w:t>номерно распределялись в различных сферах профессионально-технического обучения. Задачи рабочей группы заключались в следующем: 1) разработать на краткосрочную и долгосрочную перспективу план мер с целью оказать возде</w:t>
      </w:r>
      <w:r>
        <w:t>й</w:t>
      </w:r>
      <w:r>
        <w:t>ствие на отбор предметов и профиля обучения учащимися и контролировать осуществление и результативность плана и мер, которые предстоит принять; 2) разработать план действий для оказания воздействия на культуру труда, с тем чтобы представители нетипичного для той или иной профессии пола чу</w:t>
      </w:r>
      <w:r>
        <w:t>в</w:t>
      </w:r>
      <w:r>
        <w:t>ствовали себя комфортно на рабочем месте и имели возможности для продв</w:t>
      </w:r>
      <w:r>
        <w:t>и</w:t>
      </w:r>
      <w:r>
        <w:t>жения по службе; а также 3) контролировать осуществление и результати</w:t>
      </w:r>
      <w:r>
        <w:t>в</w:t>
      </w:r>
      <w:r>
        <w:t xml:space="preserve">ность плана и мер, которые предстоит принять.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Рабочая группа предлагает, среди прочего, более активно использовать в преподавании научных предметов методы работы, ориентированные на пров</w:t>
      </w:r>
      <w:r>
        <w:t>е</w:t>
      </w:r>
      <w:r>
        <w:t>дение экспериментальных и лабораторных исследований и на применимость в местных условиях. Путем изменений в учебном плане следует также повысить заинтересованность девочек в изучении технических предметов. Следует также совершенствовать работу по профессиональной ориентации учащихся с учетом различных потребностей и ожиданий представителей обоих полов. Для соде</w:t>
      </w:r>
      <w:r>
        <w:t>й</w:t>
      </w:r>
      <w:r>
        <w:t>ствия обеспечению равноправия и закрепления практики, способствующей обеспечению равенства, следует разрабатывать различные модели поведения на рабочих местах. Следует также увеличить объем информации по вопросам обеспечения равенства. Кроме того, для побуждения мужчин к трудоустройству в сферах, где традиционно преобладают женщины, следует осуществлять ра</w:t>
      </w:r>
      <w:r>
        <w:t>з</w:t>
      </w:r>
      <w:r>
        <w:t>личные пр</w:t>
      </w:r>
      <w:r>
        <w:t>о</w:t>
      </w:r>
      <w:r>
        <w:t xml:space="preserve">екты.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Плане действий в отношении политики Финляндии в области занятости на 2002 год упоминаются следующие меры, направленные на снижение сегр</w:t>
      </w:r>
      <w:r>
        <w:t>е</w:t>
      </w:r>
      <w:r>
        <w:t xml:space="preserve">гации: </w:t>
      </w:r>
    </w:p>
    <w:p w:rsidR="00000000" w:rsidRDefault="00000000">
      <w:pPr>
        <w:pStyle w:val="SingleTxt"/>
        <w:numPr>
          <w:ilvl w:val="0"/>
          <w:numId w:val="326"/>
        </w:numPr>
        <w:tabs>
          <w:tab w:val="clear" w:pos="720"/>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num" w:pos="1710"/>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710" w:hanging="450"/>
      </w:pPr>
      <w:r>
        <w:t>проведение реформы основ учебных планов в школах в целом и в старших классах средней школы в частности, с тем чтобы их содержание и методы пр</w:t>
      </w:r>
      <w:r>
        <w:t>е</w:t>
      </w:r>
      <w:r>
        <w:t xml:space="preserve">подавания способствовали снижению сегрегации; </w:t>
      </w:r>
    </w:p>
    <w:p w:rsidR="00000000" w:rsidRDefault="00000000">
      <w:pPr>
        <w:pStyle w:val="SingleTxt"/>
        <w:numPr>
          <w:ilvl w:val="0"/>
          <w:numId w:val="326"/>
        </w:numPr>
        <w:tabs>
          <w:tab w:val="clear" w:pos="720"/>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num" w:pos="1710"/>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710" w:hanging="450"/>
      </w:pPr>
      <w:r>
        <w:t xml:space="preserve">внедрение проектов и практики, которые способствовали бы нетипичному выбору представителями обоих полов дисциплин для изучения; </w:t>
      </w:r>
    </w:p>
    <w:p w:rsidR="00000000" w:rsidRDefault="00000000">
      <w:pPr>
        <w:pStyle w:val="SingleTxt"/>
        <w:numPr>
          <w:ilvl w:val="0"/>
          <w:numId w:val="326"/>
        </w:numPr>
        <w:tabs>
          <w:tab w:val="clear" w:pos="720"/>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num" w:pos="1710"/>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710" w:hanging="450"/>
      </w:pPr>
      <w:r>
        <w:t>подготовка научно-технических разработок в отношении содержания, м</w:t>
      </w:r>
      <w:r>
        <w:t>е</w:t>
      </w:r>
      <w:r>
        <w:t>тодики и организации обуч</w:t>
      </w:r>
      <w:r>
        <w:t>е</w:t>
      </w:r>
      <w:r>
        <w:t xml:space="preserve">ния в целях снижения сегрегации; </w:t>
      </w:r>
    </w:p>
    <w:p w:rsidR="00000000" w:rsidRDefault="00000000">
      <w:pPr>
        <w:pStyle w:val="SingleTxt"/>
        <w:numPr>
          <w:ilvl w:val="0"/>
          <w:numId w:val="326"/>
        </w:numPr>
        <w:tabs>
          <w:tab w:val="clear" w:pos="720"/>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num" w:pos="1710"/>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710" w:hanging="450"/>
      </w:pPr>
      <w:r>
        <w:t>организация проведения кампаний с целью оказания воздействия на кул</w:t>
      </w:r>
      <w:r>
        <w:t>ь</w:t>
      </w:r>
      <w:r>
        <w:t>туру поведения на рабочих местах и создания атмосферы привлекательн</w:t>
      </w:r>
      <w:r>
        <w:t>о</w:t>
      </w:r>
      <w:r>
        <w:t>сти в отношении различных профессий, в частности в области машин</w:t>
      </w:r>
      <w:r>
        <w:t>о</w:t>
      </w:r>
      <w:r>
        <w:t xml:space="preserve">строения; </w:t>
      </w:r>
    </w:p>
    <w:p w:rsidR="00000000" w:rsidRDefault="00000000">
      <w:pPr>
        <w:pStyle w:val="SingleTxt"/>
        <w:numPr>
          <w:ilvl w:val="0"/>
          <w:numId w:val="326"/>
        </w:numPr>
        <w:tabs>
          <w:tab w:val="clear" w:pos="720"/>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num" w:pos="1710"/>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710" w:hanging="450"/>
      </w:pPr>
      <w:r>
        <w:t>развитие услуг в сфере обеспечения занятости, в частности услуг по пр</w:t>
      </w:r>
      <w:r>
        <w:t>е</w:t>
      </w:r>
      <w:r>
        <w:t>доставлению консультаций и рекомендаций с учетом гендерного факт</w:t>
      </w:r>
      <w:r>
        <w:t>о</w:t>
      </w:r>
      <w:r>
        <w:t xml:space="preserve">ра; </w:t>
      </w:r>
    </w:p>
    <w:p w:rsidR="00000000" w:rsidRDefault="00000000">
      <w:pPr>
        <w:pStyle w:val="SingleTxt"/>
        <w:numPr>
          <w:ilvl w:val="0"/>
          <w:numId w:val="326"/>
        </w:numPr>
        <w:tabs>
          <w:tab w:val="clear" w:pos="720"/>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num" w:pos="1710"/>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710" w:hanging="450"/>
      </w:pPr>
      <w:r>
        <w:t>проведение статистических исследований для установления областей с неравномерным распределением работников по признаку пола и наибол</w:t>
      </w:r>
      <w:r>
        <w:t>ь</w:t>
      </w:r>
      <w:r>
        <w:t>шей потребностью в рабочей силе на ближайшую перспе</w:t>
      </w:r>
      <w:r>
        <w:t>к</w:t>
      </w:r>
      <w:r>
        <w:t xml:space="preserve">тиву.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Осуществление национальной тематической программы, направленной на искоренение сегрегации и достижение вышеупомянутых целей на рынках тр</w:t>
      </w:r>
      <w:r>
        <w:t>у</w:t>
      </w:r>
      <w:r>
        <w:t>да, началось в 2003 году и будет продолжено вплоть до 2005 года. Кроме того, в рамках программ Европейского союза "Равенство" и "Европейские требования к персоналу 3" разрабатываются и распространяются рабочие модели, напра</w:t>
      </w:r>
      <w:r>
        <w:t>в</w:t>
      </w:r>
      <w:r>
        <w:t>ленные на снижение сегрегации в сфере образования и трудовой деятельности. Проекты направлены на оказание воздействия на выбор профессий женщинами и мужчинами за счет информации, профессиональной ориентации и рекоме</w:t>
      </w:r>
      <w:r>
        <w:t>н</w:t>
      </w:r>
      <w:r>
        <w:t xml:space="preserve">даций, профессиональной подготовки и обучения преподавательских кадров.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Кроме того, промышленность уже в течение длительного времени стр</w:t>
      </w:r>
      <w:r>
        <w:t>е</w:t>
      </w:r>
      <w:r>
        <w:t>мится к оказанию влияния на выбор профессий молодыми людьми. Среди п</w:t>
      </w:r>
      <w:r>
        <w:t>о</w:t>
      </w:r>
      <w:r>
        <w:t>следних проектов для учащихся всех школ можно назвать проведение Группой "ТАТ" с 1999 года кампаний под названием "Фабрика мечты". Цель заключ</w:t>
      </w:r>
      <w:r>
        <w:t>а</w:t>
      </w:r>
      <w:r>
        <w:t>лась в создании привлекательного представления у молодежи о работе в пр</w:t>
      </w:r>
      <w:r>
        <w:t>о</w:t>
      </w:r>
      <w:r>
        <w:t>мышленности и в подчеркивании важности мастерства и предпринимательских навыков. Вся эта работа была, естественно, направлена на оказание влияния на профессиональный выбор молодых женщин. Осуществление кампании было продо</w:t>
      </w:r>
      <w:r>
        <w:t>л</w:t>
      </w:r>
      <w:r>
        <w:t xml:space="preserve">жено в 2003 году.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своем Соглашении о политике в отношении доходов на 2003 и 2004 годы работающие на рынке труда организации достигли согласия об и</w:t>
      </w:r>
      <w:r>
        <w:t>н</w:t>
      </w:r>
      <w:r>
        <w:t>формировании молодых людей о различных призваниях и профессиях во всем их многообразии. Одна из идей, лежащих в его основе, заключалась в достиж</w:t>
      </w:r>
      <w:r>
        <w:t>е</w:t>
      </w:r>
      <w:r>
        <w:t xml:space="preserve">нии сбалансированности в представленности мужчин и женщин в различных секторах.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exact"/>
        <w:ind w:left="1741" w:right="1260" w:hanging="720"/>
      </w:pPr>
      <w:r>
        <w:tab/>
        <w:t>2.</w:t>
      </w:r>
      <w:r>
        <w:tab/>
        <w:t xml:space="preserve">Различия по признаку пола в сфере образования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Все финские девочки ходят в школу, а женщины отличаются образованн</w:t>
      </w:r>
      <w:r>
        <w:t>о</w:t>
      </w:r>
      <w:r>
        <w:t>стью. Среди женщин в возрасте от 20 до 64 лет среднее образование имеют 75,4 процента женщин, тогда как среди мужчин его имеют 71,5 процента. Кр</w:t>
      </w:r>
      <w:r>
        <w:t>о</w:t>
      </w:r>
      <w:r>
        <w:t>ме того, процентная доля лиц, имеющих высшее образование, в Финляндии выше среди женщин, чем среди мужчин. Отчасти это объясняется тем, что н</w:t>
      </w:r>
      <w:r>
        <w:t>е</w:t>
      </w:r>
      <w:r>
        <w:t xml:space="preserve">посредственно после окончания общеобразовательной школы женщины чаще, чем мужчины продолжают свое образование. Из числа окончивших в 2001 году общеобразовательную школу девушек 65 процентов продолжили свое среднее образование в том же году, тогда как лишь 46 процентов мужчин продолжили свое образование в средней школе, а 45 процентов - продолжили образование в профессионально-технических училищах.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Женщины составили в 2001 году 59 процентов лиц, получивших диплом после окончания университета. Доля женщин среди закончивших аспирантуру в том же году составила 46 процентов (лица, получившие степень лицензиата или доктора). Доля женщин, получивших степень лицензиата или доктора, во</w:t>
      </w:r>
      <w:r>
        <w:t>з</w:t>
      </w:r>
      <w:r>
        <w:t xml:space="preserve">росла с 15 процентов в 1975 году до 33 процентов в 2001 году.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Хотя для молодых женщин Финляндии особенно характерна высокая о</w:t>
      </w:r>
      <w:r>
        <w:t>б</w:t>
      </w:r>
      <w:r>
        <w:t>разованность, существует деление на преимущественно женские и преимущ</w:t>
      </w:r>
      <w:r>
        <w:t>е</w:t>
      </w:r>
      <w:r>
        <w:t>ственно мужские сферы образования. В 2001 году свыше 80 процентов лиц с техническим образованием составляли мужчины, тогда как среди лиц, имевших образование в сфере общественных наук или медицины, женщины составляли 89 процентов. Кроме того, женщины преобладают в таких областях, как пр</w:t>
      </w:r>
      <w:r>
        <w:t>о</w:t>
      </w:r>
      <w:r>
        <w:t>свещение, оказание услуг и искусства, где их доля составляет около 70 процентов. Женщины явно преобладают также в сфере подготовительного образования имм</w:t>
      </w:r>
      <w:r>
        <w:t>и</w:t>
      </w:r>
      <w:r>
        <w:t xml:space="preserve">грантов.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Женщины проходят обучение в течение более длительного времени, чем мужчины, и приходят на рынки труда в более зрелом возрасте. Среди работа</w:t>
      </w:r>
      <w:r>
        <w:t>ю</w:t>
      </w:r>
      <w:r>
        <w:t xml:space="preserve">щих по найму лиц имеющие университетский диплом женщины составляли 39 процентов, тогда как мужчины </w:t>
      </w:r>
      <w:r>
        <w:noBreakHyphen/>
        <w:t xml:space="preserve"> 31 процент.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Подвергнутое всеобъемлющему реформированию законодательство в сфере образования вступило в силу 1 января 1999 года. В связи с проведением законодательной реформы особое внимание уделялось обеспечению качества образования и равных услуг в сфере образования. Законодательство включало та</w:t>
      </w:r>
      <w:r>
        <w:t>к</w:t>
      </w:r>
      <w:r>
        <w:t xml:space="preserve">же положение о праве учащегося на безопасную учебную атмосферу.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Финское базовое образование основано на нейтральном с точки зрения гендерных факторов образе мышления, что, несмотря на лежащее в его основе равенство, может на практике приводить к неравенству в системе образования. Так, например, в учебных планах школ не предусматривается обучение по в</w:t>
      </w:r>
      <w:r>
        <w:t>о</w:t>
      </w:r>
      <w:r>
        <w:t>просам обеспечения равенства, а само преподавание необязательно способс</w:t>
      </w:r>
      <w:r>
        <w:t>т</w:t>
      </w:r>
      <w:r>
        <w:t>вует развитию понимания гендерных вопросов. По мнению ряда НПО, на пра</w:t>
      </w:r>
      <w:r>
        <w:t>к</w:t>
      </w:r>
      <w:r>
        <w:t>тике следует уделять больше внимания пропагандированию при подготовке преподавателей, учебных планов и выпуске учебных пособий моделям и пра</w:t>
      </w:r>
      <w:r>
        <w:t>к</w:t>
      </w:r>
      <w:r>
        <w:t>тике, способствующим осознанному восприятию гендерных вопросов и ра</w:t>
      </w:r>
      <w:r>
        <w:t>в</w:t>
      </w:r>
      <w:r>
        <w:t>ным подходам к методике преподавания. По их же мнению, разрабатываемые в целях практической реализации равенства программы действий следует ра</w:t>
      </w:r>
      <w:r>
        <w:t>с</w:t>
      </w:r>
      <w:r>
        <w:t>пространить на всю систему образования. Кроме того, следует повысить зн</w:t>
      </w:r>
      <w:r>
        <w:t>а</w:t>
      </w:r>
      <w:r>
        <w:t>чимость профессиональной подготовки в областях, где традиционно преобл</w:t>
      </w:r>
      <w:r>
        <w:t>а</w:t>
      </w:r>
      <w:r>
        <w:t xml:space="preserve">дают женщины, и содействовать привлечению юношей к сферам деятельности, в которых традиционно преобладают девушки.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При рассмотрении министерством просвещения вопросов финансиров</w:t>
      </w:r>
      <w:r>
        <w:t>а</w:t>
      </w:r>
      <w:r>
        <w:t>ния политехнических учебных заведений уделялось внимание устранению больших перекосов в специализации по ряду дисциплин, где наблюдается тр</w:t>
      </w:r>
      <w:r>
        <w:t>а</w:t>
      </w:r>
      <w:r>
        <w:t>диционное преобладание либо юношей, либо девушек. Дополнительное фина</w:t>
      </w:r>
      <w:r>
        <w:t>н</w:t>
      </w:r>
      <w:r>
        <w:t>сирование в качестве поощрения практики по обеспечению равенства мужчин и женщин было предоставлено тем политехническим учебным заведениям, к</w:t>
      </w:r>
      <w:r>
        <w:t>о</w:t>
      </w:r>
      <w:r>
        <w:t>торые добились успехов в привлечении к учебным программам студентов и преподавателей из числа представителей того пола, который ранее был пре</w:t>
      </w:r>
      <w:r>
        <w:t>д</w:t>
      </w:r>
      <w:r>
        <w:t>ставлен в мен</w:t>
      </w:r>
      <w:r>
        <w:t>ь</w:t>
      </w:r>
      <w:r>
        <w:t xml:space="preserve">шей степени.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Программа развития математики и естественных наук "ЛУМА", осущес</w:t>
      </w:r>
      <w:r>
        <w:t>т</w:t>
      </w:r>
      <w:r>
        <w:t>влявшаяся в период 1996-2002 годов, была также направлена на содействие обеспечению равенства мужчин и женщин в этих областях. В программе пр</w:t>
      </w:r>
      <w:r>
        <w:t>и</w:t>
      </w:r>
      <w:r>
        <w:t>няли участие органы просвещения, школы и другие образовательные учрежд</w:t>
      </w:r>
      <w:r>
        <w:t>е</w:t>
      </w:r>
      <w:r>
        <w:t>ния, а также университеты, деловые круги и ряд организаций. По данным з</w:t>
      </w:r>
      <w:r>
        <w:t>а</w:t>
      </w:r>
      <w:r>
        <w:t>ключительного доклада, доля женщин среди вновь принятых студентов на ф</w:t>
      </w:r>
      <w:r>
        <w:t>а</w:t>
      </w:r>
      <w:r>
        <w:t>культетах технологии и естественных наук в университетах возросла с 20 до 24 процентов. В тот же период благодаря росту числа новых учебных мест на факультетах естественных наук и технологии абсолютная численность женщин возросла на 68 процентов. Университеты организовали проведение курсов и осуществление проектов, конкретно направленных на привлечение женщин к обучению математике и естественным наукам. Цель заключалась также в пр</w:t>
      </w:r>
      <w:r>
        <w:t>и</w:t>
      </w:r>
      <w:r>
        <w:t>влечении большего числа женщин к обучению этим дисциплинам за счет ра</w:t>
      </w:r>
      <w:r>
        <w:t>з</w:t>
      </w:r>
      <w:r>
        <w:t xml:space="preserve">работки структуры получения ученых степеней и создания учебных программ, охватывающих несколько научных областей.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Вопросы обеспечения равенства мужчин и женщин заняли также более заметное место и в процессе подготовки преподавателей. Помимо обязател</w:t>
      </w:r>
      <w:r>
        <w:t>ь</w:t>
      </w:r>
      <w:r>
        <w:t>ных предметов, изучаемых на педагогических факультетах, вопросы обеспеч</w:t>
      </w:r>
      <w:r>
        <w:t>е</w:t>
      </w:r>
      <w:r>
        <w:t>ния равенства мужчин и женщин рассматриваются также и на других учебных факультетах, и студенты могут выбирать для себя курс обучения, связанный с вопросами обеспечения равенства, в качестве добровольного, при занятиях л</w:t>
      </w:r>
      <w:r>
        <w:t>и</w:t>
      </w:r>
      <w:r>
        <w:t xml:space="preserve">тературой, а также в форме курсов, инициатива преподавания которых исходит от самих студентов.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Силы обороны также поставили перед собой цель привлечения в их ряды большего числа женщин. Так в рекламных объявлениях, предназначенных для молодежи, содержится информация о наличии в силах обороны военных и гр</w:t>
      </w:r>
      <w:r>
        <w:t>а</w:t>
      </w:r>
      <w:r>
        <w:t>жданских должностей, которые могут быть заняты женщинами. Возможности в отношении должностных окладов и профессионального роста в силах обороны предоставляются женщинам наравне с мужчинами после прохождения один</w:t>
      </w:r>
      <w:r>
        <w:t>а</w:t>
      </w:r>
      <w:r>
        <w:t>ковой подготовки, и для них предусмотрены равные периоды службы. Что к</w:t>
      </w:r>
      <w:r>
        <w:t>а</w:t>
      </w:r>
      <w:r>
        <w:t>сается гражданских должностей, то различие в представленности лиц мужского и женского пола является таким же, как и во всем обществе. В настоящее время женщины имеют также доступ к профессиональной подготовке для службы в силах обороны, а при призыве на военную службу женщинам могут ставиться те же задачи по профессиональной подготовке, что и для всех новобранцев. В течение отчетного периода женщины проходили профессиональную подг</w:t>
      </w:r>
      <w:r>
        <w:t>о</w:t>
      </w:r>
      <w:r>
        <w:t>товку в качестве офицеров в Национальном колледже сил обороны, в том числе в специальном корпусе, а процесс их обучения ничем не отличается от проце</w:t>
      </w:r>
      <w:r>
        <w:t>с</w:t>
      </w:r>
      <w:r>
        <w:t xml:space="preserve">са обучения курсантов-мужчин.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2000 году Академия Финляндии утвердила План обеспечения равенства мужчин и женщин на 2001-2003 годы, предусматривающий ряд мер по соде</w:t>
      </w:r>
      <w:r>
        <w:t>й</w:t>
      </w:r>
      <w:r>
        <w:t>ствию профессиональному росту женщин, работающих на должностях иссл</w:t>
      </w:r>
      <w:r>
        <w:t>е</w:t>
      </w:r>
      <w:r>
        <w:t>дователей. В соответствии с Планом советы по вопросам исследований обяз</w:t>
      </w:r>
      <w:r>
        <w:t>а</w:t>
      </w:r>
      <w:r>
        <w:t>ны обеспечивать не менее чем 40-процентную представленность лиц женского пола на должностях исследователей, если в силу конкретных причин не пред</w:t>
      </w:r>
      <w:r>
        <w:t>у</w:t>
      </w:r>
      <w:r>
        <w:t>смотрено иного. Эти меры касаются финансируемых за счет Академии дол</w:t>
      </w:r>
      <w:r>
        <w:t>ж</w:t>
      </w:r>
      <w:r>
        <w:t>ностей исследователей, а в Плане учитываются также такие вопросы, как сб</w:t>
      </w:r>
      <w:r>
        <w:t>а</w:t>
      </w:r>
      <w:r>
        <w:t>лансированность между исследовательской работой и семейной жизнью, а та</w:t>
      </w:r>
      <w:r>
        <w:t>к</w:t>
      </w:r>
      <w:r>
        <w:t>же особые потребности молодых исследователей и исследователей-женщин. Осенью 2003 года План обеспечения равенства мужчин и женщин будет по</w:t>
      </w:r>
      <w:r>
        <w:t>д</w:t>
      </w:r>
      <w:r>
        <w:t>вергнут реформированию. Судя по поступившим в течение последних пяти лет данным, количество женщин, нанятых на работу на должности исследователей в Академии Финляндии всеми советами по вопросам исследований, явно пр</w:t>
      </w:r>
      <w:r>
        <w:t>е</w:t>
      </w:r>
      <w:r>
        <w:t xml:space="preserve">вышает их долю среди тех, кто подал заявки на занятие этих должностей или выразил желание занять эти должности. Улучшается и положение с занятостью женщин среди сотрудников Академии Финляндии.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Возросла также доля женщин среди преподавательского состава униве</w:t>
      </w:r>
      <w:r>
        <w:t>р</w:t>
      </w:r>
      <w:r>
        <w:t>ситетов. В 1999 году женщины составляли 17,9 процента профессоров униве</w:t>
      </w:r>
      <w:r>
        <w:t>р</w:t>
      </w:r>
      <w:r>
        <w:t>ситета. В 2002 году соответствующая цифра составила 21,2 процента, что явл</w:t>
      </w:r>
      <w:r>
        <w:t>я</w:t>
      </w:r>
      <w:r>
        <w:t>ется наивысшим показателем для Европейского союза. По оценкам професси</w:t>
      </w:r>
      <w:r>
        <w:t>о</w:t>
      </w:r>
      <w:r>
        <w:t>нальных ассоциаций, в долгосрочной перспективе тенденция к увеличению д</w:t>
      </w:r>
      <w:r>
        <w:t>о</w:t>
      </w:r>
      <w:r>
        <w:t>ли женщин среди профессоров университетов сохранится и впредь, поскольку женщин становится все больше среди студентов, а также среди лиц, получи</w:t>
      </w:r>
      <w:r>
        <w:t>в</w:t>
      </w:r>
      <w:r>
        <w:t xml:space="preserve">ших диплом об окончании университета или ученую степень после окончания аспирантуры.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Федерация одиноких родителей Финляндии обращает внимание на те а</w:t>
      </w:r>
      <w:r>
        <w:t>с</w:t>
      </w:r>
      <w:r>
        <w:t>пекты системы поддержки образования, которые свидетельствуют о дискрим</w:t>
      </w:r>
      <w:r>
        <w:t>и</w:t>
      </w:r>
      <w:r>
        <w:t>нации в отношении женщин. По ее мнению, в рамках системы пособий для поддержки образования не уделяется достаточного внимания потребностям в связи с выполнением родительских обязанностей и связанным с ними особым потребностям. Субсидии на образование не предусматривают отдельной стр</w:t>
      </w:r>
      <w:r>
        <w:t>о</w:t>
      </w:r>
      <w:r>
        <w:t>кой ассигнования для одиноких родителей, и студенты не обретают автомат</w:t>
      </w:r>
      <w:r>
        <w:t>и</w:t>
      </w:r>
      <w:r>
        <w:t>чески право на оказание финансового содействия со стороны муниципалит</w:t>
      </w:r>
      <w:r>
        <w:t>е</w:t>
      </w:r>
      <w:r>
        <w:t>тов. На практике обучающиеся одинокие родители зачастую не имеют возмо</w:t>
      </w:r>
      <w:r>
        <w:t>ж</w:t>
      </w:r>
      <w:r>
        <w:t>ности для работы по вечерам или в выходные дни в целях повышения доходов семьи. С другой стороны, в системе поддержки обучения предусмотрен пр</w:t>
      </w:r>
      <w:r>
        <w:t>е</w:t>
      </w:r>
      <w:r>
        <w:t>дельный объем получаемых доходов, который является одним и тем же незав</w:t>
      </w:r>
      <w:r>
        <w:t>и</w:t>
      </w:r>
      <w:r>
        <w:t>симо от того, есть или нет дети у студента. Поскольку большинство одиноких родителей - это женщины, проблемы, существующие в системе поддержки о</w:t>
      </w:r>
      <w:r>
        <w:t>б</w:t>
      </w:r>
      <w:r>
        <w:t xml:space="preserve">разования, касаются конкретно женщин.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exact"/>
        <w:ind w:left="1741" w:right="1260" w:hanging="720"/>
      </w:pPr>
      <w:r>
        <w:tab/>
        <w:t>3.</w:t>
      </w:r>
      <w:r>
        <w:tab/>
        <w:t>Меры, касающиеся политики в отношении молодежи и спорта</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exact"/>
        <w:ind w:left="1741" w:right="1260" w:hanging="720"/>
        <w:rPr>
          <w:i/>
        </w:rPr>
      </w:pPr>
      <w:r>
        <w:tab/>
      </w:r>
      <w:r>
        <w:rPr>
          <w:i/>
        </w:rPr>
        <w:t>3.1.</w:t>
      </w:r>
      <w:r>
        <w:rPr>
          <w:i/>
        </w:rPr>
        <w:tab/>
        <w:t>Политика в отношении молодежи</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соответствии с Законом о работе молодежи (235/1995) труд молодежи и проводимые ею мероприятия должны способствовать установлению равнопр</w:t>
      </w:r>
      <w:r>
        <w:t>а</w:t>
      </w:r>
      <w:r>
        <w:t>вия между различными поколениями людей, между женщинами и мужчинами, людьми, проживающими в различных регионах Финляндии, а также созданию атмосферы терпимости и поликультурности. В соответствии с Законом о раб</w:t>
      </w:r>
      <w:r>
        <w:t>о</w:t>
      </w:r>
      <w:r>
        <w:t>те молодежи ответственность за руководство молодыми людьми в процессе их труда и за проводимые ими мероприятия возлагается на министерство просв</w:t>
      </w:r>
      <w:r>
        <w:t>е</w:t>
      </w:r>
      <w:r>
        <w:t>щения. Ответственность же за саму работу молодых людей возлагается в пе</w:t>
      </w:r>
      <w:r>
        <w:t>р</w:t>
      </w:r>
      <w:r>
        <w:t>вую очередь на государство, муниципалитеты и молодежные организации. За проведение мероприятий для молодежи в основном отвечают сами молодые люди и те коммуны, где они проживают, а также различные молодежные орг</w:t>
      </w:r>
      <w:r>
        <w:t>а</w:t>
      </w:r>
      <w:r>
        <w:t xml:space="preserve">низации.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При оказании финансовой поддержки национальным и другим молоде</w:t>
      </w:r>
      <w:r>
        <w:t>ж</w:t>
      </w:r>
      <w:r>
        <w:t>ным организациям, а также организациям, занимающимся работой с молод</w:t>
      </w:r>
      <w:r>
        <w:t>е</w:t>
      </w:r>
      <w:r>
        <w:t>жью, принимаются во внимание и вопросы обеспечения равенства. При обо</w:t>
      </w:r>
      <w:r>
        <w:t>с</w:t>
      </w:r>
      <w:r>
        <w:t>новании необходимости оказания государственной помощи национальным о</w:t>
      </w:r>
      <w:r>
        <w:t>р</w:t>
      </w:r>
      <w:r>
        <w:t>ганизациям ставится цель учета аспектов равенства. Министерство просвещ</w:t>
      </w:r>
      <w:r>
        <w:t>е</w:t>
      </w:r>
      <w:r>
        <w:t>ния оказывает поддержку различным проектам, направленным на улучшение положения дел с обеспечением равенства, особенно среди этнических мен</w:t>
      </w:r>
      <w:r>
        <w:t>ь</w:t>
      </w:r>
      <w:r>
        <w:t xml:space="preserve">шинств.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При проведении исследований по проблемам молодежи вопросы обесп</w:t>
      </w:r>
      <w:r>
        <w:t>е</w:t>
      </w:r>
      <w:r>
        <w:t>чения равенства по-прежнему сохраняют свою актуальность. Помимо исслед</w:t>
      </w:r>
      <w:r>
        <w:t>о</w:t>
      </w:r>
      <w:r>
        <w:t xml:space="preserve">ваний в отношении девочек и девушек проводились и исследования о роли и положении мальчиков и юношей.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Работа по проекту "ТАСАНУПО" (Равенство в молодежной политике), к</w:t>
      </w:r>
      <w:r>
        <w:t>о</w:t>
      </w:r>
      <w:r>
        <w:t>торая была начата в 1998 году отделом молодежной политики министерства просвещения, продолжалась, как это и было запланировано, до 2000 года. В рамках этого проекта удалось привлечь первостепенное внимание при пров</w:t>
      </w:r>
      <w:r>
        <w:t>е</w:t>
      </w:r>
      <w:r>
        <w:t>дении молодежной политики к вопросам обеспечения равенства. Он помог со</w:t>
      </w:r>
      <w:r>
        <w:t>з</w:t>
      </w:r>
      <w:r>
        <w:t>дать основу для внедрения системы самооценки труда молодых людей и оценки положения с обеспечением равенства в двух экспериментальных реги</w:t>
      </w:r>
      <w:r>
        <w:t>о</w:t>
      </w:r>
      <w:r>
        <w:t xml:space="preserve">нах.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Кроме того, Ассоциация финских местных и региональных органов вл</w:t>
      </w:r>
      <w:r>
        <w:t>а</w:t>
      </w:r>
      <w:r>
        <w:t>сти осуществила исследовательский проект ("Нуортен Суоми 2001"), проведя опрос среди молодых людей в возрасте 18-26 лет относительно их представл</w:t>
      </w:r>
      <w:r>
        <w:t>е</w:t>
      </w:r>
      <w:r>
        <w:t>ний о своих собственных муниципалитетах и их муниципальных образованиях, планов в отношении переезда, муниципальных услуг и должностей в госуда</w:t>
      </w:r>
      <w:r>
        <w:t>р</w:t>
      </w:r>
      <w:r>
        <w:t>ственном секторе, а также отношения молодежи к влиянию со стороны общ</w:t>
      </w:r>
      <w:r>
        <w:t>е</w:t>
      </w:r>
      <w:r>
        <w:t xml:space="preserve">ства и муниципальной демократии. Исследовательский проект осуществлялся в три этапа - в 1996, 1998 и 2001 годах, и в ходе его проведения неоднократно распространялась информация о достигнутых результатах.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Судя по данным проведенного обследования, 42 процента молодых людей Финляндии в возрасте 18-26 лет проживают со своими родителями. Мужчины покидают родительский кров в среднем в возрасте 19,9 лет, а женщины - в во</w:t>
      </w:r>
      <w:r>
        <w:t>з</w:t>
      </w:r>
      <w:r>
        <w:t>расте 18,8 лет. Среди проживающих со своими родителями молодых людей всех возрастных групп, безусловно, преобладали мужчины. Самой главной причиной для проживания молодых финнов в доме своих родителей была пр</w:t>
      </w:r>
      <w:r>
        <w:t>и</w:t>
      </w:r>
      <w:r>
        <w:t>чина экономического характера. Однако другими важными причинами прож</w:t>
      </w:r>
      <w:r>
        <w:t>и</w:t>
      </w:r>
      <w:r>
        <w:t>вания молодых людей в возрасте старше 24 лет в доме своих родителей были безработица и потребность в помощи со стороны родителей. Результаты иссл</w:t>
      </w:r>
      <w:r>
        <w:t>е</w:t>
      </w:r>
      <w:r>
        <w:t>дования показали, что молодые люди верят также в свои собственные возмо</w:t>
      </w:r>
      <w:r>
        <w:t>ж</w:t>
      </w:r>
      <w:r>
        <w:t>ности оказывать влияние на принятие решений в обществе и что они хотят поддерживать основные структуры общества. С другой стороны, молодые люди не верят публичным деятелям, принимающим решения по таким важным для общества вопросам, как система здр</w:t>
      </w:r>
      <w:r>
        <w:t>а</w:t>
      </w:r>
      <w:r>
        <w:t xml:space="preserve">воохранения и просвещения.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exact"/>
        <w:ind w:left="1741" w:right="1260" w:hanging="720"/>
      </w:pPr>
      <w:r>
        <w:tab/>
      </w:r>
      <w:r>
        <w:rPr>
          <w:i/>
        </w:rPr>
        <w:t>3.2.</w:t>
      </w:r>
      <w:r>
        <w:rPr>
          <w:i/>
        </w:rPr>
        <w:tab/>
        <w:t>Политика в области спорта</w:t>
      </w:r>
      <w:r>
        <w:t xml:space="preserve">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Среди лиц, занимающихся состязательными видами спорта, а также большим спортом, наблюдается значительное преобладание мужчин, что имело существенное значение при обсуждении вопросов обеспечения равноправия; аналогичная тенденция проявляется и в других спортивных сферах, таких, как детский и молодежный спорт, а также в положении с занятием спортом взро</w:t>
      </w:r>
      <w:r>
        <w:t>с</w:t>
      </w:r>
      <w:r>
        <w:t>лыми и с развитием спорта. Результаты проведенного исследования показали, что на спортивные сооружения для мужчин и мальчиков по-прежнему расход</w:t>
      </w:r>
      <w:r>
        <w:t>у</w:t>
      </w:r>
      <w:r>
        <w:t>ется больше средств, нежели на спортивные сооружения для девочек и же</w:t>
      </w:r>
      <w:r>
        <w:t>н</w:t>
      </w:r>
      <w:r>
        <w:t xml:space="preserve">щин.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Согласно цели, поставленной в разделе 1 Закона о спорте (1054/1998), к</w:t>
      </w:r>
      <w:r>
        <w:t>о</w:t>
      </w:r>
      <w:r>
        <w:t>торый вступил в силу в 1999 году, данный закон направлен на содействие обе</w:t>
      </w:r>
      <w:r>
        <w:t>с</w:t>
      </w:r>
      <w:r>
        <w:t>печению равноправия мужчин и женщин в занятиях спортом. Было осущест</w:t>
      </w:r>
      <w:r>
        <w:t>в</w:t>
      </w:r>
      <w:r>
        <w:t xml:space="preserve">лено несколько проектов и был принят ряд мер, направленных на фактическое обеспечение равенства.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2000 году в Финляндии было организовано проведение Конференции сети "Европейские женщины и спорт" (ЕЖС). В 1998-2000 годах Федерация спорта Финляндии председательствовала в этой организации. Тематика Конф</w:t>
      </w:r>
      <w:r>
        <w:t>е</w:t>
      </w:r>
      <w:r>
        <w:t>ренции включала рассмотрение вопроса об увеличении доли женщин на св</w:t>
      </w:r>
      <w:r>
        <w:t>я</w:t>
      </w:r>
      <w:r>
        <w:t>занных с принятием решений должностях в спортивных организациях и вопр</w:t>
      </w:r>
      <w:r>
        <w:t>о</w:t>
      </w:r>
      <w:r>
        <w:t xml:space="preserve">са об укреплении сети ЕЖС.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течение 2001 года министерство просвещения разработало критерии оценки эффективности работы национальных спортивных ассоциаций. Крит</w:t>
      </w:r>
      <w:r>
        <w:t>е</w:t>
      </w:r>
      <w:r>
        <w:t>рий оценки общественной эффективности был использован в целях фактич</w:t>
      </w:r>
      <w:r>
        <w:t>е</w:t>
      </w:r>
      <w:r>
        <w:t>ского обеспечения равенства женщин и мужчин при занятиях спортом в Фи</w:t>
      </w:r>
      <w:r>
        <w:t>н</w:t>
      </w:r>
      <w:r>
        <w:t>ляндии, что и составляет одну из целей и главную направленность Закона о спорте. Задача заключается в использовании данного критерия для создания такой атмосферы для занятий спортом, при которой девочки, мальчики, же</w:t>
      </w:r>
      <w:r>
        <w:t>н</w:t>
      </w:r>
      <w:r>
        <w:t>щины и мужчины имели бы равные возможности как для самих занятий спо</w:t>
      </w:r>
      <w:r>
        <w:t>р</w:t>
      </w:r>
      <w:r>
        <w:t>том, так и для участия в процессе принятия решений. В ходе фактического обеспечения равенства следует также уделять внимание потребностям отдел</w:t>
      </w:r>
      <w:r>
        <w:t>ь</w:t>
      </w:r>
      <w:r>
        <w:t>ных групп в занятиях спортом. В равной степени привить культуру занятий спортом представителям обоих полов можно путем изменения их отношения, что можно сказать и обо всех программах, направленных на постоянное внес</w:t>
      </w:r>
      <w:r>
        <w:t>е</w:t>
      </w:r>
      <w:r>
        <w:t xml:space="preserve">ние изменений качественного характера.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Результативность мер по обеспечению равенства оценивается по спорти</w:t>
      </w:r>
      <w:r>
        <w:t>в</w:t>
      </w:r>
      <w:r>
        <w:t>ным дисциплинам с учетом их специфики и нынешнего состояния. В основу же оценки состояния берутся статистические данные о числе занимающихся той или иной спортивной дисциплиной мужчин и женщин. Полученные результаты сопоставляются, в том числе с учетом соотношения мужчин и женщин, зан</w:t>
      </w:r>
      <w:r>
        <w:t>и</w:t>
      </w:r>
      <w:r>
        <w:t>мающих руководящие посты в данной сфере. Показатели повышения уровня и вклада ассоциаций в дело обеспечения равных возможностей оцениваются также на основе письменных докладов, запрашиваемых у ассоциаций в отн</w:t>
      </w:r>
      <w:r>
        <w:t>о</w:t>
      </w:r>
      <w:r>
        <w:t>шении мер, принятых или запланированных к принятию той или иной ассоци</w:t>
      </w:r>
      <w:r>
        <w:t>а</w:t>
      </w:r>
      <w:r>
        <w:t>цией, отвечающей за данный вид спо</w:t>
      </w:r>
      <w:r>
        <w:t>р</w:t>
      </w:r>
      <w:r>
        <w:t xml:space="preserve">та.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Помимо этого, министерство просвещения оказало помощь на цели ра</w:t>
      </w:r>
      <w:r>
        <w:t>з</w:t>
      </w:r>
      <w:r>
        <w:t>вития для поддержки отдельных проектов, преследующих цель, в частности, создания предпосылок для развития командных женских видов спорта. Мин</w:t>
      </w:r>
      <w:r>
        <w:t>и</w:t>
      </w:r>
      <w:r>
        <w:t>стерство ежегодно вручает приз "Спайкс" или премии "Спайкс" отдельным л</w:t>
      </w:r>
      <w:r>
        <w:t>и</w:t>
      </w:r>
      <w:r>
        <w:t>цам, коммунам или работающим по проектам людям, внесшим вклад в обесп</w:t>
      </w:r>
      <w:r>
        <w:t>е</w:t>
      </w:r>
      <w:r>
        <w:t xml:space="preserve">чение равенства в спорте.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1996-2001 годах министерство просвещения вместе с подведомственной ему спортивной организацией Федерация спорта Финляндии оказала поддер</w:t>
      </w:r>
      <w:r>
        <w:t>ж</w:t>
      </w:r>
      <w:r>
        <w:t>ку местным и региональным проектам, направленным на пропагандирование участия иммигрантов в спортивных мероприятиях и на предотвращение этн</w:t>
      </w:r>
      <w:r>
        <w:t>и</w:t>
      </w:r>
      <w:r>
        <w:t>ческой нетерпимости с помощью спорта. Одна из главных целей оказания по</w:t>
      </w:r>
      <w:r>
        <w:t>д</w:t>
      </w:r>
      <w:r>
        <w:t xml:space="preserve">держки заключалась в поощрении занятий спортом женщинами и девочками из числа иммигрантов.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Отдел спорта министерства просвещения занимается в настоящее время подготовкой экспериментального проекта "СУВАУС" по оценке влияния ге</w:t>
      </w:r>
      <w:r>
        <w:t>н</w:t>
      </w:r>
      <w:r>
        <w:t xml:space="preserve">дерных факторов на распределение и выделение финансовых средств на цели спорта. Осуществление проекта планируется начать в 2004 году.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exact"/>
        <w:ind w:left="1741" w:right="1260" w:hanging="720"/>
      </w:pPr>
      <w:r>
        <w:tab/>
        <w:t>4.</w:t>
      </w:r>
      <w:r>
        <w:tab/>
        <w:t xml:space="preserve">Исследования, касающиеся женщин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Сфера исследований по женской проблематике получила быстрое разв</w:t>
      </w:r>
      <w:r>
        <w:t>и</w:t>
      </w:r>
      <w:r>
        <w:t>тие и приобрела многосторонний характер в 90</w:t>
      </w:r>
      <w:r>
        <w:noBreakHyphen/>
        <w:t>е годы, а начало проведению этих исследований в университетах Финляндии было положено благодаря со</w:t>
      </w:r>
      <w:r>
        <w:t>з</w:t>
      </w:r>
      <w:r>
        <w:t>данию восьми профессорских должностей министерством просвещения (Хел</w:t>
      </w:r>
      <w:r>
        <w:t>ь</w:t>
      </w:r>
      <w:r>
        <w:t>синский университет, университеты в Йоэнсуу, Ювяскуля, Оулу, Тампере, Ту</w:t>
      </w:r>
      <w:r>
        <w:t>р</w:t>
      </w:r>
      <w:r>
        <w:t>ку, Шведский университет и Або Академия). Согласившись на это финансир</w:t>
      </w:r>
      <w:r>
        <w:t>о</w:t>
      </w:r>
      <w:r>
        <w:t>вание, университеты взяли на себя обязательство выплачивать вознаграждение профессорам. В настоящее время это финансирование прекратилось или пр</w:t>
      </w:r>
      <w:r>
        <w:t>е</w:t>
      </w:r>
      <w:r>
        <w:t>кращается во всех университетах. Из тех должностей профессоров, которые оплачиваются университетами, штатными являются лишь несколько, и лишь одна из штатных должностей профессоров занята постоянно. Лапландский университет инициировал широкомасштабное обучение проведению исслед</w:t>
      </w:r>
      <w:r>
        <w:t>о</w:t>
      </w:r>
      <w:r>
        <w:t>ваний по проблемам женщин, не создавая при этом на местах каких-либо должностей исследователей. Тем не менее 1 августа 2004 года в его штатном расписании будет также введена должность профессора и его помощника для ведения исследований по проблемам женщин. Кроме того, Академия Финля</w:t>
      </w:r>
      <w:r>
        <w:t>н</w:t>
      </w:r>
      <w:r>
        <w:t>дии уже в течение определенного периода времени выделяет премию им. Ми</w:t>
      </w:r>
      <w:r>
        <w:t>н</w:t>
      </w:r>
      <w:r>
        <w:t xml:space="preserve">ны Кант для выплаты вознаграждения ученому, работающему на должности профессора.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С административно-финансовой точки зрения подразделения, ведущие исследования по проблемам женщин, занимают в различных университетах очень разное положение. В различных университетах они приписаны к разли</w:t>
      </w:r>
      <w:r>
        <w:t>ч</w:t>
      </w:r>
      <w:r>
        <w:t>ным факультетам, а в административном отношении они могут быть кафедр</w:t>
      </w:r>
      <w:r>
        <w:t>а</w:t>
      </w:r>
      <w:r>
        <w:t>ми, институтами, профильными отделениями или их сетями. Из-за, в частн</w:t>
      </w:r>
      <w:r>
        <w:t>о</w:t>
      </w:r>
      <w:r>
        <w:t>сти, назначений на должности на определенный срок и неясной ситуации с ф</w:t>
      </w:r>
      <w:r>
        <w:t>и</w:t>
      </w:r>
      <w:r>
        <w:t>нансированием для всех них в настоящее время характерно отсутствие прее</w:t>
      </w:r>
      <w:r>
        <w:t>м</w:t>
      </w:r>
      <w:r>
        <w:t>ственности в работе. Это мешает также планированию и долгосрочному разв</w:t>
      </w:r>
      <w:r>
        <w:t>и</w:t>
      </w:r>
      <w:r>
        <w:t xml:space="preserve">тию данного направления деятельности.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По данным доклада об оценке, проведение которой было санкциониров</w:t>
      </w:r>
      <w:r>
        <w:t>а</w:t>
      </w:r>
      <w:r>
        <w:t>но министерством просвещения, а осуществлено международной группой по оценке по поручению Академии Финляндии и завершено осенью 2002 года (приложение 5), исследования по женской проблематике проводятся в Финля</w:t>
      </w:r>
      <w:r>
        <w:t>н</w:t>
      </w:r>
      <w:r>
        <w:t>дии на высоком уровне и имеют социальную значимость. В то же время в до</w:t>
      </w:r>
      <w:r>
        <w:t>к</w:t>
      </w:r>
      <w:r>
        <w:t>ладе отмечается, что без дополнительных ресурсов качество проведения в Финляндии исследований по проблемам женщин неизбежно ухудшится; сущ</w:t>
      </w:r>
      <w:r>
        <w:t>е</w:t>
      </w:r>
      <w:r>
        <w:t>ствующих на настоящее время средств не будет достаточно даже для подде</w:t>
      </w:r>
      <w:r>
        <w:t>р</w:t>
      </w:r>
      <w:r>
        <w:t xml:space="preserve">жания их на нынешнем уровне.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Кроме того, в докладе обращается внимание на недостаточную развитость услуг по обеспечению подготовки документации в Финляндии по сравнению с другими странами Северной Европы. Координация исследований по проблемам женщин была исключена из описания должностных функций сотрудника по проведению специальных исследований в Совете по вопросам равенства му</w:t>
      </w:r>
      <w:r>
        <w:t>ж</w:t>
      </w:r>
      <w:r>
        <w:t>чин и женщин, подотчетном министерству социальных дел и здравоохранения, а ни кому другому в государственной администрации выполнение этой задачи поручено не было. Министерство социальных дел и здравоохранения поручило Кристина институту ведение работ по проекту информационного обслуживания исследований по женской проблематике, который заключается в развитии сет</w:t>
      </w:r>
      <w:r>
        <w:t>е</w:t>
      </w:r>
      <w:r>
        <w:t>вого обслуживания с учетом потребностей в информации об исследованиях по женской проблематике органов государственной администрации, университ</w:t>
      </w:r>
      <w:r>
        <w:t>е</w:t>
      </w:r>
      <w:r>
        <w:t>тов, НПО, средств массовой информации и отдельных граждан. Обслуживание будет, в частности, включать ведение реестра экспертов, информационное о</w:t>
      </w:r>
      <w:r>
        <w:t>б</w:t>
      </w:r>
      <w:r>
        <w:t>служивание исследований, учреждение информационных подразделений с д</w:t>
      </w:r>
      <w:r>
        <w:t>е</w:t>
      </w:r>
      <w:r>
        <w:t xml:space="preserve">лением по тематике и предоставление информации об актуализации гендерной проблематики. Однако одного лишь сетевого обслуживания недостаточно для удовлетворения потребностей в документации и координации, возникающих в ходе исследований по женской проблематике.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Занимающиеся исследованиями по проблемам женщин подразделения входят в Финское общество исследований по женской проблематике, которое публикует журнал "Исследования по женской проблематике" и организует еж</w:t>
      </w:r>
      <w:r>
        <w:t>е</w:t>
      </w:r>
      <w:r>
        <w:t xml:space="preserve">годное проведение семинаров, посвященных исследованиям по проблемам женщин. В настоящее время в этом Обществе насчитывается порядка 500 членов. Среди зрителей национального дискуссионного канала "Список исследований по проблемам женщин" насчитывается порядка 900 человек.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Для развития сотрудничества по вопросам преподавания и исследований занимающиеся исследованиями по женской проблематике подразделения со</w:t>
      </w:r>
      <w:r>
        <w:t>з</w:t>
      </w:r>
      <w:r>
        <w:t>дали также университетскую сеть "ХИЛМА". В 2004-2006 годах проект фина</w:t>
      </w:r>
      <w:r>
        <w:t>н</w:t>
      </w:r>
      <w:r>
        <w:t>сируется министерством просвещения. Сеть "ХИЛМА" ведет портал, дейс</w:t>
      </w:r>
      <w:r>
        <w:t>т</w:t>
      </w:r>
      <w:r>
        <w:t>вующий в качестве виртуального информационного канала по исследованию проблем женщин и используемый подразделениями, занимающимися исслед</w:t>
      </w:r>
      <w:r>
        <w:t>о</w:t>
      </w:r>
      <w:r>
        <w:t>ваниями по женской проблематике, для распространения в национальных ма</w:t>
      </w:r>
      <w:r>
        <w:t>с</w:t>
      </w:r>
      <w:r>
        <w:t xml:space="preserve">штабах подготовленных сетью курсов.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школе для аспирантов под названием "Гендерная система исследований по женской проблематике" в настоящее время насчитывается 20 аспирантов, обучение семи из которых оплачивается министерством просвещения, пяти - университетами, а восьми - из своих собственных источников финансирования. Кроме того, по данным подготовленного странами Северной Европы доклада, примерно 90 выпускников высших учебных заведений Финляндии прошли обучение по ведению исследований по женской проблематике. Таким образом, кадры экспертов в данной области имеются. Проблема, однако, состоит в н</w:t>
      </w:r>
      <w:r>
        <w:t>е</w:t>
      </w:r>
      <w:r>
        <w:t>достаточной финансовой и административной поддержке. Помимо расширения масштабов преподавания в университетах значительная задача на будущее з</w:t>
      </w:r>
      <w:r>
        <w:t>а</w:t>
      </w:r>
      <w:r>
        <w:t xml:space="preserve">ключается во включении исследований по женской проблематике в основной курс учебной программы и на уровне базового и среднего образования.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Ch"/>
        <w:tabs>
          <w:tab w:val="left" w:pos="990"/>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53" w:hanging="1267"/>
        <w:rPr>
          <w:lang w:val="en-US"/>
        </w:rPr>
      </w:pPr>
      <w:r>
        <w:tab/>
        <w:t>Статья 11</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rPr>
          <w:i/>
        </w:rPr>
        <w:tab/>
        <w:t>1.</w:t>
      </w:r>
      <w:r>
        <w:rPr>
          <w:i/>
        </w:rPr>
        <w:tab/>
        <w:t>Государства-участники принимают все соответствующие меры для ликвидации дискриминации в отношении женщин в области занятости, с тем чтобы обеспечить на основе равенства мужчин и женщин равные права, в ч</w:t>
      </w:r>
      <w:r>
        <w:rPr>
          <w:i/>
        </w:rPr>
        <w:t>а</w:t>
      </w:r>
      <w:r>
        <w:rPr>
          <w:i/>
        </w:rPr>
        <w:t>стности:</w:t>
      </w:r>
      <w: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rPr>
          <w:i/>
        </w:rPr>
        <w:tab/>
      </w:r>
      <w:r>
        <w:rPr>
          <w:i/>
          <w:lang w:val="en-US"/>
        </w:rPr>
        <w:t>a</w:t>
      </w:r>
      <w:r>
        <w:rPr>
          <w:i/>
        </w:rPr>
        <w:t>)</w:t>
      </w:r>
      <w:r>
        <w:rPr>
          <w:i/>
        </w:rPr>
        <w:tab/>
        <w:t>право на труд как неотъемлемое право всех людей;</w:t>
      </w:r>
      <w: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rPr>
          <w:i/>
        </w:rPr>
        <w:tab/>
      </w:r>
      <w:r>
        <w:rPr>
          <w:i/>
          <w:lang w:val="en-US"/>
        </w:rPr>
        <w:t>b</w:t>
      </w:r>
      <w:r>
        <w:rPr>
          <w:i/>
        </w:rPr>
        <w:t>)</w:t>
      </w:r>
      <w:r>
        <w:rPr>
          <w:i/>
        </w:rPr>
        <w:tab/>
        <w:t>право на одинаковые возможности при найме на работу, в том чи</w:t>
      </w:r>
      <w:r>
        <w:rPr>
          <w:i/>
        </w:rPr>
        <w:t>с</w:t>
      </w:r>
      <w:r>
        <w:rPr>
          <w:i/>
        </w:rPr>
        <w:t>ле применение одинаковых критериев отбора при найме;</w:t>
      </w:r>
      <w: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rPr>
          <w:i/>
        </w:rPr>
        <w:tab/>
      </w:r>
      <w:r>
        <w:rPr>
          <w:i/>
          <w:lang w:val="en-US"/>
        </w:rPr>
        <w:t>c</w:t>
      </w:r>
      <w:r>
        <w:rPr>
          <w:i/>
        </w:rPr>
        <w:t>)</w:t>
      </w:r>
      <w:r>
        <w:rPr>
          <w:i/>
        </w:rPr>
        <w:tab/>
        <w:t>право на свободный выбор профессии или рода работы, на продв</w:t>
      </w:r>
      <w:r>
        <w:rPr>
          <w:i/>
        </w:rPr>
        <w:t>и</w:t>
      </w:r>
      <w:r>
        <w:rPr>
          <w:i/>
        </w:rPr>
        <w:t>жение в должности и гарантию занятости, а также на пользование всеми льготами и условиями работы, на получение профессиональной подготовки и переподготовки, включая ученичество, профессиональную подготовку пов</w:t>
      </w:r>
      <w:r>
        <w:rPr>
          <w:i/>
        </w:rPr>
        <w:t>ы</w:t>
      </w:r>
      <w:r>
        <w:rPr>
          <w:i/>
        </w:rPr>
        <w:t>шенного уровня и регулярную переподготовку;</w:t>
      </w:r>
      <w: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rPr>
          <w:i/>
        </w:rPr>
        <w:tab/>
      </w:r>
      <w:r>
        <w:rPr>
          <w:i/>
          <w:lang w:val="en-US"/>
        </w:rPr>
        <w:t>d</w:t>
      </w:r>
      <w:r>
        <w:rPr>
          <w:i/>
        </w:rPr>
        <w:t>)</w:t>
      </w:r>
      <w:r>
        <w:rPr>
          <w:i/>
        </w:rPr>
        <w:tab/>
        <w:t>право на равное вознаграждение, включая получение льгот, на ра</w:t>
      </w:r>
      <w:r>
        <w:rPr>
          <w:i/>
        </w:rPr>
        <w:t>в</w:t>
      </w:r>
      <w:r>
        <w:rPr>
          <w:i/>
        </w:rPr>
        <w:t>ные условия в отношении труда равной ценности, а также на равный подход к оценке качества работы;</w:t>
      </w:r>
      <w: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rPr>
          <w:i/>
        </w:rPr>
        <w:tab/>
      </w:r>
      <w:r>
        <w:rPr>
          <w:i/>
          <w:lang w:val="en-US"/>
        </w:rPr>
        <w:t>e</w:t>
      </w:r>
      <w:r>
        <w:rPr>
          <w:i/>
        </w:rPr>
        <w:t>)</w:t>
      </w:r>
      <w:r>
        <w:rPr>
          <w:i/>
        </w:rPr>
        <w:tab/>
        <w:t>право на социальное обеспечение, в частности в случае ухода на пенсию, безработицы, болезни, инвалидности, по старости и в других случаях потери трудоспособности, а также право на оплачива</w:t>
      </w:r>
      <w:r>
        <w:rPr>
          <w:i/>
        </w:rPr>
        <w:t>е</w:t>
      </w:r>
      <w:r>
        <w:rPr>
          <w:i/>
        </w:rPr>
        <w:t>мый отпуск;</w:t>
      </w:r>
      <w: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rPr>
          <w:i/>
        </w:rPr>
        <w:tab/>
      </w:r>
      <w:r>
        <w:rPr>
          <w:i/>
          <w:lang w:val="en-US"/>
        </w:rPr>
        <w:t>f</w:t>
      </w:r>
      <w:r>
        <w:rPr>
          <w:i/>
        </w:rPr>
        <w:t>)</w:t>
      </w:r>
      <w:r>
        <w:rPr>
          <w:i/>
        </w:rPr>
        <w:tab/>
        <w:t>право на охрану здоровья и безопасные условия труда, в том числе по сохранению функции пр</w:t>
      </w:r>
      <w:r>
        <w:rPr>
          <w:i/>
        </w:rPr>
        <w:t>о</w:t>
      </w:r>
      <w:r>
        <w:rPr>
          <w:i/>
        </w:rPr>
        <w:t>должения рода.</w:t>
      </w:r>
      <w: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rPr>
          <w:i/>
        </w:rPr>
        <w:tab/>
        <w:t>2.</w:t>
      </w:r>
      <w:r>
        <w:rPr>
          <w:i/>
        </w:rPr>
        <w:tab/>
        <w:t>Для предупреждения дискриминации в отношении женщин по пр</w:t>
      </w:r>
      <w:r>
        <w:rPr>
          <w:i/>
        </w:rPr>
        <w:t>и</w:t>
      </w:r>
      <w:r>
        <w:rPr>
          <w:i/>
        </w:rPr>
        <w:t>чине замужества или материнства и гарантирования им эффективного права на труд государства-участники принимают соответствующие меры для т</w:t>
      </w:r>
      <w:r>
        <w:rPr>
          <w:i/>
        </w:rPr>
        <w:t>о</w:t>
      </w:r>
      <w:r>
        <w:rPr>
          <w:i/>
        </w:rPr>
        <w:t>го, чтобы:</w:t>
      </w:r>
      <w: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rPr>
          <w:i/>
        </w:rPr>
        <w:tab/>
      </w:r>
      <w:r>
        <w:rPr>
          <w:i/>
          <w:lang w:val="en-US"/>
        </w:rPr>
        <w:t>a</w:t>
      </w:r>
      <w:r>
        <w:rPr>
          <w:i/>
        </w:rPr>
        <w:t>)</w:t>
      </w:r>
      <w:r>
        <w:rPr>
          <w:i/>
        </w:rPr>
        <w:tab/>
        <w:t>запретить, под угрозой применения санкций, увольнение с работы на основании беременности или отпуска по беременности и родам или дискр</w:t>
      </w:r>
      <w:r>
        <w:rPr>
          <w:i/>
        </w:rPr>
        <w:t>и</w:t>
      </w:r>
      <w:r>
        <w:rPr>
          <w:i/>
        </w:rPr>
        <w:t>минацию ввиду семейного положения при увольнении;</w:t>
      </w:r>
      <w: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rPr>
          <w:i/>
        </w:rPr>
        <w:tab/>
      </w:r>
      <w:r>
        <w:rPr>
          <w:i/>
          <w:lang w:val="en-US"/>
        </w:rPr>
        <w:t>b</w:t>
      </w:r>
      <w:r>
        <w:rPr>
          <w:i/>
        </w:rPr>
        <w:t>)</w:t>
      </w:r>
      <w:r>
        <w:rPr>
          <w:i/>
        </w:rPr>
        <w:tab/>
        <w:t>ввести оплачиваемые отпуска или отпуска с сопоставимыми соц</w:t>
      </w:r>
      <w:r>
        <w:rPr>
          <w:i/>
        </w:rPr>
        <w:t>и</w:t>
      </w:r>
      <w:r>
        <w:rPr>
          <w:i/>
        </w:rPr>
        <w:t>альными пособиями по беременности и родам без утраты прежнего места работы, старшинства или социальных пособий;</w:t>
      </w:r>
      <w: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rPr>
          <w:i/>
        </w:rPr>
        <w:tab/>
      </w:r>
      <w:r>
        <w:rPr>
          <w:i/>
          <w:lang w:val="en-US"/>
        </w:rPr>
        <w:t>c</w:t>
      </w:r>
      <w:r>
        <w:rPr>
          <w:i/>
        </w:rPr>
        <w:t>)</w:t>
      </w:r>
      <w:r>
        <w:rPr>
          <w:i/>
        </w:rPr>
        <w:tab/>
        <w:t>поощрять предоставление необходимых дополнительных социал</w:t>
      </w:r>
      <w:r>
        <w:rPr>
          <w:i/>
        </w:rPr>
        <w:t>ь</w:t>
      </w:r>
      <w:r>
        <w:rPr>
          <w:i/>
        </w:rPr>
        <w:t>ных услуг, с тем чтобы позволить родителям совмещать выполнение семе</w:t>
      </w:r>
      <w:r>
        <w:rPr>
          <w:i/>
        </w:rPr>
        <w:t>й</w:t>
      </w:r>
      <w:r>
        <w:rPr>
          <w:i/>
        </w:rPr>
        <w:t>ных обязанностей с трудовой деятельностью и участием в общественной жизни, в частности посредством создания и расширения сети учреждений по уходу за детьми;</w:t>
      </w:r>
      <w: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rPr>
          <w:i/>
        </w:rPr>
        <w:tab/>
      </w:r>
      <w:r>
        <w:rPr>
          <w:i/>
          <w:lang w:val="en-US"/>
        </w:rPr>
        <w:t>d</w:t>
      </w:r>
      <w:r>
        <w:rPr>
          <w:i/>
        </w:rPr>
        <w:t>)</w:t>
      </w:r>
      <w:r>
        <w:rPr>
          <w:i/>
        </w:rPr>
        <w:tab/>
        <w:t>обеспечивать женщинам особую защиту в период беременности на тех видах работ, вре</w:t>
      </w:r>
      <w:r>
        <w:rPr>
          <w:i/>
        </w:rPr>
        <w:t>д</w:t>
      </w:r>
      <w:r>
        <w:rPr>
          <w:i/>
        </w:rPr>
        <w:t>ность которых для их здоровья доказана.</w:t>
      </w:r>
      <w: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rPr>
          <w:i/>
        </w:rPr>
        <w:tab/>
        <w:t>3.</w:t>
      </w:r>
      <w:r>
        <w:rPr>
          <w:i/>
        </w:rPr>
        <w:tab/>
        <w:t>Законодательство, касающееся защиты прав, затрагиваемых в н</w:t>
      </w:r>
      <w:r>
        <w:rPr>
          <w:i/>
        </w:rPr>
        <w:t>а</w:t>
      </w:r>
      <w:r>
        <w:rPr>
          <w:i/>
        </w:rPr>
        <w:t>стоящей статье, периодически рассматривается в свете научно-технических знаний, а также пересматривается, отменяется или расширяется, насколько это необходимо.</w:t>
      </w:r>
      <w:r>
        <w:t xml:space="preserve">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exact"/>
        <w:ind w:left="1741" w:right="1260" w:hanging="720"/>
      </w:pPr>
      <w:r>
        <w:tab/>
        <w:t>1.</w:t>
      </w:r>
      <w:r>
        <w:tab/>
        <w:t>Искоренение дискриминации в труде</w:t>
      </w:r>
      <w:r>
        <w:rPr>
          <w:b w:val="0"/>
        </w:rPr>
        <w:t xml:space="preserve">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rPr>
          <w:sz w:val="24"/>
        </w:rPr>
      </w:pPr>
      <w:r>
        <w:rPr>
          <w:b/>
          <w:i/>
          <w:sz w:val="24"/>
        </w:rPr>
        <w:t>1.1.</w:t>
      </w:r>
      <w:r>
        <w:rPr>
          <w:b/>
          <w:i/>
          <w:sz w:val="24"/>
        </w:rPr>
        <w:tab/>
        <w:t>Содействие обеспечению равноправия в труде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Общие показатели в отношении трудовой жизни, свидетельствующие о различиях между мужчинами и женщинами, по-прежнему "одинаковы", как и на время представления предыдущих докладов. В 2002 году 48 процентов р</w:t>
      </w:r>
      <w:r>
        <w:t>а</w:t>
      </w:r>
      <w:r>
        <w:t>бочей силы (работающие и безработные) трудоспособного возраста (15-64 года) составляли женщины, а из числа безработных они составляли 54 процента. Процент занятости среди женщин составлял 66,2, а среди му</w:t>
      </w:r>
      <w:r>
        <w:t>ж</w:t>
      </w:r>
      <w:r>
        <w:t>чин - 69,2. В возрастной группе 20-44 лет уровни занятости мужчин превышали уровни занятости женщин, но среди лиц в возрасте 45-59 лет тенденция в ра</w:t>
      </w:r>
      <w:r>
        <w:t>з</w:t>
      </w:r>
      <w:r>
        <w:t>личиях по признаку пола была уже в пользу женщин, и различия выравнив</w:t>
      </w:r>
      <w:r>
        <w:t>а</w:t>
      </w:r>
      <w:r>
        <w:t>лись до уровня в пределах одной дес</w:t>
      </w:r>
      <w:r>
        <w:t>я</w:t>
      </w:r>
      <w:r>
        <w:t xml:space="preserve">той процента.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КЛДЖ выразил обеспокоенность в связи с низким уровнем представле</w:t>
      </w:r>
      <w:r>
        <w:t>н</w:t>
      </w:r>
      <w:r>
        <w:t>ности женщин на должностях высокого уровня во многих районах и насто</w:t>
      </w:r>
      <w:r>
        <w:t>я</w:t>
      </w:r>
      <w:r>
        <w:t xml:space="preserve">тельно призвал правительство предпринять усилия для содействия росту числа женщин на должностях высокого уровня.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По данным переписи 2000 года, доля женщин среди сотрудников более высокого звена составляла 48 процентов. По данным проведенной в 2001 году профессиональной квалификации в 2000 году женщины занимали 47 процентов всех должностей директоров в государственном секторе. По данным той же классификации, в 1995 году доля женщин на должностях директоров в госуда</w:t>
      </w:r>
      <w:r>
        <w:t>р</w:t>
      </w:r>
      <w:r>
        <w:t>ственном секторе составляла 46 процентов. На высших должностях гражда</w:t>
      </w:r>
      <w:r>
        <w:t>н</w:t>
      </w:r>
      <w:r>
        <w:t>ских служащих доля женщин оставалась на уровне 27 процентов, т.е. за период с 1995 года был отмечен рост на 4 процента. Доля женщин на должностях в центральной государственной администрации, районной и местной государс</w:t>
      </w:r>
      <w:r>
        <w:t>т</w:t>
      </w:r>
      <w:r>
        <w:t>венной администрации и в администрации муниципалитетов и городов разли</w:t>
      </w:r>
      <w:r>
        <w:t>ч</w:t>
      </w:r>
      <w:r>
        <w:t>на. Доля женщин на должностях директоров центральной государственной а</w:t>
      </w:r>
      <w:r>
        <w:t>д</w:t>
      </w:r>
      <w:r>
        <w:t xml:space="preserve">министрации немного превышает одну треть.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Что касается руководителей производства и руководителей среднего зв</w:t>
      </w:r>
      <w:r>
        <w:t>е</w:t>
      </w:r>
      <w:r>
        <w:t>на, то распределение по признаку пола зависит от отрасли. Среди должностей руководителей разделение на рынке труда на преимущественно мужские и пр</w:t>
      </w:r>
      <w:r>
        <w:t>е</w:t>
      </w:r>
      <w:r>
        <w:t xml:space="preserve">имущественно женские также заметно. Свыше 90 процентов руководителей среднего звена в отраслях строительства, промышленности и транспорта - это мужчины. В секторах социального обслуживания и здравоохранения доля женщин среди руководителей составляла 82 процента.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частном секторе в 2000 году доля женщин среди руководителей соста</w:t>
      </w:r>
      <w:r>
        <w:t>в</w:t>
      </w:r>
      <w:r>
        <w:t xml:space="preserve">ляла 26 процентов, а в 1995 году она была на 1 процент ниже.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exact"/>
        <w:ind w:left="1741" w:right="1260" w:hanging="720"/>
        <w:rPr>
          <w:i/>
        </w:rPr>
      </w:pPr>
      <w:r>
        <w:rPr>
          <w:i/>
        </w:rPr>
        <w:tab/>
        <w:t>1.1.1.</w:t>
      </w:r>
      <w:r>
        <w:rPr>
          <w:i/>
        </w:rPr>
        <w:tab/>
        <w:t>Планы обеспечения равенства</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КЛДЖ настоятельно призвал правительство ввести более сильные мех</w:t>
      </w:r>
      <w:r>
        <w:t>а</w:t>
      </w:r>
      <w:r>
        <w:t>низмы контроля за осуществлением планов обеспечения равенства в соответс</w:t>
      </w:r>
      <w:r>
        <w:t>т</w:t>
      </w:r>
      <w:r>
        <w:t>вии с Законом о равноправии мужчин и женщин. В последние годы уделялось особое внимание приданию большей эффективности этим механизмам контр</w:t>
      </w:r>
      <w:r>
        <w:t>о</w:t>
      </w:r>
      <w:r>
        <w:t xml:space="preserve">ля.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Проведение первого обследования планов обеспечения равенства, подг</w:t>
      </w:r>
      <w:r>
        <w:t>о</w:t>
      </w:r>
      <w:r>
        <w:t>товленного Омбудсменом по вопросам равноправия, было завершено в 1998 году. По собственной оценке Омбудсмена, оно дало несколько более благопр</w:t>
      </w:r>
      <w:r>
        <w:t>и</w:t>
      </w:r>
      <w:r>
        <w:t xml:space="preserve">ятную картину ситуации с осуществлением планирования мероприятий по обеспечению равенства, чем это есть на самом деле.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Летом 2002 года Омбудсмен по вопросам равноправия провел новое о</w:t>
      </w:r>
      <w:r>
        <w:t>б</w:t>
      </w:r>
      <w:r>
        <w:t>следование в области планирования мероприятий по обеспечению равенства на рабочих местах, в основном в частном секторе. Планирование мероприятий с целью обеспечения равенства велось на 27 процентах рабочих мест. Самая а</w:t>
      </w:r>
      <w:r>
        <w:t>к</w:t>
      </w:r>
      <w:r>
        <w:t>тивная работа по обеспечению равенства велась в больших организациях с числом работающих свыше 500. Однако Омбудсмен по вопросам равноправия обратил внимание на тот факт, что эффект от принятия реальных мер зачастую оставался небольшим. Не каждый человек осознавал и то, что планирование мероприятий по обеспечению равенства входит в число установленных зак</w:t>
      </w:r>
      <w:r>
        <w:t>о</w:t>
      </w:r>
      <w:r>
        <w:t>ном обязательств работодателя</w:t>
      </w:r>
      <w:r>
        <w:rPr>
          <w:rStyle w:val="FootnoteReference"/>
          <w:sz w:val="17"/>
        </w:rPr>
        <w:footnoteReference w:id="13"/>
      </w:r>
      <w:r>
        <w:t>.</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Одна из причин того, почему малые и средние предприятия занимаются планированием мероприятий по обеспечению равенства в меньшей степени, нежели крупные предприятия, заключается в том, что ресурсы малых и сре</w:t>
      </w:r>
      <w:r>
        <w:t>д</w:t>
      </w:r>
      <w:r>
        <w:t>них предприятий по выполнению всех обязательств, установленных законом для предприятий с числом работающих свыше 30 человек, ограничены. План</w:t>
      </w:r>
      <w:r>
        <w:t>и</w:t>
      </w:r>
      <w:r>
        <w:t>рование этими предприятиями мероприятий по обеспечению равенства во</w:t>
      </w:r>
      <w:r>
        <w:t>з</w:t>
      </w:r>
      <w:r>
        <w:t xml:space="preserve">можно следует поддержать не только путем контроля, но и с использованием других средств.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Комитет, созданный для подготовки реформы Закона о равноправии му</w:t>
      </w:r>
      <w:r>
        <w:t>ж</w:t>
      </w:r>
      <w:r>
        <w:t>чин и женщин, предлагает в своем докладе, чтобы Омбудсмен по вопросам равноправия установил для предприятий ограничение по времени для непр</w:t>
      </w:r>
      <w:r>
        <w:t>е</w:t>
      </w:r>
      <w:r>
        <w:t>менного выполнения установленных законом обязательств в тех случаях, когда он заметит, что работодатель пренебрегает вопросами планирования меропри</w:t>
      </w:r>
      <w:r>
        <w:t>я</w:t>
      </w:r>
      <w:r>
        <w:t>тий по обеспечению равенства. Если это ограничение по времени не соблюд</w:t>
      </w:r>
      <w:r>
        <w:t>а</w:t>
      </w:r>
      <w:r>
        <w:t>ется, то данное предприятие можно было бы обязать выполнить свои обяз</w:t>
      </w:r>
      <w:r>
        <w:t>а</w:t>
      </w:r>
      <w:r>
        <w:t xml:space="preserve">тельства под угрозой штрафа.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Омбудсмен по вопросам равноправия попытался изыскать и другие сре</w:t>
      </w:r>
      <w:r>
        <w:t>д</w:t>
      </w:r>
      <w:r>
        <w:t>ства для содействия планированию мероприятий по обеспечению равенства и распространения информации об этом. Планирование мероприятий с целью обеспечения равенства - это не самоцель; оно является частью установленных законов обязательств работодателя по содействию обеспечению равенства на целенаправленной и систематизированной основе. Для облегчения планиров</w:t>
      </w:r>
      <w:r>
        <w:t>а</w:t>
      </w:r>
      <w:r>
        <w:t>ния мероприятий по обеспечению равенства на рабочих местах в 2000 году был опубликован "набор механизмов для обеспечения гендерного равенства</w:t>
      </w:r>
      <w:r>
        <w:rPr>
          <w:rStyle w:val="FootnoteReference"/>
        </w:rPr>
        <w:footnoteReference w:id="14"/>
      </w:r>
      <w:r>
        <w:t>, в к</w:t>
      </w:r>
      <w:r>
        <w:t>о</w:t>
      </w:r>
      <w:r>
        <w:t>тором приводятся рекомендации и который может быть использован в качестве контрольного перечня вопросов, подлежащих учету при планировании мер</w:t>
      </w:r>
      <w:r>
        <w:t>о</w:t>
      </w:r>
      <w:r>
        <w:t xml:space="preserve">приятий по обеспечению равенства.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течение ряда лет Омбудсмен по вопросам равноправия посещал также различные трудовые коллективы в различных частях Финляндии. В связи с этими посещениями всегда обсуждалось положение с планированием мер</w:t>
      </w:r>
      <w:r>
        <w:t>о</w:t>
      </w:r>
      <w:r>
        <w:t xml:space="preserve">приятий по обеспечению равенства на данном конкретном предприятии.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настоящее время на стадии завершения работ находятся также нескол</w:t>
      </w:r>
      <w:r>
        <w:t>ь</w:t>
      </w:r>
      <w:r>
        <w:t>ко других проектов, направленных на содействие обеспечению равенства на рынке труда. Так, например в 2002 году университет Тампере начал работы по рассчитанному на три года научно-исследовательскому проекту "Равенство как дополнительная ценность" с целью изучения и развития вопросов планиров</w:t>
      </w:r>
      <w:r>
        <w:t>а</w:t>
      </w:r>
      <w:r>
        <w:t>ния мероприятий по обеспечению равенства в труде. Работающие на рынке труда организации развернули в период 2001-2004 годов работу в рамках сети и исследовательского проекта "</w:t>
      </w:r>
      <w:r>
        <w:rPr>
          <w:lang w:val="en-US"/>
        </w:rPr>
        <w:t>Мозаика</w:t>
      </w:r>
      <w:r>
        <w:t>"</w:t>
      </w:r>
      <w:r>
        <w:rPr>
          <w:rStyle w:val="FootnoteReference"/>
          <w:sz w:val="17"/>
        </w:rPr>
        <w:footnoteReference w:id="15"/>
      </w:r>
      <w:r>
        <w:t>, цель которого заключается в ведении поиска и выявлении трудовых коллективов, где применяется рациональная и равная в отношении работников практика. Этот проект является продолжением проекта "Благоприятная и равноправная атмосфера на рабочем месте", ин</w:t>
      </w:r>
      <w:r>
        <w:t>и</w:t>
      </w:r>
      <w:r>
        <w:t>циированного в 1998 году в рамках Соглашения о политике в отношении дох</w:t>
      </w:r>
      <w:r>
        <w:t>о</w:t>
      </w:r>
      <w:r>
        <w:t xml:space="preserve">дов.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exact"/>
        <w:ind w:left="1741" w:right="1260" w:hanging="720"/>
      </w:pPr>
      <w:r>
        <w:tab/>
      </w:r>
      <w:r>
        <w:rPr>
          <w:i/>
        </w:rPr>
        <w:t>1.2.</w:t>
      </w:r>
      <w:r>
        <w:rPr>
          <w:i/>
        </w:rPr>
        <w:tab/>
        <w:t>Сексуальные посягательства</w:t>
      </w:r>
      <w:r>
        <w:t xml:space="preserve">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На основе предыдущего доклада Финляндии КЛДЖ выразил свою обе</w:t>
      </w:r>
      <w:r>
        <w:t>с</w:t>
      </w:r>
      <w:r>
        <w:t>покоенность в связи с высоким уровнем случаев сексуальных посягательств на рабочих местах и порекомендовал правительству Финляндии принять все нео</w:t>
      </w:r>
      <w:r>
        <w:t>б</w:t>
      </w:r>
      <w:r>
        <w:t xml:space="preserve">ходимые меры для того, чтобы частные лица и НПО имели все возможности для принятия мер в связи с случаями сексуальных посягательств.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На основе исследований случаев сексуальных посягательств можно отм</w:t>
      </w:r>
      <w:r>
        <w:t>е</w:t>
      </w:r>
      <w:r>
        <w:t>тить, что число сексуальных посягательств на рабочих местах, безусловно, снизилось. Если по данным проведенного в 1993 году исследования</w:t>
      </w:r>
      <w:r>
        <w:rPr>
          <w:rStyle w:val="FootnoteReference"/>
          <w:sz w:val="17"/>
        </w:rPr>
        <w:footnoteReference w:id="16"/>
      </w:r>
      <w:r>
        <w:t xml:space="preserve"> число женщин, подвергнувшихся сексуальным посягательствам на рабочем месте, с</w:t>
      </w:r>
      <w:r>
        <w:t>о</w:t>
      </w:r>
      <w:r>
        <w:t>ставило 27 процентов, то по данным опроса о равноправии мужчин и женщин за 2001 год соответствующая цифра составляла 18 процентов. Самыми типи</w:t>
      </w:r>
      <w:r>
        <w:t>ч</w:t>
      </w:r>
      <w:r>
        <w:t xml:space="preserve">ными формами посягательств в обоих исследованиях были названы замечания неподобающего характера и двусмысленные шутки.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Однако изучению вопросов сексуальных посягательств на рабочем месте мешает тот факт, что обретение опыта, связанного с посягательствами, являе</w:t>
      </w:r>
      <w:r>
        <w:t>т</w:t>
      </w:r>
      <w:r>
        <w:t>ся очень субъективным вопросом, который с трудом поддается объективной оценке. Не говорят нам статистические данные и о том, сообщали ли те, кто подвергался посягательствам, об этом работодателю, как это требуется в соо</w:t>
      </w:r>
      <w:r>
        <w:t>т</w:t>
      </w:r>
      <w:r>
        <w:t xml:space="preserve">ветствии с законом, с тем чтобы работодатель мог соответствующим образом вмешаться.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начале 2003 года вступил в силу новый Закон (732/2002) о технике безопасности, который направлен на улучшение рабочей среды и условий тр</w:t>
      </w:r>
      <w:r>
        <w:t>у</w:t>
      </w:r>
      <w:r>
        <w:t>да с целью обеспечения и поддержания трудоспособности работников и пр</w:t>
      </w:r>
      <w:r>
        <w:t>е</w:t>
      </w:r>
      <w:r>
        <w:t>дотвращения производственного травматизма и профессиональных заболев</w:t>
      </w:r>
      <w:r>
        <w:t>а</w:t>
      </w:r>
      <w:r>
        <w:t>ний и другого ущерба физическому и психическому здоровью работников в р</w:t>
      </w:r>
      <w:r>
        <w:t>е</w:t>
      </w:r>
      <w:r>
        <w:t>зультате труда и рабочей среды, а также с целью борьбы с этими явлениями. Закон применяется к работе по трудовому соглашению и работе в гражданской или другой соответствующей службе, регулируемой государственным закон</w:t>
      </w:r>
      <w:r>
        <w:t>о</w:t>
      </w:r>
      <w:r>
        <w:t xml:space="preserve">дательством, а также к определенным другим формам труда, таким, как труд, выполняемый осужденными.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соответствии с разделом 28 Закона работодатель обязан принимать м</w:t>
      </w:r>
      <w:r>
        <w:t>е</w:t>
      </w:r>
      <w:r>
        <w:t>ры по устранению недостатков путем имеющихся у него средств после инфо</w:t>
      </w:r>
      <w:r>
        <w:t>р</w:t>
      </w:r>
      <w:r>
        <w:t>мирования его о том, что на работе имеют место случаи посягательств или др</w:t>
      </w:r>
      <w:r>
        <w:t>у</w:t>
      </w:r>
      <w:r>
        <w:t>гого неподобающего поведения, направленные на работника и причиняющие ущерб или вред его или ее здоровью. Работодатель может получить информ</w:t>
      </w:r>
      <w:r>
        <w:t>а</w:t>
      </w:r>
      <w:r>
        <w:t>цию о посягательствах различным образом, например, в процессе выполнения своего общего обязательства по наблюдению за условиями труда. Посягател</w:t>
      </w:r>
      <w:r>
        <w:t>ь</w:t>
      </w:r>
      <w:r>
        <w:t>ства и неподобающее обращение касаются также сексуальных посягательств и неподобающего с сексуальной точки зрения обращения. Положения в отнош</w:t>
      </w:r>
      <w:r>
        <w:t>е</w:t>
      </w:r>
      <w:r>
        <w:t xml:space="preserve">нии сексуальных посягательств предусмотрены также в Законе о равноправии женщин и мужчин (609/1986).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Весной 2002 года функционирующие на рынке труда организации разр</w:t>
      </w:r>
      <w:r>
        <w:t>а</w:t>
      </w:r>
      <w:r>
        <w:t>ботали на основе существующего законодательства общие руководящие при</w:t>
      </w:r>
      <w:r>
        <w:t>н</w:t>
      </w:r>
      <w:r>
        <w:t>ципы для рабочих мест в отношении сексуальных посягательств. В руководящих принципах обсуждаются все "правила игры" для предотвращ</w:t>
      </w:r>
      <w:r>
        <w:t>е</w:t>
      </w:r>
      <w:r>
        <w:t>ния ситуаций проявления посягательств и, с другой стороны, для прояснения ситуации после совершения посягательств. Руководство "Хорошее поведение приветствуется - посягательства запрещаются" получило широкое распростр</w:t>
      </w:r>
      <w:r>
        <w:t>а</w:t>
      </w:r>
      <w:r>
        <w:t>нение среди организаций, предприятий и профсоюзных организаторов частного и государственн</w:t>
      </w:r>
      <w:r>
        <w:t>о</w:t>
      </w:r>
      <w:r>
        <w:t xml:space="preserve">го секторов.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Министерство финансов дает правительству страны рекомендации по в</w:t>
      </w:r>
      <w:r>
        <w:t>о</w:t>
      </w:r>
      <w:r>
        <w:t>просам равенства, отмечая при этом, что работодатель обязан обеспечивать, чтобы работники не подвергались сексуальным посягательствам на рабочем месте. В трудовых коллективах следует заранее согласовывать процедуры и принципы действий в случае совершения посягательств, с тем чтобы о них ст</w:t>
      </w:r>
      <w:r>
        <w:t>а</w:t>
      </w:r>
      <w:r>
        <w:t xml:space="preserve">ло известно каждому работнику.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качестве примера можно привести проводимые в силах обороны иссл</w:t>
      </w:r>
      <w:r>
        <w:t>е</w:t>
      </w:r>
      <w:r>
        <w:t>дования случаев дискриминации по признаку пола или сексуальных посяг</w:t>
      </w:r>
      <w:r>
        <w:t>а</w:t>
      </w:r>
      <w:r>
        <w:t>тельств путем проведения опросов о рабочей атмосфере, самооценок и обсу</w:t>
      </w:r>
      <w:r>
        <w:t>ж</w:t>
      </w:r>
      <w:r>
        <w:t>дения вопросов продвижения по службе. Нельзя допускать никакой терпимости в отношении случаев сексуальных посягательств, с тем чтобы любые формы сексуальных посягательств стали неприемлемыми. Так, например, в случаях посягательств в отношении женщин, занимающихся добровольной военной подготовкой, меры принимаются немедленно с использованием всех возмо</w:t>
      </w:r>
      <w:r>
        <w:t>ж</w:t>
      </w:r>
      <w:r>
        <w:t xml:space="preserve">ных средств, применимых к той или иной конкретной ситуации.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соответствии с Законом о технике безопасности в случае работы, с</w:t>
      </w:r>
      <w:r>
        <w:t>о</w:t>
      </w:r>
      <w:r>
        <w:t>пряженной с очевидной угрозой насилия, работодатель обязан организовать р</w:t>
      </w:r>
      <w:r>
        <w:t>а</w:t>
      </w:r>
      <w:r>
        <w:t>боту и условия труда таким образом, чтобы предотвратить, насколько это во</w:t>
      </w:r>
      <w:r>
        <w:t>з</w:t>
      </w:r>
      <w:r>
        <w:t>можно, угрозу насилия и случаи проявления насилия заблаговременно. В этих случаях на рабочих местах должны быть предусмотрены надлежащие догов</w:t>
      </w:r>
      <w:r>
        <w:t>о</w:t>
      </w:r>
      <w:r>
        <w:t>ренности о безопасности и технические средства для борьбы с насилием или его ограничения и возможность для вызова помощи. Для такого рода работы и рабочих мест работодатель обязан также предусматривать методические инс</w:t>
      </w:r>
      <w:r>
        <w:t>т</w:t>
      </w:r>
      <w:r>
        <w:t>рукции с уделением внимания урегулированию ситуаций, когда возникают у</w:t>
      </w:r>
      <w:r>
        <w:t>г</w:t>
      </w:r>
      <w:r>
        <w:t>розы, и действенным методам бор</w:t>
      </w:r>
      <w:r>
        <w:t>ь</w:t>
      </w:r>
      <w:r>
        <w:t xml:space="preserve">бы с насилием.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exact"/>
        <w:ind w:left="1741" w:right="1260" w:hanging="720"/>
      </w:pPr>
      <w:r>
        <w:tab/>
        <w:t>2.</w:t>
      </w:r>
      <w:r>
        <w:tab/>
        <w:t>Непостоянные трудовые отношения</w:t>
      </w:r>
      <w:r>
        <w:rPr>
          <w:b w:val="0"/>
        </w:rPr>
        <w:t xml:space="preserve">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Хотя большинство работников по-прежнему трудоустроено на полную ставку, в начале 90</w:t>
      </w:r>
      <w:r>
        <w:noBreakHyphen/>
        <w:t>х годов начала возрастать доля работающих по срочным трудовым соглашениям и в течение неполного рабочего дня. В 2002 году 19,5 процента женщин и 12,5 процента мужчин работали по срочным контра</w:t>
      </w:r>
      <w:r>
        <w:t>к</w:t>
      </w:r>
      <w:r>
        <w:t>там. Начиная с 1998 года доля работающих на таких условиях лиц несколько сократилась. В 2002 году доля женщин в числе работающих по срочным труд</w:t>
      </w:r>
      <w:r>
        <w:t>о</w:t>
      </w:r>
      <w:r>
        <w:t>вым соглашениям составляла 61,3 процента. Наибольшее число работающих по срочным трудовым соглашениям приходится на молодежь; 45 процентов же</w:t>
      </w:r>
      <w:r>
        <w:t>н</w:t>
      </w:r>
      <w:r>
        <w:t>щин и 36 процентов мужчин в возрасте от 20 до 24 лет в общем числе раб</w:t>
      </w:r>
      <w:r>
        <w:t>о</w:t>
      </w:r>
      <w:r>
        <w:t>тающих трудились по срочным контрактам; доля же мужчин и женщин в во</w:t>
      </w:r>
      <w:r>
        <w:t>з</w:t>
      </w:r>
      <w:r>
        <w:t>расте 25-29 лет, работающих по таким соглашениям, составляла 36 и 18 процентов соответственно. Работа на основе срочных трудовых договоров значительно более характерна для государственного, нежели для частного се</w:t>
      </w:r>
      <w:r>
        <w:t>к</w:t>
      </w:r>
      <w:r>
        <w:t xml:space="preserve">тора.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1999 году 16,9 процента всех трудоустроенных женщин работали на н</w:t>
      </w:r>
      <w:r>
        <w:t>е</w:t>
      </w:r>
      <w:r>
        <w:t>полную ставку, а в 2002 году их насчитывалось 17,1 процента, тогда как соо</w:t>
      </w:r>
      <w:r>
        <w:t>т</w:t>
      </w:r>
      <w:r>
        <w:t>ветствующие цифры для мужчин составляли 7,7 процента и 7,5 процента. Доля женщин среди работающих на неполную ставку (включая предпринимателей и работающих по найму лиц) составила в 2002 году 66,1 процента. Работа на н</w:t>
      </w:r>
      <w:r>
        <w:t>е</w:t>
      </w:r>
      <w:r>
        <w:t>полную ставку наиболее характерна для сектора обслуживания, где трудится много женщин. Работой на неполную ставку часто занимаются студенты, кот</w:t>
      </w:r>
      <w:r>
        <w:t>о</w:t>
      </w:r>
      <w:r>
        <w:t>рые делают это добровольно. Однако некоторые работающие на неполную ставку лица предпочли бы работать на полную ставку, и в любом случае пре</w:t>
      </w:r>
      <w:r>
        <w:t>д</w:t>
      </w:r>
      <w:r>
        <w:t>почли бы в случае наличия такой работы трудиться больше часов в неделю, чем им позволяет это имеющаяся у них в настоящее время работа в течение непо</w:t>
      </w:r>
      <w:r>
        <w:t>л</w:t>
      </w:r>
      <w:r>
        <w:t xml:space="preserve">ного рабочего дня.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Соглашении о политике в отношении доходов на 2003-2004 годы раб</w:t>
      </w:r>
      <w:r>
        <w:t>о</w:t>
      </w:r>
      <w:r>
        <w:t>тающие на рынке труда организации достигли понимания с целью избежания неоправданно коротких смен. При ведении переговоров в конкретных отраслях к ассоциациям обращается просьба учитывать целесообразность недопущения продолжительности смен менее четырех часов, если они не являются необх</w:t>
      </w:r>
      <w:r>
        <w:t>о</w:t>
      </w:r>
      <w:r>
        <w:t xml:space="preserve">димыми с учетом потребностей работающего или по другой обоснованной причине.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Предоставление рабочих мест для работы по срочным соглашениям же</w:t>
      </w:r>
      <w:r>
        <w:t>н</w:t>
      </w:r>
      <w:r>
        <w:t>щинам частично объясняется существующей на рынке труда сегрегацией, п</w:t>
      </w:r>
      <w:r>
        <w:t>о</w:t>
      </w:r>
      <w:r>
        <w:t>скольку женщины заменяют других женщин, уходящих в отпуск по семейным обстоятельствам, отпуск в рамках системы подмены работника во время отпу</w:t>
      </w:r>
      <w:r>
        <w:t>с</w:t>
      </w:r>
      <w:r>
        <w:t>ка, учебный отпуск и т.д. Женщины пользуются отпусками значительно чаще мужчин, а их возвращение на предыдущую или аналогичную работу гарант</w:t>
      </w:r>
      <w:r>
        <w:t>и</w:t>
      </w:r>
      <w:r>
        <w:t>руется законом. Однако большое число рабочих мест, предусматривающих труд по срочным договорам, может поставить под угрозу создание семьи или пр</w:t>
      </w:r>
      <w:r>
        <w:t>и</w:t>
      </w:r>
      <w:r>
        <w:t>вести к откладыванию сроков ее создания, особенно в случае молодых женщин. Большинство людей работают на основе срочных контрактов из-за отсутствия постоянных рабочих мест. Некоторые же отрасли и сектора испытывают ос</w:t>
      </w:r>
      <w:r>
        <w:t>о</w:t>
      </w:r>
      <w:r>
        <w:t>бую потребность в должностях для работы по срочным трудовым соглашениям. Это может быть связано с разного рода сезонной работой, характером труда, потоком клиентов или временем г</w:t>
      </w:r>
      <w:r>
        <w:t>о</w:t>
      </w:r>
      <w:r>
        <w:t xml:space="preserve">да.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КЛДЖ настоятельно призывает правительство рассмотреть вопрос об о</w:t>
      </w:r>
      <w:r>
        <w:t>т</w:t>
      </w:r>
      <w:r>
        <w:t xml:space="preserve">рицательном воздействии политики заключения соглашений о работе в течение определенного периода времени на женщин.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Реформа Закона о трудовых соглашениях (приложение 6) способствовала повышению осведомленности и привлечению внимания к требованиям, пред</w:t>
      </w:r>
      <w:r>
        <w:t>ъ</w:t>
      </w:r>
      <w:r>
        <w:t>являемым к регулированию трудовой жизни такими, в частности, аспектами, как равенство, семейная жизнь и добровольная профессиональная подготовка, и она направлена на достижение максимального приближения друг к другу у</w:t>
      </w:r>
      <w:r>
        <w:t>с</w:t>
      </w:r>
      <w:r>
        <w:t>ловий трудовых соглашений, заключаемых до дальнейшего уведомления, и у</w:t>
      </w:r>
      <w:r>
        <w:t>с</w:t>
      </w:r>
      <w:r>
        <w:t xml:space="preserve">ловиями срочных трудовых соглашений с установлением при этом в Законе критериев назначения на должности для работы по срочным контрактам.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соответствии с Законом, вступившим в силу в июне 2001 года, трудовое соглашение является действительным до дальнейшего уведомления, если не существует обоснованной причины для заключения его на определенный пер</w:t>
      </w:r>
      <w:r>
        <w:t>и</w:t>
      </w:r>
      <w:r>
        <w:t>од времени. В случае отсутствия обоснованной причины срочное трудовое с</w:t>
      </w:r>
      <w:r>
        <w:t>о</w:t>
      </w:r>
      <w:r>
        <w:t>глашение рассматривается как действующее до дальнейшего уведомления. Это направлено на исключение возможности обхода обязательных положений о г</w:t>
      </w:r>
      <w:r>
        <w:t>а</w:t>
      </w:r>
      <w:r>
        <w:t xml:space="preserve">рантиях занятости за счет выбора срока действия трудового соглашения. Если работодатель нуждается в постоянной рабочей силе, то заключение срочных трудовых соглашений не разрешается.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законодательстве предусматривается несколько средств для устранения отрицательных последствий непостоянных трудовых отношений. Так, напр</w:t>
      </w:r>
      <w:r>
        <w:t>и</w:t>
      </w:r>
      <w:r>
        <w:t>мер, если работодатель нуждается в большем числе работников для выполн</w:t>
      </w:r>
      <w:r>
        <w:t>е</w:t>
      </w:r>
      <w:r>
        <w:t>ния задач, которые могли бы выполнять его работающие на неполную ставку сотрудники, то работодатель обязан предложить эту работу своим уже раб</w:t>
      </w:r>
      <w:r>
        <w:t>о</w:t>
      </w:r>
      <w:r>
        <w:t>тающим на неполную ставку сотрудникам (5 §). Работодатель обязан также уведомлять о вакантных должностях в соответствии с практикой, преоблада</w:t>
      </w:r>
      <w:r>
        <w:t>ю</w:t>
      </w:r>
      <w:r>
        <w:t>щей на данном производстве (6§), с тем чтобы обеспечить, чтобы работающие на неполную ставку и по срочному трудовому соглашению сотрудники имели такие же возможности для того, чтобы претендовать на эти рабочие места, как и постоянные или работающие на полную ставку сотрудники. Кроме того, н</w:t>
      </w:r>
      <w:r>
        <w:t>а</w:t>
      </w:r>
      <w:r>
        <w:t>пример, право на отпуск по семейным обстоятельствам и оплаченный отпуск по болезни распространяется в равной мере как на работающих по срочным трудовым соглашениям, так и на пост</w:t>
      </w:r>
      <w:r>
        <w:t>о</w:t>
      </w:r>
      <w:r>
        <w:t xml:space="preserve">янных сотрудников.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 xml:space="preserve">Кроме того, если работодатель и наемный работник заключали несколько следовавших друг за другом без перерыва срочных трудовых соглашений или контрактов с краткосрочными перерывами, то в отношении исчисления льгот трудовое соглашение рассматривается как постоянное и без перерывов.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соглашениях о политике в области доходов на 2003-2004 годы соде</w:t>
      </w:r>
      <w:r>
        <w:t>р</w:t>
      </w:r>
      <w:r>
        <w:t>жится соглашение об использовании компилированной информации из гос</w:t>
      </w:r>
      <w:r>
        <w:t>у</w:t>
      </w:r>
      <w:r>
        <w:t>дарственного сектора и другой имеющейся информации для оценки потребн</w:t>
      </w:r>
      <w:r>
        <w:t>о</w:t>
      </w:r>
      <w:r>
        <w:t>сти и достижения согласия в отношении возможного более долгосрочного и</w:t>
      </w:r>
      <w:r>
        <w:t>с</w:t>
      </w:r>
      <w:r>
        <w:t>следования, касающегося численности и причин для существования должн</w:t>
      </w:r>
      <w:r>
        <w:t>о</w:t>
      </w:r>
      <w:r>
        <w:t>стей сотрудников, работающих по срочным трудовым договорам. Эти доклады и эта информация будут использоваться для разработки на основе действующ</w:t>
      </w:r>
      <w:r>
        <w:t>е</w:t>
      </w:r>
      <w:r>
        <w:t>го законодательства и судебной практики инструкций о юридических основ</w:t>
      </w:r>
      <w:r>
        <w:t>а</w:t>
      </w:r>
      <w:r>
        <w:t xml:space="preserve">ниях для заключения срочных контрактов и установления отношений в сфере гражданской службы.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Весной 2003 года работающие на рынке труда организации подготовили эти совместные инструкции. Они стали основой для выпуска краткой, легко читаемой и понятной брошюры, которая широко распространяется на рабочих местах. Ее цель заключается, таким образом, в повышении осведомленности о пр</w:t>
      </w:r>
      <w:r>
        <w:t>а</w:t>
      </w:r>
      <w:r>
        <w:t xml:space="preserve">вовых основаниях для заключения срочных трудовых договоров.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Муниципальный и государственный сектора также подготовили свои со</w:t>
      </w:r>
      <w:r>
        <w:t>б</w:t>
      </w:r>
      <w:r>
        <w:t>ственные инструкции о приемлемых основаниях для найма гражданских сл</w:t>
      </w:r>
      <w:r>
        <w:t>у</w:t>
      </w:r>
      <w:r>
        <w:t>жащих на определенный период времени. Так, например, в мае 2003 года м</w:t>
      </w:r>
      <w:r>
        <w:t>у</w:t>
      </w:r>
      <w:r>
        <w:t>ниципальным сектором были изданы инструкции, где содержалось положение, направленное на сокращение числа возобновляемых контрактов с гражданск</w:t>
      </w:r>
      <w:r>
        <w:t>и</w:t>
      </w:r>
      <w:r>
        <w:t>ми служащими, заключаемых на определенный период времени. В инструкц</w:t>
      </w:r>
      <w:r>
        <w:t>и</w:t>
      </w:r>
      <w:r>
        <w:t>ях, в частности, отмечается, что если работодатель испытывает постоянную п</w:t>
      </w:r>
      <w:r>
        <w:t>о</w:t>
      </w:r>
      <w:r>
        <w:t>требность в подмене сотрудников для исполнения аналогичной работы, то ему следует создать достаточное количество отделов с учетом этой постоянной п</w:t>
      </w:r>
      <w:r>
        <w:t>о</w:t>
      </w:r>
      <w:r>
        <w:t xml:space="preserve">требности в замене сотрудников.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Закон об экспериментальном введении системы подмены работника во время отпуска (1663/1995) вступил в силу в начале 1996 года. Предоставля</w:t>
      </w:r>
      <w:r>
        <w:t>е</w:t>
      </w:r>
      <w:r>
        <w:t>мый в соответствии с этим Законом отпуск дает трудящемуся возможность иметь более длительный отпуск, который он может провести по своему жел</w:t>
      </w:r>
      <w:r>
        <w:t>а</w:t>
      </w:r>
      <w:r>
        <w:t>нию, например для обучения, ухода за детьми или другими членами семьи, п</w:t>
      </w:r>
      <w:r>
        <w:t>о</w:t>
      </w:r>
      <w:r>
        <w:t>святить его своему любимому занятию или отдыху. Главная цель отпуска в рамках системы подмены работника заключается в повышении трудоспособн</w:t>
      </w:r>
      <w:r>
        <w:t>о</w:t>
      </w:r>
      <w:r>
        <w:t>сти. Что касается безработных, то подобный отпуск дает им возможность, бл</w:t>
      </w:r>
      <w:r>
        <w:t>а</w:t>
      </w:r>
      <w:r>
        <w:t>годаря работе по срочным трудовым договорам, поддерживать и развивать свои трудовые навыки и повышать свои во</w:t>
      </w:r>
      <w:r>
        <w:t>з</w:t>
      </w:r>
      <w:r>
        <w:t xml:space="preserve">можности при поиске работы.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За период с 1996 года по конец 2002 года отпуска в рамках системы по</w:t>
      </w:r>
      <w:r>
        <w:t>д</w:t>
      </w:r>
      <w:r>
        <w:t>мены работника в течение отпуска взяли 67 500 лиц. Чуть больше 70 процентов лиц, ушедших в подобные отпуска и заменяющих ушедших в такие отпуска, составляют женщины. Наиболее часто отпуск в рамках системы подмены р</w:t>
      </w:r>
      <w:r>
        <w:t>а</w:t>
      </w:r>
      <w:r>
        <w:t>ботника в течение отпуска используется в муниципальном секторе, после кот</w:t>
      </w:r>
      <w:r>
        <w:t>о</w:t>
      </w:r>
      <w:r>
        <w:t>рого следует частный сектор. Возраст лиц, наиболее часто берущих подобные отпуска, составляет 35-54 года. Такие отпуска берут лица всех занятий и пр</w:t>
      </w:r>
      <w:r>
        <w:t>о</w:t>
      </w:r>
      <w:r>
        <w:t xml:space="preserve">фессий, но наиболее часто им пользуются выпускники университетов или лица, успешно закончившие полную среднюю школу и работающие в офисах.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Реформированный Закон о системе подмены работника во время отпуска (1305/2002) вступил в силу в начале 2003 года. В соответствии с ним первон</w:t>
      </w:r>
      <w:r>
        <w:t>а</w:t>
      </w:r>
      <w:r>
        <w:t>чальный экспериментальный период продлен на пять лет, т.е. до конца 2007 года. По новому Закону человек может воспользоваться системой подм</w:t>
      </w:r>
      <w:r>
        <w:t>е</w:t>
      </w:r>
      <w:r>
        <w:t>ны работника во время отпуска, если стаж его работы в соответствии с Законом о пенсиях трудящихся составляет не менее 10 лет. Компенсация для лиц с тр</w:t>
      </w:r>
      <w:r>
        <w:t>у</w:t>
      </w:r>
      <w:r>
        <w:t>довым стажем не менее 25 лет составляет 80 процентов пособия по безработ</w:t>
      </w:r>
      <w:r>
        <w:t>и</w:t>
      </w:r>
      <w:r>
        <w:t>це, а для всех остальных лиц она составляет 70 процентов. Проработав пять лет, сотрудник может взять еще один отпуск в рамках этой системы. При найме на работу лиц для замены ушедших в подобный отпуск работников приоритет отдается безработной молодежи, лицам, недавно закончившим университет или политехническое учебное заведение, а также лицам, являющимся безработн</w:t>
      </w:r>
      <w:r>
        <w:t>ы</w:t>
      </w:r>
      <w:r>
        <w:t xml:space="preserve">ми уже в течение длительного периода времени.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Непостоянные трудовые отношения, особенно должности, предусматр</w:t>
      </w:r>
      <w:r>
        <w:t>и</w:t>
      </w:r>
      <w:r>
        <w:t>вающие работу по срочным трудовым договорам, по-прежнему, тем не менее, сопряжены с трудностями, испытывают которые в первую очередь женщины. Омбудсмен по вопросам равноправия обратил внимание на тот факт, что защ</w:t>
      </w:r>
      <w:r>
        <w:t>и</w:t>
      </w:r>
      <w:r>
        <w:t>та от дискриминации в связи с беременностью осуществляется в реальной тр</w:t>
      </w:r>
      <w:r>
        <w:t>у</w:t>
      </w:r>
      <w:r>
        <w:t>довой жизни не вполне удовлетворительно, несмотря на предусмотренную з</w:t>
      </w:r>
      <w:r>
        <w:t>а</w:t>
      </w:r>
      <w:r>
        <w:t>конодательством защиту. Так, например, при проведении собеседований при найме на работу женщинам по-прежнему могут задаваться вопросы о возмо</w:t>
      </w:r>
      <w:r>
        <w:t>ж</w:t>
      </w:r>
      <w:r>
        <w:t>ности беременности или планах по созданию семьи. Весной 2003 года Омбу</w:t>
      </w:r>
      <w:r>
        <w:t>д</w:t>
      </w:r>
      <w:r>
        <w:t>смен по вопросам равноправия издал пресс-релиз по данному вопросу, расц</w:t>
      </w:r>
      <w:r>
        <w:t>е</w:t>
      </w:r>
      <w:r>
        <w:t>нив подобную практику как неправильную и заявив, что такое отношение, бе</w:t>
      </w:r>
      <w:r>
        <w:t>з</w:t>
      </w:r>
      <w:r>
        <w:t>условно, ставит женщин в неравное положение на рынке труда по сравнению с мужчинами. Кроме того, в последнее время были вынесены судебные решения с весьма широким толкованием защиты от дискриминации по признаку бер</w:t>
      </w:r>
      <w:r>
        <w:t>е</w:t>
      </w:r>
      <w:r>
        <w:t xml:space="preserve">менности (см., например, постановление Апелляционного суда Хельсинки по делу № </w:t>
      </w:r>
      <w:r>
        <w:rPr>
          <w:lang w:val="en-US"/>
        </w:rPr>
        <w:t>S </w:t>
      </w:r>
      <w:r>
        <w:t xml:space="preserve">00/1486 в приложении 7).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exact"/>
        <w:ind w:left="1741" w:right="1260" w:hanging="720"/>
      </w:pPr>
      <w:r>
        <w:tab/>
        <w:t>3.</w:t>
      </w:r>
      <w:r>
        <w:tab/>
        <w:t xml:space="preserve">Женщины-иммигранты на рынке труда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последние несколько десятилетий в финском обществе и в трудовой жизни страны пришлось столкнуться с необходимостью решения задачи, св</w:t>
      </w:r>
      <w:r>
        <w:t>я</w:t>
      </w:r>
      <w:r>
        <w:t>занной с поликультурностью. В Финляндии постоянно проживают уже свыше 100 000 иностранцев, и 75 процентов из них являются людьми трудоспособн</w:t>
      </w:r>
      <w:r>
        <w:t>о</w:t>
      </w:r>
      <w:r>
        <w:t>го возраста. Кроме того, на рынке труда есть и такие иммигранты, которым б</w:t>
      </w:r>
      <w:r>
        <w:t>ы</w:t>
      </w:r>
      <w:r>
        <w:t>ло предоставлено финское гражданство. В столичном регионе они уже соста</w:t>
      </w:r>
      <w:r>
        <w:t>в</w:t>
      </w:r>
      <w:r>
        <w:t>ляют существенное меньшинство. Наибольшая проблема, с которой сталкив</w:t>
      </w:r>
      <w:r>
        <w:t>а</w:t>
      </w:r>
      <w:r>
        <w:t xml:space="preserve">ются иммигранты, связана с безработицей.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На конец 2002 года численность зарегистрированных в бюро по трудоус</w:t>
      </w:r>
      <w:r>
        <w:t>т</w:t>
      </w:r>
      <w:r>
        <w:t>ройству иностранцев составила примерно 25 000 человек, 13 370 из которых были безработными. Общая численность лиц трудоспособного возраста среди всех иммигрантов составляла 42 000 человек (46 процентов). Четырнадцать процентов тех, кто стремится получить работу, - это лица в возрасте до 25 лет, 49 процентов - лица в возрасте от 25 до 44 лет и 37 процентов - лица в возрасте старше 45 лет. Две трети этих лиц имеют специальную профессиональную подготовку или университетский диплом. Наибольшее число среди лиц, стр</w:t>
      </w:r>
      <w:r>
        <w:t>е</w:t>
      </w:r>
      <w:r>
        <w:t>мящихся найти работу, составляют граждане России и Эстонии, которые с</w:t>
      </w:r>
      <w:r>
        <w:t>о</w:t>
      </w:r>
      <w:r>
        <w:t>ставляют порядка 41 процента всех иностранцев, стремящихся получить раб</w:t>
      </w:r>
      <w:r>
        <w:t>о</w:t>
      </w:r>
      <w:r>
        <w:t xml:space="preserve">ту. Следующие по численности группы таких лиц - это сомалийцы, иракцы, иранцы, выходцы с территории бывшей Югославии и шведы.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конце 2002 года доля занятости среди иммигрантов составила 29 процентов, что на 2,6 процента ниже, чем в конце 2001 года. Число безр</w:t>
      </w:r>
      <w:r>
        <w:t>а</w:t>
      </w:r>
      <w:r>
        <w:t>ботных заметно сократилось, особенно в крупных населенных пунктах. Благ</w:t>
      </w:r>
      <w:r>
        <w:t>о</w:t>
      </w:r>
      <w:r>
        <w:t>приятная ситуация создалась отчасти в результате роста спроса на рабочую с</w:t>
      </w:r>
      <w:r>
        <w:t>и</w:t>
      </w:r>
      <w:r>
        <w:t>лу, в первую очередь в промышленности и секторе обслуживания, а также в р</w:t>
      </w:r>
      <w:r>
        <w:t>е</w:t>
      </w:r>
      <w:r>
        <w:t>зультате того, что работодатели начали в большей степени рассматривать и</w:t>
      </w:r>
      <w:r>
        <w:t>м</w:t>
      </w:r>
      <w:r>
        <w:t>мигрантов в качестве трудового ресурса в определенных отраслях, где набл</w:t>
      </w:r>
      <w:r>
        <w:t>ю</w:t>
      </w:r>
      <w:r>
        <w:t>далась нехватка рабочей силы. Этой тенденции способствовало стимулиров</w:t>
      </w:r>
      <w:r>
        <w:t>а</w:t>
      </w:r>
      <w:r>
        <w:t>ние иммигрантов к принятию активных мер и профессионально-техническое обучение иммигрантов, заинтересованных в работе, в особенности в столичном регионе, которое ведется в сотрудничестве с работодателями и предусматрив</w:t>
      </w:r>
      <w:r>
        <w:t>а</w:t>
      </w:r>
      <w:r>
        <w:t>ет также обучение финскому языку (отрасли транспорта, металлообработки и обслуживания). Уровень безработицы среди женщин-иностранок выше, чем среди мужчин, а их доля среди трудоустрое</w:t>
      </w:r>
      <w:r>
        <w:t>н</w:t>
      </w:r>
      <w:r>
        <w:t xml:space="preserve">ных ниже.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Судя по информации, полученной от Омбудсмена по вопросам равнопр</w:t>
      </w:r>
      <w:r>
        <w:t>а</w:t>
      </w:r>
      <w:r>
        <w:t>вия, от женщин из числа иммигрантов или представителей меньшинств на да</w:t>
      </w:r>
      <w:r>
        <w:t>н</w:t>
      </w:r>
      <w:r>
        <w:t>ное время не поступало жалоб в отношении дискриминации по признаку пола. Однако с 90</w:t>
      </w:r>
      <w:r>
        <w:noBreakHyphen/>
        <w:t>х годов численность иммигрантов возрастала быстрыми темпами. Обмудсмен по вопросам равноправия ведет наблюдение за развитием этой с</w:t>
      </w:r>
      <w:r>
        <w:t>и</w:t>
      </w:r>
      <w:r>
        <w:t>туации, и при необходимости в случае многочисленных свидетельств о ди</w:t>
      </w:r>
      <w:r>
        <w:t>с</w:t>
      </w:r>
      <w:r>
        <w:t>криминации он установит также связь с омбудсменом по вопросам мен</w:t>
      </w:r>
      <w:r>
        <w:t>ь</w:t>
      </w:r>
      <w:r>
        <w:t xml:space="preserve">шинств.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По данным Консультативного совета по этническим вопросам в насто</w:t>
      </w:r>
      <w:r>
        <w:t>я</w:t>
      </w:r>
      <w:r>
        <w:t>щее время в Финляндии проживают несколько женщин-иммигрантов с униве</w:t>
      </w:r>
      <w:r>
        <w:t>р</w:t>
      </w:r>
      <w:r>
        <w:t>ситетским дипломом, и вероятно представится возможность предложить им работу, соответствующую их квалификации. Следует поощрять продолжение ими профессиональной подготовки и изучение ими языка, с тем чтобы они могли занять должности, соответствующие их образованию. Консультативный совет рекомендует также продолжать профессиональную подготовку и обуч</w:t>
      </w:r>
      <w:r>
        <w:t>е</w:t>
      </w:r>
      <w:r>
        <w:t>ние непосредственно на рабочих местах и развивать систему унификации д</w:t>
      </w:r>
      <w:r>
        <w:t>и</w:t>
      </w:r>
      <w:r>
        <w:t>пломов. По рекомендации Консультативного совета следует также лучшим о</w:t>
      </w:r>
      <w:r>
        <w:t>б</w:t>
      </w:r>
      <w:r>
        <w:t xml:space="preserve">разом принимать во внимание культурные традиции женщин-иммигрантов и увеличивать практическую поддержку для получения ими профессиональной подготовки, например путем организации ухода за детьми.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течение 2003-2005 годов муниципальный сектор осуществляет проект под названием "Поддержка трудовых коллективов, где работают представители различных культур". Он является частью проекта "Муниципальная рабочая с</w:t>
      </w:r>
      <w:r>
        <w:t>и</w:t>
      </w:r>
      <w:r>
        <w:t>ла и кадры 2010", инициированного Ассоциацией финских местных и реги</w:t>
      </w:r>
      <w:r>
        <w:t>о</w:t>
      </w:r>
      <w:r>
        <w:t>нальных органов власти в 2001 году с целью оказания поддержки в деле обе</w:t>
      </w:r>
      <w:r>
        <w:t>с</w:t>
      </w:r>
      <w:r>
        <w:t>печения готовности и практических знаний трудовых коллективов муниц</w:t>
      </w:r>
      <w:r>
        <w:t>и</w:t>
      </w:r>
      <w:r>
        <w:t>пального сектора в отношении найма иммигрантов и улучшения качества м</w:t>
      </w:r>
      <w:r>
        <w:t>у</w:t>
      </w:r>
      <w:r>
        <w:t>ниципальных услуг, направленных на иммигрантов. Благодаря этому проекту у трудовых коллективов появляется возможность осуществлять профессионал</w:t>
      </w:r>
      <w:r>
        <w:t>ь</w:t>
      </w:r>
      <w:r>
        <w:t xml:space="preserve">ную подготовку для обеспечения занятости и использовать другие механизмы, а также поощрять профессиональную подготовку иммигрантов по профессиям и должностям, существующим в муниципальном секторе.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 xml:space="preserve">Кроме того, в 2003 году Ассоциация финских местных и региональных органов власти начала проведение исследования "Иммигранты и рынок труда". Оно направлено на изучение экономических преимуществ и отрицательных сторон иммиграции, интеграции иммигрантов и воздействия иммиграции на экономическое развитие.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состав членов Консультативного совета по этническим вопросам входят главные стороны и организации, присутствующие на рынке труда, и одна из з</w:t>
      </w:r>
      <w:r>
        <w:t>а</w:t>
      </w:r>
      <w:r>
        <w:t>дач их представителей заключается в содействии установлению хороших м</w:t>
      </w:r>
      <w:r>
        <w:t>е</w:t>
      </w:r>
      <w:r>
        <w:t>жэтнических отношений и разработке мер по предотвращению дискриминации на основе этнического происхождения в своих собственных организациях. В 2003 году для пробуждения заинтересованности со стороны работодателей Отдел по вопросам трудовой жизни Консультативного совета начал работу по проекту "Пользуясь всей палитрой". Работодателям, в трудовых коллективах которых претворяется в жизнь принцип равноправия и поликультурности, д</w:t>
      </w:r>
      <w:r>
        <w:t>а</w:t>
      </w:r>
      <w:r>
        <w:t>ется право на использование сп</w:t>
      </w:r>
      <w:r>
        <w:t>е</w:t>
      </w:r>
      <w:r>
        <w:t>циальной символики "палитры".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Входящие в профсоюзное движение ассоциации, в число членов которых входят женщины иммигрантского происхождения, начали осуществление м</w:t>
      </w:r>
      <w:r>
        <w:t>е</w:t>
      </w:r>
      <w:r>
        <w:t>роприятий в отношении политики и услуг в области иммиграции, направле</w:t>
      </w:r>
      <w:r>
        <w:t>н</w:t>
      </w:r>
      <w:r>
        <w:t xml:space="preserve">ных на иммигрантов. Государство и стороны, причастные к трудовой жизни, начали или начинают осуществление проектов сотрудничества с акцентом на преимущества, получаемые благодаря наличию сотрудников, представляющих различные культуры.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exact"/>
        <w:ind w:left="1741" w:right="1260" w:hanging="720"/>
      </w:pPr>
      <w:r>
        <w:tab/>
        <w:t>4.</w:t>
      </w:r>
      <w:r>
        <w:tab/>
        <w:t xml:space="preserve">Предложение о принятии закона о гарантиях равенства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Осенью 2003 года правительство направило в парламент законопроект о гарантиях равенства (НЕ 44/2003). Предложенный закон и соответствующие поправки к некоторым другим законам способствовали бы реализации Дире</w:t>
      </w:r>
      <w:r>
        <w:t>к</w:t>
      </w:r>
      <w:r>
        <w:t>тивы Совета об осуществлении принципа равного обращения со всеми лицами, независимо от их расового или этнического происхождения (2000/43/ЕС), а также Директивы Совета о создании общей основы для равного обращения в сфере занятости и профессиональной деятельности (2000/78/ЕС). Цель дире</w:t>
      </w:r>
      <w:r>
        <w:t>к</w:t>
      </w:r>
      <w:r>
        <w:t>тив заключается в создании основы для борьбы с дискриминацией, базиру</w:t>
      </w:r>
      <w:r>
        <w:t>ю</w:t>
      </w:r>
      <w:r>
        <w:t xml:space="preserve">щейся на запрещенных основаниях, с целью осуществления принципа равного обращения со всеми людьми в государствах - членах Европейского союза.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законопроекте предлагается ввести запрет на дискриминацию на основе возраста, этнического или национального происхождения, языка, религии, уб</w:t>
      </w:r>
      <w:r>
        <w:t>е</w:t>
      </w:r>
      <w:r>
        <w:t>ждений, взглядов, состояния здоровья, инвалидности, сексуальной ориентации, а также на основе других причин личного характера. Дискриминация получит в нем определение в качестве прямой и косвенной дискриминации, а также пос</w:t>
      </w:r>
      <w:r>
        <w:t>я</w:t>
      </w:r>
      <w:r>
        <w:t>гательства, связанного с одним из запрещенных оснований для дискриминации, и указаниями и приказами, направленными на дискриминацию. В качестве о</w:t>
      </w:r>
      <w:r>
        <w:t>д</w:t>
      </w:r>
      <w:r>
        <w:t>ной из мер противодействия будет введен запрет на распоряжения, направле</w:t>
      </w:r>
      <w:r>
        <w:t>н</w:t>
      </w:r>
      <w:r>
        <w:t xml:space="preserve">ные на неблагоприятное обращение с лицами или причинение ущерба лицам, принимающим меры или участвующим в реализации мер по гарантированию равенства, о которых идет речь в данном законе.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Закон будет применяться ко всем лицам, занимающимся деятельностью в государственном и частном секторах, которая сопряжена с практикой самосто</w:t>
      </w:r>
      <w:r>
        <w:t>я</w:t>
      </w:r>
      <w:r>
        <w:t>тельной работы по профессии или занятием ремеслом, а также оказанием по</w:t>
      </w:r>
      <w:r>
        <w:t>д</w:t>
      </w:r>
      <w:r>
        <w:t>держки в этой работе, мотивацией предоставления рабочих мест, условиями или сроками занятости, профессиональной подготовкой персонала или пр</w:t>
      </w:r>
      <w:r>
        <w:t>о</w:t>
      </w:r>
      <w:r>
        <w:t>движением по службе и обучением, включая подготовку специалистов и обуч</w:t>
      </w:r>
      <w:r>
        <w:t>е</w:t>
      </w:r>
      <w:r>
        <w:t>ние другим профессиям или получение консультаций по вопросам професси</w:t>
      </w:r>
      <w:r>
        <w:t>о</w:t>
      </w:r>
      <w:r>
        <w:t>нальной ориентации, а также членством и работой в организациях наемных р</w:t>
      </w:r>
      <w:r>
        <w:t>а</w:t>
      </w:r>
      <w:r>
        <w:t>ботников или работодателей или в других организациях, члены которых явл</w:t>
      </w:r>
      <w:r>
        <w:t>я</w:t>
      </w:r>
      <w:r>
        <w:t>ются людьми определенной профессии или пользуются преимуществами, пр</w:t>
      </w:r>
      <w:r>
        <w:t>е</w:t>
      </w:r>
      <w:r>
        <w:t>доставляемыми той или иной организацией. По этому закону будет запрещат</w:t>
      </w:r>
      <w:r>
        <w:t>ь</w:t>
      </w:r>
      <w:r>
        <w:t>ся ставить то или иное лицо в неравное положение на основе этнического пр</w:t>
      </w:r>
      <w:r>
        <w:t>о</w:t>
      </w:r>
      <w:r>
        <w:t>исхождения в вопросах, касающихся социального и медицинского обслужив</w:t>
      </w:r>
      <w:r>
        <w:t>а</w:t>
      </w:r>
      <w:r>
        <w:t>ния, пособий по социальному обеспечению или другого вспомоществования, скидок или пособий, предоставляемых на основе социальной принадлежности, или в вопросах, касающихся воинской обязанности, добровольной воинской службы женщин, их гражданской службы или жилья, а также предоставления личного имущества, недвижимости или услуг общественности или имеющихся в распоряжении общественности и их доступности, не считая отношений ме</w:t>
      </w:r>
      <w:r>
        <w:t>ж</w:t>
      </w:r>
      <w:r>
        <w:t>ду ч</w:t>
      </w:r>
      <w:r>
        <w:t>а</w:t>
      </w:r>
      <w:r>
        <w:t xml:space="preserve">стными лицами.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Лицу, предоставляющему работу, личное имущество, недвижимость или услуги, обеспечивающему профессиональную подготовку или выплату пос</w:t>
      </w:r>
      <w:r>
        <w:t>о</w:t>
      </w:r>
      <w:r>
        <w:t>бий, подпадающему под действие закона и нарушившему этот запрет на ди</w:t>
      </w:r>
      <w:r>
        <w:t>с</w:t>
      </w:r>
      <w:r>
        <w:t>криминацию или запрет в отношении ответных мер на основе этнической пр</w:t>
      </w:r>
      <w:r>
        <w:t>и</w:t>
      </w:r>
      <w:r>
        <w:t>надлежности, религии, убеждений, инвалидности, возраста или сексуальной ориентации, может быть предписано произвести компенсацию пострадавшей стороне за причиненный им ущерб в сумме до 15 000 евро. В сфере работы по найму и гражданской службы контроль за применением закона будет обеспеч</w:t>
      </w:r>
      <w:r>
        <w:t>и</w:t>
      </w:r>
      <w:r>
        <w:t>ваться органами охраны труда, тогда как соблюдение запрета на дискримин</w:t>
      </w:r>
      <w:r>
        <w:t>а</w:t>
      </w:r>
      <w:r>
        <w:t>цию на основе этнического происхождения вне сферы работы по найму и гр</w:t>
      </w:r>
      <w:r>
        <w:t>а</w:t>
      </w:r>
      <w:r>
        <w:t>жданской службы будет входить в обязанности омбудсмена по делам мен</w:t>
      </w:r>
      <w:r>
        <w:t>ь</w:t>
      </w:r>
      <w:r>
        <w:t xml:space="preserve">шинств и нового органа для рассмотрения случаев дискриминации, который будет создан в соответствии с положениями закона.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Цель данного предложения заключается в содействии обеспечению раве</w:t>
      </w:r>
      <w:r>
        <w:t>н</w:t>
      </w:r>
      <w:r>
        <w:t>ства людей путем возложения на органы власти обязательства о равном обр</w:t>
      </w:r>
      <w:r>
        <w:t>а</w:t>
      </w:r>
      <w:r>
        <w:t>щении со всеми людьми посредством уделения внимания различиям между ними на основе этнического происхождения, религии, убеждений, инвалидн</w:t>
      </w:r>
      <w:r>
        <w:t>о</w:t>
      </w:r>
      <w:r>
        <w:t>сти, возраста или сексуальной ориентации. Обязательство относительно подг</w:t>
      </w:r>
      <w:r>
        <w:t>о</w:t>
      </w:r>
      <w:r>
        <w:t>товки плана обеспечения равенства будет направлено на содействие установл</w:t>
      </w:r>
      <w:r>
        <w:t>е</w:t>
      </w:r>
      <w:r>
        <w:t>нию равенства между людьми различного происхождения. Доступ инвалидов к труду и профессиональной подготовке улучшится, в свою очередь, благодаря возложению на работодателей и организаторов профессиональной подготовки обязательства о принятии разумных мер по улучшению условий занятости и</w:t>
      </w:r>
      <w:r>
        <w:t>н</w:t>
      </w:r>
      <w:r>
        <w:t>валидов. Таким образом, благодаря пропагандированию равенства это предл</w:t>
      </w:r>
      <w:r>
        <w:t>о</w:t>
      </w:r>
      <w:r>
        <w:t xml:space="preserve">жение позитивно скажется на положении всех групп граждан.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Если не считать этого нового предложения, то условия занятости людей с ограниченной трудоспособностью были уже улучшены в 2002 году благодаря поправке к Закону о трудовых соглашениях и в 2003 году благодаря Закону о государственной службе занятости (1295/2002), в соответствии с которым в</w:t>
      </w:r>
      <w:r>
        <w:t>ы</w:t>
      </w:r>
      <w:r>
        <w:t>шеупомянутые поправки утратили свою силу. В соответствии с разделом 3 гл</w:t>
      </w:r>
      <w:r>
        <w:t>а</w:t>
      </w:r>
      <w:r>
        <w:t>вы 3 последнего Закона ассигнования на цели обеспечения занятости испол</w:t>
      </w:r>
      <w:r>
        <w:t>ь</w:t>
      </w:r>
      <w:r>
        <w:t>зуются для содействия в трудоустройстве в первую очередь лиц, являющихся безработными в течение длительного времени, молодежи, а также лиц с огр</w:t>
      </w:r>
      <w:r>
        <w:t>а</w:t>
      </w:r>
      <w:r>
        <w:t xml:space="preserve">ниченной трудоспособностью.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exact"/>
        <w:ind w:left="1741" w:right="1260" w:hanging="720"/>
        <w:rPr>
          <w:sz w:val="10"/>
        </w:rPr>
      </w:pPr>
      <w:r>
        <w:tab/>
        <w:t>5.</w:t>
      </w:r>
      <w:r>
        <w:tab/>
        <w:t xml:space="preserve">Система коллективных трудовых договоров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Соглашения о политике в отношении доходов оставались одним из гла</w:t>
      </w:r>
      <w:r>
        <w:t>в</w:t>
      </w:r>
      <w:r>
        <w:t>ных средств содействия обеспечению равенства мужчин и женщин. За отче</w:t>
      </w:r>
      <w:r>
        <w:t>т</w:t>
      </w:r>
      <w:r>
        <w:t>ный период было заключено два соглашения о политике в отношении доходов: первое из них - на период 2001</w:t>
      </w:r>
      <w:r>
        <w:noBreakHyphen/>
        <w:t xml:space="preserve">2002 годов, а второе - на 2003-2004 годы. В них содержится несколько элементов, способствующих установлению равенства мужчин и женщин.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Среди предлагаемых в соглашениях решений, относящихся к заработной плате, было предусмотрено пособие на цели обеспечения равенства, напра</w:t>
      </w:r>
      <w:r>
        <w:t>в</w:t>
      </w:r>
      <w:r>
        <w:t>ленное на улучшение положения с оплатой труда женщин, заработная плата к</w:t>
      </w:r>
      <w:r>
        <w:t>о</w:t>
      </w:r>
      <w:r>
        <w:t>торых не соответствует требованиям, предъявляемым их работой, и их профе</w:t>
      </w:r>
      <w:r>
        <w:t>с</w:t>
      </w:r>
      <w:r>
        <w:t>сиональной подготовке, а также на исправление положения с относительно низкой заработной платой в данной области. Размер пособия на цели обеспеч</w:t>
      </w:r>
      <w:r>
        <w:t>е</w:t>
      </w:r>
      <w:r>
        <w:t>ния равенства зависит от числа женщин, работающих в каждом секторе, и уровня их заработной платы. В среднем объем выплачиваемых на цели обесп</w:t>
      </w:r>
      <w:r>
        <w:t>е</w:t>
      </w:r>
      <w:r>
        <w:t>чения равенства пособий был более высоким в муниципальном секторе из-за того, что в данной сфере преобладают женщины. Там эти пособия использов</w:t>
      </w:r>
      <w:r>
        <w:t>а</w:t>
      </w:r>
      <w:r>
        <w:t>лись в первую очередь для приведения минимальных базовых окладов по кат</w:t>
      </w:r>
      <w:r>
        <w:t>е</w:t>
      </w:r>
      <w:r>
        <w:t>гориям заработной платы в соответствие с числом работающих женщин, кот</w:t>
      </w:r>
      <w:r>
        <w:t>о</w:t>
      </w:r>
      <w:r>
        <w:t xml:space="preserve">рое является наибольшим.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Всеобъемлющего исследования о последствиях выплаты пособий на цели обеспечения равенства не проводилось, но по оценкам работающих на рынке труда организаций наблюдалась тенденция к выравниванию размеров зарабо</w:t>
      </w:r>
      <w:r>
        <w:t>т</w:t>
      </w:r>
      <w:r>
        <w:t>ной платы в различных областях. Последствия выплат этих пособий будут из</w:t>
      </w:r>
      <w:r>
        <w:t>у</w:t>
      </w:r>
      <w:r>
        <w:t xml:space="preserve">чаться в долгосрочной перспективе.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предлагаемых применительно к политике в отношении доходов реш</w:t>
      </w:r>
      <w:r>
        <w:t>е</w:t>
      </w:r>
      <w:r>
        <w:t>ниях на период 2003-2004 годов центральные организации рекомендуют отра</w:t>
      </w:r>
      <w:r>
        <w:t>с</w:t>
      </w:r>
      <w:r>
        <w:t>левым профсоюзам вести переговоры по оценке гендерного воздействия усл</w:t>
      </w:r>
      <w:r>
        <w:t>о</w:t>
      </w:r>
      <w:r>
        <w:t>вий коллективных трудовых договоров на положение мужчин и женщин. Обзор коллективных трудовых договоров, касающихся государственных служащих, показал, что аналогичные положения предусмотрены и в них. Гендерное во</w:t>
      </w:r>
      <w:r>
        <w:t>з</w:t>
      </w:r>
      <w:r>
        <w:t xml:space="preserve">действие заключаемых на государственном уровне централизованных трудовых договоров будет изучаться на совместном семинаре сторон этих соглашений и экспертов министерств, отвечающих за кадровую политику.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exact"/>
        <w:ind w:left="1741" w:right="1260" w:hanging="720"/>
        <w:rPr>
          <w:sz w:val="10"/>
        </w:rPr>
      </w:pPr>
      <w:r>
        <w:tab/>
        <w:t>6.</w:t>
      </w:r>
      <w:r>
        <w:tab/>
        <w:t xml:space="preserve">Заработная плата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При рассмотрении двух предыдущих периодических докладов Финляндии КЛДЖ выразил обеспокоенность по поводу существования разрыва в оплате труда женщин и мужчин. Учитывая среднюю заработную плату мужчин и женщин на рынках труда, можно отметить, что среднестатистическая зарабо</w:t>
      </w:r>
      <w:r>
        <w:t>т</w:t>
      </w:r>
      <w:r>
        <w:t>ная плата женщин все еще ниже, чем у мужчин. В 1990</w:t>
      </w:r>
      <w:r>
        <w:noBreakHyphen/>
        <w:t>х годах средняя зарпл</w:t>
      </w:r>
      <w:r>
        <w:t>а</w:t>
      </w:r>
      <w:r>
        <w:t>та женщин, занятых полный стандартный рабочий день, составляла 80 процентов от оплаты труда мужчин. В 2002 году эта доля составила 82 процента. В муниципальном секторе разница в оплате труда мужчин и же</w:t>
      </w:r>
      <w:r>
        <w:t>н</w:t>
      </w:r>
      <w:r>
        <w:t>щин несколько меньше, чем в частном или государственном секторе. Такое различие частично объясняется четкой гендерной направленностью рынков труда, что является характерным для Финляндии явлением, как это было отм</w:t>
      </w:r>
      <w:r>
        <w:t>е</w:t>
      </w:r>
      <w:r>
        <w:t xml:space="preserve">чено и самим Комитетом.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 xml:space="preserve">Согласно исследованию, проведенному по поручению Омбудсмена по вопросам равноправия </w:t>
      </w:r>
      <w:r>
        <w:rPr>
          <w:i/>
        </w:rPr>
        <w:t>Юханой Вартьянен,</w:t>
      </w:r>
      <w:r>
        <w:t xml:space="preserve"> Исследовательско-экономическим инстит</w:t>
      </w:r>
      <w:r>
        <w:t>у</w:t>
      </w:r>
      <w:r>
        <w:t>том труда в 2001 году (приложение 8), существующую разницу в оплате труда можно объяснить только наполовину. Заработная плата женщин по сравнению с мужчинами одного и того же возраста, с одинаковым уровнем подготовки, в одних и тех же сферах деятельности и на одинаковых должностях на 10 процентов ниже. Та разница в оплате труда, которую нельзя объяснить, п</w:t>
      </w:r>
      <w:r>
        <w:t>о</w:t>
      </w:r>
      <w:r>
        <w:t>мимо гендерного фактора может быть результатом особенностей каждого ко</w:t>
      </w:r>
      <w:r>
        <w:t>н</w:t>
      </w:r>
      <w:r>
        <w:t>кретного предприятия, которые не отражены в материалах проведенного иссл</w:t>
      </w:r>
      <w:r>
        <w:t>е</w:t>
      </w:r>
      <w:r>
        <w:t>дования. Согласно этому исследованию, на разницу в оплате труда значительно больше влияет вид занятости, чем разница в уровне подготовки, возрасте и к</w:t>
      </w:r>
      <w:r>
        <w:t>о</w:t>
      </w:r>
      <w:r>
        <w:t xml:space="preserve">личество детей. На более низком уровне оплаты труда разницу в заработной плате объяснить легче, чем на более высоком уровне. Разница в оплате труда наиболее существенна среди высококвалифицированных женщин с зарплатой выше среднего.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Исследование охватывает все значимые сектора рынка труда, и, согласно ему, в конкретных секторах необъяснимая часть разницы в оплате труда самая незначительная в государственном и муниципальных секторах и на уровне одинаковых видов деятельности сводится к нескольким процентам. Что касае</w:t>
      </w:r>
      <w:r>
        <w:t>т</w:t>
      </w:r>
      <w:r>
        <w:t>ся муниципального сектора, то, как отмечается в исследовании, разница в о</w:t>
      </w:r>
      <w:r>
        <w:t>п</w:t>
      </w:r>
      <w:r>
        <w:t>лате труда женщин и мужчин фактически большей частью объясняется тем фактом, что женщины и мужчины заняты различными видами деятельности, а уровень профессиональной подготовки мужчин несколько выше, чем у же</w:t>
      </w:r>
      <w:r>
        <w:t>н</w:t>
      </w:r>
      <w:r>
        <w:t xml:space="preserve">щин.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При проведении этого исследования были разработаны статистические показатели, позволяющие контролировать изменение статистики об оплате тр</w:t>
      </w:r>
      <w:r>
        <w:t>у</w:t>
      </w:r>
      <w:r>
        <w:t xml:space="preserve">да мужчин и женщин.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правительственной программе отмечается, что: "правительство стр</w:t>
      </w:r>
      <w:r>
        <w:t>е</w:t>
      </w:r>
      <w:r>
        <w:t>мится обеспечивать равную оплату труда и равные условия труда путем осущ</w:t>
      </w:r>
      <w:r>
        <w:t>е</w:t>
      </w:r>
      <w:r>
        <w:t>ствления совместно с организациями рынка труда долгосрочной программы. Цель ее заключается в устранении необоснованной разницы в оплате труда мужчин и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Меры по обеспечению равной оплаты труда принимаются и организаци</w:t>
      </w:r>
      <w:r>
        <w:t>я</w:t>
      </w:r>
      <w:r>
        <w:t>ми рынка труда. Например, Финляндская конфедерация служащих (ФКС) ве</w:t>
      </w:r>
      <w:r>
        <w:t>с</w:t>
      </w:r>
      <w:r>
        <w:t>ной 2003 года подготовила проект программы обеспечения равной оплаты тр</w:t>
      </w:r>
      <w:r>
        <w:t>у</w:t>
      </w:r>
      <w:r>
        <w:t>да, а также восьмиуровневое предложение относительно тех мер, которые сл</w:t>
      </w:r>
      <w:r>
        <w:t>е</w:t>
      </w:r>
      <w:r>
        <w:t>дует включить в эту программу. Согласно этой программе, правительство и о</w:t>
      </w:r>
      <w:r>
        <w:t>р</w:t>
      </w:r>
      <w:r>
        <w:t>ганизации рынка труда совместно разработают программу обеспечения равной оплаты труда, которая будет гарантировать недискриминационную систему з</w:t>
      </w:r>
      <w:r>
        <w:t>а</w:t>
      </w:r>
      <w:r>
        <w:t>работной платы. В программу будет также включена эффективная система ко</w:t>
      </w:r>
      <w:r>
        <w:t>н</w:t>
      </w:r>
      <w:r>
        <w:t>троля за достижением поставленных целей с использованием конкретных пок</w:t>
      </w:r>
      <w:r>
        <w:t>а</w:t>
      </w:r>
      <w:r>
        <w:t xml:space="preserve">зателей эффективности осуществления мер по обеспечению равной оплаты труда.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Совместная рабочая группа по оценке (ТАСЕ) основных организаций рынка труда осуществляла проект развития различных сфер занятости и оказ</w:t>
      </w:r>
      <w:r>
        <w:t>ы</w:t>
      </w:r>
      <w:r>
        <w:t xml:space="preserve">вала содействие внедрению стимулирующих систем оплаты труда на основе оценки требований, предъявляемых к выполнению той или иной работы. В 2003 году этой группой было подготовлено секторальное исследование по вопросу о том, как оценка служебных требований способствует выравниванию оплаты труда. Окончательные результаты исследования будут готовы к концу 2003 года.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Цель государственной политики в области оплаты труда - обеспечить ра</w:t>
      </w:r>
      <w:r>
        <w:t>в</w:t>
      </w:r>
      <w:r>
        <w:t>ную оплату труда всех государственных служащих и их групп. Задача здесь з</w:t>
      </w:r>
      <w:r>
        <w:t>а</w:t>
      </w:r>
      <w:r>
        <w:t>ключается в том, чтобы в интересах обеспечения равной оплаты труда</w:t>
      </w:r>
      <w:r>
        <w:rPr>
          <w:rStyle w:val="FootnoteReference"/>
          <w:sz w:val="17"/>
        </w:rPr>
        <w:footnoteReference w:id="17"/>
      </w:r>
      <w:r>
        <w:t xml:space="preserve"> к ко</w:t>
      </w:r>
      <w:r>
        <w:t>н</w:t>
      </w:r>
      <w:r>
        <w:t>цу 2004 года во всех структурах государственной администрации была принята новая система оплаты труда, учитывающая служебные требования и личные профессиональные качес</w:t>
      </w:r>
      <w:r>
        <w:t>т</w:t>
      </w:r>
      <w:r>
        <w:t xml:space="preserve">ва.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exact"/>
        <w:ind w:left="1741" w:right="1260" w:hanging="720"/>
        <w:rPr>
          <w:sz w:val="10"/>
        </w:rPr>
      </w:pPr>
      <w:r>
        <w:tab/>
        <w:t>7.</w:t>
      </w:r>
      <w:r>
        <w:tab/>
        <w:t xml:space="preserve">Безработица среди женщин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exact"/>
        <w:ind w:left="1741" w:right="1260" w:hanging="720"/>
        <w:rPr>
          <w:sz w:val="10"/>
        </w:rPr>
      </w:pPr>
      <w:r>
        <w:tab/>
      </w:r>
      <w:r>
        <w:rPr>
          <w:i/>
        </w:rPr>
        <w:t>7.1.</w:t>
      </w:r>
      <w:r>
        <w:rPr>
          <w:i/>
        </w:rPr>
        <w:tab/>
        <w:t>Безработица среди женщин в 2002 году</w:t>
      </w:r>
      <w:r>
        <w:t xml:space="preserve">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Из-за несбалансированности спроса и предложения рабочей силы Фи</w:t>
      </w:r>
      <w:r>
        <w:t>н</w:t>
      </w:r>
      <w:r>
        <w:t>ляндия страдает от структурной безработицы, которая затрагивает более 170 000 человек. В 2002 году уровень безработицы среди как женщин, так и мужчин составлял 9,1 процента. Безработных женщин было 114 000, а му</w:t>
      </w:r>
      <w:r>
        <w:t>ж</w:t>
      </w:r>
      <w:r>
        <w:t>чин - 123 000. Уровень безработицы самый высокий в возрастной группе от 15 до 24 лет и снижается по мере уменьшения возраста. Что касается женщин в возрастной группе от 15 до 24 лет, то здесь уровень безработицы несколько ниже, чем среди мужчин. Однако в возрастной группе женщин от 25 до 44 лет уровень безработицы несколько выше, чем среди мужчин. Разница в уровнях безработицы среди женщин и мужчин незнач</w:t>
      </w:r>
      <w:r>
        <w:t>и</w:t>
      </w:r>
      <w:r>
        <w:t xml:space="preserve">тельна.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 xml:space="preserve">В 2001 году 19,6 процента безработных женщин имели университетское образование, в то время как среди безработных мужчин таких было 13,2 процента. Среди безработных образование ниже высшего имело больше мужчин, чем женщин.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Министерство труда разработало стратегию занятости на период до 2010 года с целью трудоустройства и обеспечения в конечном итоге полной з</w:t>
      </w:r>
      <w:r>
        <w:t>а</w:t>
      </w:r>
      <w:r>
        <w:t>нятости. За эти 10 лет положение на рынке труда постепенно изменится, п</w:t>
      </w:r>
      <w:r>
        <w:t>о</w:t>
      </w:r>
      <w:r>
        <w:t>скольку самая крупная возрастная группа начнет покидать рынок труда. В ближайшие годы население, вступающее на рынок труда, не сможет заменить всех тех, кто его покидает. С целью обеспечения гарантий наличия рабочей с</w:t>
      </w:r>
      <w:r>
        <w:t>и</w:t>
      </w:r>
      <w:r>
        <w:t>лы и ускорения процесса трудоустройства будет, в частности, оказана поддер</w:t>
      </w:r>
      <w:r>
        <w:t>ж</w:t>
      </w:r>
      <w:r>
        <w:t>ка для участия на рынке труда тех, кому сложнее всего на него попасть, т.е. и</w:t>
      </w:r>
      <w:r>
        <w:t>н</w:t>
      </w:r>
      <w:r>
        <w:t>валидов и иммигрантов, а также для облегчения распределения рабочих мест среди мужчин и женщин и ускорения занятости молодежи. Задача здесь будет также, по мере возможности, заключаться в снижении косвенного налогообл</w:t>
      </w:r>
      <w:r>
        <w:t>о</w:t>
      </w:r>
      <w:r>
        <w:t>жения в низкооплачиваемых сферах, причем зачастую за счет привлечения зн</w:t>
      </w:r>
      <w:r>
        <w:t>а</w:t>
      </w:r>
      <w:r>
        <w:t xml:space="preserve">чительного количества женщин, и тем самым в обеспечении занятости в этих сферах.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exact"/>
        <w:ind w:left="1741" w:right="1260" w:hanging="720"/>
        <w:rPr>
          <w:sz w:val="10"/>
        </w:rPr>
      </w:pPr>
      <w:r>
        <w:tab/>
      </w:r>
      <w:r>
        <w:rPr>
          <w:i/>
        </w:rPr>
        <w:t>7.2.</w:t>
      </w:r>
      <w:r>
        <w:rPr>
          <w:i/>
        </w:rPr>
        <w:tab/>
        <w:t>Работающие женщины старше среднего возраста</w:t>
      </w:r>
      <w:r>
        <w:t xml:space="preserve">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Цель Национальной программы для работников старшего возраста, кот</w:t>
      </w:r>
      <w:r>
        <w:t>о</w:t>
      </w:r>
      <w:r>
        <w:t>рая осуществлялась в 1998-2002 годах министерством социальных дел и здр</w:t>
      </w:r>
      <w:r>
        <w:t>а</w:t>
      </w:r>
      <w:r>
        <w:t>воохранения, министерством труда, министерством образования и рядом др</w:t>
      </w:r>
      <w:r>
        <w:t>у</w:t>
      </w:r>
      <w:r>
        <w:t>гих участников, заключалась в предотвращении преждевременного выхода на пенсию, инвалидности и социального отчуждения, а также в трудоустройстве престарелых трудящихся. Пр</w:t>
      </w:r>
      <w:r>
        <w:t>о</w:t>
      </w:r>
      <w:r>
        <w:t>грамма включала в себя информационно-учебный компонент, а также реформу законодательства и политики в области труда. Кроме того, в программу были включены меры, касающиеся развития трудовых общин и сохранения трудоспособности, расширения защиты труд</w:t>
      </w:r>
      <w:r>
        <w:t>я</w:t>
      </w:r>
      <w:r>
        <w:t>щихся на производстве, и осуществления научно-исследовательских и эксп</w:t>
      </w:r>
      <w:r>
        <w:t>е</w:t>
      </w:r>
      <w:r>
        <w:t xml:space="preserve">риментальных проектов.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ходе реализации этой программы широко обсуждались такие вопросы, как положение, возможности и потенциал престарелых трудящихся, а также было начато проведение ряда научно-исследовательских и учебных программ. Многие из целей данной программы достичь можно только по прошествии ц</w:t>
      </w:r>
      <w:r>
        <w:t>е</w:t>
      </w:r>
      <w:r>
        <w:t>лого ряда лет. Однако данные о результатах осуществления этой программы показывают, что определенные изменения уже произошли. За период осущес</w:t>
      </w:r>
      <w:r>
        <w:t>т</w:t>
      </w:r>
      <w:r>
        <w:t>вления программы возраст выхода на пенсию постепенно повышался, а ур</w:t>
      </w:r>
      <w:r>
        <w:t>о</w:t>
      </w:r>
      <w:r>
        <w:t>вень занятости престарелых значительно превысил средний уровень и тем с</w:t>
      </w:r>
      <w:r>
        <w:t>а</w:t>
      </w:r>
      <w:r>
        <w:t>мым приблизился к уровню занятости в других возрастных группах. Снизился также и уровень длительной безработицы среди престарелых. В рамках пр</w:t>
      </w:r>
      <w:r>
        <w:t>о</w:t>
      </w:r>
      <w:r>
        <w:t>граммы проводилась также и кампания по расширению профессиональных возможностей. Институт безопасности и гигиены труда продолжает развивать мероприятия, намеченные в этой программе, и проводить кампанию по укре</w:t>
      </w:r>
      <w:r>
        <w:t>п</w:t>
      </w:r>
      <w:r>
        <w:t>лению профессиональных возможностей. В 2002 году был опубликован закл</w:t>
      </w:r>
      <w:r>
        <w:t>ю</w:t>
      </w:r>
      <w:r>
        <w:t>чительный доклад по итогам осуществления программы, озаглавленный "Ра</w:t>
      </w:r>
      <w:r>
        <w:t>з</w:t>
      </w:r>
      <w:r>
        <w:t>личные аспекты Национальной программы поддержки престарелых трудящи</w:t>
      </w:r>
      <w:r>
        <w:t>х</w:t>
      </w:r>
      <w:r>
        <w:t>ся в 1998-2002 годах"</w:t>
      </w:r>
      <w:r>
        <w:rPr>
          <w:rStyle w:val="FootnoteReference"/>
          <w:sz w:val="17"/>
        </w:rPr>
        <w:footnoteReference w:id="18"/>
      </w:r>
      <w:r>
        <w:t>.</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2000 году муниципальный сектор приступил к осуществлению пр</w:t>
      </w:r>
      <w:r>
        <w:t>о</w:t>
      </w:r>
      <w:r>
        <w:t>граммы "Здоровый труд - здоровые муниципалитеты". Это - программа Пенс</w:t>
      </w:r>
      <w:r>
        <w:t>и</w:t>
      </w:r>
      <w:r>
        <w:t>онного института местных органов власти, и она касается улучшения условий труда. Она нацелена на создание в муниципалитетах таких условий труда, к</w:t>
      </w:r>
      <w:r>
        <w:t>о</w:t>
      </w:r>
      <w:r>
        <w:t>торые способствовали бы продлению трудовой жизни служащих муниципал</w:t>
      </w:r>
      <w:r>
        <w:t>ь</w:t>
      </w:r>
      <w:r>
        <w:t>ного сектора. В частности, по линии этой программы были организованы ра</w:t>
      </w:r>
      <w:r>
        <w:t>з</w:t>
      </w:r>
      <w:r>
        <w:t>личные семинары, учебные курсы, будут выпущены соответствующие публ</w:t>
      </w:r>
      <w:r>
        <w:t>и</w:t>
      </w:r>
      <w:r>
        <w:t>кации и разработаны наилучшие виды практики для рабочих мест в муниц</w:t>
      </w:r>
      <w:r>
        <w:t>и</w:t>
      </w:r>
      <w:r>
        <w:t xml:space="preserve">пальном секторе с целью улучшения общих условий труда.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Кроме того, по линии этой программы и научно-исследовательской де</w:t>
      </w:r>
      <w:r>
        <w:t>я</w:t>
      </w:r>
      <w:r>
        <w:t>тельности Пенсионного института местных органов власти с 1 мая 2002 года по 31 декабря 2004 года будет совместно осуществляться проект "Муниц</w:t>
      </w:r>
      <w:r>
        <w:t>и</w:t>
      </w:r>
      <w:r>
        <w:t>пальная работа - 2010 год". Цель этого проекта - улучшение условий труда в муниципальном секторе и, тем самым, обеспечение более позднего выхода в отставку. Задача здесь заключается в том, чтобы добиться цели осуществления проекта "Муниципальная работа - 2010 год" путем сбора информации об усл</w:t>
      </w:r>
      <w:r>
        <w:t>о</w:t>
      </w:r>
      <w:r>
        <w:t>виях труда и изменениях и тех мерах, которые могли бы способствовать их улучшению в муниципальном секторе посредством использования итогов пр</w:t>
      </w:r>
      <w:r>
        <w:t>о</w:t>
      </w:r>
      <w:r>
        <w:t xml:space="preserve">веденных научных исследований для разработки средств повышения качества труда в муниципальном секторе путем введения контроля за эффективностью мер, принимаемых для улучшения труда.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exact"/>
        <w:ind w:left="1741" w:right="1260" w:hanging="720"/>
        <w:rPr>
          <w:sz w:val="10"/>
        </w:rPr>
      </w:pPr>
      <w:r>
        <w:tab/>
        <w:t>8.</w:t>
      </w:r>
      <w:r>
        <w:tab/>
        <w:t xml:space="preserve">Социальное обеспечение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exact"/>
        <w:ind w:left="1741" w:right="1260" w:hanging="720"/>
        <w:rPr>
          <w:sz w:val="10"/>
        </w:rPr>
      </w:pPr>
      <w:r>
        <w:tab/>
      </w:r>
      <w:r>
        <w:rPr>
          <w:i/>
        </w:rPr>
        <w:t>8.1.</w:t>
      </w:r>
      <w:r>
        <w:rPr>
          <w:i/>
        </w:rPr>
        <w:tab/>
        <w:t>Гарантии социального обеспечения и анализ гендерных аспектов его влияния</w:t>
      </w:r>
      <w:r>
        <w:t xml:space="preserve">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При рассмотрении предыдущего периодического доклада Финляндии КЛДЖ выразил свою обеспокоенность по поводу того, что политика децентр</w:t>
      </w:r>
      <w:r>
        <w:t>а</w:t>
      </w:r>
      <w:r>
        <w:t>лизации социальных услуг может пагубно отразиться на положении женщин. Он рекомендует при осуществлении децентрализации разработать систему проведения анализа гендерных аспектов воздействия этого процесса, а также обеспечить систему профессиональной подготовки с учетом интересов же</w:t>
      </w:r>
      <w:r>
        <w:t>н</w:t>
      </w:r>
      <w:r>
        <w:t xml:space="preserve">щин. Он также рекомендует укрепить связь между центральными органами власти и муниципалитетами.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Обеспечение социального равенства в Финляндии связано с регионал</w:t>
      </w:r>
      <w:r>
        <w:t>ь</w:t>
      </w:r>
      <w:r>
        <w:t>ным равенством, поскольку территория этой страны огромна, а плотность н</w:t>
      </w:r>
      <w:r>
        <w:t>а</w:t>
      </w:r>
      <w:r>
        <w:t>селения низкая. Социальное и территориальное равенство является основой национальной социальной политики и политики в области здравоохранения. Децентрализация служб осуществляется через систему муниципалитетов, и п</w:t>
      </w:r>
      <w:r>
        <w:t>о</w:t>
      </w:r>
      <w:r>
        <w:t>этому местные муниципалитеты играют ключевую роль в обеспечении раве</w:t>
      </w:r>
      <w:r>
        <w:t>н</w:t>
      </w:r>
      <w:r>
        <w:t>ства своих жителей по закону. В Финляндии основное направление такой пол</w:t>
      </w:r>
      <w:r>
        <w:t>и</w:t>
      </w:r>
      <w:r>
        <w:t>тики не вызывает никаких замечаний с точки зрения равенства мужчин и же</w:t>
      </w:r>
      <w:r>
        <w:t>н</w:t>
      </w:r>
      <w:r>
        <w:t>щин. В разделе 6 Конституции провозглашается равенство всех перед законом и запрещается, в частности, ди</w:t>
      </w:r>
      <w:r>
        <w:t>с</w:t>
      </w:r>
      <w:r>
        <w:t xml:space="preserve">криминация по признаку пола.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Муниципалитеты оказывают всем своим жителям положенные по закону основные услуги, наиболее важными из которых являются те, которые связаны с образованием, социальной сферой, здравоохранением и поддержанием в на</w:t>
      </w:r>
      <w:r>
        <w:t>д</w:t>
      </w:r>
      <w:r>
        <w:t>лежащем состоянии технической инфраструктуры. Все услуги финансируются за счет государственного налогового фонда, и муниципалитеты имеют право собирать налоги на своей территории. Муниципалитеты оказывают многочи</w:t>
      </w:r>
      <w:r>
        <w:t>с</w:t>
      </w:r>
      <w:r>
        <w:t>ленные услуги в сотрудничестве с другими муниципалитетами; например, больницы, различные учебные заведения и политехнические училища находя</w:t>
      </w:r>
      <w:r>
        <w:t>т</w:t>
      </w:r>
      <w:r>
        <w:t>ся в совместном ведении муниципальных органов власти. Министерством с</w:t>
      </w:r>
      <w:r>
        <w:t>о</w:t>
      </w:r>
      <w:r>
        <w:t>циальных дел и здравоохранения предоставляется государственная субсидия в размере, который зависит от количества жителей того или иного муниципал</w:t>
      </w:r>
      <w:r>
        <w:t>и</w:t>
      </w:r>
      <w:r>
        <w:t>тета. Кроме того, муниципалитеты получают государственную субсидию на образов</w:t>
      </w:r>
      <w:r>
        <w:t>а</w:t>
      </w:r>
      <w:r>
        <w:t xml:space="preserve">ние и культуру, а также на общие цели.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последние несколько лет была реформирована государственная система субсидий на социальные и медицинские цели, и, таким образом, все группы н</w:t>
      </w:r>
      <w:r>
        <w:t>а</w:t>
      </w:r>
      <w:r>
        <w:t>селения, нуждающегося в особых услугах, имеют гарантированный доступ к этим услугам. В качестве примера можно отметить особые услуги, предоста</w:t>
      </w:r>
      <w:r>
        <w:t>в</w:t>
      </w:r>
      <w:r>
        <w:t>ляемые инвалидам и детям. Сектор информационного руководства совместно с национальной ассоциацией муниципалитетов, Ассоциацией финляндских м</w:t>
      </w:r>
      <w:r>
        <w:t>е</w:t>
      </w:r>
      <w:r>
        <w:t>стных и региональных органов власти, разработал на этот счет соответству</w:t>
      </w:r>
      <w:r>
        <w:t>ю</w:t>
      </w:r>
      <w:r>
        <w:t xml:space="preserve">щие рекомендации.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соответствии с положениями закона социальные и медицинские услуги организуются в сотрудничестве с пользователем. Лицо, требующее предоста</w:t>
      </w:r>
      <w:r>
        <w:t>в</w:t>
      </w:r>
      <w:r>
        <w:t>ления таких услуг, и пользователь их имеют законное право на подачу апелл</w:t>
      </w:r>
      <w:r>
        <w:t>я</w:t>
      </w:r>
      <w:r>
        <w:t>ции и жалобы, и это право также широко применяется в муниципалитетах. В дополнение к различным законам о таких услугах был принят один спец</w:t>
      </w:r>
      <w:r>
        <w:t>и</w:t>
      </w:r>
      <w:r>
        <w:t>альный закон, гарантирующий статус и права пользователя как социальных у</w:t>
      </w:r>
      <w:r>
        <w:t>с</w:t>
      </w:r>
      <w:r>
        <w:t>луг, так и услуг в области здравоохранения. Соответствующие индивидуальные апелляции и жалобы рассматриваются парламентским омбудсменом и предс</w:t>
      </w:r>
      <w:r>
        <w:t>е</w:t>
      </w:r>
      <w:r>
        <w:t xml:space="preserve">дателем Суда справедливости.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Ответственность за общее планирование и контроль в области оказания социальных и медицинских услуг лежит на министерстве социальных дел и здравоохранения; на территории губернии эти задачи выполняют губернские органы власти. Изменение акцентов в руководящей роли государства с норм</w:t>
      </w:r>
      <w:r>
        <w:t>о</w:t>
      </w:r>
      <w:r>
        <w:t>творческой на информационную деятельность привело к усилению различий, существующих между муниципалитетами в сфере оказания социальных услуг и услуг в области здравоохранения, а также в том, что касается наличия и кач</w:t>
      </w:r>
      <w:r>
        <w:t>е</w:t>
      </w:r>
      <w:r>
        <w:t xml:space="preserve">ства этих услуг.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Законодательством определяется объективное право на уход за детьми в дневное время и на некоторые услуги для инвалидов. Однако объективным правом, имеющим силу универсального принципа, фактически является только право на уход за детьми в дневное время. Все другие услуги по уходу скорее зависят от оценки степени потребности, а концепция потребностей должна быть гибкой и учитывать име</w:t>
      </w:r>
      <w:r>
        <w:t>ю</w:t>
      </w:r>
      <w:r>
        <w:t xml:space="preserve">щиеся политические и экономические средства.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О непрерывном сужении сферы оказываемых государством услуг можно, в частности, убедиться на примере услуг, оказываемых на дому. Так, в 1990</w:t>
      </w:r>
      <w:r>
        <w:noBreakHyphen/>
        <w:t>х годах количество престарелых, охватываемых государственным сектором услуг на дому, сократилось порядка на 40 процентов. Соответственно, примерно на столько же возросла доля неофициальных услуг, оказываемых членами семьи. За оказание таких неофициальных услуг, как правило, отвечают женщины. Ф</w:t>
      </w:r>
      <w:r>
        <w:t>и</w:t>
      </w:r>
      <w:r>
        <w:t xml:space="preserve">нансовая поддержка обществом тех, кто обеспечивает такой неформальный уход за взрослыми, незначительна. Она составляет всего лишь 10 процентов.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 xml:space="preserve">Возможности ухода за кем-то своими собственными силами зависит от пола. Это означает, что у престарелой женщины меньше шансов на получение услуг по поддержке, чем у мужчины. Это касается услуг, как предоставляемых обществом, так и оказываемых родственниками.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Проблемы, касающиеся децентрализации общественных услуг, хорошо известны, и для их решения используется целый ряд средств. В правительственной программе особый упор делается на обеспечение раве</w:t>
      </w:r>
      <w:r>
        <w:t>н</w:t>
      </w:r>
      <w:r>
        <w:t>ства мужчин и женщин. Цель ее заключается в обеспечении наличия, качества и достаточности ориентированных на удовлетворение потребностей услуг, о</w:t>
      </w:r>
      <w:r>
        <w:t>с</w:t>
      </w:r>
      <w:r>
        <w:t>нованных на потребностях населения в разли</w:t>
      </w:r>
      <w:r>
        <w:t>ч</w:t>
      </w:r>
      <w:r>
        <w:t xml:space="preserve">ных частях страны.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Программа развития системы социального обеспечения предусматривает устранение имеющихся в сфере социальных услуг недостатков, в частности, в том, что касается обслуживания престарелых, детей и семей. Внимание этой программы нацелено на обслуживание престарелых на дому, а сама система услуг здесь основывается на поддержке этого принципа. Будут расширены во</w:t>
      </w:r>
      <w:r>
        <w:t>з</w:t>
      </w:r>
      <w:r>
        <w:t>можности самих престарелых решать то, в каких услугах они нуждаются, в ч</w:t>
      </w:r>
      <w:r>
        <w:t>а</w:t>
      </w:r>
      <w:r>
        <w:t>стности, путем создания региональных систем служб, включая муниципальные социальные и медицинские службы, а также услуги, предоставляемые орган</w:t>
      </w:r>
      <w:r>
        <w:t>и</w:t>
      </w:r>
      <w:r>
        <w:t>зациями и частными лицами. Законом будут предусмотрены положения, к</w:t>
      </w:r>
      <w:r>
        <w:t>а</w:t>
      </w:r>
      <w:r>
        <w:t>сающиеся права престарелых на получение услуг, определяемых в течение трех дней с момента подачи соответствующей заявки на такие услуги, а также права на подготовку плана оказания услуг. Правительство со своей стороны также изучит вопрос о том, как можно было бы в рамках законодательства развить систему ухода за семьей в рамках единой системы обслуживания. Особое вн</w:t>
      </w:r>
      <w:r>
        <w:t>и</w:t>
      </w:r>
      <w:r>
        <w:t>мание будет уделяться основаниям для оказания социальной помощи семьям, количеству лиц, имеющих право на получение помощи, договоренностям о р</w:t>
      </w:r>
      <w:r>
        <w:t>а</w:t>
      </w:r>
      <w:r>
        <w:t>боте опекунов в нерабочее время и наличию достаточных вспомогательных у</w:t>
      </w:r>
      <w:r>
        <w:t>с</w:t>
      </w:r>
      <w:r>
        <w:t xml:space="preserve">луг.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С 1998 года в рамках проекта "Сеть специальных служб" стала разраб</w:t>
      </w:r>
      <w:r>
        <w:t>а</w:t>
      </w:r>
      <w:r>
        <w:t>тываться система специальных услуг в области социального обеспечения. Цель здесь - создать всеобъемлющую региональную и местную сеть специального обслуживания для предоставления услуг с учетом конкретных навыков и видов деятельности, например, в том, что касается защиты детей и молодежи, нарк</w:t>
      </w:r>
      <w:r>
        <w:t>о</w:t>
      </w:r>
      <w:r>
        <w:t>манов, жертв домашнего насилия, потребностей специальных групп в услугах, а также различных кризисных ситуаций. Развитие системы оказания услуг в кризисных ситуациях связано также с обеспечением гарантий постоянного н</w:t>
      </w:r>
      <w:r>
        <w:t>а</w:t>
      </w:r>
      <w:r>
        <w:t xml:space="preserve">личия соответствующих услуг.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2002 году министерство социальных дел и здравоохранения приступило к осуществлению экспериментального проекта с целью упорядочения полож</w:t>
      </w:r>
      <w:r>
        <w:t>е</w:t>
      </w:r>
      <w:r>
        <w:t>ния дел, в первую очередь в административной области самого министерства. Этот проект включает в себя анализ гендерных аспектов влияния в рамках ра</w:t>
      </w:r>
      <w:r>
        <w:t>з</w:t>
      </w:r>
      <w:r>
        <w:t>работки законопроектов в министерстве, т.е. оценку возможного влияния того или иного закона на положение мужчин и женщин и возможность оказания с</w:t>
      </w:r>
      <w:r>
        <w:t>о</w:t>
      </w:r>
      <w:r>
        <w:t>действия обеспечению равенства полов. При анализе гендерных аспектов во</w:t>
      </w:r>
      <w:r>
        <w:t>з</w:t>
      </w:r>
      <w:r>
        <w:t>действия, например, необходимо использовать статистическую информацию для изучения тех областей, в которых тот или иной законопроект может в</w:t>
      </w:r>
      <w:r>
        <w:t>ы</w:t>
      </w:r>
      <w:r>
        <w:t>звать дисбаланс в положении мужчин и женщин. Нормы, носящие явно не</w:t>
      </w:r>
      <w:r>
        <w:t>й</w:t>
      </w:r>
      <w:r>
        <w:t>тральный характер, могут по-разному сказываться на положении мужчин и женщин. Принцип равного обращения необходимо внедрить и в том, что кас</w:t>
      </w:r>
      <w:r>
        <w:t>а</w:t>
      </w:r>
      <w:r>
        <w:t>ется взаимосвязи между различными группами, поскольку мужчины и женщ</w:t>
      </w:r>
      <w:r>
        <w:t>и</w:t>
      </w:r>
      <w:r>
        <w:t>ны отличаются друг от друга, например, по возрасту, этническому происхожд</w:t>
      </w:r>
      <w:r>
        <w:t>е</w:t>
      </w:r>
      <w:r>
        <w:t xml:space="preserve">нию или месту жительства.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Социальные пособия также могут носить четко нейтральный гендерный характер; в частности, семейный отпуск предназначен как для женщин, так и для мужчин, хотя большей частью его берут женщины. В данном случае разр</w:t>
      </w:r>
      <w:r>
        <w:t>а</w:t>
      </w:r>
      <w:r>
        <w:t>ботчики законопроектов могли бы изучить те экономические последствия и п</w:t>
      </w:r>
      <w:r>
        <w:t>о</w:t>
      </w:r>
      <w:r>
        <w:t>следствия, касающиеся занятости и родительских обязанностей, которые могло бы иметь для женщин/мужчин неравномерное распределение семейных отпу</w:t>
      </w:r>
      <w:r>
        <w:t>с</w:t>
      </w:r>
      <w:r>
        <w:t xml:space="preserve">ков.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При анализе гендерных аспектов воздействия, например, можно было бы задать следующие вопросы: поможет ли разрабатываемый закон устранить препятствия на пути обеспечения равенства; обеспечивает ли данный закон р</w:t>
      </w:r>
      <w:r>
        <w:t>а</w:t>
      </w:r>
      <w:r>
        <w:t xml:space="preserve">венство мужчин и женщин в том, что касается: </w:t>
      </w:r>
    </w:p>
    <w:p w:rsidR="00000000" w:rsidRDefault="00000000">
      <w:pPr>
        <w:pStyle w:val="SingleTxt"/>
        <w:numPr>
          <w:ilvl w:val="0"/>
          <w:numId w:val="328"/>
        </w:numPr>
        <w:tabs>
          <w:tab w:val="clear" w:pos="720"/>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710" w:hanging="450"/>
      </w:pPr>
      <w:r>
        <w:t xml:space="preserve">условий труда, экономического положения, </w:t>
      </w:r>
    </w:p>
    <w:p w:rsidR="00000000" w:rsidRDefault="00000000">
      <w:pPr>
        <w:pStyle w:val="SingleTxt"/>
        <w:numPr>
          <w:ilvl w:val="0"/>
          <w:numId w:val="328"/>
        </w:numPr>
        <w:tabs>
          <w:tab w:val="clear" w:pos="720"/>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710" w:hanging="450"/>
      </w:pPr>
      <w:r>
        <w:t>возможности выполнять родительские обязанности и сочетать работу с семейными обяза</w:t>
      </w:r>
      <w:r>
        <w:t>н</w:t>
      </w:r>
      <w:r>
        <w:t xml:space="preserve">ностями, </w:t>
      </w:r>
    </w:p>
    <w:p w:rsidR="00000000" w:rsidRDefault="00000000">
      <w:pPr>
        <w:pStyle w:val="SingleTxt"/>
        <w:numPr>
          <w:ilvl w:val="0"/>
          <w:numId w:val="328"/>
        </w:numPr>
        <w:tabs>
          <w:tab w:val="clear" w:pos="720"/>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710" w:hanging="450"/>
      </w:pPr>
      <w:r>
        <w:t xml:space="preserve">учебы и профессиональной подготовки, </w:t>
      </w:r>
    </w:p>
    <w:p w:rsidR="00000000" w:rsidRDefault="00000000">
      <w:pPr>
        <w:pStyle w:val="SingleTxt"/>
        <w:numPr>
          <w:ilvl w:val="0"/>
          <w:numId w:val="328"/>
        </w:numPr>
        <w:tabs>
          <w:tab w:val="clear" w:pos="720"/>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710" w:hanging="450"/>
      </w:pPr>
      <w:r>
        <w:t xml:space="preserve">возможностей трудиться, получить работу и продвигаться по службе, </w:t>
      </w:r>
    </w:p>
    <w:p w:rsidR="00000000" w:rsidRDefault="00000000">
      <w:pPr>
        <w:pStyle w:val="SingleTxt"/>
        <w:numPr>
          <w:ilvl w:val="0"/>
          <w:numId w:val="328"/>
        </w:numPr>
        <w:tabs>
          <w:tab w:val="clear" w:pos="720"/>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710" w:hanging="450"/>
      </w:pPr>
      <w:r>
        <w:t xml:space="preserve">реализации возможностей оказания общественного влияния и участия, </w:t>
      </w:r>
    </w:p>
    <w:p w:rsidR="00000000" w:rsidRDefault="00000000">
      <w:pPr>
        <w:pStyle w:val="SingleTxt"/>
        <w:numPr>
          <w:ilvl w:val="0"/>
          <w:numId w:val="328"/>
        </w:numPr>
        <w:tabs>
          <w:tab w:val="clear" w:pos="720"/>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710" w:hanging="450"/>
      </w:pPr>
      <w:r>
        <w:t xml:space="preserve">здоровья, лечения и получения соответствующих услуг, </w:t>
      </w:r>
    </w:p>
    <w:p w:rsidR="00000000" w:rsidRDefault="00000000">
      <w:pPr>
        <w:pStyle w:val="SingleTxt"/>
        <w:numPr>
          <w:ilvl w:val="0"/>
          <w:numId w:val="328"/>
        </w:numPr>
        <w:tabs>
          <w:tab w:val="clear" w:pos="720"/>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710" w:hanging="450"/>
      </w:pPr>
      <w:r>
        <w:t xml:space="preserve">безопасности и угрозы насилия, </w:t>
      </w:r>
    </w:p>
    <w:p w:rsidR="00000000" w:rsidRDefault="00000000">
      <w:pPr>
        <w:pStyle w:val="SingleTxt"/>
        <w:numPr>
          <w:ilvl w:val="0"/>
          <w:numId w:val="328"/>
        </w:numPr>
        <w:tabs>
          <w:tab w:val="clear" w:pos="720"/>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710" w:hanging="450"/>
      </w:pPr>
      <w:r>
        <w:t xml:space="preserve">обеспечения участия в общественной жизни, </w:t>
      </w:r>
    </w:p>
    <w:p w:rsidR="00000000" w:rsidRDefault="00000000">
      <w:pPr>
        <w:pStyle w:val="SingleTxt"/>
        <w:numPr>
          <w:ilvl w:val="0"/>
          <w:numId w:val="328"/>
        </w:numPr>
        <w:tabs>
          <w:tab w:val="clear" w:pos="720"/>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710" w:hanging="450"/>
      </w:pPr>
      <w:r>
        <w:t>использования свободного времени, увлечений и отдыха и других обла</w:t>
      </w:r>
      <w:r>
        <w:t>с</w:t>
      </w:r>
      <w:r>
        <w:t xml:space="preserve">тей, значимых для обеспечения равенства мужчин и женщин?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Обеспечение равенства женщин и мужчин - это общественная задача, з</w:t>
      </w:r>
      <w:r>
        <w:t>а</w:t>
      </w:r>
      <w:r>
        <w:t>крепленная в Конституции. Оценка гендерных аспектов влияния законопрое</w:t>
      </w:r>
      <w:r>
        <w:t>к</w:t>
      </w:r>
      <w:r>
        <w:t>тов и их возможностей в плане обеспечения равенства служит администрати</w:t>
      </w:r>
      <w:r>
        <w:t>в</w:t>
      </w:r>
      <w:r>
        <w:t xml:space="preserve">ным средством оказания содействия обеспечению равенства.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exact"/>
        <w:ind w:left="1741" w:right="1260" w:hanging="720"/>
        <w:rPr>
          <w:sz w:val="10"/>
        </w:rPr>
      </w:pPr>
      <w:r>
        <w:tab/>
      </w:r>
      <w:r>
        <w:rPr>
          <w:i/>
        </w:rPr>
        <w:t>8.2.</w:t>
      </w:r>
      <w:r>
        <w:rPr>
          <w:i/>
        </w:rPr>
        <w:tab/>
        <w:t>Пенсионные пособия</w:t>
      </w:r>
      <w:r>
        <w:t xml:space="preserve">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Предусмотренные законом пенсии выплачиваются по линии двух разли</w:t>
      </w:r>
      <w:r>
        <w:t>ч</w:t>
      </w:r>
      <w:r>
        <w:t xml:space="preserve">ных пенсионных систем: системы пенсий, формируемых за счет взносов по месту работы и государственных пенсий. На конец 2001 года общий средний размер пенсий составлял 1019 евро в месяц, т.е. 1215 евро для мужчин и 891 евро для женщин. Среди пенсионеров женщины составляют 57 процентов.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Для женщин значительную часть их пенсионных пособий составляют пенсии, выплачиваемые в связи с утратой супруга. Семейные пенсии большей частью и состоят из такого вида пенсионных пособий. На конец 2001 года т</w:t>
      </w:r>
      <w:r>
        <w:t>а</w:t>
      </w:r>
      <w:r>
        <w:t>кие пенсии получали 89 процентов женщин и 11 процентов мужчин. В 2001 году средний размер пенсий вдовцов составлял 1235 евро в месяц и 172 евро в месяц из них приходилось на пенсию в связи с утратой супруги. Пенсия вдов составляла 1041 евро в месяц, из них 445 евро приходилось на пенсию в связи с утратой супруга. В 1990</w:t>
      </w:r>
      <w:r>
        <w:noBreakHyphen/>
        <w:t>х годах ввиду, в частности, повыш</w:t>
      </w:r>
      <w:r>
        <w:t>е</w:t>
      </w:r>
      <w:r>
        <w:t xml:space="preserve">ния размера общих пенсий средний размер пенсий в связи с утратой супруга постоянно увеличивался.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За отчетный период на изменение размера пенсий повлияли также п</w:t>
      </w:r>
      <w:r>
        <w:t>о</w:t>
      </w:r>
      <w:r>
        <w:t>правки, внесенные в результате проведения реформы 1996 года, в результате чего замедлились темпы роста пенсий по старости. Эта реформа предусматр</w:t>
      </w:r>
      <w:r>
        <w:t>и</w:t>
      </w:r>
      <w:r>
        <w:t>вала, в частности, полное исключение пенсии, формируемой за счет взносов по месту работы, из суммы новых государственных пенсий, постепенную отмену после 2001 года базового размера государственной пенсии и установление о</w:t>
      </w:r>
      <w:r>
        <w:t>т</w:t>
      </w:r>
      <w:r>
        <w:t>дельного ТЕЛ-индекса для лиц старше 65 лет. Снижение налогообложения пе</w:t>
      </w:r>
      <w:r>
        <w:t>н</w:t>
      </w:r>
      <w:r>
        <w:t>сионеров частично восполнило сокращение пенсионного пособия. В начале 2003 года были отменены дополнительные страховые взносы пенсионеров на лечение. Отмена базового размера государственной пенсии будет после октября 2003 года компенсирована лицам, имеющим право на получение пенсии, фо</w:t>
      </w:r>
      <w:r>
        <w:t>р</w:t>
      </w:r>
      <w:r>
        <w:t>мируемой за счет взносов по месту работы, путем ее специального пов</w:t>
      </w:r>
      <w:r>
        <w:t>ы</w:t>
      </w:r>
      <w:r>
        <w:t xml:space="preserve">шения.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отчетный период была согласована крупная пенсионная реформа в ч</w:t>
      </w:r>
      <w:r>
        <w:t>а</w:t>
      </w:r>
      <w:r>
        <w:t>стном секторе. Эта реформа, в основу которой было положено соглашение, з</w:t>
      </w:r>
      <w:r>
        <w:t>а</w:t>
      </w:r>
      <w:r>
        <w:t xml:space="preserve">ключенное центральными организациями рынка труда в ноябре 2002 года, вступит в силу в 2005 году и будет, в частности, предусматривать установление гибкого возраста выхода на пенсию в 62-68 лет.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Этой реформой предусматривается, что с начала 2005 года общая пенсия в частном секторе будет аккумулироваться также за неоплачиваемые периоды, в течение которых служащий получал суточные. В течение этих периодов осно</w:t>
      </w:r>
      <w:r>
        <w:t>в</w:t>
      </w:r>
      <w:r>
        <w:t>ные пенсии будут аккумулироваться в соответствии с основной системой нак</w:t>
      </w:r>
      <w:r>
        <w:t>о</w:t>
      </w:r>
      <w:r>
        <w:t>пления, т.е. из расчета 1,5 процента дохода в качестве основы расчета. Таким образом, в эти периоды включается семейный отпуск. Начиная с 2005 года о</w:t>
      </w:r>
      <w:r>
        <w:t>с</w:t>
      </w:r>
      <w:r>
        <w:t xml:space="preserve">новные пенсии в частном секторе будут аккумулироваться на 1,5 процента в период получения пособий по беременности, семейных пособий и пособий по уходу за детьми на основе доходов, составляющих основу для расчета таких пенсий. Кроме того, в случае неоплачиваемого периода по уходу за детьми в возрасте до трех лет пенсия будет увеличиваться на 1,5 процента из расчета месячного дохода в 500 евро.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exact"/>
        <w:ind w:left="1741" w:right="1260" w:hanging="720"/>
        <w:rPr>
          <w:sz w:val="10"/>
        </w:rPr>
      </w:pPr>
      <w:r>
        <w:tab/>
        <w:t>9.</w:t>
      </w:r>
      <w:r>
        <w:tab/>
        <w:t xml:space="preserve">Детские дошкольные учреждения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С 1999 года вопросы ухода за детьми в дневное время стали одной из тем ежемесячно проводимых обследований на рынке труда, а соответствующая и</w:t>
      </w:r>
      <w:r>
        <w:t>н</w:t>
      </w:r>
      <w:r>
        <w:t>формация собиралась в четвертом квартале каждого года. Согласно информ</w:t>
      </w:r>
      <w:r>
        <w:t>а</w:t>
      </w:r>
      <w:r>
        <w:t>ции за 2001 год, уход за более чем половиной детей дошкольного возраста (до семи лет) обеспечивается в домашних условиях. Примерно 40 процентов детей дошкольного возраста посещают дошкольные учреждения, и им обеспечивае</w:t>
      </w:r>
      <w:r>
        <w:t>т</w:t>
      </w:r>
      <w:r>
        <w:t>ся уход в течение всего рабочего дня. Большинство из них посещают муниц</w:t>
      </w:r>
      <w:r>
        <w:t>и</w:t>
      </w:r>
      <w:r>
        <w:t>пальные дошкольные учреждения. Примерно 9 процентам детей дошкольного возраста обеспечивается такой уход в течение половины дня. Практически без исключения за всеми детьми, находящимися дома, уход обеспечивается мат</w:t>
      </w:r>
      <w:r>
        <w:t>е</w:t>
      </w:r>
      <w:r>
        <w:t>рью. Лишь за немногими ухаживают отцы, и очень редко когда за детьми ух</w:t>
      </w:r>
      <w:r>
        <w:t>а</w:t>
      </w:r>
      <w:r>
        <w:t xml:space="preserve">живают другие люди, а не родители ребенка.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Ch"/>
        <w:tabs>
          <w:tab w:val="left" w:pos="990"/>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53" w:hanging="1267"/>
        <w:rPr>
          <w:lang w:val="en-US"/>
        </w:rPr>
      </w:pPr>
      <w:r>
        <w:tab/>
        <w:t>Статья 12</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rPr>
          <w:i/>
        </w:rPr>
        <w:tab/>
        <w:t>1.</w:t>
      </w:r>
      <w:r>
        <w:rPr>
          <w:i/>
        </w:rPr>
        <w:tab/>
        <w:t>Государства-участники принимают все соответствующие меры для ликвидации дискриминации в отношении женщин в области здравоохран</w:t>
      </w:r>
      <w:r>
        <w:rPr>
          <w:i/>
        </w:rPr>
        <w:t>е</w:t>
      </w:r>
      <w:r>
        <w:rPr>
          <w:i/>
        </w:rPr>
        <w:t>ния, с тем чтобы обеспечить на основе равенства мужчин и женщин доступ к медицинскому обслуживанию, в частности в том, что касается планирования размера семьи.</w:t>
      </w:r>
      <w: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rPr>
          <w:i/>
        </w:rPr>
        <w:tab/>
        <w:t>2.</w:t>
      </w:r>
      <w:r>
        <w:rPr>
          <w:i/>
        </w:rPr>
        <w:tab/>
        <w:t>Независимо от положений пункта 1 настоящей статьи, госуда</w:t>
      </w:r>
      <w:r>
        <w:rPr>
          <w:i/>
        </w:rPr>
        <w:t>р</w:t>
      </w:r>
      <w:r>
        <w:rPr>
          <w:i/>
        </w:rPr>
        <w:t>ства-участники обеспечивают женщинам соответствующее обслуживание в период беременности, родов и послеродовой период, предоставляя, когда это необходимо, бесплатные услуги, а также соответствующее питание в период б</w:t>
      </w:r>
      <w:r>
        <w:rPr>
          <w:i/>
        </w:rPr>
        <w:t>е</w:t>
      </w:r>
      <w:r>
        <w:rPr>
          <w:i/>
        </w:rPr>
        <w:t>ременности и кормления.</w:t>
      </w:r>
      <w:r>
        <w:t xml:space="preserve">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exact"/>
        <w:ind w:left="1741" w:right="1260" w:hanging="720"/>
        <w:rPr>
          <w:sz w:val="10"/>
        </w:rPr>
      </w:pPr>
      <w:r>
        <w:tab/>
        <w:t>1.</w:t>
      </w:r>
      <w:r>
        <w:tab/>
        <w:t xml:space="preserve">Охрана здоровья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exact"/>
        <w:ind w:left="1741" w:right="1260" w:hanging="720"/>
        <w:rPr>
          <w:sz w:val="10"/>
        </w:rPr>
      </w:pPr>
      <w:r>
        <w:tab/>
      </w:r>
      <w:r>
        <w:rPr>
          <w:i/>
        </w:rPr>
        <w:t>1.1.</w:t>
      </w:r>
      <w:r>
        <w:rPr>
          <w:i/>
        </w:rPr>
        <w:tab/>
        <w:t>Общие сведения</w:t>
      </w:r>
      <w:r>
        <w:t xml:space="preserve">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апреле 2002 года правительство приняло директивное решение, напра</w:t>
      </w:r>
      <w:r>
        <w:t>в</w:t>
      </w:r>
      <w:r>
        <w:t>ленное на то, чтобы граждане продолжали получать надлежащие услуги в о</w:t>
      </w:r>
      <w:r>
        <w:t>б</w:t>
      </w:r>
      <w:r>
        <w:t>ласти здравоохранения и в будущем. Цель заключается в том, чтобы обесп</w:t>
      </w:r>
      <w:r>
        <w:t>е</w:t>
      </w:r>
      <w:r>
        <w:t>чить каждому гражданину доступ к необходимым медицинским услугам нез</w:t>
      </w:r>
      <w:r>
        <w:t>а</w:t>
      </w:r>
      <w:r>
        <w:t>висимо от его места жительства или финансового положения. Средством до</w:t>
      </w:r>
      <w:r>
        <w:t>с</w:t>
      </w:r>
      <w:r>
        <w:t>тижения этой цели является развитие в сотрудничестве с государством и мун</w:t>
      </w:r>
      <w:r>
        <w:t>и</w:t>
      </w:r>
      <w:r>
        <w:t>ципалитетами системы здравоохранения с привлечением НПО и частного се</w:t>
      </w:r>
      <w:r>
        <w:t>к</w:t>
      </w:r>
      <w:r>
        <w:t xml:space="preserve">тора.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Наиболее важными областями развития этой сферы являются инициати</w:t>
      </w:r>
      <w:r>
        <w:t>в</w:t>
      </w:r>
      <w:r>
        <w:t>ная работа по укреплению здоровья, обеспечение доступа к службам здрав</w:t>
      </w:r>
      <w:r>
        <w:t>о</w:t>
      </w:r>
      <w:r>
        <w:t>охранения, достаточное наличие персонала и повышение его квалификации, реформа деятельности и структур здравоохранения и укрепление финансовой базы здравоохранения. Этот проект будет осуществляться до конца 2007 года. В поддержку национального проекта развития системы здравоохранения ос</w:t>
      </w:r>
      <w:r>
        <w:t>у</w:t>
      </w:r>
      <w:r>
        <w:t>ществляется один проект Ассоциации финляндских местных и региональных органов власти на 2002</w:t>
      </w:r>
      <w:r>
        <w:noBreakHyphen/>
        <w:t>2004 годы, который направлен на реорганизацию м</w:t>
      </w:r>
      <w:r>
        <w:t>у</w:t>
      </w:r>
      <w:r>
        <w:t xml:space="preserve">ниципальных служб первичной медико-санитарной помощи.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exact"/>
        <w:ind w:left="1741" w:right="1260" w:hanging="720"/>
        <w:rPr>
          <w:sz w:val="10"/>
        </w:rPr>
      </w:pPr>
      <w:r>
        <w:tab/>
      </w:r>
      <w:r>
        <w:rPr>
          <w:i/>
        </w:rPr>
        <w:t>1.2.</w:t>
      </w:r>
      <w:r>
        <w:rPr>
          <w:i/>
        </w:rPr>
        <w:tab/>
        <w:t>Наркотики</w:t>
      </w:r>
      <w:r>
        <w:t xml:space="preserve">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1990</w:t>
      </w:r>
      <w:r>
        <w:noBreakHyphen/>
        <w:t>х годах потребление наркотиков и вытекающие отсюда пагубные последствия постепенно стали приобретать все больший масштаб. Наиболее распространенным наркотиком является марихуана. Согласно проведенным и</w:t>
      </w:r>
      <w:r>
        <w:t>с</w:t>
      </w:r>
      <w:r>
        <w:t>следованиям, примерно 10 процентов взрослой части населения в то или иное время пробовали марихуану. В территориальном отношении употребление на</w:t>
      </w:r>
      <w:r>
        <w:t>р</w:t>
      </w:r>
      <w:r>
        <w:t>котиков наиболее широко распространено в самых крупных городах на юге Финляндии, где отношение молодежи, особенно к слабым наркотикам, стало еще более терпимым. Количество лиц, злоупотребляющих наркотиками, в о</w:t>
      </w:r>
      <w:r>
        <w:t>с</w:t>
      </w:r>
      <w:r>
        <w:t xml:space="preserve">новном амфетамином и опиатами, исчисляется примерно в 11 000-14 000 человек. Большинство наркоманов - это лица в возрасте до 30 лет.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Согласно данным самого последнего проведенного исследования, в пер</w:t>
      </w:r>
      <w:r>
        <w:t>и</w:t>
      </w:r>
      <w:r>
        <w:t>од с 1998 по 2000 год практика эпизодического употребления наркотиков не распространилась. Кроме того, стали отмечаться первые признаки ослабления эпидемии ВИЧ, которая стремительно усиливалась в 1998 и 1999 годах в р</w:t>
      </w:r>
      <w:r>
        <w:t>е</w:t>
      </w:r>
      <w:r>
        <w:t>зультате распространения этого заболевания путем внутривенного введения наркотиков. За эпидемией ВИЧ ведется контроль в общем регистре инфекц</w:t>
      </w:r>
      <w:r>
        <w:t>и</w:t>
      </w:r>
      <w:r>
        <w:t>онных заболеваний. Усиление мер по предотвращению инфекционных забол</w:t>
      </w:r>
      <w:r>
        <w:t>е</w:t>
      </w:r>
      <w:r>
        <w:t>ваний и осуществление программ вакцинации дали неплохие результаты. В 1999 году доля ВИЧ-заболеваний в результате внутривенного употребления наркотиков составила 60 процентов от всех инфекционных заболеваний. В 2000 и 2001 годах этот показатель снизился до 38 и 37 процентов. Изучение случаев заболевания показало, что доля ВИЧ-инфицированных снизилась примерно до 1 процента в 2002 году. Успешно проводимая среди наркоманов превентивная работа также позволяет ослабить те последствия, которые со временем это з</w:t>
      </w:r>
      <w:r>
        <w:t>а</w:t>
      </w:r>
      <w:r>
        <w:t>болевание может непосредственно иметь для основной части насел</w:t>
      </w:r>
      <w:r>
        <w:t>е</w:t>
      </w:r>
      <w:r>
        <w:t xml:space="preserve">ния.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Несмотря на сокращение числа случаев эпизодического употребления наркотиков, ущерб от наркотиков может возрасти. Другими вызывающими обеспокоенность тенденциями здесь являются усугубление соответствующих проблем среди молодежи, усиление социальной отчужденности наркоманов и увеличение числа наркопреступлений. Такие преступления в Финляндии пр</w:t>
      </w:r>
      <w:r>
        <w:t>и</w:t>
      </w:r>
      <w:r>
        <w:t>обретают характер все более и более организованной преступности с развет</w:t>
      </w:r>
      <w:r>
        <w:t>в</w:t>
      </w:r>
      <w:r>
        <w:t xml:space="preserve">ленной сетью, цель которой заключается в извлечении огромных финансовых прибылей, и руководство ею главным образом осуществляется из граничащих с Финляндией районов. Наркотики, употребляемые в Финляндии, в основном поступают из России и Эстонии, а также из других стран Европейского союза.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своем решении, принятом в октябре 2000 года, правительство постан</w:t>
      </w:r>
      <w:r>
        <w:t>о</w:t>
      </w:r>
      <w:r>
        <w:t>вило усилить политику борьбы с наркоманией. Она поручила координационной группе, созданной для координации национальной политики борьбы с нарк</w:t>
      </w:r>
      <w:r>
        <w:t>о</w:t>
      </w:r>
      <w:r>
        <w:t>манией, задачу подготовки долгосрочного плана действий по повышению э</w:t>
      </w:r>
      <w:r>
        <w:t>ф</w:t>
      </w:r>
      <w:r>
        <w:t>фективности политики в этой области. Министерства, занимающиеся вопрос</w:t>
      </w:r>
      <w:r>
        <w:t>а</w:t>
      </w:r>
      <w:r>
        <w:t>ми наркомании, в начале 2001 года приступили к осуществлению этого плана действий. Программой предусматривается принятие таких мер, как заблаг</w:t>
      </w:r>
      <w:r>
        <w:t>о</w:t>
      </w:r>
      <w:r>
        <w:t>временное предотвращение употребления наркотиков и принятие своевреме</w:t>
      </w:r>
      <w:r>
        <w:t>н</w:t>
      </w:r>
      <w:r>
        <w:t>ных мер вмешательства, лечение наркоманов и оказание помощи лицам, мог</w:t>
      </w:r>
      <w:r>
        <w:t>у</w:t>
      </w:r>
      <w:r>
        <w:t>щим стать наркоманами, принятие мер контроля, международное сотруднич</w:t>
      </w:r>
      <w:r>
        <w:t>е</w:t>
      </w:r>
      <w:r>
        <w:t>ство, научные исследования, контроль и координация, осуществление и разр</w:t>
      </w:r>
      <w:r>
        <w:t>а</w:t>
      </w:r>
      <w:r>
        <w:t xml:space="preserve">ботка политики борьбы с наркоманией. В настоящее время на рассмотрении находится несколько проектов, нацеленных на предотвращение наркомании и ослабление ее пагубных последствий.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exact"/>
        <w:ind w:left="1741" w:right="1260" w:hanging="720"/>
        <w:rPr>
          <w:sz w:val="10"/>
        </w:rPr>
      </w:pPr>
      <w:r>
        <w:tab/>
      </w:r>
      <w:r>
        <w:rPr>
          <w:i/>
        </w:rPr>
        <w:t>1.3.</w:t>
      </w:r>
      <w:r>
        <w:rPr>
          <w:i/>
        </w:rPr>
        <w:tab/>
        <w:t>Курение, особенно среди молодежи</w:t>
      </w:r>
      <w:r>
        <w:t xml:space="preserve">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КЛДЖ выразил свою обеспокоенность по поводу распространения кур</w:t>
      </w:r>
      <w:r>
        <w:t>е</w:t>
      </w:r>
      <w:r>
        <w:t xml:space="preserve">ния и употребления наркотиков среди молодежи, особенно среди девушек, и настоятельно призвал правительство усилить борьбу с этим явлением.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начале 2000 года была завершена разработка стратегии укрепления зд</w:t>
      </w:r>
      <w:r>
        <w:t>о</w:t>
      </w:r>
      <w:r>
        <w:t>ровья и борьбы с курением среди детей и молодежи, которая рассчитана на п</w:t>
      </w:r>
      <w:r>
        <w:t>е</w:t>
      </w:r>
      <w:r>
        <w:t>риод 2000-2003 годов. В этой стратегии содержатся 64 предложения относ</w:t>
      </w:r>
      <w:r>
        <w:t>и</w:t>
      </w:r>
      <w:r>
        <w:t xml:space="preserve">тельно принятия мер для обеспечения того, чтобы родители и все остальные взрослые, а также сами условия жизни детей способствовали укреплению их здоровья и развитию.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Правительством было принято также директивное решение "Здоровье - 2015 год" о разработке национальной программы здравоохранения, включая такую важную цель, как снижение уровня употребления молодежью алкогол</w:t>
      </w:r>
      <w:r>
        <w:t>ь</w:t>
      </w:r>
      <w:r>
        <w:t>ных напитков, наркотиков и табачных изделий. Для определения прогресса в достижении поставленных целей были разработаны соответствующие показ</w:t>
      </w:r>
      <w:r>
        <w:t>а</w:t>
      </w:r>
      <w:r>
        <w:t>тели. Информация о курении и употреблении наркотиков среди молодежи п</w:t>
      </w:r>
      <w:r>
        <w:t>о</w:t>
      </w:r>
      <w:r>
        <w:t>ступает от ежегодно проводимых в школах медицинских обследований и др</w:t>
      </w:r>
      <w:r>
        <w:t>у</w:t>
      </w:r>
      <w:r>
        <w:t>гих исследований по вопросам здравоохранения. Последние полученные да</w:t>
      </w:r>
      <w:r>
        <w:t>н</w:t>
      </w:r>
      <w:r>
        <w:t xml:space="preserve">ные показывают, что молодежь меньше стала употреблять алкогольные напитки и табачные изделия. В возрастной группе 14-18 лет девушки курят столько же, что и юноши, а 16-летние девушки - даже несколько больше, чем юноши.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За счет средств, выделенных министерством социальных дел и здрав</w:t>
      </w:r>
      <w:r>
        <w:t>о</w:t>
      </w:r>
      <w:r>
        <w:t>охранения на цели укрепления здоровья, несколько НПО и учебных заведений приступили к осуществлению различных проектов борьбы с курением среди молодежи, а также проведения соответствующих кампаний и подготовки нео</w:t>
      </w:r>
      <w:r>
        <w:t>б</w:t>
      </w:r>
      <w:r>
        <w:t xml:space="preserve">ходимых материалов. В 2004 году будет организована национальная кампания борьбы с курением среди молодежи.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Финляндии общеобразовательные и средние школы и профессионал</w:t>
      </w:r>
      <w:r>
        <w:t>ь</w:t>
      </w:r>
      <w:r>
        <w:t>но-технические училища постепенно введут у себя предмет медико-санитарного просвещения, составной частью которого станет борьба с курением и употре</w:t>
      </w:r>
      <w:r>
        <w:t>б</w:t>
      </w:r>
      <w:r>
        <w:t>лением наркотиков. Кроме того, разрабатывается ряд региональных и муниц</w:t>
      </w:r>
      <w:r>
        <w:t>и</w:t>
      </w:r>
      <w:r>
        <w:t>пальных программ социального обеспечения, в которых курению и употребл</w:t>
      </w:r>
      <w:r>
        <w:t>е</w:t>
      </w:r>
      <w:r>
        <w:t>нию наркотиков среди молодежи уделяется особое внимание. В конце 2002 года была подготовлена рекомендация, названная "Активное лечение", которая кас</w:t>
      </w:r>
      <w:r>
        <w:t>а</w:t>
      </w:r>
      <w:r>
        <w:t>ется курения, никотиновой зависимости и соответствующего лечения, и она предусматривает оказание помощи в системе здравоохранения, включая школьные медицинские пункты, для того чтобы молодежь смогла бросить к</w:t>
      </w:r>
      <w:r>
        <w:t>у</w:t>
      </w:r>
      <w:r>
        <w:t>рить. В Национальном институте здравоохранения также имеются общее отд</w:t>
      </w:r>
      <w:r>
        <w:t>е</w:t>
      </w:r>
      <w:r>
        <w:t>ление, занимающееся предотвращением курения, и одно специальное отдел</w:t>
      </w:r>
      <w:r>
        <w:t>е</w:t>
      </w:r>
      <w:r>
        <w:t xml:space="preserve">ние для молодежи.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Среди военнослужащих распространяется руководство "Здоровье и фун</w:t>
      </w:r>
      <w:r>
        <w:t>к</w:t>
      </w:r>
      <w:r>
        <w:t>циональная дееспособность", которое было подготовлено Отделом здравоохр</w:t>
      </w:r>
      <w:r>
        <w:t>а</w:t>
      </w:r>
      <w:r>
        <w:t>нения при Генштабе вооруженных сил Финляндии. В нем, в частности, имею</w:t>
      </w:r>
      <w:r>
        <w:t>т</w:t>
      </w:r>
      <w:r>
        <w:t>ся отдельные главы, посвященные курению и наркомании и их вреду для зд</w:t>
      </w:r>
      <w:r>
        <w:t>о</w:t>
      </w:r>
      <w:r>
        <w:t xml:space="preserve">ровья. Медико-санитарное просвещение для всех призывников включает один урок, посвященный вреду курения и токсикомании для здоровья. Кроме того, женщин, служащих в армии, специально предупреждают о том вреде, которое курение может нанести функционированию гормональной системы и будущему ребенку.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exact"/>
        <w:ind w:left="1741" w:right="1260" w:hanging="720"/>
        <w:rPr>
          <w:sz w:val="10"/>
        </w:rPr>
      </w:pPr>
      <w:r>
        <w:tab/>
        <w:t>2.</w:t>
      </w:r>
      <w:r>
        <w:tab/>
        <w:t xml:space="preserve">Охрана здоровья во время и после беременности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Родильные дома и детские поликлиники в организационном плане явл</w:t>
      </w:r>
      <w:r>
        <w:t>я</w:t>
      </w:r>
      <w:r>
        <w:t>ются частью медицинских центров. Услуги в этих медицинских учреждениях оказываются бесплатно, и их задача заключается в обеспечении нормального состояния здоровья матери, ребенка в утробе матери, младенца и семьи в ц</w:t>
      </w:r>
      <w:r>
        <w:t>е</w:t>
      </w:r>
      <w:r>
        <w:t xml:space="preserve">лом.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Родильные дома следят за состоянием здоровья матери и ребенка в утробе матери и организуют дородовые занятия для родителей. Они также следят за психическим и психо-социальным состоянием здоровья семьи. Беременные женщины должны пройти медицинские обследования в родильных домах до окончания четвертого месяца беременности, и тогда они имеют право на пол</w:t>
      </w:r>
      <w:r>
        <w:t>у</w:t>
      </w:r>
      <w:r>
        <w:t>чение пособия по беременности. При нормальном течении беременности бер</w:t>
      </w:r>
      <w:r>
        <w:t>е</w:t>
      </w:r>
      <w:r>
        <w:t>менная женщина посещает родильный дом 12-15 раз, как правило, для того чтобы обследоваться медицинской сестрой. Врач осматривает будущую мать 2-3 раза за все время беременности. В большинстве медицинских центров бер</w:t>
      </w:r>
      <w:r>
        <w:t>е</w:t>
      </w:r>
      <w:r>
        <w:t>менные женщины проходят ультразвуковое обследование - как правило, между 12</w:t>
      </w:r>
      <w:r>
        <w:noBreakHyphen/>
        <w:t>й и 16</w:t>
      </w:r>
      <w:r>
        <w:noBreakHyphen/>
        <w:t xml:space="preserve">й неделями беременности.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Детские поликлиники следят за физическим, психическим и социальным развитием детей и в случае необходимости направляют их на обследование и лечение в другие медицинские центры. Эти поликлиники оказывают также семьям услуги по ориентации и поддержке, с тем чтобы они могли воспитывать своих детей и обустроить их жизнь. После рождения ребенка его на дому н</w:t>
      </w:r>
      <w:r>
        <w:t>а</w:t>
      </w:r>
      <w:r>
        <w:t xml:space="preserve">блюдает медицинская сестра из местного роддома. Таким образом, ребенок и его семья становятся пациентами детской поликлиники.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Недостатком нынешней системы является ее раздробленность. В меморандуме, подготовленном Рабочей группой экспертов по детским пол</w:t>
      </w:r>
      <w:r>
        <w:t>и</w:t>
      </w:r>
      <w:r>
        <w:t>клиникам и руководству относительно организации в муниципалитетах работы по обеспечению благосостояния детей</w:t>
      </w:r>
      <w:r>
        <w:rPr>
          <w:rStyle w:val="FootnoteReference"/>
          <w:sz w:val="17"/>
        </w:rPr>
        <w:footnoteReference w:id="19"/>
      </w:r>
      <w:r>
        <w:t xml:space="preserve"> предлагается преобразовать поликл</w:t>
      </w:r>
      <w:r>
        <w:t>и</w:t>
      </w:r>
      <w:r>
        <w:t>ники общего профиля в центры по обслуживанию семей. Учреждение центров по обслуживанию семей способствовало бы укреплению сотрудничества между различными муниципальными органами и НПО и позволяло бы оказывать семьям, имеющим детей, более разносторонние услуги. Эти центры обладали бы также более широкими возможностями по сравнению с обычными пол</w:t>
      </w:r>
      <w:r>
        <w:t>и</w:t>
      </w:r>
      <w:r>
        <w:t>клиниками в плане опыта работы с иммигрантами. Создание в центрах по о</w:t>
      </w:r>
      <w:r>
        <w:t>б</w:t>
      </w:r>
      <w:r>
        <w:t>служиванию семей специальных групп для иммигрантов способствовало бы улучшению социал</w:t>
      </w:r>
      <w:r>
        <w:t>ь</w:t>
      </w:r>
      <w:r>
        <w:t xml:space="preserve">ного обеспечения матерей-иммигранток и их семей.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exact"/>
        <w:ind w:left="1741" w:right="1260" w:hanging="720"/>
        <w:rPr>
          <w:sz w:val="10"/>
        </w:rPr>
      </w:pPr>
      <w:r>
        <w:tab/>
        <w:t>3.</w:t>
      </w:r>
      <w:r>
        <w:tab/>
        <w:t xml:space="preserve">Планирование размера семьи и аборты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отчетный период количество абортов практически не изменялось. Н</w:t>
      </w:r>
      <w:r>
        <w:t>а</w:t>
      </w:r>
      <w:r>
        <w:t>пример, в 1999 году в общей сложности было произведено 10 732 аборта, а в 2001 году - 10 700. Показатель за 1999 год означает, что на тысячу женщин фертильного возраста (15-49 лет) приходилось 8,9 аборта, а данные за 2001 год соответствуют 9,0 аборта. В 2002 году этот показатель вырос до 10 902, т.е. с</w:t>
      </w:r>
      <w:r>
        <w:t>о</w:t>
      </w:r>
      <w:r>
        <w:t xml:space="preserve">ставил 9,4 аборта на 1000 женщин. По предварительным данным, показатель за 2003 год приблизится к показателю 2001 года.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возрастной группе до 20 лет отмечается тенденция уменьшения колич</w:t>
      </w:r>
      <w:r>
        <w:t>е</w:t>
      </w:r>
      <w:r>
        <w:t>ства абортов; в 1999 году на тысячу женщин приходилось 14,1, в 2001 году - 15,2 и в 2002 году - 17,0 аборта на одну тысячу женщин. Согласно предвар</w:t>
      </w:r>
      <w:r>
        <w:t>и</w:t>
      </w:r>
      <w:r>
        <w:t xml:space="preserve">тельным данным за 2003 год, этот показатель, вероятно, упадет до уровня 2001 года.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Наибольшее количество абортов приходится на группу женщин в возрасте 20-24 лет, в которой за отчетный период показатель колебался в пределах 15,5 и 17,1 на тысячу женщин. Однако следующий по величине показатель абортов отмечается в возрастной группе до 20 лет; в 1999 году количество абортов в этой возрастной группе впервые превысило показатель для группы в 25-29 лет, и с тех пор он не снижае</w:t>
      </w:r>
      <w:r>
        <w:t>т</w:t>
      </w:r>
      <w:r>
        <w:t xml:space="preserve">ся.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Медицинские сестры из медицинских центров и школьные медицинские сестры организуют консультации по применению противозачаточных средств. Услуги школьных медицинских пунктов и поликлиник в этом плане оказыв</w:t>
      </w:r>
      <w:r>
        <w:t>а</w:t>
      </w:r>
      <w:r>
        <w:t>ются всем бесплатно. Соответствующую информацию можно также, в частн</w:t>
      </w:r>
      <w:r>
        <w:t>о</w:t>
      </w:r>
      <w:r>
        <w:t>сти, найти на веб-сайте Сексологической клиники Федерации семей Финля</w:t>
      </w:r>
      <w:r>
        <w:t>н</w:t>
      </w:r>
      <w:r>
        <w:t>дии, которая, помимо общих консультативных услуг, имеет специальное отд</w:t>
      </w:r>
      <w:r>
        <w:t>е</w:t>
      </w:r>
      <w:r>
        <w:t>ление для молодежи, где они могут найти интересующую их информацию или же в режиме реального времени проконсультироваться у эксперта лично, ви</w:t>
      </w:r>
      <w:r>
        <w:t>р</w:t>
      </w:r>
      <w:r>
        <w:t>туальным образом записавшись к нему на прием. В 2003 году медико-санитарная информация была включена в официальную учебную программу общеобразовательных школ. Данный предмет охватывает сексологические а</w:t>
      </w:r>
      <w:r>
        <w:t>с</w:t>
      </w:r>
      <w:r>
        <w:t>пекты и информацию о противозачаточных средствах. Противозачаточные средства доступны для всех. В 2002 году противозачаточные средства для эк</w:t>
      </w:r>
      <w:r>
        <w:t>с</w:t>
      </w:r>
      <w:r>
        <w:t>тремальных ситуаций (специальные таблетки) поступили в свободную прод</w:t>
      </w:r>
      <w:r>
        <w:t>а</w:t>
      </w:r>
      <w:r>
        <w:t xml:space="preserve">жу, и их могут без рецепта приобрести лица в возрасте старше 15 лет.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Национальным научно-исследовательским центром по вопросам общес</w:t>
      </w:r>
      <w:r>
        <w:t>т</w:t>
      </w:r>
      <w:r>
        <w:t>венного благосостояния и здравоохранения был осуществлен проект РАСКЕ (сокращение количества абортов), и в подготовленных им докладах предста</w:t>
      </w:r>
      <w:r>
        <w:t>в</w:t>
      </w:r>
      <w:r>
        <w:t>лены соответствующие материалы, необходимые для развития системы мед</w:t>
      </w:r>
      <w:r>
        <w:t>и</w:t>
      </w:r>
      <w:r>
        <w:t>цинского ухода и пропагандистско-разъяснительной работы. Кроме того, еж</w:t>
      </w:r>
      <w:r>
        <w:t>е</w:t>
      </w:r>
      <w:r>
        <w:t>годно проводятся фестивали фертильности, которые представляют собой еж</w:t>
      </w:r>
      <w:r>
        <w:t>е</w:t>
      </w:r>
      <w:r>
        <w:t>годные мероприятия по половому воспитанию, во время которого студенты м</w:t>
      </w:r>
      <w:r>
        <w:t>е</w:t>
      </w:r>
      <w:r>
        <w:t>дицинских учебных заведений и институтов социального обеспечения распр</w:t>
      </w:r>
      <w:r>
        <w:t>о</w:t>
      </w:r>
      <w:r>
        <w:t xml:space="preserve">страняют среди школьников различную необходимую информацию о сексе. Помимо специальных мероприятий, проводимых для молодежи, информация также распространяется путем организации выставок и другими средствами. В связи с проведением таких фестивалей соответствующие курсы подготовки организуются и для специалистов в этой области. Такие фестивали уже были проведены в ряде городов в различных частях страны, и самый последний из них состоялся в 2003 году в Хямеэнлинне.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Что касается планирования размера семьи, то возможность партнеров о</w:t>
      </w:r>
      <w:r>
        <w:t>д</w:t>
      </w:r>
      <w:r>
        <w:t>ного и того же пола официально регистрировать свои партнерские отношения, с одной стороны, обеспечила более полное равенство между различными гру</w:t>
      </w:r>
      <w:r>
        <w:t>п</w:t>
      </w:r>
      <w:r>
        <w:t>пами женщин, а, с другой стороны, вызвала новый вид проблем, связанных с проблемами семьи. Так, например, право партнеров одного и того же пола на усыновление ребенка до сих пор еще не урегулировано, хотя этот вопрос из</w:t>
      </w:r>
      <w:r>
        <w:t>у</w:t>
      </w:r>
      <w:r>
        <w:t>чался соответствующей рабочей группой, как об этом уже говорилось раньше в рамках статьи 6. Кроме того, остается неясным, кто имеет право на медици</w:t>
      </w:r>
      <w:r>
        <w:t>н</w:t>
      </w:r>
      <w:r>
        <w:t>ское о</w:t>
      </w:r>
      <w:r>
        <w:t>б</w:t>
      </w:r>
      <w:r>
        <w:t xml:space="preserve">служивание в случае рождения детей.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exact"/>
        <w:ind w:left="1741" w:right="1260" w:hanging="720"/>
        <w:rPr>
          <w:sz w:val="10"/>
        </w:rPr>
      </w:pPr>
      <w:r>
        <w:tab/>
        <w:t>4.</w:t>
      </w:r>
      <w:r>
        <w:tab/>
        <w:t xml:space="preserve">Венерические заболевания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2001 году в Финляндии в общей сложности было выявлено 12 142 случая заболевания хламидией (</w:t>
      </w:r>
      <w:r>
        <w:rPr>
          <w:lang w:val="en-US"/>
        </w:rPr>
        <w:t>Chlamydia trachomatis</w:t>
      </w:r>
      <w:r>
        <w:t>), из них 62 процента приходилось на женщин. Масштабы этого заболевания продолж</w:t>
      </w:r>
      <w:r>
        <w:t>а</w:t>
      </w:r>
      <w:r>
        <w:t>ют возрастать, особенно среди молодежи; из всех случаев заболевания этой б</w:t>
      </w:r>
      <w:r>
        <w:t>о</w:t>
      </w:r>
      <w:r>
        <w:t>лезнью женщинами 35 процентов приходится на девушек в возрасте до 20 лет. В то же время случаи заболевания гонореей (</w:t>
      </w:r>
      <w:r>
        <w:rPr>
          <w:lang w:val="en-US"/>
        </w:rPr>
        <w:t>Neisseria gonorrhoeae</w:t>
      </w:r>
      <w:r>
        <w:t>) стали с</w:t>
      </w:r>
      <w:r>
        <w:t>о</w:t>
      </w:r>
      <w:r>
        <w:t>кращаться, и в 2001 году было выявлено только 247 случаев, при этом доля женщин составляет 19 процентов. В 2001 году выявленных случаев заболев</w:t>
      </w:r>
      <w:r>
        <w:t>а</w:t>
      </w:r>
      <w:r>
        <w:t>ния сифилисом (</w:t>
      </w:r>
      <w:r>
        <w:rPr>
          <w:lang w:val="en-US"/>
        </w:rPr>
        <w:t>Treponema pallidum</w:t>
      </w:r>
      <w:r>
        <w:t>) было 159, при этом доля женщин соста</w:t>
      </w:r>
      <w:r>
        <w:t>в</w:t>
      </w:r>
      <w:r>
        <w:t>ляла 44 процента. Хламидия наиболее распространена в северной и централ</w:t>
      </w:r>
      <w:r>
        <w:t>ь</w:t>
      </w:r>
      <w:r>
        <w:t xml:space="preserve">ной частях Финляндии, а случаи заболевания гонореей и сифилисом отмечены вблизи восточной границы.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2001 году было выявлено 128 новых ВИЧ-инфицированных, из которых женщины составляли 25 процентов. В этом же году было установлено 19 случаев заболевания СПИДом, и на долю женщин приходилось семь случ</w:t>
      </w:r>
      <w:r>
        <w:t>а</w:t>
      </w:r>
      <w:r>
        <w:t xml:space="preserve">ев, т.е. 36 процентов. Из 13 человек, умерших в 2001 году от ВИЧ, четыре - женщины. В 2001 году не было выявлено ни одного случая, когда ВИЧ/СПИД передается от матери ребенку.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национальном плане центральной темой укрепления сексологического аспекта здоровья и благополучия человека сегодня являются половое воспит</w:t>
      </w:r>
      <w:r>
        <w:t>а</w:t>
      </w:r>
      <w:r>
        <w:t>ние молодежи, аборты и роль мужчин в планировании размера семьи и ведении здорового полового образа жизни. Укрепление сексологических аспектов зд</w:t>
      </w:r>
      <w:r>
        <w:t>о</w:t>
      </w:r>
      <w:r>
        <w:t xml:space="preserve">ровья является частью укрепления общего состояния здоровья и медико-санитарного просвещения.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Ch"/>
        <w:tabs>
          <w:tab w:val="left" w:pos="990"/>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53" w:hanging="1267"/>
        <w:rPr>
          <w:lang w:val="en-US"/>
        </w:rPr>
      </w:pPr>
      <w:r>
        <w:tab/>
        <w:t>Статья 13</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rPr>
          <w:i/>
        </w:rPr>
        <w:tab/>
        <w:t>Государства-участники принимают все соответствующие меры для ли</w:t>
      </w:r>
      <w:r>
        <w:rPr>
          <w:i/>
        </w:rPr>
        <w:t>к</w:t>
      </w:r>
      <w:r>
        <w:rPr>
          <w:i/>
        </w:rPr>
        <w:t>видации дискриминации в отношении женщин в других областях экономич</w:t>
      </w:r>
      <w:r>
        <w:rPr>
          <w:i/>
        </w:rPr>
        <w:t>е</w:t>
      </w:r>
      <w:r>
        <w:rPr>
          <w:i/>
        </w:rPr>
        <w:t>ской и социальной жизни, с тем чтобы обеспечить на основе равенства му</w:t>
      </w:r>
      <w:r>
        <w:rPr>
          <w:i/>
        </w:rPr>
        <w:t>ж</w:t>
      </w:r>
      <w:r>
        <w:rPr>
          <w:i/>
        </w:rPr>
        <w:t>чин и женщин равные права, в частности:</w:t>
      </w:r>
      <w: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rPr>
          <w:i/>
        </w:rPr>
        <w:tab/>
        <w:t>а)</w:t>
      </w:r>
      <w:r>
        <w:rPr>
          <w:i/>
        </w:rPr>
        <w:tab/>
        <w:t>право на семейные пособия;</w:t>
      </w:r>
      <w: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rPr>
          <w:i/>
        </w:rPr>
        <w:tab/>
        <w:t>b)</w:t>
      </w:r>
      <w:r>
        <w:rPr>
          <w:i/>
        </w:rPr>
        <w:tab/>
        <w:t>право на получение займов, суд под недвижимость и других форм финансовых кредитов;</w:t>
      </w:r>
      <w: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rPr>
          <w:i/>
        </w:rPr>
        <w:tab/>
        <w:t>с)</w:t>
      </w:r>
      <w:r>
        <w:rPr>
          <w:i/>
        </w:rPr>
        <w:tab/>
        <w:t>право участвовать в мероприятиях, связанных с отдыхом, занятиях спортом и во всех обла</w:t>
      </w:r>
      <w:r>
        <w:rPr>
          <w:i/>
        </w:rPr>
        <w:t>с</w:t>
      </w:r>
      <w:r>
        <w:rPr>
          <w:i/>
        </w:rPr>
        <w:t>тях культурной жизни.</w:t>
      </w:r>
      <w:r>
        <w:t xml:space="preserve">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exact"/>
        <w:ind w:left="1741" w:right="1260" w:hanging="720"/>
        <w:rPr>
          <w:sz w:val="10"/>
        </w:rPr>
      </w:pPr>
      <w:r>
        <w:tab/>
        <w:t>1.</w:t>
      </w:r>
      <w:r>
        <w:tab/>
        <w:t xml:space="preserve">Поддержка женщин-предпринимателей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После представления предыдущего периодического доклада в 1996 году было создано Агентство по предпринимательской деятельности женщин, зад</w:t>
      </w:r>
      <w:r>
        <w:t>а</w:t>
      </w:r>
      <w:r>
        <w:t>ча которого заключается в укреплении предпринимательских связей и создании сети между женщинами, вступающими на путь предпринимательства. Агентс</w:t>
      </w:r>
      <w:r>
        <w:t>т</w:t>
      </w:r>
      <w:r>
        <w:t>во оказывает содействие созданию новых рентабельных предприятий и разр</w:t>
      </w:r>
      <w:r>
        <w:t>а</w:t>
      </w:r>
      <w:r>
        <w:t>батывает новые оперативные модели и услуги в поддержку развития этих предприятий. Оно совместно финансируется Европейским социальным фо</w:t>
      </w:r>
      <w:r>
        <w:t>н</w:t>
      </w:r>
      <w:r>
        <w:t>дом, министерством торговли и промышленности Финляндии, министерством образования Финляндии, а также частными предприятиями, банками, страх</w:t>
      </w:r>
      <w:r>
        <w:t>о</w:t>
      </w:r>
      <w:r>
        <w:t>выми компаниями, хозяйственными организациями и общинами, равно как и учебными учреждениями, которые и обеспечивают деятельность этого Аген</w:t>
      </w:r>
      <w:r>
        <w:t>т</w:t>
      </w:r>
      <w:r>
        <w:t xml:space="preserve">ства.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Основным преимуществом данного Агентства является возможность и</w:t>
      </w:r>
      <w:r>
        <w:t>с</w:t>
      </w:r>
      <w:r>
        <w:t>пользовать опыт, накопленный во всех сферах деятельности. Оно проводит и</w:t>
      </w:r>
      <w:r>
        <w:t>н</w:t>
      </w:r>
      <w:r>
        <w:t>формационные и консультативные совещания, в работе которых принимают участие опытные женщины-предприниматели, эксперты, советники и инстру</w:t>
      </w:r>
      <w:r>
        <w:t>к</w:t>
      </w:r>
      <w:r>
        <w:t>тора. Наиболее передовой формой сотрудничества и взаимодействия между опытными и начинающими предпринимателями является предпринимательское наставничество. Агентство опубликовало также руководство по наставничес</w:t>
      </w:r>
      <w:r>
        <w:t>т</w:t>
      </w:r>
      <w:r>
        <w:t>ву, которое было выпущено в виде как печатного издания, так и видеоматери</w:t>
      </w:r>
      <w:r>
        <w:t>а</w:t>
      </w:r>
      <w:r>
        <w:t xml:space="preserve">ла.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На муниципальном уровне в 2003-2006 годах в экспериментальных р</w:t>
      </w:r>
      <w:r>
        <w:t>е</w:t>
      </w:r>
      <w:r>
        <w:t>гионах будет осуществлен проект, названный "Предпринимательство и мун</w:t>
      </w:r>
      <w:r>
        <w:t>и</w:t>
      </w:r>
      <w:r>
        <w:t>ципалитеты - развитие предпринимательского подхода", цель которого закл</w:t>
      </w:r>
      <w:r>
        <w:t>ю</w:t>
      </w:r>
      <w:r>
        <w:t>чается в выработке позитивного отношения к предпринимательству и внутре</w:t>
      </w:r>
      <w:r>
        <w:t>н</w:t>
      </w:r>
      <w:r>
        <w:t>него восприятия предпринимательства как части нашей повседневной жизни. Данный проект является продолжением проекта, который осуществлялся с н</w:t>
      </w:r>
      <w:r>
        <w:t>а</w:t>
      </w:r>
      <w:r>
        <w:t>чала 1997 года Ассоциацией финляндских местных и региональных органов власти, и другого проекта, который осуществлялся в 2000-2002 годах. Цель проекта - оказать воздействие на работу представителей руководящего звена и деловых кругов и муниципалитетов. Участниками проекта стали учебные зав</w:t>
      </w:r>
      <w:r>
        <w:t>е</w:t>
      </w:r>
      <w:r>
        <w:t>дения, предприниматели и центры развития предпринимательской деятельн</w:t>
      </w:r>
      <w:r>
        <w:t>о</w:t>
      </w:r>
      <w:r>
        <w:t xml:space="preserve">сти из специально отобранных для этого муниципалитетов. </w:t>
      </w:r>
    </w:p>
    <w:p w:rsidR="00000000" w:rsidRDefault="00000000">
      <w:pPr>
        <w:pStyle w:val="SingleTxt"/>
        <w:spacing w:after="0" w:line="180" w:lineRule="auto"/>
        <w:rPr>
          <w:sz w:val="10"/>
        </w:rPr>
      </w:pPr>
    </w:p>
    <w:p w:rsidR="00000000" w:rsidRDefault="00000000">
      <w:pPr>
        <w:pStyle w:val="H1"/>
        <w:tabs>
          <w:tab w:val="right" w:pos="1021"/>
          <w:tab w:val="left" w:pos="1264"/>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exact"/>
        <w:ind w:left="1800" w:right="1260" w:hanging="540"/>
      </w:pPr>
      <w:r>
        <w:tab/>
      </w:r>
    </w:p>
    <w:p w:rsidR="00000000" w:rsidRDefault="00000000">
      <w:pPr>
        <w:pStyle w:val="H1"/>
        <w:tabs>
          <w:tab w:val="right" w:pos="1021"/>
          <w:tab w:val="left" w:pos="1264"/>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exact"/>
        <w:ind w:left="1800" w:right="1260" w:hanging="540"/>
        <w:rPr>
          <w:i/>
        </w:rPr>
      </w:pPr>
      <w:r>
        <w:br w:type="page"/>
      </w:r>
      <w:r>
        <w:rPr>
          <w:i/>
        </w:rPr>
        <w:t>1.2.</w:t>
      </w:r>
      <w:r>
        <w:rPr>
          <w:i/>
        </w:rPr>
        <w:tab/>
        <w:t>Оказание поддержки женщинам-предпринимателям по линии структурных фондов ЕС и региональных программ развития Предложение о внесении поправок в Закон о равноправии</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40"/>
        <w:rPr>
          <w:lang w:val="en-US"/>
        </w:rPr>
      </w:pPr>
      <w:r>
        <w:tab/>
        <w:t>Национальная политика в области занятости подкрепляется региональной политикой, проводимой по линии Европейского социального фонда (ЕСФ). О</w:t>
      </w:r>
      <w:r>
        <w:t>т</w:t>
      </w:r>
      <w:r>
        <w:t>ветственным за осуществление этой политики в Финляндии является мин</w:t>
      </w:r>
      <w:r>
        <w:t>и</w:t>
      </w:r>
      <w:r>
        <w:t>стерство труда. В программный период 2000-2006 годов осуществлялись сл</w:t>
      </w:r>
      <w:r>
        <w:t>е</w:t>
      </w:r>
      <w:r>
        <w:t>дующие программы ЕСФ: целевая программа 3, региональные целевые пр</w:t>
      </w:r>
      <w:r>
        <w:t>о</w:t>
      </w:r>
      <w:r>
        <w:t>граммы 1 и 2 и межнациональная общинная инициатива "Равенство". Эти пр</w:t>
      </w:r>
      <w:r>
        <w:t>о</w:t>
      </w:r>
      <w:r>
        <w:t>граммы были разработаны совместно с Европейской комиссией, которая их и утвердила. За осуществление в Финляндии целевой программы 3 и инициативы "Равенство" отвечает министерство труда. Реализация целевых программ 1 и 2 возложена на министерство внутренних дел. Финансирование целевой пр</w:t>
      </w:r>
      <w:r>
        <w:t>о</w:t>
      </w:r>
      <w:r>
        <w:t>граммы 1 (восточная и северная Финляндия) и целевой программы 2 (южная и западная Финляндия) обеспечивается из различных источников. Целевая пр</w:t>
      </w:r>
      <w:r>
        <w:t>о</w:t>
      </w:r>
      <w:r>
        <w:t>грамма 3 и инициатива "Равенство" (вся территория Финляндии, за исключен</w:t>
      </w:r>
      <w:r>
        <w:t>и</w:t>
      </w:r>
      <w:r>
        <w:t>ем Аландских островов и целевой программы 1) полностью финансируются за счет ЕСФ.</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80"/>
        <w:rPr>
          <w:lang w:val="en-US"/>
        </w:rPr>
      </w:pPr>
      <w:r>
        <w:tab/>
        <w:t>ЕСФ изучает, апробирует, готовит и реализует новые возможности в о</w:t>
      </w:r>
      <w:r>
        <w:t>б</w:t>
      </w:r>
      <w:r>
        <w:t>ласти занятости, образования и торговли и популяризирует наилучшие виды практики. Цель Фонда заключается также в повышении готовности к исслед</w:t>
      </w:r>
      <w:r>
        <w:t>о</w:t>
      </w:r>
      <w:r>
        <w:t>ваниям, научным изысканиям и технологическим разработкам и в оказании с</w:t>
      </w:r>
      <w:r>
        <w:t>о</w:t>
      </w:r>
      <w:r>
        <w:t>действия обеспечению равенства. В середине периода 2000-2006 годов помощь по линии Структурного фонда была использована для осуществления проектов поддержки женщин-предпринимателей. Каких-либо подробных исследований относительно количества осуществляемых проектов и их финансирования не проводилось.</w:t>
      </w:r>
    </w:p>
    <w:p w:rsidR="00000000" w:rsidRDefault="00000000">
      <w:pPr>
        <w:pStyle w:val="SingleTxt"/>
        <w:spacing w:after="0" w:line="180" w:lineRule="auto"/>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exact"/>
        <w:ind w:left="2288" w:right="1260" w:hanging="1267"/>
        <w:rPr>
          <w:i/>
        </w:rPr>
      </w:pPr>
      <w:r>
        <w:tab/>
        <w:t>2.</w:t>
      </w:r>
      <w:r>
        <w:tab/>
        <w:t>Поощрение равноправия в области культуры</w:t>
      </w:r>
      <w:r>
        <w:rPr>
          <w:i/>
        </w:rPr>
        <w:t xml:space="preserve"> </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80"/>
        <w:rPr>
          <w:lang w:val="en-US"/>
        </w:rPr>
      </w:pPr>
      <w:r>
        <w:tab/>
        <w:t>Женщины все чаще стали поступать в художественные училища и инст</w:t>
      </w:r>
      <w:r>
        <w:t>и</w:t>
      </w:r>
      <w:r>
        <w:t>туты культуры. В 2001 году доля женщин среди студентов высших художес</w:t>
      </w:r>
      <w:r>
        <w:t>т</w:t>
      </w:r>
      <w:r>
        <w:t>венных училищ составляла 65 процентов, а политехнических училищ - 69 процентов. В высших учебных заведениях доля женщин в области изучения искусства составляла 63 процента, музыки - 65 процентов, а театра и танца - 52 процента. Увеличение доли женщин в системе обучения в институтах кул</w:t>
      </w:r>
      <w:r>
        <w:t>ь</w:t>
      </w:r>
      <w:r>
        <w:t>туры приведет к росту доли женщин, работающих в этой сфере. Кроме того, выросла и доля женщин, получающих государственные стипендии для изуч</w:t>
      </w:r>
      <w:r>
        <w:t>е</w:t>
      </w:r>
      <w:r>
        <w:t>ния искусства и культуры; в 1998 году она составляла 44 процента, а в 2002 году - уже 48 процентов.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rPr>
          <w:lang w:val="en-US"/>
        </w:rPr>
      </w:pPr>
      <w:r>
        <w:tab/>
        <w:t>Согласно результатам обследования, проведенного в 1999 и 2000 годах Статистическим бюро Финляндии по вопросу о том, как люди проводят свое время, в Финляндии женщины и мужчины равное время отводят на культурные мероприятия и развлечения. Однако женщины чаще мужчин посещают театры, концерты и музеи, в то время как мужчины больше времени проводят у телев</w:t>
      </w:r>
      <w:r>
        <w:t>и</w:t>
      </w:r>
      <w:r>
        <w:t>зора и радио и чаще участвуют в различных спортивных мероприятиях. В то же время женщины больше читают, чем мужчины.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Государственные библиотеки Финляндии насчитывают 37 миллионов книг, и их запас ежегодно пополняется на 1,6 миллиона книг. Кроме того, в библиотеках имеются газеты и журналы, музыкальные и иные записи, виде</w:t>
      </w:r>
      <w:r>
        <w:t>о</w:t>
      </w:r>
      <w:r>
        <w:t xml:space="preserve">кассеты, </w:t>
      </w:r>
      <w:r>
        <w:rPr>
          <w:lang w:val="en-US"/>
        </w:rPr>
        <w:t>CD-ROM</w:t>
      </w:r>
      <w:r>
        <w:t xml:space="preserve"> и диски DVD. Пользование библиотеками является беспла</w:t>
      </w:r>
      <w:r>
        <w:t>т</w:t>
      </w:r>
      <w:r>
        <w:t xml:space="preserve">ным. Согласно статистическому обследованию 1999 года, ежегодно услугами библиотек пользуются 69 процентов женщин и 61 процент мужчин в возрасте старше 15 лет.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соответствии с Законом о библиотеках (904/1998) цель библиотечных и информационных услуг заключается в обеспечении равных возможностей для населения в плане ознакомления с цивилизацией и постоянного самосоверше</w:t>
      </w:r>
      <w:r>
        <w:t>н</w:t>
      </w:r>
      <w:r>
        <w:t>ствования. Предусматривает он также и оказание содействия развитию услуг виртуальных и интерактивных сетей и улучшению их культурного содержания. Для того чтобы такие услуги были более доступными, в Финляндии помимо стационарных библиотек имеются также 200 передвижных библиотек. Во всех финских общественных библиотеках можно пользоваться Интернетом, при чем, как правило, бесплатно. В библиотеке можно также получить консультацию о том, как пользоваться Интерн</w:t>
      </w:r>
      <w:r>
        <w:t>е</w:t>
      </w:r>
      <w:r>
        <w:t xml:space="preserve">том.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Что касается пользования Интернетом, электронной почтой, компьютером и мобильным телефоном, то здесь сколь-либо существенной разницы между мужчинами и женщинами нет. В 2002 году электронной почтой пользовалось больше женщин в возрасте старше 55 лет, чем мужчин. Электронной почтой чаще всего пользуется молодежь. Аналогичным образом, за исключением с</w:t>
      </w:r>
      <w:r>
        <w:t>а</w:t>
      </w:r>
      <w:r>
        <w:t>мой старшей возрастной группы, в последние три месяца перед проведением обследования компьютером несколько чаще пользовались женщины, чем му</w:t>
      </w:r>
      <w:r>
        <w:t>ж</w:t>
      </w:r>
      <w:r>
        <w:t>чины. Интернетом пользуются реже, чем компьютером, и сколь-либо сущес</w:t>
      </w:r>
      <w:r>
        <w:t>т</w:t>
      </w:r>
      <w:r>
        <w:t>венной разницы здесь между мужчинами и женщинами нет. Практически ка</w:t>
      </w:r>
      <w:r>
        <w:t>ж</w:t>
      </w:r>
      <w:r>
        <w:t>дый мужчина в возрасте до 45 лет и каждая женщина до 40 лет имеют мобил</w:t>
      </w:r>
      <w:r>
        <w:t>ь</w:t>
      </w:r>
      <w:r>
        <w:t>ные телефоны</w:t>
      </w:r>
      <w:r>
        <w:rPr>
          <w:rStyle w:val="FootnoteReference"/>
          <w:sz w:val="17"/>
        </w:rPr>
        <w:footnoteReference w:id="20"/>
      </w:r>
      <w:r>
        <w:t>.</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Финляндии услуги и помощь в области культуры оказываются каждому, независимо от его этнического происхождения. Кроме того, министерство о</w:t>
      </w:r>
      <w:r>
        <w:t>б</w:t>
      </w:r>
      <w:r>
        <w:t>разования ежегодно поддерживает культуры меньшинств, выделяя соответс</w:t>
      </w:r>
      <w:r>
        <w:t>т</w:t>
      </w:r>
      <w:r>
        <w:t>вующие ассигнования на эти цели. Субсидии предоставляются и для провед</w:t>
      </w:r>
      <w:r>
        <w:t>е</w:t>
      </w:r>
      <w:r>
        <w:t>ния культурных мероприятий иммигрантами и этническими меньшинствами. Основными участниками здесь являются иммигранты, например, беженцы и лица, ищущие убежище, и финские национальные меньшинства, такие, как р</w:t>
      </w:r>
      <w:r>
        <w:t>о</w:t>
      </w:r>
      <w:r>
        <w:t>ма. Цель здесь заключается в упрочении права этнических меньшинств на ра</w:t>
      </w:r>
      <w:r>
        <w:t>з</w:t>
      </w:r>
      <w:r>
        <w:t>витие собственной культуры и своего языка на равной с культурой и языком большинства населения основе. Для целей предоставления субсидий культу</w:t>
      </w:r>
      <w:r>
        <w:t>р</w:t>
      </w:r>
      <w:r>
        <w:t>ные мероприятия рассматриваются в широком смысле этого слова. Помимо а</w:t>
      </w:r>
      <w:r>
        <w:t>р</w:t>
      </w:r>
      <w:r>
        <w:t>тистической деятельности, субсидии могут быть, в частности, предоставлены на проведение мероприятий для детей и молодежи с целью укрепления и ра</w:t>
      </w:r>
      <w:r>
        <w:t>з</w:t>
      </w:r>
      <w:r>
        <w:t>вития самобытности меньшинств, а также на радиовещание на родном языке, на развитие собственных культурных клубов и популяризацию культуры этн</w:t>
      </w:r>
      <w:r>
        <w:t>и</w:t>
      </w:r>
      <w:r>
        <w:t>ческих меньшинств среди большинства населения. Одним из критериев пр</w:t>
      </w:r>
      <w:r>
        <w:t>е</w:t>
      </w:r>
      <w:r>
        <w:t>доставления субсидий является то, в какой степени то или иное мероприятие будет способствовать обеспечению равенства мужчин и женщин. Бюджетные ассигнования используются для выделения субсидий, в частности, ассоциац</w:t>
      </w:r>
      <w:r>
        <w:t>и</w:t>
      </w:r>
      <w:r>
        <w:t>ям и рабочим группам, которые организуют соответствующие мероприятия, предн</w:t>
      </w:r>
      <w:r>
        <w:t>а</w:t>
      </w:r>
      <w:r>
        <w:t xml:space="preserve">значенные для женщин из меньшинств.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Кроме того, ежегодно министерство образования выделяет специальные ассигнования для поддержки деятельности по развитию культуры саамов и м</w:t>
      </w:r>
      <w:r>
        <w:t>е</w:t>
      </w:r>
      <w:r>
        <w:t>роприятий, проводимых организациями саамов. Решение об использовании этих ассигнований принимается парламентом саамов. В последние несколько лет женщины-саамки также стали играть все более активную роль в осущест</w:t>
      </w:r>
      <w:r>
        <w:t>в</w:t>
      </w:r>
      <w:r>
        <w:t>лении различных культурных проектов и в деятельности различных ассоци</w:t>
      </w:r>
      <w:r>
        <w:t>а</w:t>
      </w:r>
      <w:r>
        <w:t xml:space="preserve">ций.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Ch"/>
        <w:tabs>
          <w:tab w:val="left" w:pos="990"/>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53" w:hanging="1267"/>
        <w:rPr>
          <w:lang w:val="en-US"/>
        </w:rPr>
      </w:pPr>
      <w:r>
        <w:tab/>
        <w:t>Статья 14</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rPr>
          <w:i/>
        </w:rPr>
        <w:tab/>
        <w:t>1.</w:t>
      </w:r>
      <w:r>
        <w:rPr>
          <w:i/>
        </w:rPr>
        <w:tab/>
        <w:t>Государства-участники принимают во внимание особые проблемы, с которыми сталкиваются женщины, проживающие в сельской местности, и значительную роль, которую они играют в обеспечении экономического благ</w:t>
      </w:r>
      <w:r>
        <w:rPr>
          <w:i/>
        </w:rPr>
        <w:t>о</w:t>
      </w:r>
      <w:r>
        <w:rPr>
          <w:i/>
        </w:rPr>
        <w:t>состояния своих семей, в том числе их деятельность в товарных отраслях х</w:t>
      </w:r>
      <w:r>
        <w:rPr>
          <w:i/>
        </w:rPr>
        <w:t>о</w:t>
      </w:r>
      <w:r>
        <w:rPr>
          <w:i/>
        </w:rPr>
        <w:t>зяйства, и принимают все соответствующие меры для обеспечения примен</w:t>
      </w:r>
      <w:r>
        <w:rPr>
          <w:i/>
        </w:rPr>
        <w:t>е</w:t>
      </w:r>
      <w:r>
        <w:rPr>
          <w:i/>
        </w:rPr>
        <w:t>ния положений настоящей Конвенции к женщинам, проживающим в сельской местности.</w:t>
      </w:r>
      <w: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rPr>
          <w:i/>
        </w:rPr>
        <w:tab/>
        <w:t>2.</w:t>
      </w:r>
      <w:r>
        <w:rPr>
          <w:i/>
        </w:rPr>
        <w:tab/>
        <w:t>Государства-участники принимают все соответствующие меры для ликвидации дискриминации в отношении женщин в сельских районах, с тем чтобы обеспечить на основе равенства мужчин и женщин их участие в ра</w:t>
      </w:r>
      <w:r>
        <w:rPr>
          <w:i/>
        </w:rPr>
        <w:t>з</w:t>
      </w:r>
      <w:r>
        <w:rPr>
          <w:i/>
        </w:rPr>
        <w:t>витии сельских районов и получении выгод от такого развития, и, в частн</w:t>
      </w:r>
      <w:r>
        <w:rPr>
          <w:i/>
        </w:rPr>
        <w:t>о</w:t>
      </w:r>
      <w:r>
        <w:rPr>
          <w:i/>
        </w:rPr>
        <w:t>сти, обесп</w:t>
      </w:r>
      <w:r>
        <w:rPr>
          <w:i/>
        </w:rPr>
        <w:t>е</w:t>
      </w:r>
      <w:r>
        <w:rPr>
          <w:i/>
        </w:rPr>
        <w:t>чивают таким женщинам право:</w:t>
      </w:r>
      <w: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rPr>
          <w:i/>
        </w:rPr>
        <w:tab/>
        <w:t>а)</w:t>
      </w:r>
      <w:r>
        <w:rPr>
          <w:i/>
        </w:rPr>
        <w:tab/>
        <w:t>участвовать в разработке и осуществлении планов развития на всех уровнях;</w:t>
      </w:r>
      <w: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rPr>
          <w:i/>
        </w:rPr>
        <w:tab/>
        <w:t>b)</w:t>
      </w:r>
      <w:r>
        <w:rPr>
          <w:i/>
        </w:rPr>
        <w:tab/>
        <w:t>на доступ к соответствующему медицинскому обслуживанию, включая информацию, консультации и обслуживание по вопросам планиров</w:t>
      </w:r>
      <w:r>
        <w:rPr>
          <w:i/>
        </w:rPr>
        <w:t>а</w:t>
      </w:r>
      <w:r>
        <w:rPr>
          <w:i/>
        </w:rPr>
        <w:t>ния размера семьи;</w:t>
      </w:r>
      <w: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rPr>
          <w:i/>
        </w:rPr>
        <w:tab/>
        <w:t>c)</w:t>
      </w:r>
      <w:r>
        <w:rPr>
          <w:i/>
        </w:rPr>
        <w:tab/>
        <w:t>непосредственно пользоваться благами программ социального страхования;</w:t>
      </w:r>
      <w: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rPr>
          <w:i/>
        </w:rPr>
        <w:tab/>
        <w:t>d)</w:t>
      </w:r>
      <w:r>
        <w:rPr>
          <w:i/>
        </w:rPr>
        <w:tab/>
        <w:t>получать все виды подготовки формального и неформального обр</w:t>
      </w:r>
      <w:r>
        <w:rPr>
          <w:i/>
        </w:rPr>
        <w:t>а</w:t>
      </w:r>
      <w:r>
        <w:rPr>
          <w:i/>
        </w:rPr>
        <w:t>зования, включая функциональную грамотность, а также пользоваться усл</w:t>
      </w:r>
      <w:r>
        <w:rPr>
          <w:i/>
        </w:rPr>
        <w:t>у</w:t>
      </w:r>
      <w:r>
        <w:rPr>
          <w:i/>
        </w:rPr>
        <w:t>гами всех средств общинного обслуживания, консультативных служб по сел</w:t>
      </w:r>
      <w:r>
        <w:rPr>
          <w:i/>
        </w:rPr>
        <w:t>ь</w:t>
      </w:r>
      <w:r>
        <w:rPr>
          <w:i/>
        </w:rPr>
        <w:t>скохозяйственным вопросам, в частности для повышения их технического уровня;</w:t>
      </w:r>
      <w: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rPr>
          <w:i/>
        </w:rPr>
        <w:tab/>
        <w:t>e)</w:t>
      </w:r>
      <w:r>
        <w:rPr>
          <w:i/>
        </w:rPr>
        <w:tab/>
        <w:t>организовывать группы самопомощи и кооперативы, с тем чтобы обеспечить равный доступ к экономическим возможностям посредством р</w:t>
      </w:r>
      <w:r>
        <w:rPr>
          <w:i/>
        </w:rPr>
        <w:t>а</w:t>
      </w:r>
      <w:r>
        <w:rPr>
          <w:i/>
        </w:rPr>
        <w:t>боты по найму или независимой трудовой деятельности;</w:t>
      </w:r>
      <w: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rPr>
          <w:i/>
        </w:rPr>
        <w:tab/>
        <w:t>f)</w:t>
      </w:r>
      <w:r>
        <w:rPr>
          <w:i/>
        </w:rPr>
        <w:tab/>
        <w:t>участвовать по всех видах коллективной деятельности;</w:t>
      </w:r>
      <w: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rPr>
          <w:i/>
        </w:rPr>
        <w:tab/>
        <w:t>g)</w:t>
      </w:r>
      <w:r>
        <w:rPr>
          <w:i/>
        </w:rPr>
        <w:tab/>
        <w:t>иметь доступ к сельскохозяйственным кредитам и займам, системе сбыта, соответствующей технологии и на равный статус в земельной и а</w:t>
      </w:r>
      <w:r>
        <w:rPr>
          <w:i/>
        </w:rPr>
        <w:t>г</w:t>
      </w:r>
      <w:r>
        <w:rPr>
          <w:i/>
        </w:rPr>
        <w:t>рарной реформах, а также в планах перезаселения з</w:t>
      </w:r>
      <w:r>
        <w:rPr>
          <w:i/>
        </w:rPr>
        <w:t>е</w:t>
      </w:r>
      <w:r>
        <w:rPr>
          <w:i/>
        </w:rPr>
        <w:t>мель;</w:t>
      </w:r>
      <w: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rPr>
          <w:i/>
        </w:rPr>
        <w:tab/>
        <w:t>h)</w:t>
      </w:r>
      <w:r>
        <w:rPr>
          <w:i/>
        </w:rPr>
        <w:tab/>
        <w:t>пользоваться надлежащими условиями жизни, особенно жилищн</w:t>
      </w:r>
      <w:r>
        <w:rPr>
          <w:i/>
        </w:rPr>
        <w:t>ы</w:t>
      </w:r>
      <w:r>
        <w:rPr>
          <w:i/>
        </w:rPr>
        <w:t>ми условиями, санитарными услугами, электро- и водоснабжением, а также транспортом и средствами связи.</w:t>
      </w:r>
      <w:r>
        <w:t xml:space="preserve">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exact"/>
        <w:ind w:left="2288" w:right="1260" w:hanging="1267"/>
        <w:rPr>
          <w:i/>
        </w:rPr>
      </w:pPr>
      <w:r>
        <w:tab/>
        <w:t>1.</w:t>
      </w:r>
      <w:r>
        <w:tab/>
        <w:t>Развитие сельских районов</w:t>
      </w:r>
      <w:r>
        <w:rPr>
          <w:i/>
        </w:rPr>
        <w:t xml:space="preserve">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 xml:space="preserve">В предыдущем докладе уже рассматривалась деятельность, проводимая при поддержке структурных фондов Европейского союза по развитию сельских районов. За данный отчетный период также был осуществлен ряд проектов и программ развития сельских районов.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ноябре 2000 года была завершена подготовка Федеративной программы развития сельских районов Финляндии. Она включила в себя 108 предложений, касающихся развития сельских районов и обеспечения их жизнестойкости. Третья федеративная программа развития сельских районов получила название "Сельская местность для народа - политика развития сельских районов на о</w:t>
      </w:r>
      <w:r>
        <w:t>с</w:t>
      </w:r>
      <w:r>
        <w:t>нове проявления твердой воли". Эта программа распространяется на период 2001-2004 годов и охватывает всю страну. Данная программа посвящена всем сельским районам Финляндии и предусматривает использование всех общес</w:t>
      </w:r>
      <w:r>
        <w:t>т</w:t>
      </w:r>
      <w:r>
        <w:t>венных средств, могущих привести к позитивным изменениям в сельских ра</w:t>
      </w:r>
      <w:r>
        <w:t>й</w:t>
      </w:r>
      <w:r>
        <w:t>онах. Цель программы, в частности, заключается в том, чтобы сбалансировать развитие населения и обеспечить и усилить жизнесто</w:t>
      </w:r>
      <w:r>
        <w:t>й</w:t>
      </w:r>
      <w:r>
        <w:t xml:space="preserve">кость сельских районов.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Программой предусматривается также увязывание гражданской деятел</w:t>
      </w:r>
      <w:r>
        <w:t>ь</w:t>
      </w:r>
      <w:r>
        <w:t>ности и работы ассоциаций с работой по развитию сельских районов и предп</w:t>
      </w:r>
      <w:r>
        <w:t>о</w:t>
      </w:r>
      <w:r>
        <w:t>лагается внесение соответствующих коррективов в направления развития сел</w:t>
      </w:r>
      <w:r>
        <w:t>ь</w:t>
      </w:r>
      <w:r>
        <w:t>ских районов в различных административных секторах. В программе соде</w:t>
      </w:r>
      <w:r>
        <w:t>р</w:t>
      </w:r>
      <w:r>
        <w:t xml:space="preserve">жатся предложения и меры для принятия различными сторонами, такими, как муниципалитеты, сельские советы, целевые группы, губернии, организации, университеты и политехнические учебные заведения.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рамках программы политики развития сельских районов созданы Коо</w:t>
      </w:r>
      <w:r>
        <w:t>р</w:t>
      </w:r>
      <w:r>
        <w:t>динационная группа и специальная Целевая группа по женщинам. Это - своего рода контактная сеть женщин, работающих в различных сферах в различных частях Финляндии, и ее цель заключается в улучшении женской перспективы в региональной политике и политике развития сельских районов. В 2003 году Целевой группой по женщинам был подготовлен план действий для сельских женщин. Цель его - лоббировать интересующие сельских женщин вопросы на различных форумах (на уровне принятия решений, администрации, исследов</w:t>
      </w:r>
      <w:r>
        <w:t>а</w:t>
      </w:r>
      <w:r>
        <w:t>ний, средств массовой информации). Группа будет также оказывать свою по</w:t>
      </w:r>
      <w:r>
        <w:t>д</w:t>
      </w:r>
      <w:r>
        <w:t>держку осуществлению предназначенных для женщин проектов развития и предприним</w:t>
      </w:r>
      <w:r>
        <w:t>а</w:t>
      </w:r>
      <w:r>
        <w:t xml:space="preserve">тельских проектов.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апреле 2001 года правительство приняло директивное решение об о</w:t>
      </w:r>
      <w:r>
        <w:t>с</w:t>
      </w:r>
      <w:r>
        <w:t>новных направлениях политики развития сельских районов на 2001-2004 годы. В основу этого политического решения были положены программа политики развития сельских районов и целевая программа региональной политики, кот</w:t>
      </w:r>
      <w:r>
        <w:t>о</w:t>
      </w:r>
      <w:r>
        <w:t>рая была принята правительством несколько месяцев раньше. Программа пол</w:t>
      </w:r>
      <w:r>
        <w:t>и</w:t>
      </w:r>
      <w:r>
        <w:t>тики развития сельских районов, в частности, направлена на обеспечение н</w:t>
      </w:r>
      <w:r>
        <w:t>а</w:t>
      </w:r>
      <w:r>
        <w:t>дежной торговой сети в сельских районах и обеспечение равенства между ра</w:t>
      </w:r>
      <w:r>
        <w:t>з</w:t>
      </w:r>
      <w:r>
        <w:t xml:space="preserve">личными группами населения.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Ch"/>
        <w:tabs>
          <w:tab w:val="left" w:pos="990"/>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53" w:hanging="1267"/>
        <w:rPr>
          <w:lang w:val="en-US"/>
        </w:rPr>
      </w:pPr>
      <w:r>
        <w:tab/>
        <w:t>Статья 15</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rPr>
          <w:i/>
        </w:rPr>
        <w:tab/>
        <w:t>1.</w:t>
      </w:r>
      <w:r>
        <w:rPr>
          <w:i/>
        </w:rPr>
        <w:tab/>
        <w:t>Государства-участники признают за женщинами равенством с мужч</w:t>
      </w:r>
      <w:r>
        <w:rPr>
          <w:i/>
        </w:rPr>
        <w:t>и</w:t>
      </w:r>
      <w:r>
        <w:rPr>
          <w:i/>
        </w:rPr>
        <w:t>нами перед законом.</w:t>
      </w:r>
      <w: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rPr>
          <w:i/>
        </w:rPr>
        <w:tab/>
        <w:t>2.</w:t>
      </w:r>
      <w:r>
        <w:rPr>
          <w:i/>
        </w:rPr>
        <w:tab/>
        <w:t>Государства-участники предоставляют женщинам одинаковую с мужчинами гражданскую правоспособность и одинаковые возможности ее реализации. Они, в частности, обеспечивают им равные права при заключении договоров и управлении имуществом, а также равное отношение к ним на всех этапах разбирательства в трибуналах.</w:t>
      </w:r>
      <w: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rPr>
          <w:i/>
        </w:rPr>
        <w:tab/>
        <w:t>3.</w:t>
      </w:r>
      <w:r>
        <w:rPr>
          <w:i/>
        </w:rPr>
        <w:tab/>
        <w:t>Государства-участники соглашаются, что все договоры и все др</w:t>
      </w:r>
      <w:r>
        <w:rPr>
          <w:i/>
        </w:rPr>
        <w:t>у</w:t>
      </w:r>
      <w:r>
        <w:rPr>
          <w:i/>
        </w:rPr>
        <w:t>гие частные документы любого рода, имеющие своим правовым последствием ограничение правоспособности женщин, считаются н</w:t>
      </w:r>
      <w:r>
        <w:rPr>
          <w:i/>
        </w:rPr>
        <w:t>е</w:t>
      </w:r>
      <w:r>
        <w:rPr>
          <w:i/>
        </w:rPr>
        <w:t>действительными.</w:t>
      </w:r>
      <w: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rPr>
          <w:i/>
        </w:rPr>
        <w:tab/>
        <w:t>4.</w:t>
      </w:r>
      <w:r>
        <w:rPr>
          <w:i/>
        </w:rPr>
        <w:tab/>
        <w:t>Государства-участники предоставляют мужчинам и женщинам одинаковые права в отношении законодательства, касающегося передвижения лиц и свободы выбора места проживания и места жител</w:t>
      </w:r>
      <w:r>
        <w:rPr>
          <w:i/>
        </w:rPr>
        <w:t>ь</w:t>
      </w:r>
      <w:r>
        <w:rPr>
          <w:i/>
        </w:rPr>
        <w:t>ства.</w:t>
      </w:r>
      <w: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Финляндии женщины и мужчины равны перед законом, как это пред</w:t>
      </w:r>
      <w:r>
        <w:t>у</w:t>
      </w:r>
      <w:r>
        <w:t>сматривается статьей 15 Конвенции. В этом отношении правительство рек</w:t>
      </w:r>
      <w:r>
        <w:t>о</w:t>
      </w:r>
      <w:r>
        <w:t xml:space="preserve">мендует обратиться к раннее представленным докладам Финляндии.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Ch"/>
        <w:tabs>
          <w:tab w:val="left" w:pos="990"/>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53" w:hanging="1267"/>
        <w:rPr>
          <w:lang w:val="en-US"/>
        </w:rPr>
      </w:pPr>
      <w:r>
        <w:tab/>
        <w:t>Статья 16</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rPr>
          <w:i/>
        </w:rPr>
        <w:tab/>
        <w:t>1.</w:t>
      </w:r>
      <w:r>
        <w:rPr>
          <w:i/>
        </w:rPr>
        <w:tab/>
        <w:t>Государства-участники принимают все соответствующие меры для ликвидации дискриминации в отношении женщин во всех вопросах, каса</w:t>
      </w:r>
      <w:r>
        <w:rPr>
          <w:i/>
        </w:rPr>
        <w:t>ю</w:t>
      </w:r>
      <w:r>
        <w:rPr>
          <w:i/>
        </w:rPr>
        <w:t>щихся брака и семейных отношений, и, в частности, обеспечивают на основе раве</w:t>
      </w:r>
      <w:r>
        <w:rPr>
          <w:i/>
        </w:rPr>
        <w:t>н</w:t>
      </w:r>
      <w:r>
        <w:rPr>
          <w:i/>
        </w:rPr>
        <w:t>ства мужчин и женщин:</w:t>
      </w:r>
      <w: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rPr>
          <w:i/>
        </w:rPr>
        <w:tab/>
      </w:r>
      <w:r>
        <w:rPr>
          <w:i/>
          <w:lang w:val="en-US"/>
        </w:rPr>
        <w:t>a</w:t>
      </w:r>
      <w:r>
        <w:rPr>
          <w:i/>
        </w:rPr>
        <w:t>)</w:t>
      </w:r>
      <w:r>
        <w:rPr>
          <w:i/>
        </w:rPr>
        <w:tab/>
        <w:t>одинаковые права на вступление в брак;</w:t>
      </w:r>
      <w: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rPr>
          <w:i/>
        </w:rPr>
        <w:tab/>
        <w:t>b)</w:t>
      </w:r>
      <w:r>
        <w:rPr>
          <w:i/>
        </w:rPr>
        <w:tab/>
        <w:t>одинаковые права на свободный выбор супруга и на вступление в брак только со своего свобо</w:t>
      </w:r>
      <w:r>
        <w:rPr>
          <w:i/>
        </w:rPr>
        <w:t>д</w:t>
      </w:r>
      <w:r>
        <w:rPr>
          <w:i/>
        </w:rPr>
        <w:t>ного и полного согласия;</w:t>
      </w:r>
      <w: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rPr>
          <w:i/>
        </w:rPr>
        <w:tab/>
        <w:t>c)</w:t>
      </w:r>
      <w:r>
        <w:rPr>
          <w:i/>
        </w:rPr>
        <w:tab/>
        <w:t>одинаковые права и обязанности в период брака и при его расто</w:t>
      </w:r>
      <w:r>
        <w:rPr>
          <w:i/>
        </w:rPr>
        <w:t>р</w:t>
      </w:r>
      <w:r>
        <w:rPr>
          <w:i/>
        </w:rPr>
        <w:t>жении;</w:t>
      </w:r>
      <w: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rPr>
          <w:i/>
        </w:rPr>
        <w:tab/>
        <w:t>d)</w:t>
      </w:r>
      <w:r>
        <w:rPr>
          <w:i/>
        </w:rPr>
        <w:tab/>
        <w:t>одинаковые права и обязанности мужчин и женщин, как родителей, независимо от их семейного положения, в вопросах, касающихся их детей; во всех случаях интересы детей являются преоблада</w:t>
      </w:r>
      <w:r>
        <w:rPr>
          <w:i/>
        </w:rPr>
        <w:t>ю</w:t>
      </w:r>
      <w:r>
        <w:rPr>
          <w:i/>
        </w:rPr>
        <w:t>щими;</w:t>
      </w:r>
      <w: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rPr>
          <w:i/>
        </w:rPr>
        <w:tab/>
        <w:t>e)</w:t>
      </w:r>
      <w:r>
        <w:rPr>
          <w:i/>
        </w:rPr>
        <w:tab/>
        <w:t>одинаковые права свободно и ответственно решать вопрос о числе детей и промежутках между их рождениями, иметь доступ к информации, образованию, а также к средствам, позволяющим им осуществлять это пр</w:t>
      </w:r>
      <w:r>
        <w:rPr>
          <w:i/>
        </w:rPr>
        <w:t>а</w:t>
      </w:r>
      <w:r>
        <w:rPr>
          <w:i/>
        </w:rPr>
        <w:t>во;</w:t>
      </w:r>
      <w: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rPr>
          <w:i/>
        </w:rPr>
        <w:tab/>
        <w:t>f)</w:t>
      </w:r>
      <w:r>
        <w:rPr>
          <w:i/>
        </w:rPr>
        <w:tab/>
        <w:t>одинаковые права и обязанности быть опекунами, попечителями, доверителями и усыновителями детей или осуществлять аналогичные фун</w:t>
      </w:r>
      <w:r>
        <w:rPr>
          <w:i/>
        </w:rPr>
        <w:t>к</w:t>
      </w:r>
      <w:r>
        <w:rPr>
          <w:i/>
        </w:rPr>
        <w:t>ции, когда они предусмотрены национальным законодательством; во всех сл</w:t>
      </w:r>
      <w:r>
        <w:rPr>
          <w:i/>
        </w:rPr>
        <w:t>у</w:t>
      </w:r>
      <w:r>
        <w:rPr>
          <w:i/>
        </w:rPr>
        <w:t>чаях интересы детей являются преобладающими;</w:t>
      </w:r>
      <w: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rPr>
          <w:i/>
        </w:rPr>
        <w:tab/>
        <w:t>g)</w:t>
      </w:r>
      <w:r>
        <w:rPr>
          <w:i/>
        </w:rPr>
        <w:tab/>
        <w:t>одинаковые личные права мужа и жены, в том числе право выбора фамилии, профессии и зан</w:t>
      </w:r>
      <w:r>
        <w:rPr>
          <w:i/>
        </w:rPr>
        <w:t>я</w:t>
      </w:r>
      <w:r>
        <w:rPr>
          <w:i/>
        </w:rPr>
        <w:t>тий;</w:t>
      </w:r>
      <w: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rPr>
          <w:i/>
        </w:rPr>
        <w:tab/>
        <w:t>h)</w:t>
      </w:r>
      <w:r>
        <w:rPr>
          <w:i/>
        </w:rPr>
        <w:tab/>
        <w:t>одинаковые права супругов в отношении владения, приобретения, управления, пользования и распоряжения имуществом, как бесплатно, так и за плату.</w:t>
      </w:r>
      <w: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rPr>
          <w:i/>
        </w:rPr>
        <w:tab/>
        <w:t>2.</w:t>
      </w:r>
      <w:r>
        <w:rPr>
          <w:i/>
        </w:rPr>
        <w:tab/>
        <w:t>Обручение и брак ребенка не имеют юридической силы и приним</w:t>
      </w:r>
      <w:r>
        <w:rPr>
          <w:i/>
        </w:rPr>
        <w:t>а</w:t>
      </w:r>
      <w:r>
        <w:rPr>
          <w:i/>
        </w:rPr>
        <w:t>ются все необходимые меры, включая законодательные, с целью определения минимального брачного возраста и обязательной регистрации браков в актах гражданского состояния.</w:t>
      </w:r>
      <w:r>
        <w:t xml:space="preserve">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exact"/>
        <w:ind w:left="2288" w:right="1260" w:hanging="1267"/>
        <w:rPr>
          <w:sz w:val="10"/>
        </w:rPr>
      </w:pPr>
      <w:r>
        <w:tab/>
        <w:t>1.</w:t>
      </w:r>
      <w:r>
        <w:tab/>
        <w:t>Реформа законодательства о семье и наследовании</w:t>
      </w:r>
      <w:r>
        <w:rPr>
          <w:i/>
        </w:rPr>
        <w:t xml:space="preserve">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своих рекомендациях, вынесенных по итогам рассмотрения предыд</w:t>
      </w:r>
      <w:r>
        <w:t>у</w:t>
      </w:r>
      <w:r>
        <w:t xml:space="preserve">щих докладов, КЛДЖ отметил тот существующий в Финляндии недостаток, что имущественные отношения супругов регулируются законом той страны, к которой принадлежал муж при вступлении в брак на основе его гражданства.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На основании Закона (1226/2001), который вступил в силу 1 марта 2002 года, в Закон о браке были внесены дополнительно новые положения, к</w:t>
      </w:r>
      <w:r>
        <w:t>а</w:t>
      </w:r>
      <w:r>
        <w:t>сающиеся законодательных норм, применимых к заключению брака и прав</w:t>
      </w:r>
      <w:r>
        <w:t>о</w:t>
      </w:r>
      <w:r>
        <w:t>вым отношениям между супругами. В то же время в Закон о браке были допо</w:t>
      </w:r>
      <w:r>
        <w:t>л</w:t>
      </w:r>
      <w:r>
        <w:t>нительно включены и новые положения относительно признания заключаемых за рубежом браков и международной юрисдикции судов Финляндии в вопр</w:t>
      </w:r>
      <w:r>
        <w:t>о</w:t>
      </w:r>
      <w:r>
        <w:t>сах, касающихся правовых отношений между супругами. В соответствии с этими новыми положениями имущественные отношения супругов главным о</w:t>
      </w:r>
      <w:r>
        <w:t>б</w:t>
      </w:r>
      <w:r>
        <w:t>разом регулируются законодательством той страны, в которой каждый из су</w:t>
      </w:r>
      <w:r>
        <w:t>п</w:t>
      </w:r>
      <w:r>
        <w:t>ругов имеет постоянное место жительство после заключения брака. Кроме т</w:t>
      </w:r>
      <w:r>
        <w:t>о</w:t>
      </w:r>
      <w:r>
        <w:t>го, супруги могут по договоренности решить вопрос о том, какое законодател</w:t>
      </w:r>
      <w:r>
        <w:t>ь</w:t>
      </w:r>
      <w:r>
        <w:t xml:space="preserve">ство должно применяться к имущественным отношениям после вступления в брак.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Комитет в качестве недостатка отметил также тот факт, что по действу</w:t>
      </w:r>
      <w:r>
        <w:t>ю</w:t>
      </w:r>
      <w:r>
        <w:t>щему законодательству Финляндии правовое положение в семье ребенка - в случае ребенка, рожденного в браке, или внебрачного ребенка - определяется законом той страны, гражданином которой является муж. В перечне проектов министерства юстиции предусматривается проведение реформы нормативных положений, касающихся вопросов отцовства международного характера, и цель заключается в том, чтобы в будущие годы приступить к подготовительной р</w:t>
      </w:r>
      <w:r>
        <w:t>а</w:t>
      </w:r>
      <w:r>
        <w:t xml:space="preserve">боте.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exact"/>
        <w:ind w:left="2288" w:right="1260" w:hanging="1267"/>
        <w:rPr>
          <w:i/>
        </w:rPr>
      </w:pPr>
      <w:r>
        <w:tab/>
        <w:t>2.</w:t>
      </w:r>
      <w:r>
        <w:tab/>
        <w:t>Признание отцовства</w:t>
      </w:r>
      <w:r>
        <w:rPr>
          <w:i/>
        </w:rPr>
        <w:t xml:space="preserve">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По организационным причинам в отчетный период в положения Закона об отцовстве (700/1975), касающиеся усыновления и признания отцовства, были внесены соответствующие поправки. Начиная с 1 марта 2003 года признание отцовства должно подтверждаться местным отделом записей актов гражданск</w:t>
      </w:r>
      <w:r>
        <w:t>о</w:t>
      </w:r>
      <w:r>
        <w:t xml:space="preserve">го состояния, а не судом. В 2002 году было подтверждено отцовство в общей сложности 21 400 детей, рожденных вне брака. </w:t>
      </w:r>
    </w:p>
    <w:p w:rsidR="00000000" w:rsidRDefault="00000000">
      <w:pPr>
        <w:pStyle w:val="SingleTxt"/>
        <w:spacing w:after="0" w:line="180" w:lineRule="auto"/>
        <w:rPr>
          <w:sz w:val="10"/>
        </w:rPr>
      </w:pPr>
      <w:r>
        <w:rPr>
          <w:sz w:val="10"/>
        </w:rPr>
        <w:br w:type="page"/>
      </w:r>
    </w:p>
    <w:p w:rsidR="00000000" w:rsidRDefault="00000000">
      <w:pPr>
        <w:pStyle w:val="SingleTxt"/>
        <w:spacing w:after="0" w:line="180" w:lineRule="auto"/>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exact"/>
        <w:ind w:left="2288" w:right="1260" w:hanging="1267"/>
        <w:rPr>
          <w:i/>
        </w:rPr>
      </w:pPr>
      <w:r>
        <w:tab/>
        <w:t>3.</w:t>
      </w:r>
      <w:r>
        <w:tab/>
        <w:t>Соглашение об опеке над детьми</w:t>
      </w:r>
      <w:r>
        <w:rPr>
          <w:i/>
        </w:rPr>
        <w:t xml:space="preserve"> </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ab/>
        <w:t>В отчетный период в положения Закона о правах на опеку над детьми и праве доступа (361/1983), касающиеся опеки над детьми, никаких поправок не вносилось. Между родителями должно в письменной форме составляться с</w:t>
      </w:r>
      <w:r>
        <w:t>о</w:t>
      </w:r>
      <w:r>
        <w:t xml:space="preserve">глашение об опеке. Такое соглашение для того, чтобы получить юридическую силу, должно подаваться для его подтверждения в муниципальный социальный совет или суд. В 2002 году муниципальные социальные советы подтвердили в общей сложности 33 019 соглашений об опеке над детьми. Из этих соглашений 91 процент касался совместной опеки. В 7 процентах случаев опека поручалась только матери, а в 1 проценте - только отцу.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rPr>
          <w:b/>
          <w:sz w:val="24"/>
        </w:rPr>
      </w:pPr>
      <w:r>
        <w:rPr>
          <w:b/>
        </w:rPr>
        <w:br w:type="page"/>
      </w:r>
      <w:r>
        <w:rPr>
          <w:b/>
          <w:sz w:val="24"/>
        </w:rPr>
        <w:t>Приложения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rPr>
          <w:sz w:val="24"/>
        </w:rPr>
      </w:pPr>
    </w:p>
    <w:p w:rsidR="00000000" w:rsidRDefault="00000000">
      <w:pPr>
        <w:spacing w:line="240" w:lineRule="auto"/>
        <w:ind w:left="1260"/>
      </w:pPr>
      <w:r>
        <w:t>1)</w:t>
      </w:r>
      <w:r>
        <w:tab/>
      </w:r>
      <w:r>
        <w:rPr>
          <w:lang w:val="en-US"/>
        </w:rPr>
        <w:t>Equality Issues in Finalnd. Ministry of Social Affairs and Health. Equality brochures 2001:2.</w:t>
      </w:r>
      <w: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rPr>
          <w:lang w:val="en-US"/>
        </w:rPr>
        <w:t>2)</w:t>
      </w:r>
      <w:r>
        <w:rPr>
          <w:lang w:val="en-US"/>
        </w:rPr>
        <w:tab/>
        <w:t>Tuula Melkas: The Gender Barometer 2001. Helsinki 2002.</w:t>
      </w:r>
      <w: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rPr>
          <w:lang w:val="en-US"/>
        </w:rPr>
        <w:t>3)</w:t>
      </w:r>
      <w:r>
        <w:rPr>
          <w:lang w:val="en-US"/>
        </w:rPr>
        <w:tab/>
        <w:t>Markku Heiskanen and Minna Piispa: The costs of violence in a municipality. A case study of violence against women and its costs in the City of Hameenlinna 2001, based on estimates provided by authority representatives. Ministry of Social Affairs and Health. Reports 2002:16.</w:t>
      </w:r>
      <w: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rPr>
          <w:lang w:val="en-US"/>
        </w:rPr>
        <w:t>4)</w:t>
      </w:r>
      <w:r>
        <w:rPr>
          <w:lang w:val="en-US"/>
        </w:rPr>
        <w:tab/>
        <w:t>Leena Karjalainen: Nordic-Baltic Campaign Against Trafficking in Women in Finland 2002. Report on an information campaign co-ordinated by the Nordic Cou</w:t>
      </w:r>
      <w:r>
        <w:rPr>
          <w:lang w:val="en-US"/>
        </w:rPr>
        <w:t>n</w:t>
      </w:r>
      <w:r>
        <w:rPr>
          <w:lang w:val="en-US"/>
        </w:rPr>
        <w:t>cil of Ministers. 31.12.2002.</w:t>
      </w:r>
      <w: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rPr>
          <w:lang w:val="en-US"/>
        </w:rPr>
        <w:t>5)</w:t>
      </w:r>
      <w:r>
        <w:rPr>
          <w:lang w:val="en-US"/>
        </w:rPr>
        <w:tab/>
        <w:t>Women's Studies and Gender Research in Finland. Evaluation Report. Publ</w:t>
      </w:r>
      <w:r>
        <w:rPr>
          <w:lang w:val="en-US"/>
        </w:rPr>
        <w:t>i</w:t>
      </w:r>
      <w:r>
        <w:rPr>
          <w:lang w:val="en-US"/>
        </w:rPr>
        <w:t>cations of the Academy of Fi</w:t>
      </w:r>
      <w:r>
        <w:rPr>
          <w:lang w:val="en-US"/>
        </w:rPr>
        <w:t>n</w:t>
      </w:r>
      <w:r>
        <w:rPr>
          <w:lang w:val="en-US"/>
        </w:rPr>
        <w:t>land 8/02. Helsinki 2002.</w:t>
      </w:r>
      <w: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6)</w:t>
      </w:r>
      <w:r>
        <w:tab/>
        <w:t xml:space="preserve">Закон о трудовых договорах (55/2001).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7)</w:t>
      </w:r>
      <w:r>
        <w:tab/>
        <w:t xml:space="preserve">Нормы прецедентного права, касающиеся дискриминации.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8)</w:t>
      </w:r>
      <w:r>
        <w:tab/>
        <w:t xml:space="preserve">Gender Wage Differencials in the Finnish Labour Market. Ministry of Social Affairs and Health. Publications on Equality 2002:2.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pPr>
      <w:r>
        <w:t>9)</w:t>
      </w:r>
      <w:r>
        <w:tab/>
        <w:t xml:space="preserve">Women and Men in Finland 2003. </w:t>
      </w:r>
    </w:p>
    <w:p w:rsidR="00000000" w:rsidRDefault="00000000">
      <w:pPr>
        <w:pStyle w:val="SingleTxt"/>
        <w:spacing w:after="0" w:line="240" w:lineRule="auto"/>
      </w:pPr>
      <w:r>
        <w:rPr>
          <w:noProof/>
          <w:w w:val="100"/>
        </w:rPr>
        <w:pict>
          <v:line id="_x0000_s2169" style="position:absolute;left:0;text-align:left;z-index:1;mso-position-horizontal:absolute;mso-position-horizontal-relative:text;mso-position-vertical:absolute;mso-position-vertical-relative:text" from="210.25pt,30pt" to="282.25pt,30pt" o:allowincell="f" strokeweight=".25pt"/>
        </w:pict>
      </w:r>
    </w:p>
    <w:sectPr w:rsidR="00000000">
      <w:headerReference w:type="even" r:id="rId14"/>
      <w:headerReference w:type="default" r:id="rId15"/>
      <w:footerReference w:type="even" r:id="rId16"/>
      <w:footerReference w:type="default" r:id="rId17"/>
      <w:endnotePr>
        <w:numFmt w:val="decimal"/>
      </w:endnotePr>
      <w:type w:val="continuous"/>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NO&gt;&gt;N0425799R&lt;&lt;ODS JOB NO&gt;&gt;</w:t>
      </w:r>
    </w:p>
    <w:p w:rsidR="00000000" w:rsidRDefault="00000000">
      <w:pPr>
        <w:pStyle w:val="CommentText"/>
        <w:rPr>
          <w:lang w:val="en-US"/>
        </w:rPr>
      </w:pPr>
      <w:r>
        <w:rPr>
          <w:lang w:val="en-US"/>
        </w:rPr>
        <w:t>&lt;&lt;ODS DOC SYMBOL1&gt;&gt;CEDAW/C/FIN/5&lt;&lt;ODS DOC SYMBOL1&gt;&gt;</w:t>
      </w:r>
    </w:p>
    <w:p w:rsidR="00000000" w:rsidRDefault="00000000">
      <w:pPr>
        <w:pStyle w:val="CommentText"/>
        <w:rPr>
          <w:lang w:val="en-US"/>
        </w:rPr>
      </w:pPr>
      <w:r>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98</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98</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noProof w:val="0"/>
        <w:sz w:val="20"/>
      </w:rPr>
    </w:pPr>
    <w:r>
      <w:rPr>
        <w:b w:val="0"/>
        <w:sz w:val="20"/>
      </w:rPr>
      <w:t>04-</w:t>
    </w:r>
    <w:r>
      <w:rPr>
        <w:b w:val="0"/>
        <w:noProof w:val="0"/>
        <w:sz w:val="20"/>
      </w:rPr>
      <w:t>25799</w:t>
    </w:r>
    <w:r>
      <w:rPr>
        <w:b w:val="0"/>
        <w:sz w:val="20"/>
      </w:rPr>
      <w:t xml:space="preserve"> (R)    300404    </w:t>
    </w:r>
    <w:r>
      <w:rPr>
        <w:b w:val="0"/>
        <w:noProof w:val="0"/>
        <w:sz w:val="20"/>
      </w:rPr>
      <w:t>0505</w:t>
    </w:r>
    <w:r>
      <w:rPr>
        <w:b w:val="0"/>
        <w:sz w:val="20"/>
      </w:rPr>
      <w:t>04</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*0425799*</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98</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97</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left" w:pos="1742"/>
          <w:tab w:val="left" w:pos="2218"/>
          <w:tab w:val="left" w:pos="2693"/>
        </w:tabs>
        <w:ind w:left="1195" w:right="1260" w:hanging="360"/>
        <w:jc w:val="both"/>
      </w:pPr>
      <w:r>
        <w:tab/>
      </w:r>
      <w:r>
        <w:rPr>
          <w:rStyle w:val="FootnoteReference"/>
        </w:rPr>
        <w:t>*</w:t>
      </w:r>
      <w:r>
        <w:t>Настоящий доклад публикуется без официального редактирования. Первоначальный доклад, представленный правительством Финляндии, см. в документе CEDAW/C/5/Add.56, который был рассмотрен Комитетом на его восьмой сессии. Второй периодический доклад, представленный правительством Финляндии, см. в документе CEDAW/C/FIN/2, который был рассмотрен Комитетом на его четырнадцатой сессии. Третий периодический доклад, представленный правительством Финляндии, см. в документе CEDAW/C/FIN/3, который был рассмотрен Комитетом на его двадцать четвертой сессии. Четвертый периодический доклад, представленный правительством Финляндии, см. в документе CEDAW/C/FIN/4, который был рассмотрен Комитетом на его двадцать четвертой сессии.</w:t>
      </w:r>
    </w:p>
  </w:footnote>
  <w:footnote w:id="2">
    <w:p w:rsidR="00000000" w:rsidRDefault="00000000">
      <w:pPr>
        <w:pStyle w:val="FootnoteText"/>
        <w:ind w:left="810" w:firstLine="0"/>
        <w:rPr>
          <w:lang w:val="en-US"/>
        </w:rPr>
      </w:pPr>
      <w:r>
        <w:rPr>
          <w:rStyle w:val="FootnoteReference"/>
        </w:rPr>
        <w:footnoteRef/>
      </w:r>
      <w:r>
        <w:t xml:space="preserve"> С текстом брошюры на английском языке можно ознакомиться по адресу: </w:t>
      </w:r>
      <w:r>
        <w:rPr>
          <w:lang w:val="en-US"/>
        </w:rPr>
        <w:t>http://www.mol.fi/migration/tasaeng.pdf.</w:t>
      </w:r>
    </w:p>
  </w:footnote>
  <w:footnote w:id="3">
    <w:p w:rsidR="00000000" w:rsidRDefault="00000000">
      <w:pPr>
        <w:pStyle w:val="FootnoteText"/>
        <w:ind w:left="1285" w:right="1210"/>
        <w:rPr>
          <w:lang w:val="en-US"/>
        </w:rPr>
      </w:pPr>
      <w:r>
        <w:rPr>
          <w:rStyle w:val="FootnoteReference"/>
        </w:rPr>
        <w:footnoteRef/>
      </w:r>
      <w:r>
        <w:t xml:space="preserve"> Электронная страница проекта на английском языке:</w:t>
      </w:r>
      <w:r>
        <w:rPr>
          <w:lang w:val="en-US"/>
        </w:rPr>
        <w:t xml:space="preserve"> http://www.saunalahti.fi/jsrn/engindex.htm</w:t>
      </w:r>
      <w:r>
        <w:t>.</w:t>
      </w:r>
    </w:p>
  </w:footnote>
  <w:footnote w:id="4">
    <w:p w:rsidR="00000000" w:rsidRDefault="00000000">
      <w:pPr>
        <w:pStyle w:val="FootnoteText"/>
        <w:ind w:left="810" w:right="1210" w:firstLine="0"/>
        <w:rPr>
          <w:lang w:val="en-US"/>
        </w:rPr>
      </w:pPr>
      <w:r>
        <w:rPr>
          <w:rStyle w:val="FootnoteReference"/>
        </w:rPr>
        <w:footnoteRef/>
      </w:r>
      <w:r>
        <w:t xml:space="preserve"> </w:t>
      </w:r>
      <w:r>
        <w:rPr>
          <w:lang w:val="en-US"/>
        </w:rPr>
        <w:t>Sirpa Taskinen (ed.): Ascertaining sexual abuse of and violence against children. Expert group recommendations to the personnel of social and health care.</w:t>
      </w:r>
    </w:p>
  </w:footnote>
  <w:footnote w:id="5">
    <w:p w:rsidR="00000000" w:rsidRDefault="00000000">
      <w:pPr>
        <w:pStyle w:val="FootnoteText"/>
        <w:ind w:left="810" w:right="1210" w:firstLine="0"/>
      </w:pPr>
      <w:r>
        <w:rPr>
          <w:rStyle w:val="FootnoteReference"/>
        </w:rPr>
        <w:footnoteRef/>
      </w:r>
      <w:r>
        <w:t xml:space="preserve"> </w:t>
      </w:r>
      <w:r>
        <w:rPr>
          <w:lang w:val="en-US"/>
        </w:rPr>
        <w:t xml:space="preserve">Markku Heiskanen - Minna Piispa: Usko, toivi, hakkaus </w:t>
      </w:r>
      <w:r>
        <w:t>("Вера, надежда, побои"), опубликовано в 1998 году.</w:t>
      </w:r>
      <w:r>
        <w:rPr>
          <w:lang w:val="en-US"/>
        </w:rPr>
        <w:t xml:space="preserve"> </w:t>
      </w:r>
    </w:p>
  </w:footnote>
  <w:footnote w:id="6">
    <w:p w:rsidR="00000000" w:rsidRDefault="00000000">
      <w:pPr>
        <w:pStyle w:val="FootnoteText"/>
        <w:ind w:left="810" w:right="1210" w:firstLine="0"/>
      </w:pPr>
      <w:r>
        <w:rPr>
          <w:rStyle w:val="FootnoteReference"/>
        </w:rPr>
        <w:footnoteRef/>
      </w:r>
      <w:r>
        <w:t xml:space="preserve"> </w:t>
      </w:r>
      <w:r>
        <w:rPr>
          <w:lang w:val="en-US"/>
        </w:rPr>
        <w:t>Markku Heiskanen - Minna Piispa: The Price of Violence. The Costs of men's violence against Women in Finland (Цена насилия. Расходы в связи с насилием со стороны мужчин в отношении женщин в Финляндии). Опубликовано в 2001 году.</w:t>
      </w:r>
    </w:p>
  </w:footnote>
  <w:footnote w:id="7">
    <w:p w:rsidR="00000000" w:rsidRDefault="00000000">
      <w:pPr>
        <w:pStyle w:val="FootnoteText"/>
        <w:ind w:left="810" w:right="1210" w:firstLine="0"/>
      </w:pPr>
      <w:r>
        <w:rPr>
          <w:rStyle w:val="FootnoteReference"/>
        </w:rPr>
        <w:footnoteRef/>
      </w:r>
      <w:r>
        <w:t xml:space="preserve"> </w:t>
      </w:r>
      <w:r>
        <w:rPr>
          <w:lang w:val="en-US"/>
        </w:rPr>
        <w:t xml:space="preserve">Päivi Honkatukia: "Ilmoitti tulleensa raiskatuksi" </w:t>
      </w:r>
      <w:r>
        <w:t>("Сообщили об изнасиловании. Исследование случаев изнасилования, доведенных до сведения полиции в 1998 году"). Опубликовано в 2001 году.</w:t>
      </w:r>
    </w:p>
  </w:footnote>
  <w:footnote w:id="8">
    <w:p w:rsidR="00000000" w:rsidRDefault="00000000">
      <w:pPr>
        <w:pStyle w:val="FootnoteText"/>
        <w:tabs>
          <w:tab w:val="clear" w:pos="418"/>
        </w:tabs>
        <w:ind w:left="810" w:right="1210" w:firstLine="0"/>
      </w:pPr>
      <w:r>
        <w:rPr>
          <w:rStyle w:val="FootnoteReference"/>
        </w:rPr>
        <w:footnoteRef/>
      </w:r>
      <w:r>
        <w:t xml:space="preserve"> </w:t>
      </w:r>
      <w:r>
        <w:rPr>
          <w:lang w:val="en-US"/>
        </w:rPr>
        <w:t>Sinikka Ikäläinen - Taina Martiskainen - Maritta Törrönen: Mangopuum juurelta kuusen Katveeseen - asiakkaana maahanmuuttajaperhe</w:t>
      </w:r>
      <w:r>
        <w:t>. Опубликовано в 2003 году.</w:t>
      </w:r>
    </w:p>
  </w:footnote>
  <w:footnote w:id="9">
    <w:p w:rsidR="00000000" w:rsidRDefault="00000000">
      <w:pPr>
        <w:spacing w:after="120"/>
        <w:ind w:left="810" w:right="1210"/>
        <w:rPr>
          <w:sz w:val="17"/>
        </w:rPr>
      </w:pPr>
      <w:r>
        <w:rPr>
          <w:rStyle w:val="FootnoteReference"/>
          <w:sz w:val="17"/>
        </w:rPr>
        <w:footnoteRef/>
      </w:r>
      <w:r>
        <w:rPr>
          <w:sz w:val="17"/>
        </w:rPr>
        <w:t xml:space="preserve"> </w:t>
      </w:r>
      <w:r>
        <w:rPr>
          <w:sz w:val="17"/>
        </w:rPr>
        <w:tab/>
        <w:t>Jukka Kumpuvuori - Marika Högbacka: Vammaisten henkilöiden ihmisoikeudet Suomessa ("Human Rights of the Disabled in Finland"). Åbo Akademi, 2003.</w:t>
      </w:r>
    </w:p>
  </w:footnote>
  <w:footnote w:id="10">
    <w:p w:rsidR="00000000" w:rsidRDefault="00000000">
      <w:pPr>
        <w:spacing w:after="120"/>
        <w:ind w:left="810" w:right="1210"/>
        <w:rPr>
          <w:sz w:val="17"/>
        </w:rPr>
      </w:pPr>
      <w:r>
        <w:rPr>
          <w:rStyle w:val="FootnoteReference"/>
          <w:sz w:val="17"/>
        </w:rPr>
        <w:footnoteRef/>
      </w:r>
      <w:r>
        <w:rPr>
          <w:sz w:val="17"/>
        </w:rPr>
        <w:t xml:space="preserve"> </w:t>
      </w:r>
      <w:r>
        <w:rPr>
          <w:sz w:val="17"/>
        </w:rPr>
        <w:tab/>
        <w:t>Vammaispalvelut kunnissa - vammaispalvelulain mukaisten palvelujen ja taloudellisten tukitoimien asiakkaat ja kustannukset kunnissa. Опубликован в 2001 году.</w:t>
      </w:r>
    </w:p>
  </w:footnote>
  <w:footnote w:id="11">
    <w:p w:rsidR="00000000" w:rsidRDefault="00000000">
      <w:pPr>
        <w:spacing w:after="120"/>
        <w:ind w:left="335" w:firstLine="475"/>
        <w:rPr>
          <w:sz w:val="17"/>
        </w:rPr>
      </w:pPr>
      <w:r>
        <w:rPr>
          <w:rStyle w:val="FootnoteReference"/>
          <w:sz w:val="17"/>
        </w:rPr>
        <w:footnoteRef/>
      </w:r>
      <w:r>
        <w:rPr>
          <w:spacing w:val="5"/>
          <w:w w:val="104"/>
          <w:sz w:val="17"/>
        </w:rPr>
        <w:t xml:space="preserve"> </w:t>
      </w:r>
      <w:r>
        <w:rPr>
          <w:sz w:val="17"/>
        </w:rPr>
        <w:t xml:space="preserve"> Меморандум Рабочей группы 2003:5.</w:t>
      </w:r>
    </w:p>
  </w:footnote>
  <w:footnote w:id="12">
    <w:p w:rsidR="00000000" w:rsidRDefault="00000000">
      <w:pPr>
        <w:spacing w:after="120"/>
        <w:ind w:left="335" w:firstLine="475"/>
        <w:rPr>
          <w:sz w:val="17"/>
        </w:rPr>
      </w:pPr>
      <w:r>
        <w:rPr>
          <w:rStyle w:val="FootnoteReference"/>
          <w:sz w:val="17"/>
        </w:rPr>
        <w:footnoteRef/>
      </w:r>
      <w:r>
        <w:rPr>
          <w:sz w:val="17"/>
        </w:rPr>
        <w:t xml:space="preserve"> Публикации министерства социальных дел и здравоохранения 2003:10.</w:t>
      </w:r>
    </w:p>
  </w:footnote>
  <w:footnote w:id="13">
    <w:p w:rsidR="00000000" w:rsidRDefault="00000000">
      <w:pPr>
        <w:pStyle w:val="FootnoteText"/>
        <w:tabs>
          <w:tab w:val="clear" w:pos="418"/>
        </w:tabs>
        <w:ind w:left="810" w:right="1210" w:firstLine="0"/>
      </w:pPr>
      <w:r>
        <w:rPr>
          <w:rStyle w:val="FootnoteReference"/>
        </w:rPr>
        <w:footnoteRef/>
      </w:r>
      <w:r>
        <w:t xml:space="preserve"> "От планов к действиям". Доклад Омбудсмена по вопросам равноправия о планировании мероприятий по обеспечению равенства на рабочих местах в Финляндии. Управление Омбудсмена по вопросам равноправия, министерство социальных дел и здравоохранения. Брошюры 2003:1 о равенстве.</w:t>
      </w:r>
    </w:p>
  </w:footnote>
  <w:footnote w:id="14">
    <w:p w:rsidR="00000000" w:rsidRDefault="00000000">
      <w:pPr>
        <w:pStyle w:val="FootnoteText"/>
        <w:tabs>
          <w:tab w:val="clear" w:pos="418"/>
        </w:tabs>
        <w:ind w:left="810" w:right="1210" w:firstLine="0"/>
      </w:pPr>
      <w:r>
        <w:rPr>
          <w:rStyle w:val="FootnoteReference"/>
        </w:rPr>
        <w:footnoteRef/>
      </w:r>
      <w:r>
        <w:t xml:space="preserve"> Брошюры 2000:1 о равенстве.</w:t>
      </w:r>
    </w:p>
  </w:footnote>
  <w:footnote w:id="15">
    <w:p w:rsidR="00000000" w:rsidRDefault="00000000">
      <w:pPr>
        <w:pStyle w:val="FootnoteText"/>
        <w:tabs>
          <w:tab w:val="clear" w:pos="418"/>
        </w:tabs>
        <w:ind w:left="810" w:right="1210" w:firstLine="0"/>
        <w:rPr>
          <w:lang w:val="en-US"/>
        </w:rPr>
      </w:pPr>
      <w:r>
        <w:rPr>
          <w:rStyle w:val="FootnoteReference"/>
        </w:rPr>
        <w:footnoteRef/>
      </w:r>
      <w:r>
        <w:t xml:space="preserve"> </w:t>
      </w:r>
      <w:r>
        <w:rPr>
          <w:lang w:val="en-US"/>
        </w:rPr>
        <w:t>www.mosaiikki.org.</w:t>
      </w:r>
    </w:p>
  </w:footnote>
  <w:footnote w:id="16">
    <w:p w:rsidR="00000000" w:rsidRDefault="00000000">
      <w:pPr>
        <w:pStyle w:val="FootnoteText"/>
        <w:tabs>
          <w:tab w:val="clear" w:pos="418"/>
        </w:tabs>
        <w:ind w:left="720" w:right="1210" w:firstLine="0"/>
      </w:pPr>
      <w:r>
        <w:rPr>
          <w:rStyle w:val="FootnoteReference"/>
        </w:rPr>
        <w:footnoteRef/>
      </w:r>
      <w:r>
        <w:t xml:space="preserve"> Элина Хаавио-Маннила - Осмо Контула: "Предложения сексуального характера, сексуальные посягательства и проституция". </w:t>
      </w:r>
      <w:r>
        <w:rPr>
          <w:lang w:val="en-US"/>
        </w:rPr>
        <w:t>In book: Suomalainen seksi: Tietoa suomalaisten sukupuolielämän muutoksesta (Eds. Osmo Kontula and Elina Haavio-Mannila). Published in 1993, pp.311-342.</w:t>
      </w:r>
    </w:p>
  </w:footnote>
  <w:footnote w:id="17">
    <w:p w:rsidR="00000000" w:rsidRDefault="00000000">
      <w:pPr>
        <w:pStyle w:val="FootnoteText"/>
        <w:tabs>
          <w:tab w:val="clear" w:pos="418"/>
        </w:tabs>
        <w:ind w:left="810" w:right="1210" w:firstLine="0"/>
      </w:pPr>
      <w:r>
        <w:rPr>
          <w:rStyle w:val="FootnoteReference"/>
        </w:rPr>
        <w:footnoteRef/>
      </w:r>
      <w:r>
        <w:t xml:space="preserve"> Соответствующие положения прецедентного права см. в постановлениях Суда по трудовым вопросам № 7-10/2002, приложение 7.</w:t>
      </w:r>
    </w:p>
  </w:footnote>
  <w:footnote w:id="18">
    <w:p w:rsidR="00000000" w:rsidRDefault="00000000">
      <w:pPr>
        <w:pStyle w:val="FootnoteText"/>
        <w:tabs>
          <w:tab w:val="clear" w:pos="418"/>
        </w:tabs>
        <w:ind w:left="1170" w:hanging="360"/>
      </w:pPr>
      <w:r>
        <w:rPr>
          <w:rStyle w:val="FootnoteReference"/>
        </w:rPr>
        <w:footnoteRef/>
      </w:r>
      <w:r>
        <w:t xml:space="preserve"> Публикация министерства социальных дел и здравоохранения за март 2002 года.</w:t>
      </w:r>
    </w:p>
  </w:footnote>
  <w:footnote w:id="19">
    <w:p w:rsidR="00000000" w:rsidRDefault="00000000">
      <w:pPr>
        <w:pStyle w:val="FootnoteText"/>
        <w:tabs>
          <w:tab w:val="clear" w:pos="418"/>
        </w:tabs>
        <w:ind w:left="1440" w:hanging="630"/>
      </w:pPr>
      <w:r>
        <w:rPr>
          <w:rStyle w:val="FootnoteReference"/>
        </w:rPr>
        <w:footnoteRef/>
      </w:r>
      <w:r>
        <w:t xml:space="preserve"> Министерство социальных дел и здравоохранения, меморандум Рабочей группы, июль 2003 года.</w:t>
      </w:r>
    </w:p>
  </w:footnote>
  <w:footnote w:id="20">
    <w:p w:rsidR="00000000" w:rsidRDefault="00000000">
      <w:pPr>
        <w:pStyle w:val="FootnoteText"/>
        <w:tabs>
          <w:tab w:val="clear" w:pos="418"/>
        </w:tabs>
        <w:ind w:left="810" w:right="1210" w:firstLine="0"/>
      </w:pPr>
      <w:r>
        <w:rPr>
          <w:rStyle w:val="FootnoteReference"/>
        </w:rPr>
        <w:footnoteRef/>
      </w:r>
      <w:r>
        <w:t xml:space="preserve"> Более подробную статистическую информацию см. "Женщины и мужчины в Финляндии, 2003 год", приложение 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CEDAW/C/PRK/1</w:t>
                      </w:r>
                    </w:p>
                  </w:tc>
                  <w:tc>
                    <w:tcPr>
                      <w:tcW w:w="5047"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CEDAWP/C/PRK/1</w:t>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000000">
      <w:tblPrEx>
        <w:tblCellMar>
          <w:top w:w="0" w:type="dxa"/>
          <w:left w:w="0" w:type="dxa"/>
          <w:bottom w:w="0" w:type="dxa"/>
          <w:right w:w="0" w:type="dxa"/>
        </w:tblCellMar>
      </w:tblPrEx>
      <w:trPr>
        <w:cantSplit/>
        <w:trHeight w:hRule="exact" w:val="864"/>
      </w:trPr>
      <w:tc>
        <w:tcPr>
          <w:tcW w:w="4421" w:type="dxa"/>
          <w:gridSpan w:val="2"/>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Организация Объединенных Наций</w:t>
          </w:r>
        </w:p>
      </w:tc>
      <w:tc>
        <w:tcPr>
          <w:tcW w:w="245" w:type="dxa"/>
          <w:tcBorders>
            <w:top w:val="nil"/>
            <w:left w:val="nil"/>
            <w:bottom w:val="nil"/>
            <w:right w:val="nil"/>
          </w:tcBorders>
          <w:vAlign w:val="bottom"/>
        </w:tcPr>
        <w:p w:rsidR="00000000" w:rsidRDefault="00000000">
          <w:pPr>
            <w:pStyle w:val="Header"/>
            <w:spacing w:after="120"/>
          </w:pPr>
        </w:p>
      </w:tc>
      <w:tc>
        <w:tcPr>
          <w:tcW w:w="5213" w:type="dxa"/>
          <w:gridSpan w:val="3"/>
          <w:tcBorders>
            <w:top w:val="nil"/>
            <w:left w:val="nil"/>
            <w:bottom w:val="nil"/>
            <w:right w:val="nil"/>
          </w:tcBorders>
          <w:vAlign w:val="bottom"/>
        </w:tcPr>
        <w:p w:rsidR="00000000" w:rsidRDefault="00000000">
          <w:pPr>
            <w:pStyle w:val="Header"/>
            <w:spacing w:after="20"/>
            <w:jc w:val="right"/>
            <w:rPr>
              <w:sz w:val="20"/>
            </w:rPr>
          </w:pPr>
          <w:r>
            <w:rPr>
              <w:sz w:val="40"/>
            </w:rPr>
            <w:t>CEDAW</w:t>
          </w:r>
          <w:r>
            <w:rPr>
              <w:sz w:val="20"/>
            </w:rPr>
            <w:t>/C/FIN/5</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rPr>
              <w:lang w:val="en-US"/>
            </w:rPr>
          </w:pPr>
          <w:r>
            <w:rPr>
              <w:lang w:val="en-US"/>
            </w:rPr>
            <w:t>Distr.: General</w:t>
          </w:r>
        </w:p>
        <w:p w:rsidR="00000000" w:rsidRDefault="00000000">
          <w:pPr>
            <w:rPr>
              <w:lang w:val="en-US"/>
            </w:rPr>
          </w:pPr>
          <w:r>
            <w:rPr>
              <w:lang w:val="en-US"/>
            </w:rPr>
            <w:t>26 February 2004</w:t>
          </w:r>
        </w:p>
        <w:p w:rsidR="00000000" w:rsidRDefault="00000000">
          <w:pPr>
            <w:rPr>
              <w:lang w:val="en-US"/>
            </w:rPr>
          </w:pPr>
          <w:r>
            <w:rPr>
              <w:lang w:val="en-US"/>
            </w:rPr>
            <w:t>Russian</w:t>
          </w:r>
        </w:p>
        <w:p w:rsidR="00000000" w:rsidRDefault="00000000">
          <w:pPr>
            <w:rPr>
              <w:lang w:val="en-US"/>
            </w:rPr>
          </w:pPr>
          <w:r>
            <w:rPr>
              <w:lang w:val="en-US"/>
            </w:rPr>
            <w:t>Original: English</w:t>
          </w:r>
        </w:p>
      </w:tc>
    </w:tr>
  </w:tbl>
  <w:p w:rsidR="00000000" w:rsidRDefault="00000000">
    <w:pPr>
      <w:pStyle w:val="Header"/>
      <w:spacing w:line="20" w:lineRule="exact"/>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68" type="#_x0000_t202" style="position:absolute;margin-left:-5.75pt;margin-top:0;width:7in;height:50.4pt;z-index:4;mso-position-horizontal:absolute;mso-position-horizontal-relative:text;mso-position-vertical:absolute;mso-position-vertical-relative:text" o:allowincell="f" stroked="f">
          <v:textbox style="mso-next-textbox:#_x0000_s1068;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CEDAW/C/FIN</w:t>
                      </w:r>
                      <w:r>
                        <w:rPr>
                          <w:b/>
                          <w:noProof w:val="0"/>
                          <w:lang w:val="en-US"/>
                        </w:rPr>
                        <w:t>/5</w:t>
                      </w:r>
                    </w:p>
                  </w:tc>
                  <w:tc>
                    <w:tcPr>
                      <w:tcW w:w="5047" w:type="dxa"/>
                      <w:vAlign w:val="bottom"/>
                    </w:tcPr>
                    <w:p w:rsidR="00000000" w:rsidRDefault="00000000">
                      <w:pPr>
                        <w:pStyle w:val="Header"/>
                      </w:pPr>
                    </w:p>
                  </w:tc>
                </w:tr>
              </w:tbl>
              <w:p w:rsidR="00000000" w:rsidRDefault="00000000">
                <w:pPr>
                  <w:rPr>
                    <w:lang w:val="en-US"/>
                  </w:rPr>
                </w:pPr>
              </w:p>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67" type="#_x0000_t202" style="position:absolute;margin-left:-5.75pt;margin-top:0;width:7in;height:50.4pt;z-index:3;mso-position-horizontal:absolute;mso-position-horizontal-relative:text;mso-position-vertical:absolute;mso-position-vertical-relative:text" o:allowincell="f" stroked="f">
          <v:textbox style="mso-next-textbox:#_x0000_s1067;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CEDAW/C/FIN/5</w:t>
                      </w:r>
                    </w:p>
                  </w:tc>
                </w:tr>
              </w:tbl>
              <w:p w:rsidR="00000000" w:rsidRDefault="00000000">
                <w:pPr>
                  <w:rPr>
                    <w:lang w:val="en-US"/>
                  </w:rPr>
                </w:pPr>
              </w:p>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0"/>
    <w:multiLevelType w:val="singleLevel"/>
    <w:tmpl w:val="7EA4CB7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CF65F6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49E7B2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EAC24B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9">
    <w:nsid w:val="FFFFFF89"/>
    <w:multiLevelType w:val="singleLevel"/>
    <w:tmpl w:val="C77429B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9D24B9"/>
    <w:multiLevelType w:val="multilevel"/>
    <w:tmpl w:val="298AFE0A"/>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1">
    <w:nsid w:val="01164C87"/>
    <w:multiLevelType w:val="multilevel"/>
    <w:tmpl w:val="5C3AAD5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02343421"/>
    <w:multiLevelType w:val="multilevel"/>
    <w:tmpl w:val="115401C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nsid w:val="027D3769"/>
    <w:multiLevelType w:val="multilevel"/>
    <w:tmpl w:val="CC928E0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02E24E31"/>
    <w:multiLevelType w:val="singleLevel"/>
    <w:tmpl w:val="D7F69D26"/>
    <w:lvl w:ilvl="0">
      <w:start w:val="12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5">
    <w:nsid w:val="03730693"/>
    <w:multiLevelType w:val="multilevel"/>
    <w:tmpl w:val="AB94B7F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
    <w:nsid w:val="049045B1"/>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17">
    <w:nsid w:val="04E0240B"/>
    <w:multiLevelType w:val="multilevel"/>
    <w:tmpl w:val="E7867B74"/>
    <w:lvl w:ilvl="0">
      <w:start w:val="1"/>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nsid w:val="050F3CC7"/>
    <w:multiLevelType w:val="singleLevel"/>
    <w:tmpl w:val="A66E3956"/>
    <w:lvl w:ilvl="0">
      <w:start w:val="2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9">
    <w:nsid w:val="05D277B5"/>
    <w:multiLevelType w:val="singleLevel"/>
    <w:tmpl w:val="73A052C4"/>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0">
    <w:nsid w:val="079353C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1">
    <w:nsid w:val="079D4461"/>
    <w:multiLevelType w:val="multilevel"/>
    <w:tmpl w:val="9CC47DB8"/>
    <w:lvl w:ilvl="0">
      <w:start w:val="4"/>
      <w:numFmt w:val="decimal"/>
      <w:lvlText w:val="%1."/>
      <w:lvlJc w:val="left"/>
      <w:pPr>
        <w:tabs>
          <w:tab w:val="num" w:pos="648"/>
        </w:tabs>
        <w:ind w:left="648" w:hanging="360"/>
      </w:pPr>
      <w:rPr>
        <w:rFonts w:hint="default"/>
      </w:rPr>
    </w:lvl>
    <w:lvl w:ilvl="1">
      <w:start w:val="15"/>
      <w:numFmt w:val="decimal"/>
      <w:lvlText w:val="%2."/>
      <w:lvlJc w:val="left"/>
      <w:pPr>
        <w:tabs>
          <w:tab w:val="num" w:pos="1650"/>
        </w:tabs>
        <w:ind w:left="1650" w:hanging="57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
    <w:nsid w:val="083516E1"/>
    <w:multiLevelType w:val="singleLevel"/>
    <w:tmpl w:val="C512EEFE"/>
    <w:lvl w:ilvl="0">
      <w:start w:val="10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3">
    <w:nsid w:val="088631BE"/>
    <w:multiLevelType w:val="multilevel"/>
    <w:tmpl w:val="0D9A0D9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
    <w:nsid w:val="08BA78F5"/>
    <w:multiLevelType w:val="singleLevel"/>
    <w:tmpl w:val="F938A33E"/>
    <w:lvl w:ilvl="0">
      <w:numFmt w:val="bullet"/>
      <w:lvlText w:val="-"/>
      <w:lvlJc w:val="left"/>
      <w:pPr>
        <w:tabs>
          <w:tab w:val="num" w:pos="360"/>
        </w:tabs>
        <w:ind w:left="360" w:hanging="360"/>
      </w:pPr>
      <w:rPr>
        <w:rFonts w:hint="default"/>
      </w:rPr>
    </w:lvl>
  </w:abstractNum>
  <w:abstractNum w:abstractNumId="25">
    <w:nsid w:val="08ED184A"/>
    <w:multiLevelType w:val="multilevel"/>
    <w:tmpl w:val="F21806B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
    <w:nsid w:val="09442782"/>
    <w:multiLevelType w:val="multilevel"/>
    <w:tmpl w:val="D6E8252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
    <w:nsid w:val="094D0262"/>
    <w:multiLevelType w:val="multilevel"/>
    <w:tmpl w:val="4CA0EC2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
    <w:nsid w:val="095F36C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9">
    <w:nsid w:val="09E53D0E"/>
    <w:multiLevelType w:val="singleLevel"/>
    <w:tmpl w:val="F3E88FB4"/>
    <w:lvl w:ilvl="0">
      <w:start w:val="1"/>
      <w:numFmt w:val="decimal"/>
      <w:lvlText w:val="%1."/>
      <w:lvlJc w:val="left"/>
      <w:pPr>
        <w:tabs>
          <w:tab w:val="num" w:pos="648"/>
        </w:tabs>
        <w:ind w:left="288" w:firstLine="0"/>
      </w:pPr>
      <w:rPr>
        <w:b w:val="0"/>
        <w:i w:val="0"/>
        <w:u w:val="none"/>
      </w:rPr>
    </w:lvl>
  </w:abstractNum>
  <w:abstractNum w:abstractNumId="30">
    <w:nsid w:val="0AC300E8"/>
    <w:multiLevelType w:val="multilevel"/>
    <w:tmpl w:val="F5708BB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
    <w:nsid w:val="0AD36232"/>
    <w:multiLevelType w:val="singleLevel"/>
    <w:tmpl w:val="0409000F"/>
    <w:lvl w:ilvl="0">
      <w:start w:val="1"/>
      <w:numFmt w:val="decimal"/>
      <w:lvlText w:val="%1."/>
      <w:lvlJc w:val="left"/>
      <w:pPr>
        <w:tabs>
          <w:tab w:val="num" w:pos="360"/>
        </w:tabs>
        <w:ind w:left="360" w:hanging="360"/>
      </w:pPr>
      <w:rPr>
        <w:rFonts w:hint="default"/>
        <w:u w:val="none"/>
      </w:rPr>
    </w:lvl>
  </w:abstractNum>
  <w:abstractNum w:abstractNumId="32">
    <w:nsid w:val="0B34795E"/>
    <w:multiLevelType w:val="multilevel"/>
    <w:tmpl w:val="CD20BCE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3">
    <w:nsid w:val="0B58528F"/>
    <w:multiLevelType w:val="singleLevel"/>
    <w:tmpl w:val="06404212"/>
    <w:lvl w:ilvl="0">
      <w:start w:val="1"/>
      <w:numFmt w:val="low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34">
    <w:nsid w:val="0BED3C9D"/>
    <w:multiLevelType w:val="singleLevel"/>
    <w:tmpl w:val="04090015"/>
    <w:lvl w:ilvl="0">
      <w:start w:val="1"/>
      <w:numFmt w:val="upperLetter"/>
      <w:lvlText w:val="%1."/>
      <w:lvlJc w:val="left"/>
      <w:pPr>
        <w:tabs>
          <w:tab w:val="num" w:pos="360"/>
        </w:tabs>
        <w:ind w:left="360" w:hanging="360"/>
      </w:pPr>
      <w:rPr>
        <w:rFonts w:hint="default"/>
        <w:u w:val="none"/>
      </w:rPr>
    </w:lvl>
  </w:abstractNum>
  <w:abstractNum w:abstractNumId="35">
    <w:nsid w:val="0C55490E"/>
    <w:multiLevelType w:val="singleLevel"/>
    <w:tmpl w:val="F938A33E"/>
    <w:lvl w:ilvl="0">
      <w:numFmt w:val="bullet"/>
      <w:lvlText w:val="-"/>
      <w:lvlJc w:val="left"/>
      <w:pPr>
        <w:tabs>
          <w:tab w:val="num" w:pos="360"/>
        </w:tabs>
        <w:ind w:left="360" w:hanging="360"/>
      </w:pPr>
      <w:rPr>
        <w:rFonts w:hint="default"/>
      </w:rPr>
    </w:lvl>
  </w:abstractNum>
  <w:abstractNum w:abstractNumId="36">
    <w:nsid w:val="0CDD30F1"/>
    <w:multiLevelType w:val="singleLevel"/>
    <w:tmpl w:val="718229E6"/>
    <w:lvl w:ilvl="0">
      <w:start w:val="11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7">
    <w:nsid w:val="0E701DA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8">
    <w:nsid w:val="0F4C15DE"/>
    <w:multiLevelType w:val="singleLevel"/>
    <w:tmpl w:val="109A2530"/>
    <w:lvl w:ilvl="0">
      <w:start w:val="1"/>
      <w:numFmt w:val="decimal"/>
      <w:lvlText w:val=""/>
      <w:lvlJc w:val="left"/>
      <w:pPr>
        <w:tabs>
          <w:tab w:val="num" w:pos="648"/>
        </w:tabs>
        <w:ind w:left="648" w:hanging="360"/>
      </w:pPr>
      <w:rPr>
        <w:rFonts w:hint="default"/>
        <w:u w:val="none"/>
      </w:rPr>
    </w:lvl>
  </w:abstractNum>
  <w:abstractNum w:abstractNumId="39">
    <w:nsid w:val="0F887454"/>
    <w:multiLevelType w:val="multilevel"/>
    <w:tmpl w:val="F124AC4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0">
    <w:nsid w:val="100A00FF"/>
    <w:multiLevelType w:val="multilevel"/>
    <w:tmpl w:val="D2A6B9B6"/>
    <w:lvl w:ilvl="0">
      <w:start w:val="1"/>
      <w:numFmt w:val="lowerLetter"/>
      <w:lvlText w:val="%1)"/>
      <w:lvlJc w:val="left"/>
      <w:pPr>
        <w:tabs>
          <w:tab w:val="num" w:pos="2232"/>
        </w:tabs>
        <w:ind w:left="2232" w:hanging="432"/>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1">
    <w:nsid w:val="106D698C"/>
    <w:multiLevelType w:val="singleLevel"/>
    <w:tmpl w:val="557CFEA4"/>
    <w:lvl w:ilvl="0">
      <w:start w:val="1"/>
      <w:numFmt w:val="upperLetter"/>
      <w:pStyle w:val="Heading9"/>
      <w:lvlText w:val="%1."/>
      <w:lvlJc w:val="left"/>
      <w:pPr>
        <w:tabs>
          <w:tab w:val="num" w:pos="648"/>
        </w:tabs>
        <w:ind w:left="648" w:hanging="360"/>
      </w:pPr>
      <w:rPr>
        <w:rFonts w:hint="default"/>
      </w:rPr>
    </w:lvl>
  </w:abstractNum>
  <w:abstractNum w:abstractNumId="42">
    <w:nsid w:val="10C62EC4"/>
    <w:multiLevelType w:val="multilevel"/>
    <w:tmpl w:val="63A04C9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3">
    <w:nsid w:val="10C8709E"/>
    <w:multiLevelType w:val="singleLevel"/>
    <w:tmpl w:val="E556B404"/>
    <w:lvl w:ilvl="0">
      <w:start w:val="1"/>
      <w:numFmt w:val="decimal"/>
      <w:lvlText w:val="%1."/>
      <w:lvlJc w:val="left"/>
      <w:pPr>
        <w:tabs>
          <w:tab w:val="num" w:pos="648"/>
        </w:tabs>
        <w:ind w:left="288" w:firstLine="0"/>
      </w:pPr>
    </w:lvl>
  </w:abstractNum>
  <w:abstractNum w:abstractNumId="44">
    <w:nsid w:val="10DC72C6"/>
    <w:multiLevelType w:val="multilevel"/>
    <w:tmpl w:val="C024C23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5">
    <w:nsid w:val="1116192F"/>
    <w:multiLevelType w:val="singleLevel"/>
    <w:tmpl w:val="2900679C"/>
    <w:lvl w:ilvl="0">
      <w:start w:val="1"/>
      <w:numFmt w:val="bullet"/>
      <w:lvlText w:val="-"/>
      <w:lvlJc w:val="left"/>
      <w:pPr>
        <w:tabs>
          <w:tab w:val="num" w:pos="720"/>
        </w:tabs>
        <w:ind w:left="720" w:hanging="720"/>
      </w:pPr>
      <w:rPr>
        <w:rFonts w:ascii="Times New Roman" w:hAnsi="Times New Roman" w:hint="default"/>
        <w:b w:val="0"/>
        <w:i w:val="0"/>
        <w:sz w:val="28"/>
      </w:rPr>
    </w:lvl>
  </w:abstractNum>
  <w:abstractNum w:abstractNumId="46">
    <w:nsid w:val="111D3FD8"/>
    <w:multiLevelType w:val="multilevel"/>
    <w:tmpl w:val="E29651E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7">
    <w:nsid w:val="118A1F22"/>
    <w:multiLevelType w:val="singleLevel"/>
    <w:tmpl w:val="99BEB8D8"/>
    <w:lvl w:ilvl="0">
      <w:start w:val="1"/>
      <w:numFmt w:val="decimal"/>
      <w:lvlText w:val="%1. "/>
      <w:legacy w:legacy="1" w:legacySpace="0" w:legacyIndent="283"/>
      <w:lvlJc w:val="left"/>
      <w:pPr>
        <w:ind w:left="2443" w:hanging="283"/>
      </w:pPr>
      <w:rPr>
        <w:rFonts w:ascii="Times New Roman" w:hAnsi="Times New Roman" w:hint="default"/>
        <w:b w:val="0"/>
        <w:i w:val="0"/>
        <w:sz w:val="28"/>
        <w:u w:val="none"/>
      </w:rPr>
    </w:lvl>
  </w:abstractNum>
  <w:abstractNum w:abstractNumId="48">
    <w:nsid w:val="118B36AE"/>
    <w:multiLevelType w:val="singleLevel"/>
    <w:tmpl w:val="C00C142A"/>
    <w:lvl w:ilvl="0">
      <w:start w:val="5"/>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49">
    <w:nsid w:val="1199519C"/>
    <w:multiLevelType w:val="multilevel"/>
    <w:tmpl w:val="C6DA0EA6"/>
    <w:lvl w:ilvl="0">
      <w:start w:val="5"/>
      <w:numFmt w:val="lowerLetter"/>
      <w:lvlText w:val="%1)"/>
      <w:lvlJc w:val="left"/>
      <w:pPr>
        <w:tabs>
          <w:tab w:val="num" w:pos="144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50">
    <w:nsid w:val="11E35EE0"/>
    <w:multiLevelType w:val="singleLevel"/>
    <w:tmpl w:val="2A44CA10"/>
    <w:lvl w:ilvl="0">
      <w:start w:val="3"/>
      <w:numFmt w:val="upp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51">
    <w:nsid w:val="12127882"/>
    <w:multiLevelType w:val="multilevel"/>
    <w:tmpl w:val="EF62034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2">
    <w:nsid w:val="125327D3"/>
    <w:multiLevelType w:val="singleLevel"/>
    <w:tmpl w:val="1B46C1EE"/>
    <w:lvl w:ilvl="0">
      <w:start w:val="6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3">
    <w:nsid w:val="128815FA"/>
    <w:multiLevelType w:val="singleLevel"/>
    <w:tmpl w:val="A78A0C26"/>
    <w:lvl w:ilvl="0">
      <w:start w:val="7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4">
    <w:nsid w:val="133757B8"/>
    <w:multiLevelType w:val="singleLevel"/>
    <w:tmpl w:val="04190005"/>
    <w:lvl w:ilvl="0">
      <w:start w:val="1"/>
      <w:numFmt w:val="bullet"/>
      <w:lvlText w:val=""/>
      <w:lvlJc w:val="left"/>
      <w:pPr>
        <w:tabs>
          <w:tab w:val="num" w:pos="360"/>
        </w:tabs>
        <w:ind w:left="360" w:hanging="360"/>
      </w:pPr>
      <w:rPr>
        <w:rFonts w:ascii="Wingdings" w:hAnsi="Wingdings" w:hint="default"/>
      </w:rPr>
    </w:lvl>
  </w:abstractNum>
  <w:abstractNum w:abstractNumId="55">
    <w:nsid w:val="134157B2"/>
    <w:multiLevelType w:val="singleLevel"/>
    <w:tmpl w:val="00E6D9E8"/>
    <w:lvl w:ilvl="0">
      <w:start w:val="1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6">
    <w:nsid w:val="135420E0"/>
    <w:multiLevelType w:val="singleLevel"/>
    <w:tmpl w:val="05143C68"/>
    <w:lvl w:ilvl="0">
      <w:start w:val="43"/>
      <w:numFmt w:val="decimal"/>
      <w:lvlText w:val="%1."/>
      <w:lvlJc w:val="left"/>
      <w:pPr>
        <w:tabs>
          <w:tab w:val="num" w:pos="648"/>
        </w:tabs>
        <w:ind w:left="360" w:hanging="72"/>
      </w:pPr>
    </w:lvl>
  </w:abstractNum>
  <w:abstractNum w:abstractNumId="57">
    <w:nsid w:val="13C46E10"/>
    <w:multiLevelType w:val="singleLevel"/>
    <w:tmpl w:val="31064436"/>
    <w:lvl w:ilvl="0">
      <w:start w:val="6"/>
      <w:numFmt w:val="decimal"/>
      <w:lvlText w:val="%1. "/>
      <w:legacy w:legacy="1" w:legacySpace="0" w:legacyIndent="283"/>
      <w:lvlJc w:val="left"/>
      <w:pPr>
        <w:ind w:left="1003" w:hanging="283"/>
      </w:pPr>
      <w:rPr>
        <w:rFonts w:ascii="Times New Roman" w:hAnsi="Times New Roman" w:hint="default"/>
        <w:b w:val="0"/>
        <w:i w:val="0"/>
        <w:sz w:val="28"/>
        <w:u w:val="none"/>
      </w:rPr>
    </w:lvl>
  </w:abstractNum>
  <w:abstractNum w:abstractNumId="58">
    <w:nsid w:val="14CE4492"/>
    <w:multiLevelType w:val="multilevel"/>
    <w:tmpl w:val="8C762028"/>
    <w:lvl w:ilvl="0">
      <w:start w:val="1"/>
      <w:numFmt w:val="none"/>
      <w:lvlText w:val="1."/>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59">
    <w:nsid w:val="15BE5CC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0">
    <w:nsid w:val="15C8569C"/>
    <w:multiLevelType w:val="singleLevel"/>
    <w:tmpl w:val="D668047E"/>
    <w:lvl w:ilvl="0">
      <w:start w:val="3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1">
    <w:nsid w:val="15D36F16"/>
    <w:multiLevelType w:val="singleLevel"/>
    <w:tmpl w:val="0409000F"/>
    <w:lvl w:ilvl="0">
      <w:start w:val="1"/>
      <w:numFmt w:val="decimal"/>
      <w:lvlText w:val="%1."/>
      <w:lvlJc w:val="left"/>
      <w:pPr>
        <w:tabs>
          <w:tab w:val="num" w:pos="360"/>
        </w:tabs>
        <w:ind w:left="360" w:hanging="360"/>
      </w:pPr>
    </w:lvl>
  </w:abstractNum>
  <w:abstractNum w:abstractNumId="62">
    <w:nsid w:val="163053A7"/>
    <w:multiLevelType w:val="singleLevel"/>
    <w:tmpl w:val="CF301094"/>
    <w:lvl w:ilvl="0">
      <w:start w:val="5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3">
    <w:nsid w:val="165F63FD"/>
    <w:multiLevelType w:val="singleLevel"/>
    <w:tmpl w:val="7D92BA1A"/>
    <w:lvl w:ilvl="0">
      <w:start w:val="1"/>
      <w:numFmt w:val="lowerLetter"/>
      <w:lvlText w:val="(%1)"/>
      <w:lvlJc w:val="left"/>
      <w:pPr>
        <w:tabs>
          <w:tab w:val="num" w:pos="648"/>
        </w:tabs>
        <w:ind w:left="648" w:hanging="360"/>
      </w:pPr>
      <w:rPr>
        <w:rFonts w:hint="default"/>
      </w:rPr>
    </w:lvl>
  </w:abstractNum>
  <w:abstractNum w:abstractNumId="64">
    <w:nsid w:val="171115D5"/>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65">
    <w:nsid w:val="17A42F28"/>
    <w:multiLevelType w:val="singleLevel"/>
    <w:tmpl w:val="9622FACE"/>
    <w:lvl w:ilvl="0">
      <w:start w:val="12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6">
    <w:nsid w:val="18094EC5"/>
    <w:multiLevelType w:val="singleLevel"/>
    <w:tmpl w:val="0409000F"/>
    <w:lvl w:ilvl="0">
      <w:start w:val="1"/>
      <w:numFmt w:val="decimal"/>
      <w:lvlText w:val="%1."/>
      <w:lvlJc w:val="left"/>
      <w:pPr>
        <w:tabs>
          <w:tab w:val="num" w:pos="360"/>
        </w:tabs>
        <w:ind w:left="360" w:hanging="360"/>
      </w:pPr>
    </w:lvl>
  </w:abstractNum>
  <w:abstractNum w:abstractNumId="67">
    <w:nsid w:val="182620B7"/>
    <w:multiLevelType w:val="singleLevel"/>
    <w:tmpl w:val="89FCEDBA"/>
    <w:lvl w:ilvl="0">
      <w:start w:val="1"/>
      <w:numFmt w:val="decimal"/>
      <w:lvlText w:val="%1."/>
      <w:lvlJc w:val="left"/>
      <w:pPr>
        <w:tabs>
          <w:tab w:val="num" w:pos="1920"/>
        </w:tabs>
        <w:ind w:left="1920" w:hanging="480"/>
      </w:pPr>
      <w:rPr>
        <w:rFonts w:hint="default"/>
      </w:rPr>
    </w:lvl>
  </w:abstractNum>
  <w:abstractNum w:abstractNumId="68">
    <w:nsid w:val="185D6F33"/>
    <w:multiLevelType w:val="singleLevel"/>
    <w:tmpl w:val="7D6AE164"/>
    <w:lvl w:ilvl="0">
      <w:start w:val="7"/>
      <w:numFmt w:val="decimal"/>
      <w:lvlText w:val="%1."/>
      <w:lvlJc w:val="left"/>
      <w:pPr>
        <w:tabs>
          <w:tab w:val="num" w:pos="1170"/>
        </w:tabs>
        <w:ind w:left="1170" w:hanging="1170"/>
      </w:pPr>
      <w:rPr>
        <w:rFonts w:hint="default"/>
      </w:rPr>
    </w:lvl>
  </w:abstractNum>
  <w:abstractNum w:abstractNumId="69">
    <w:nsid w:val="186C1774"/>
    <w:multiLevelType w:val="singleLevel"/>
    <w:tmpl w:val="0A42F93E"/>
    <w:lvl w:ilvl="0">
      <w:start w:val="8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70">
    <w:nsid w:val="18844367"/>
    <w:multiLevelType w:val="multilevel"/>
    <w:tmpl w:val="19B477B0"/>
    <w:lvl w:ilvl="0">
      <w:start w:val="5"/>
      <w:numFmt w:val="lowerLetter"/>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1">
    <w:nsid w:val="18BB0421"/>
    <w:multiLevelType w:val="singleLevel"/>
    <w:tmpl w:val="18F4AD26"/>
    <w:lvl w:ilvl="0">
      <w:start w:val="5"/>
      <w:numFmt w:val="bullet"/>
      <w:lvlText w:val="-"/>
      <w:lvlJc w:val="left"/>
      <w:pPr>
        <w:tabs>
          <w:tab w:val="num" w:pos="720"/>
        </w:tabs>
        <w:ind w:left="720" w:hanging="720"/>
      </w:pPr>
      <w:rPr>
        <w:rFonts w:hint="default"/>
      </w:rPr>
    </w:lvl>
  </w:abstractNum>
  <w:abstractNum w:abstractNumId="72">
    <w:nsid w:val="18F51F60"/>
    <w:multiLevelType w:val="singleLevel"/>
    <w:tmpl w:val="7ED4004C"/>
    <w:lvl w:ilvl="0">
      <w:numFmt w:val="bullet"/>
      <w:lvlText w:val=""/>
      <w:lvlJc w:val="left"/>
      <w:pPr>
        <w:tabs>
          <w:tab w:val="num" w:pos="720"/>
        </w:tabs>
        <w:ind w:left="720" w:hanging="648"/>
      </w:pPr>
      <w:rPr>
        <w:rFonts w:ascii="Wingdings" w:hAnsi="Wingdings" w:hint="default"/>
      </w:rPr>
    </w:lvl>
  </w:abstractNum>
  <w:abstractNum w:abstractNumId="73">
    <w:nsid w:val="19325BF2"/>
    <w:multiLevelType w:val="multilevel"/>
    <w:tmpl w:val="595A630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4">
    <w:nsid w:val="19F62031"/>
    <w:multiLevelType w:val="singleLevel"/>
    <w:tmpl w:val="594AE0CC"/>
    <w:lvl w:ilvl="0">
      <w:start w:val="11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75">
    <w:nsid w:val="1AA90438"/>
    <w:multiLevelType w:val="multilevel"/>
    <w:tmpl w:val="90F47506"/>
    <w:lvl w:ilvl="0">
      <w:numFmt w:val="bullet"/>
      <w:lvlText w:val="-"/>
      <w:lvlJc w:val="left"/>
      <w:pPr>
        <w:tabs>
          <w:tab w:val="num" w:pos="630"/>
        </w:tabs>
        <w:ind w:left="630" w:hanging="360"/>
      </w:pPr>
      <w:rPr>
        <w:rFonts w:ascii="Times New Roman" w:eastAsia="Times New Roman" w:hAnsi="Times New Roman" w:cs="Times New Roman" w:hint="default"/>
      </w:rPr>
    </w:lvl>
    <w:lvl w:ilvl="1" w:tentative="1">
      <w:start w:val="1"/>
      <w:numFmt w:val="bullet"/>
      <w:lvlText w:val="o"/>
      <w:lvlJc w:val="left"/>
      <w:pPr>
        <w:tabs>
          <w:tab w:val="num" w:pos="1350"/>
        </w:tabs>
        <w:ind w:left="1350" w:hanging="360"/>
      </w:pPr>
      <w:rPr>
        <w:rFonts w:ascii="Courier New" w:hAnsi="Courier New" w:hint="default"/>
      </w:rPr>
    </w:lvl>
    <w:lvl w:ilvl="2" w:tentative="1">
      <w:start w:val="1"/>
      <w:numFmt w:val="bullet"/>
      <w:lvlText w:val=""/>
      <w:lvlJc w:val="left"/>
      <w:pPr>
        <w:tabs>
          <w:tab w:val="num" w:pos="2070"/>
        </w:tabs>
        <w:ind w:left="2070" w:hanging="360"/>
      </w:pPr>
      <w:rPr>
        <w:rFonts w:ascii="Wingdings" w:hAnsi="Wingdings" w:hint="default"/>
      </w:rPr>
    </w:lvl>
    <w:lvl w:ilvl="3" w:tentative="1">
      <w:start w:val="1"/>
      <w:numFmt w:val="bullet"/>
      <w:lvlText w:val=""/>
      <w:lvlJc w:val="left"/>
      <w:pPr>
        <w:tabs>
          <w:tab w:val="num" w:pos="2790"/>
        </w:tabs>
        <w:ind w:left="2790" w:hanging="360"/>
      </w:pPr>
      <w:rPr>
        <w:rFonts w:ascii="Symbol" w:hAnsi="Symbol" w:hint="default"/>
      </w:rPr>
    </w:lvl>
    <w:lvl w:ilvl="4" w:tentative="1">
      <w:start w:val="1"/>
      <w:numFmt w:val="bullet"/>
      <w:lvlText w:val="o"/>
      <w:lvlJc w:val="left"/>
      <w:pPr>
        <w:tabs>
          <w:tab w:val="num" w:pos="3510"/>
        </w:tabs>
        <w:ind w:left="3510" w:hanging="360"/>
      </w:pPr>
      <w:rPr>
        <w:rFonts w:ascii="Courier New" w:hAnsi="Courier New" w:hint="default"/>
      </w:rPr>
    </w:lvl>
    <w:lvl w:ilvl="5" w:tentative="1">
      <w:start w:val="1"/>
      <w:numFmt w:val="bullet"/>
      <w:lvlText w:val=""/>
      <w:lvlJc w:val="left"/>
      <w:pPr>
        <w:tabs>
          <w:tab w:val="num" w:pos="4230"/>
        </w:tabs>
        <w:ind w:left="4230" w:hanging="360"/>
      </w:pPr>
      <w:rPr>
        <w:rFonts w:ascii="Wingdings" w:hAnsi="Wingdings" w:hint="default"/>
      </w:rPr>
    </w:lvl>
    <w:lvl w:ilvl="6" w:tentative="1">
      <w:start w:val="1"/>
      <w:numFmt w:val="bullet"/>
      <w:lvlText w:val=""/>
      <w:lvlJc w:val="left"/>
      <w:pPr>
        <w:tabs>
          <w:tab w:val="num" w:pos="4950"/>
        </w:tabs>
        <w:ind w:left="4950" w:hanging="360"/>
      </w:pPr>
      <w:rPr>
        <w:rFonts w:ascii="Symbol" w:hAnsi="Symbol" w:hint="default"/>
      </w:rPr>
    </w:lvl>
    <w:lvl w:ilvl="7" w:tentative="1">
      <w:start w:val="1"/>
      <w:numFmt w:val="bullet"/>
      <w:lvlText w:val="o"/>
      <w:lvlJc w:val="left"/>
      <w:pPr>
        <w:tabs>
          <w:tab w:val="num" w:pos="5670"/>
        </w:tabs>
        <w:ind w:left="5670" w:hanging="360"/>
      </w:pPr>
      <w:rPr>
        <w:rFonts w:ascii="Courier New" w:hAnsi="Courier New" w:hint="default"/>
      </w:rPr>
    </w:lvl>
    <w:lvl w:ilvl="8" w:tentative="1">
      <w:start w:val="1"/>
      <w:numFmt w:val="bullet"/>
      <w:lvlText w:val=""/>
      <w:lvlJc w:val="left"/>
      <w:pPr>
        <w:tabs>
          <w:tab w:val="num" w:pos="6390"/>
        </w:tabs>
        <w:ind w:left="6390" w:hanging="360"/>
      </w:pPr>
      <w:rPr>
        <w:rFonts w:ascii="Wingdings" w:hAnsi="Wingdings" w:hint="default"/>
      </w:rPr>
    </w:lvl>
  </w:abstractNum>
  <w:abstractNum w:abstractNumId="76">
    <w:nsid w:val="1AD23340"/>
    <w:multiLevelType w:val="singleLevel"/>
    <w:tmpl w:val="6598D7AC"/>
    <w:lvl w:ilvl="0">
      <w:start w:val="1"/>
      <w:numFmt w:val="bullet"/>
      <w:lvlText w:val="▪"/>
      <w:lvlJc w:val="left"/>
      <w:pPr>
        <w:tabs>
          <w:tab w:val="num" w:pos="720"/>
        </w:tabs>
        <w:ind w:left="720" w:hanging="720"/>
      </w:pPr>
      <w:rPr>
        <w:rFonts w:ascii="Times New Roman" w:hAnsi="Times New Roman" w:hint="default"/>
      </w:rPr>
    </w:lvl>
  </w:abstractNum>
  <w:abstractNum w:abstractNumId="77">
    <w:nsid w:val="1B8B4A10"/>
    <w:multiLevelType w:val="singleLevel"/>
    <w:tmpl w:val="602C02E4"/>
    <w:lvl w:ilvl="0">
      <w:numFmt w:val="bullet"/>
      <w:lvlText w:val="-"/>
      <w:lvlJc w:val="left"/>
      <w:pPr>
        <w:tabs>
          <w:tab w:val="num" w:pos="720"/>
        </w:tabs>
        <w:ind w:left="720" w:hanging="720"/>
      </w:pPr>
      <w:rPr>
        <w:rFonts w:hint="default"/>
      </w:rPr>
    </w:lvl>
  </w:abstractNum>
  <w:abstractNum w:abstractNumId="78">
    <w:nsid w:val="1BD90FAB"/>
    <w:multiLevelType w:val="multilevel"/>
    <w:tmpl w:val="8C762028"/>
    <w:lvl w:ilvl="0">
      <w:start w:val="1"/>
      <w:numFmt w:val="none"/>
      <w:lvlText w:val="1."/>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79">
    <w:nsid w:val="1BFD7EFE"/>
    <w:multiLevelType w:val="multilevel"/>
    <w:tmpl w:val="4A38BD2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0">
    <w:nsid w:val="1CF06CB0"/>
    <w:multiLevelType w:val="singleLevel"/>
    <w:tmpl w:val="E1BA5E92"/>
    <w:lvl w:ilvl="0">
      <w:start w:val="1"/>
      <w:numFmt w:val="decimal"/>
      <w:lvlText w:val="%1."/>
      <w:lvlJc w:val="left"/>
      <w:pPr>
        <w:tabs>
          <w:tab w:val="num" w:pos="1800"/>
        </w:tabs>
        <w:ind w:left="1800" w:hanging="360"/>
      </w:pPr>
      <w:rPr>
        <w:rFonts w:hint="default"/>
      </w:rPr>
    </w:lvl>
  </w:abstractNum>
  <w:abstractNum w:abstractNumId="81">
    <w:nsid w:val="1EC7022C"/>
    <w:multiLevelType w:val="singleLevel"/>
    <w:tmpl w:val="2900679C"/>
    <w:lvl w:ilvl="0">
      <w:start w:val="1"/>
      <w:numFmt w:val="bullet"/>
      <w:lvlText w:val="-"/>
      <w:lvlJc w:val="left"/>
      <w:pPr>
        <w:tabs>
          <w:tab w:val="num" w:pos="720"/>
        </w:tabs>
        <w:ind w:left="720" w:hanging="720"/>
      </w:pPr>
      <w:rPr>
        <w:rFonts w:ascii="Times New Roman" w:hAnsi="Times New Roman" w:hint="default"/>
        <w:b w:val="0"/>
        <w:i w:val="0"/>
        <w:sz w:val="28"/>
      </w:rPr>
    </w:lvl>
  </w:abstractNum>
  <w:abstractNum w:abstractNumId="82">
    <w:nsid w:val="1F1772A6"/>
    <w:multiLevelType w:val="singleLevel"/>
    <w:tmpl w:val="AA5AC07E"/>
    <w:lvl w:ilvl="0">
      <w:start w:val="132"/>
      <w:numFmt w:val="decimal"/>
      <w:lvlText w:val="%1."/>
      <w:lvlJc w:val="left"/>
      <w:pPr>
        <w:tabs>
          <w:tab w:val="num" w:pos="648"/>
        </w:tabs>
        <w:ind w:left="288" w:firstLine="0"/>
      </w:pPr>
    </w:lvl>
  </w:abstractNum>
  <w:abstractNum w:abstractNumId="83">
    <w:nsid w:val="1F343CC2"/>
    <w:multiLevelType w:val="multilevel"/>
    <w:tmpl w:val="41B8956E"/>
    <w:lvl w:ilvl="0">
      <w:start w:val="1"/>
      <w:numFmt w:val="bullet"/>
      <w:lvlText w:val=""/>
      <w:lvlJc w:val="left"/>
      <w:pPr>
        <w:tabs>
          <w:tab w:val="num" w:pos="840"/>
        </w:tabs>
        <w:ind w:left="840" w:hanging="360"/>
      </w:pPr>
      <w:rPr>
        <w:rFonts w:ascii="Symbol" w:hAnsi="Symbol" w:hint="default"/>
      </w:rPr>
    </w:lvl>
    <w:lvl w:ilvl="1" w:tentative="1">
      <w:start w:val="1"/>
      <w:numFmt w:val="bullet"/>
      <w:lvlText w:val="o"/>
      <w:lvlJc w:val="left"/>
      <w:pPr>
        <w:tabs>
          <w:tab w:val="num" w:pos="1560"/>
        </w:tabs>
        <w:ind w:left="1560" w:hanging="360"/>
      </w:pPr>
      <w:rPr>
        <w:rFonts w:ascii="Courier New" w:hAnsi="Courier New" w:hint="default"/>
      </w:rPr>
    </w:lvl>
    <w:lvl w:ilvl="2" w:tentative="1">
      <w:start w:val="1"/>
      <w:numFmt w:val="bullet"/>
      <w:lvlText w:val=""/>
      <w:lvlJc w:val="left"/>
      <w:pPr>
        <w:tabs>
          <w:tab w:val="num" w:pos="2280"/>
        </w:tabs>
        <w:ind w:left="2280" w:hanging="360"/>
      </w:pPr>
      <w:rPr>
        <w:rFonts w:ascii="Wingdings" w:hAnsi="Wingdings" w:hint="default"/>
      </w:rPr>
    </w:lvl>
    <w:lvl w:ilvl="3" w:tentative="1">
      <w:start w:val="1"/>
      <w:numFmt w:val="bullet"/>
      <w:lvlText w:val=""/>
      <w:lvlJc w:val="left"/>
      <w:pPr>
        <w:tabs>
          <w:tab w:val="num" w:pos="3000"/>
        </w:tabs>
        <w:ind w:left="3000" w:hanging="360"/>
      </w:pPr>
      <w:rPr>
        <w:rFonts w:ascii="Symbol" w:hAnsi="Symbol" w:hint="default"/>
      </w:rPr>
    </w:lvl>
    <w:lvl w:ilvl="4" w:tentative="1">
      <w:start w:val="1"/>
      <w:numFmt w:val="bullet"/>
      <w:lvlText w:val="o"/>
      <w:lvlJc w:val="left"/>
      <w:pPr>
        <w:tabs>
          <w:tab w:val="num" w:pos="3720"/>
        </w:tabs>
        <w:ind w:left="3720" w:hanging="360"/>
      </w:pPr>
      <w:rPr>
        <w:rFonts w:ascii="Courier New" w:hAnsi="Courier New" w:hint="default"/>
      </w:rPr>
    </w:lvl>
    <w:lvl w:ilvl="5" w:tentative="1">
      <w:start w:val="1"/>
      <w:numFmt w:val="bullet"/>
      <w:lvlText w:val=""/>
      <w:lvlJc w:val="left"/>
      <w:pPr>
        <w:tabs>
          <w:tab w:val="num" w:pos="4440"/>
        </w:tabs>
        <w:ind w:left="4440" w:hanging="360"/>
      </w:pPr>
      <w:rPr>
        <w:rFonts w:ascii="Wingdings" w:hAnsi="Wingdings" w:hint="default"/>
      </w:rPr>
    </w:lvl>
    <w:lvl w:ilvl="6" w:tentative="1">
      <w:start w:val="1"/>
      <w:numFmt w:val="bullet"/>
      <w:lvlText w:val=""/>
      <w:lvlJc w:val="left"/>
      <w:pPr>
        <w:tabs>
          <w:tab w:val="num" w:pos="5160"/>
        </w:tabs>
        <w:ind w:left="5160" w:hanging="360"/>
      </w:pPr>
      <w:rPr>
        <w:rFonts w:ascii="Symbol" w:hAnsi="Symbol" w:hint="default"/>
      </w:rPr>
    </w:lvl>
    <w:lvl w:ilvl="7" w:tentative="1">
      <w:start w:val="1"/>
      <w:numFmt w:val="bullet"/>
      <w:lvlText w:val="o"/>
      <w:lvlJc w:val="left"/>
      <w:pPr>
        <w:tabs>
          <w:tab w:val="num" w:pos="5880"/>
        </w:tabs>
        <w:ind w:left="5880" w:hanging="360"/>
      </w:pPr>
      <w:rPr>
        <w:rFonts w:ascii="Courier New" w:hAnsi="Courier New" w:hint="default"/>
      </w:rPr>
    </w:lvl>
    <w:lvl w:ilvl="8" w:tentative="1">
      <w:start w:val="1"/>
      <w:numFmt w:val="bullet"/>
      <w:lvlText w:val=""/>
      <w:lvlJc w:val="left"/>
      <w:pPr>
        <w:tabs>
          <w:tab w:val="num" w:pos="6600"/>
        </w:tabs>
        <w:ind w:left="6600" w:hanging="360"/>
      </w:pPr>
      <w:rPr>
        <w:rFonts w:ascii="Wingdings" w:hAnsi="Wingdings" w:hint="default"/>
      </w:rPr>
    </w:lvl>
  </w:abstractNum>
  <w:abstractNum w:abstractNumId="84">
    <w:nsid w:val="20551B7E"/>
    <w:multiLevelType w:val="multilevel"/>
    <w:tmpl w:val="E6B6738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5">
    <w:nsid w:val="21060AD0"/>
    <w:multiLevelType w:val="multilevel"/>
    <w:tmpl w:val="0F50E26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6">
    <w:nsid w:val="221234C1"/>
    <w:multiLevelType w:val="singleLevel"/>
    <w:tmpl w:val="CE0084AC"/>
    <w:lvl w:ilvl="0">
      <w:start w:val="1"/>
      <w:numFmt w:val="decimal"/>
      <w:lvlText w:val="%1."/>
      <w:lvlJc w:val="left"/>
      <w:pPr>
        <w:tabs>
          <w:tab w:val="num" w:pos="360"/>
        </w:tabs>
        <w:ind w:left="360" w:hanging="360"/>
      </w:pPr>
    </w:lvl>
  </w:abstractNum>
  <w:abstractNum w:abstractNumId="87">
    <w:nsid w:val="225F6025"/>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88">
    <w:nsid w:val="229D1C78"/>
    <w:multiLevelType w:val="multilevel"/>
    <w:tmpl w:val="A79CB220"/>
    <w:lvl w:ilvl="0">
      <w:start w:val="1"/>
      <w:numFmt w:val="lowerLetter"/>
      <w:lvlText w:val="%1)"/>
      <w:lvlJc w:val="left"/>
      <w:pPr>
        <w:tabs>
          <w:tab w:val="num" w:pos="1800"/>
        </w:tabs>
        <w:ind w:left="1800" w:hanging="360"/>
      </w:pPr>
    </w:lvl>
    <w:lvl w:ilvl="1" w:tentative="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89">
    <w:nsid w:val="22A24D15"/>
    <w:multiLevelType w:val="multilevel"/>
    <w:tmpl w:val="E8E6458A"/>
    <w:lvl w:ilvl="0">
      <w:start w:val="1"/>
      <w:numFmt w:val="bullet"/>
      <w:lvlText w:val="·"/>
      <w:lvlJc w:val="left"/>
      <w:pPr>
        <w:tabs>
          <w:tab w:val="num" w:pos="1080"/>
        </w:tabs>
        <w:ind w:left="1080" w:hanging="648"/>
      </w:pPr>
      <w:rPr>
        <w:rFonts w:hAnsi="Courier New"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0">
    <w:nsid w:val="233F6D01"/>
    <w:multiLevelType w:val="multilevel"/>
    <w:tmpl w:val="097AE718"/>
    <w:lvl w:ilvl="0">
      <w:start w:val="1"/>
      <w:numFmt w:val="bullet"/>
      <w:lvlText w:val="·"/>
      <w:lvlJc w:val="left"/>
      <w:pPr>
        <w:tabs>
          <w:tab w:val="num" w:pos="1080"/>
        </w:tabs>
        <w:ind w:left="1080" w:hanging="648"/>
      </w:pPr>
      <w:rPr>
        <w:rFonts w:hAnsi="Courier New"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1">
    <w:nsid w:val="23D85D99"/>
    <w:multiLevelType w:val="singleLevel"/>
    <w:tmpl w:val="E5B86D8C"/>
    <w:lvl w:ilvl="0">
      <w:start w:val="1"/>
      <w:numFmt w:val="upperLetter"/>
      <w:lvlText w:val="%1."/>
      <w:lvlJc w:val="left"/>
      <w:pPr>
        <w:tabs>
          <w:tab w:val="num" w:pos="1080"/>
        </w:tabs>
        <w:ind w:left="1080" w:hanging="360"/>
      </w:pPr>
      <w:rPr>
        <w:rFonts w:hint="default"/>
      </w:rPr>
    </w:lvl>
  </w:abstractNum>
  <w:abstractNum w:abstractNumId="92">
    <w:nsid w:val="254C1AE1"/>
    <w:multiLevelType w:val="singleLevel"/>
    <w:tmpl w:val="AADC4C3A"/>
    <w:lvl w:ilvl="0">
      <w:start w:val="7"/>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93">
    <w:nsid w:val="259A3610"/>
    <w:multiLevelType w:val="singleLevel"/>
    <w:tmpl w:val="96BE93C0"/>
    <w:lvl w:ilvl="0">
      <w:start w:val="3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94">
    <w:nsid w:val="25EC0393"/>
    <w:multiLevelType w:val="singleLevel"/>
    <w:tmpl w:val="B27CD1BA"/>
    <w:lvl w:ilvl="0">
      <w:numFmt w:val="bullet"/>
      <w:lvlText w:val="-"/>
      <w:lvlJc w:val="left"/>
      <w:pPr>
        <w:tabs>
          <w:tab w:val="num" w:pos="720"/>
        </w:tabs>
        <w:ind w:left="720" w:hanging="720"/>
      </w:pPr>
      <w:rPr>
        <w:rFonts w:hint="default"/>
      </w:rPr>
    </w:lvl>
  </w:abstractNum>
  <w:abstractNum w:abstractNumId="95">
    <w:nsid w:val="271D2E2A"/>
    <w:multiLevelType w:val="singleLevel"/>
    <w:tmpl w:val="4A2CDB0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96">
    <w:nsid w:val="285D3CD9"/>
    <w:multiLevelType w:val="singleLevel"/>
    <w:tmpl w:val="F3E88FB4"/>
    <w:lvl w:ilvl="0">
      <w:start w:val="1"/>
      <w:numFmt w:val="decimal"/>
      <w:lvlText w:val="%1."/>
      <w:lvlJc w:val="left"/>
      <w:pPr>
        <w:tabs>
          <w:tab w:val="num" w:pos="648"/>
        </w:tabs>
        <w:ind w:left="288" w:firstLine="0"/>
      </w:pPr>
      <w:rPr>
        <w:b w:val="0"/>
        <w:i w:val="0"/>
        <w:u w:val="none"/>
      </w:rPr>
    </w:lvl>
  </w:abstractNum>
  <w:abstractNum w:abstractNumId="97">
    <w:nsid w:val="28E62924"/>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98">
    <w:nsid w:val="28F74C36"/>
    <w:multiLevelType w:val="singleLevel"/>
    <w:tmpl w:val="8A705848"/>
    <w:lvl w:ilvl="0">
      <w:start w:val="1"/>
      <w:numFmt w:val="decimal"/>
      <w:lvlText w:val="%1."/>
      <w:lvlJc w:val="left"/>
      <w:pPr>
        <w:tabs>
          <w:tab w:val="num" w:pos="648"/>
        </w:tabs>
        <w:ind w:left="288" w:firstLine="0"/>
      </w:pPr>
      <w:rPr>
        <w:b w:val="0"/>
        <w:i w:val="0"/>
        <w:u w:val="none"/>
      </w:rPr>
    </w:lvl>
  </w:abstractNum>
  <w:abstractNum w:abstractNumId="99">
    <w:nsid w:val="292F242E"/>
    <w:multiLevelType w:val="multilevel"/>
    <w:tmpl w:val="684EFAE2"/>
    <w:lvl w:ilvl="0">
      <w:start w:val="1"/>
      <w:numFmt w:val="decimal"/>
      <w:lvlText w:val="%1."/>
      <w:lvlJc w:val="left"/>
      <w:pPr>
        <w:tabs>
          <w:tab w:val="num" w:pos="1800"/>
        </w:tabs>
        <w:ind w:left="1800" w:hanging="360"/>
      </w:pPr>
    </w:lvl>
    <w:lvl w:ilvl="1" w:tentative="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100">
    <w:nsid w:val="293B05E5"/>
    <w:multiLevelType w:val="singleLevel"/>
    <w:tmpl w:val="8228B2E6"/>
    <w:lvl w:ilvl="0">
      <w:start w:val="4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01">
    <w:nsid w:val="2A856AD7"/>
    <w:multiLevelType w:val="singleLevel"/>
    <w:tmpl w:val="E556B404"/>
    <w:lvl w:ilvl="0">
      <w:start w:val="1"/>
      <w:numFmt w:val="decimal"/>
      <w:lvlText w:val="%1."/>
      <w:lvlJc w:val="left"/>
      <w:pPr>
        <w:tabs>
          <w:tab w:val="num" w:pos="648"/>
        </w:tabs>
        <w:ind w:left="288" w:firstLine="0"/>
      </w:pPr>
    </w:lvl>
  </w:abstractNum>
  <w:abstractNum w:abstractNumId="102">
    <w:nsid w:val="2BCB38FF"/>
    <w:multiLevelType w:val="singleLevel"/>
    <w:tmpl w:val="5CF22C28"/>
    <w:lvl w:ilvl="0">
      <w:numFmt w:val="bullet"/>
      <w:lvlText w:val=""/>
      <w:lvlJc w:val="left"/>
      <w:pPr>
        <w:tabs>
          <w:tab w:val="num" w:pos="2250"/>
        </w:tabs>
        <w:ind w:left="2250" w:hanging="510"/>
      </w:pPr>
      <w:rPr>
        <w:rFonts w:ascii="Symbol" w:hAnsi="Symbol" w:hint="default"/>
      </w:rPr>
    </w:lvl>
  </w:abstractNum>
  <w:abstractNum w:abstractNumId="103">
    <w:nsid w:val="2E116C6C"/>
    <w:multiLevelType w:val="singleLevel"/>
    <w:tmpl w:val="8B06F338"/>
    <w:lvl w:ilvl="0">
      <w:start w:val="1"/>
      <w:numFmt w:val="low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104">
    <w:nsid w:val="2E5243D7"/>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105">
    <w:nsid w:val="2EA243C8"/>
    <w:multiLevelType w:val="singleLevel"/>
    <w:tmpl w:val="2516205E"/>
    <w:lvl w:ilvl="0">
      <w:start w:val="8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06">
    <w:nsid w:val="2EB109AF"/>
    <w:multiLevelType w:val="multilevel"/>
    <w:tmpl w:val="455ADC12"/>
    <w:lvl w:ilvl="0">
      <w:start w:val="500"/>
      <w:numFmt w:val="lowerRoman"/>
      <w:lvlText w:val="(%1)"/>
      <w:lvlJc w:val="left"/>
      <w:pPr>
        <w:tabs>
          <w:tab w:val="num" w:pos="1830"/>
        </w:tabs>
        <w:ind w:left="1830" w:hanging="720"/>
      </w:pPr>
      <w:rPr>
        <w:rFonts w:hint="default"/>
      </w:rPr>
    </w:lvl>
    <w:lvl w:ilvl="1" w:tentative="1">
      <w:start w:val="1"/>
      <w:numFmt w:val="lowerLetter"/>
      <w:lvlText w:val="%2."/>
      <w:lvlJc w:val="left"/>
      <w:pPr>
        <w:tabs>
          <w:tab w:val="num" w:pos="2190"/>
        </w:tabs>
        <w:ind w:left="2190" w:hanging="360"/>
      </w:pPr>
    </w:lvl>
    <w:lvl w:ilvl="2" w:tentative="1">
      <w:start w:val="1"/>
      <w:numFmt w:val="lowerRoman"/>
      <w:lvlText w:val="%3."/>
      <w:lvlJc w:val="right"/>
      <w:pPr>
        <w:tabs>
          <w:tab w:val="num" w:pos="2910"/>
        </w:tabs>
        <w:ind w:left="2910" w:hanging="180"/>
      </w:pPr>
    </w:lvl>
    <w:lvl w:ilvl="3" w:tentative="1">
      <w:start w:val="1"/>
      <w:numFmt w:val="decimal"/>
      <w:lvlText w:val="%4."/>
      <w:lvlJc w:val="left"/>
      <w:pPr>
        <w:tabs>
          <w:tab w:val="num" w:pos="3630"/>
        </w:tabs>
        <w:ind w:left="3630" w:hanging="360"/>
      </w:pPr>
    </w:lvl>
    <w:lvl w:ilvl="4" w:tentative="1">
      <w:start w:val="1"/>
      <w:numFmt w:val="lowerLetter"/>
      <w:lvlText w:val="%5."/>
      <w:lvlJc w:val="left"/>
      <w:pPr>
        <w:tabs>
          <w:tab w:val="num" w:pos="4350"/>
        </w:tabs>
        <w:ind w:left="4350" w:hanging="360"/>
      </w:pPr>
    </w:lvl>
    <w:lvl w:ilvl="5" w:tentative="1">
      <w:start w:val="1"/>
      <w:numFmt w:val="lowerRoman"/>
      <w:lvlText w:val="%6."/>
      <w:lvlJc w:val="right"/>
      <w:pPr>
        <w:tabs>
          <w:tab w:val="num" w:pos="5070"/>
        </w:tabs>
        <w:ind w:left="5070" w:hanging="180"/>
      </w:pPr>
    </w:lvl>
    <w:lvl w:ilvl="6" w:tentative="1">
      <w:start w:val="1"/>
      <w:numFmt w:val="decimal"/>
      <w:lvlText w:val="%7."/>
      <w:lvlJc w:val="left"/>
      <w:pPr>
        <w:tabs>
          <w:tab w:val="num" w:pos="5790"/>
        </w:tabs>
        <w:ind w:left="5790" w:hanging="360"/>
      </w:pPr>
    </w:lvl>
    <w:lvl w:ilvl="7" w:tentative="1">
      <w:start w:val="1"/>
      <w:numFmt w:val="lowerLetter"/>
      <w:lvlText w:val="%8."/>
      <w:lvlJc w:val="left"/>
      <w:pPr>
        <w:tabs>
          <w:tab w:val="num" w:pos="6510"/>
        </w:tabs>
        <w:ind w:left="6510" w:hanging="360"/>
      </w:pPr>
    </w:lvl>
    <w:lvl w:ilvl="8" w:tentative="1">
      <w:start w:val="1"/>
      <w:numFmt w:val="lowerRoman"/>
      <w:lvlText w:val="%9."/>
      <w:lvlJc w:val="right"/>
      <w:pPr>
        <w:tabs>
          <w:tab w:val="num" w:pos="7230"/>
        </w:tabs>
        <w:ind w:left="7230" w:hanging="180"/>
      </w:pPr>
    </w:lvl>
  </w:abstractNum>
  <w:abstractNum w:abstractNumId="107">
    <w:nsid w:val="2EBF2012"/>
    <w:multiLevelType w:val="multilevel"/>
    <w:tmpl w:val="357C3DEC"/>
    <w:lvl w:ilvl="0">
      <w:start w:val="500"/>
      <w:numFmt w:val="lowerRoman"/>
      <w:lvlText w:val="(%1)"/>
      <w:lvlJc w:val="left"/>
      <w:pPr>
        <w:tabs>
          <w:tab w:val="num" w:pos="1830"/>
        </w:tabs>
        <w:ind w:left="1830" w:hanging="720"/>
      </w:pPr>
      <w:rPr>
        <w:rFonts w:hint="default"/>
      </w:rPr>
    </w:lvl>
    <w:lvl w:ilvl="1" w:tentative="1">
      <w:start w:val="1"/>
      <w:numFmt w:val="lowerLetter"/>
      <w:lvlText w:val="%2."/>
      <w:lvlJc w:val="left"/>
      <w:pPr>
        <w:tabs>
          <w:tab w:val="num" w:pos="2190"/>
        </w:tabs>
        <w:ind w:left="2190" w:hanging="360"/>
      </w:pPr>
    </w:lvl>
    <w:lvl w:ilvl="2" w:tentative="1">
      <w:start w:val="1"/>
      <w:numFmt w:val="lowerRoman"/>
      <w:lvlText w:val="%3."/>
      <w:lvlJc w:val="right"/>
      <w:pPr>
        <w:tabs>
          <w:tab w:val="num" w:pos="2910"/>
        </w:tabs>
        <w:ind w:left="2910" w:hanging="180"/>
      </w:pPr>
    </w:lvl>
    <w:lvl w:ilvl="3" w:tentative="1">
      <w:start w:val="1"/>
      <w:numFmt w:val="decimal"/>
      <w:lvlText w:val="%4."/>
      <w:lvlJc w:val="left"/>
      <w:pPr>
        <w:tabs>
          <w:tab w:val="num" w:pos="3630"/>
        </w:tabs>
        <w:ind w:left="3630" w:hanging="360"/>
      </w:pPr>
    </w:lvl>
    <w:lvl w:ilvl="4" w:tentative="1">
      <w:start w:val="1"/>
      <w:numFmt w:val="lowerLetter"/>
      <w:lvlText w:val="%5."/>
      <w:lvlJc w:val="left"/>
      <w:pPr>
        <w:tabs>
          <w:tab w:val="num" w:pos="4350"/>
        </w:tabs>
        <w:ind w:left="4350" w:hanging="360"/>
      </w:pPr>
    </w:lvl>
    <w:lvl w:ilvl="5" w:tentative="1">
      <w:start w:val="1"/>
      <w:numFmt w:val="lowerRoman"/>
      <w:lvlText w:val="%6."/>
      <w:lvlJc w:val="right"/>
      <w:pPr>
        <w:tabs>
          <w:tab w:val="num" w:pos="5070"/>
        </w:tabs>
        <w:ind w:left="5070" w:hanging="180"/>
      </w:pPr>
    </w:lvl>
    <w:lvl w:ilvl="6" w:tentative="1">
      <w:start w:val="1"/>
      <w:numFmt w:val="decimal"/>
      <w:lvlText w:val="%7."/>
      <w:lvlJc w:val="left"/>
      <w:pPr>
        <w:tabs>
          <w:tab w:val="num" w:pos="5790"/>
        </w:tabs>
        <w:ind w:left="5790" w:hanging="360"/>
      </w:pPr>
    </w:lvl>
    <w:lvl w:ilvl="7" w:tentative="1">
      <w:start w:val="1"/>
      <w:numFmt w:val="lowerLetter"/>
      <w:lvlText w:val="%8."/>
      <w:lvlJc w:val="left"/>
      <w:pPr>
        <w:tabs>
          <w:tab w:val="num" w:pos="6510"/>
        </w:tabs>
        <w:ind w:left="6510" w:hanging="360"/>
      </w:pPr>
    </w:lvl>
    <w:lvl w:ilvl="8" w:tentative="1">
      <w:start w:val="1"/>
      <w:numFmt w:val="lowerRoman"/>
      <w:lvlText w:val="%9."/>
      <w:lvlJc w:val="right"/>
      <w:pPr>
        <w:tabs>
          <w:tab w:val="num" w:pos="7230"/>
        </w:tabs>
        <w:ind w:left="7230" w:hanging="180"/>
      </w:pPr>
    </w:lvl>
  </w:abstractNum>
  <w:abstractNum w:abstractNumId="108">
    <w:nsid w:val="2F127D9A"/>
    <w:multiLevelType w:val="singleLevel"/>
    <w:tmpl w:val="BBBA8180"/>
    <w:lvl w:ilvl="0">
      <w:numFmt w:val="bullet"/>
      <w:lvlText w:val="-"/>
      <w:lvlJc w:val="left"/>
      <w:pPr>
        <w:tabs>
          <w:tab w:val="num" w:pos="720"/>
        </w:tabs>
        <w:ind w:left="720" w:hanging="720"/>
      </w:pPr>
      <w:rPr>
        <w:rFonts w:hint="default"/>
      </w:rPr>
    </w:lvl>
  </w:abstractNum>
  <w:abstractNum w:abstractNumId="109">
    <w:nsid w:val="2F4A5879"/>
    <w:multiLevelType w:val="singleLevel"/>
    <w:tmpl w:val="F938A33E"/>
    <w:lvl w:ilvl="0">
      <w:numFmt w:val="bullet"/>
      <w:lvlText w:val="-"/>
      <w:lvlJc w:val="left"/>
      <w:pPr>
        <w:tabs>
          <w:tab w:val="num" w:pos="360"/>
        </w:tabs>
        <w:ind w:left="360" w:hanging="360"/>
      </w:pPr>
      <w:rPr>
        <w:rFonts w:hint="default"/>
      </w:rPr>
    </w:lvl>
  </w:abstractNum>
  <w:abstractNum w:abstractNumId="110">
    <w:nsid w:val="2FB86A2E"/>
    <w:multiLevelType w:val="multilevel"/>
    <w:tmpl w:val="516AA77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1">
    <w:nsid w:val="2FBA3835"/>
    <w:multiLevelType w:val="singleLevel"/>
    <w:tmpl w:val="1366B336"/>
    <w:lvl w:ilvl="0">
      <w:start w:val="7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12">
    <w:nsid w:val="2FCB3BC3"/>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13">
    <w:nsid w:val="2FFC19A7"/>
    <w:multiLevelType w:val="singleLevel"/>
    <w:tmpl w:val="40BE0C7C"/>
    <w:lvl w:ilvl="0">
      <w:start w:val="131"/>
      <w:numFmt w:val="decimal"/>
      <w:lvlText w:val="%1."/>
      <w:lvlJc w:val="left"/>
      <w:pPr>
        <w:tabs>
          <w:tab w:val="num" w:pos="648"/>
        </w:tabs>
        <w:ind w:left="288" w:firstLine="0"/>
      </w:pPr>
    </w:lvl>
  </w:abstractNum>
  <w:abstractNum w:abstractNumId="114">
    <w:nsid w:val="30347D81"/>
    <w:multiLevelType w:val="singleLevel"/>
    <w:tmpl w:val="6598D7AC"/>
    <w:lvl w:ilvl="0">
      <w:start w:val="1"/>
      <w:numFmt w:val="bullet"/>
      <w:lvlText w:val="▪"/>
      <w:lvlJc w:val="left"/>
      <w:pPr>
        <w:tabs>
          <w:tab w:val="num" w:pos="720"/>
        </w:tabs>
        <w:ind w:left="720" w:hanging="720"/>
      </w:pPr>
      <w:rPr>
        <w:rFonts w:ascii="Times New Roman" w:hAnsi="Times New Roman" w:hint="default"/>
      </w:rPr>
    </w:lvl>
  </w:abstractNum>
  <w:abstractNum w:abstractNumId="115">
    <w:nsid w:val="30781740"/>
    <w:multiLevelType w:val="singleLevel"/>
    <w:tmpl w:val="0E8090C6"/>
    <w:lvl w:ilvl="0">
      <w:numFmt w:val="bullet"/>
      <w:lvlText w:val="-"/>
      <w:lvlJc w:val="left"/>
      <w:pPr>
        <w:tabs>
          <w:tab w:val="num" w:pos="2250"/>
        </w:tabs>
        <w:ind w:left="2250" w:hanging="510"/>
      </w:pPr>
      <w:rPr>
        <w:rFonts w:hint="default"/>
      </w:rPr>
    </w:lvl>
  </w:abstractNum>
  <w:abstractNum w:abstractNumId="116">
    <w:nsid w:val="30C35C10"/>
    <w:multiLevelType w:val="multilevel"/>
    <w:tmpl w:val="32BCBE60"/>
    <w:lvl w:ilvl="0">
      <w:start w:val="2"/>
      <w:numFmt w:val="decimal"/>
      <w:lvlText w:val="%1."/>
      <w:lvlJc w:val="left"/>
      <w:pPr>
        <w:tabs>
          <w:tab w:val="num" w:pos="648"/>
        </w:tabs>
        <w:ind w:left="288" w:firstLine="0"/>
      </w:pPr>
      <w:rPr>
        <w:b w:val="0"/>
        <w:i w:val="0"/>
        <w:u w:val="none"/>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7">
    <w:nsid w:val="31BC3820"/>
    <w:multiLevelType w:val="singleLevel"/>
    <w:tmpl w:val="DB8C4480"/>
    <w:lvl w:ilvl="0">
      <w:start w:val="1"/>
      <w:numFmt w:val="upperLetter"/>
      <w:lvlText w:val="%1."/>
      <w:lvlJc w:val="left"/>
      <w:pPr>
        <w:tabs>
          <w:tab w:val="num" w:pos="1530"/>
        </w:tabs>
        <w:ind w:left="1530" w:hanging="360"/>
      </w:pPr>
      <w:rPr>
        <w:rFonts w:hint="default"/>
      </w:rPr>
    </w:lvl>
  </w:abstractNum>
  <w:abstractNum w:abstractNumId="118">
    <w:nsid w:val="31D86DA5"/>
    <w:multiLevelType w:val="singleLevel"/>
    <w:tmpl w:val="34F287A2"/>
    <w:lvl w:ilvl="0">
      <w:start w:val="6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19">
    <w:nsid w:val="320B1A81"/>
    <w:multiLevelType w:val="multilevel"/>
    <w:tmpl w:val="085E3A4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0">
    <w:nsid w:val="32EA79DA"/>
    <w:multiLevelType w:val="singleLevel"/>
    <w:tmpl w:val="00CCFC5E"/>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21">
    <w:nsid w:val="33E173D0"/>
    <w:multiLevelType w:val="singleLevel"/>
    <w:tmpl w:val="AD2CE088"/>
    <w:lvl w:ilvl="0">
      <w:start w:val="5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22">
    <w:nsid w:val="33F335DF"/>
    <w:multiLevelType w:val="singleLevel"/>
    <w:tmpl w:val="4E441D04"/>
    <w:lvl w:ilvl="0">
      <w:numFmt w:val="bullet"/>
      <w:lvlText w:val=""/>
      <w:lvlJc w:val="left"/>
      <w:pPr>
        <w:tabs>
          <w:tab w:val="num" w:pos="720"/>
        </w:tabs>
        <w:ind w:left="720" w:hanging="648"/>
      </w:pPr>
      <w:rPr>
        <w:rFonts w:ascii="Wingdings" w:hAnsi="Wingdings" w:hint="default"/>
      </w:rPr>
    </w:lvl>
  </w:abstractNum>
  <w:abstractNum w:abstractNumId="123">
    <w:nsid w:val="33F9271F"/>
    <w:multiLevelType w:val="singleLevel"/>
    <w:tmpl w:val="2320C8E8"/>
    <w:lvl w:ilvl="0">
      <w:start w:val="11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24">
    <w:nsid w:val="33FE4502"/>
    <w:multiLevelType w:val="singleLevel"/>
    <w:tmpl w:val="34BEE2F6"/>
    <w:lvl w:ilvl="0">
      <w:start w:val="7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25">
    <w:nsid w:val="346B34CD"/>
    <w:multiLevelType w:val="multilevel"/>
    <w:tmpl w:val="8C762028"/>
    <w:lvl w:ilvl="0">
      <w:start w:val="1"/>
      <w:numFmt w:val="none"/>
      <w:lvlText w:val="1."/>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26">
    <w:nsid w:val="34C10CE3"/>
    <w:multiLevelType w:val="singleLevel"/>
    <w:tmpl w:val="3AA41154"/>
    <w:lvl w:ilvl="0">
      <w:start w:val="1"/>
      <w:numFmt w:val="lowerLetter"/>
      <w:lvlText w:val="(%1)"/>
      <w:lvlJc w:val="left"/>
      <w:pPr>
        <w:tabs>
          <w:tab w:val="num" w:pos="1080"/>
        </w:tabs>
        <w:ind w:left="1080" w:hanging="360"/>
      </w:pPr>
      <w:rPr>
        <w:rFonts w:hint="default"/>
      </w:rPr>
    </w:lvl>
  </w:abstractNum>
  <w:abstractNum w:abstractNumId="127">
    <w:nsid w:val="34CC2A4C"/>
    <w:multiLevelType w:val="singleLevel"/>
    <w:tmpl w:val="A9F83AAA"/>
    <w:lvl w:ilvl="0">
      <w:start w:val="1"/>
      <w:numFmt w:val="upperRoman"/>
      <w:lvlText w:val="%1."/>
      <w:lvlJc w:val="left"/>
      <w:pPr>
        <w:tabs>
          <w:tab w:val="num" w:pos="720"/>
        </w:tabs>
        <w:ind w:left="720" w:hanging="720"/>
      </w:pPr>
      <w:rPr>
        <w:rFonts w:hint="default"/>
      </w:rPr>
    </w:lvl>
  </w:abstractNum>
  <w:abstractNum w:abstractNumId="128">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129">
    <w:nsid w:val="350F3AA2"/>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30">
    <w:nsid w:val="353F6276"/>
    <w:multiLevelType w:val="singleLevel"/>
    <w:tmpl w:val="0E8090C6"/>
    <w:lvl w:ilvl="0">
      <w:numFmt w:val="bullet"/>
      <w:lvlText w:val="-"/>
      <w:lvlJc w:val="left"/>
      <w:pPr>
        <w:tabs>
          <w:tab w:val="num" w:pos="2250"/>
        </w:tabs>
        <w:ind w:left="2250" w:hanging="510"/>
      </w:pPr>
      <w:rPr>
        <w:rFonts w:hint="default"/>
      </w:rPr>
    </w:lvl>
  </w:abstractNum>
  <w:abstractNum w:abstractNumId="131">
    <w:nsid w:val="35C4563A"/>
    <w:multiLevelType w:val="singleLevel"/>
    <w:tmpl w:val="6560ACF0"/>
    <w:lvl w:ilvl="0">
      <w:start w:val="12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32">
    <w:nsid w:val="35D85A12"/>
    <w:multiLevelType w:val="singleLevel"/>
    <w:tmpl w:val="370AE9A8"/>
    <w:lvl w:ilvl="0">
      <w:start w:val="4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33">
    <w:nsid w:val="36BC169F"/>
    <w:multiLevelType w:val="singleLevel"/>
    <w:tmpl w:val="C6CAF0AA"/>
    <w:lvl w:ilvl="0">
      <w:start w:val="1"/>
      <w:numFmt w:val="bullet"/>
      <w:lvlText w:val="-"/>
      <w:lvlJc w:val="left"/>
      <w:pPr>
        <w:tabs>
          <w:tab w:val="num" w:pos="475"/>
        </w:tabs>
        <w:ind w:left="475" w:hanging="475"/>
      </w:pPr>
      <w:rPr>
        <w:rFonts w:ascii="Times New Roman" w:hAnsi="Times New Roman" w:hint="default"/>
        <w:b w:val="0"/>
        <w:i w:val="0"/>
        <w:sz w:val="28"/>
      </w:rPr>
    </w:lvl>
  </w:abstractNum>
  <w:abstractNum w:abstractNumId="134">
    <w:nsid w:val="376D0C06"/>
    <w:multiLevelType w:val="singleLevel"/>
    <w:tmpl w:val="ED08F8F0"/>
    <w:lvl w:ilvl="0">
      <w:start w:val="3"/>
      <w:numFmt w:val="decimal"/>
      <w:lvlText w:val="%1."/>
      <w:lvlJc w:val="left"/>
      <w:pPr>
        <w:tabs>
          <w:tab w:val="num" w:pos="720"/>
        </w:tabs>
        <w:ind w:left="720" w:hanging="720"/>
      </w:pPr>
      <w:rPr>
        <w:rFonts w:hint="default"/>
      </w:rPr>
    </w:lvl>
  </w:abstractNum>
  <w:abstractNum w:abstractNumId="135">
    <w:nsid w:val="377F38ED"/>
    <w:multiLevelType w:val="singleLevel"/>
    <w:tmpl w:val="1AE06D08"/>
    <w:lvl w:ilvl="0">
      <w:start w:val="4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36">
    <w:nsid w:val="37806C78"/>
    <w:multiLevelType w:val="multilevel"/>
    <w:tmpl w:val="F4A87AA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7">
    <w:nsid w:val="379D4C39"/>
    <w:multiLevelType w:val="singleLevel"/>
    <w:tmpl w:val="BBFE8C34"/>
    <w:lvl w:ilvl="0">
      <w:start w:val="6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38">
    <w:nsid w:val="384749FD"/>
    <w:multiLevelType w:val="singleLevel"/>
    <w:tmpl w:val="AA6C5C26"/>
    <w:lvl w:ilvl="0">
      <w:start w:val="1"/>
      <w:numFmt w:val="bullet"/>
      <w:lvlText w:val=""/>
      <w:lvlJc w:val="left"/>
      <w:pPr>
        <w:tabs>
          <w:tab w:val="num" w:pos="1339"/>
        </w:tabs>
        <w:ind w:left="0" w:firstLine="979"/>
      </w:pPr>
      <w:rPr>
        <w:rFonts w:ascii="Symbol" w:hAnsi="Symbol" w:hint="default"/>
        <w:b w:val="0"/>
        <w:i w:val="0"/>
      </w:rPr>
    </w:lvl>
  </w:abstractNum>
  <w:abstractNum w:abstractNumId="139">
    <w:nsid w:val="385B4A01"/>
    <w:multiLevelType w:val="multilevel"/>
    <w:tmpl w:val="F7AE5A5E"/>
    <w:lvl w:ilvl="0">
      <w:start w:val="1"/>
      <w:numFmt w:val="upperLetter"/>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40">
    <w:nsid w:val="390946C2"/>
    <w:multiLevelType w:val="singleLevel"/>
    <w:tmpl w:val="AD2E4892"/>
    <w:lvl w:ilvl="0">
      <w:start w:val="4"/>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141">
    <w:nsid w:val="391F1A82"/>
    <w:multiLevelType w:val="singleLevel"/>
    <w:tmpl w:val="E0743FFA"/>
    <w:lvl w:ilvl="0">
      <w:start w:val="1"/>
      <w:numFmt w:val="decimal"/>
      <w:lvlText w:val="%1."/>
      <w:lvlJc w:val="left"/>
      <w:pPr>
        <w:tabs>
          <w:tab w:val="num" w:pos="648"/>
        </w:tabs>
        <w:ind w:left="360" w:hanging="72"/>
      </w:pPr>
    </w:lvl>
  </w:abstractNum>
  <w:abstractNum w:abstractNumId="142">
    <w:nsid w:val="39361D13"/>
    <w:multiLevelType w:val="singleLevel"/>
    <w:tmpl w:val="49BAE818"/>
    <w:lvl w:ilvl="0">
      <w:start w:val="4"/>
      <w:numFmt w:val="upperLetter"/>
      <w:lvlText w:val="%1. "/>
      <w:legacy w:legacy="1" w:legacySpace="0" w:legacyIndent="283"/>
      <w:lvlJc w:val="left"/>
      <w:pPr>
        <w:ind w:left="1003" w:hanging="283"/>
      </w:pPr>
      <w:rPr>
        <w:rFonts w:ascii="Times New Roman" w:hAnsi="Times New Roman" w:hint="default"/>
        <w:b w:val="0"/>
        <w:i w:val="0"/>
        <w:sz w:val="28"/>
        <w:u w:val="none"/>
      </w:rPr>
    </w:lvl>
  </w:abstractNum>
  <w:abstractNum w:abstractNumId="143">
    <w:nsid w:val="39A062E1"/>
    <w:multiLevelType w:val="multilevel"/>
    <w:tmpl w:val="39FCCB6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4">
    <w:nsid w:val="39C3322C"/>
    <w:multiLevelType w:val="singleLevel"/>
    <w:tmpl w:val="2448648A"/>
    <w:lvl w:ilvl="0">
      <w:numFmt w:val="bullet"/>
      <w:lvlText w:val="-"/>
      <w:lvlJc w:val="left"/>
      <w:pPr>
        <w:tabs>
          <w:tab w:val="num" w:pos="720"/>
        </w:tabs>
        <w:ind w:left="720" w:hanging="720"/>
      </w:pPr>
      <w:rPr>
        <w:rFonts w:hint="default"/>
      </w:rPr>
    </w:lvl>
  </w:abstractNum>
  <w:abstractNum w:abstractNumId="145">
    <w:nsid w:val="39F81030"/>
    <w:multiLevelType w:val="singleLevel"/>
    <w:tmpl w:val="4A2CDB00"/>
    <w:lvl w:ilvl="0">
      <w:start w:val="10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46">
    <w:nsid w:val="3A271E09"/>
    <w:multiLevelType w:val="multilevel"/>
    <w:tmpl w:val="DC0EB626"/>
    <w:lvl w:ilvl="0">
      <w:start w:val="2002"/>
      <w:numFmt w:val="decimal"/>
      <w:lvlText w:val="%1"/>
      <w:lvlJc w:val="left"/>
      <w:pPr>
        <w:tabs>
          <w:tab w:val="num" w:pos="8355"/>
        </w:tabs>
        <w:ind w:left="8355" w:hanging="8355"/>
      </w:pPr>
      <w:rPr>
        <w:rFonts w:hint="default"/>
      </w:rPr>
    </w:lvl>
    <w:lvl w:ilvl="1">
      <w:start w:val="2003"/>
      <w:numFmt w:val="decimal"/>
      <w:lvlText w:val="%1-%2"/>
      <w:lvlJc w:val="left"/>
      <w:pPr>
        <w:tabs>
          <w:tab w:val="num" w:pos="8355"/>
        </w:tabs>
        <w:ind w:left="8355" w:hanging="8355"/>
      </w:pPr>
      <w:rPr>
        <w:rFonts w:hint="default"/>
      </w:rPr>
    </w:lvl>
    <w:lvl w:ilvl="2">
      <w:start w:val="1"/>
      <w:numFmt w:val="decimal"/>
      <w:lvlText w:val="%1-%2.%3"/>
      <w:lvlJc w:val="left"/>
      <w:pPr>
        <w:tabs>
          <w:tab w:val="num" w:pos="8355"/>
        </w:tabs>
        <w:ind w:left="8355" w:hanging="8355"/>
      </w:pPr>
      <w:rPr>
        <w:rFonts w:hint="default"/>
      </w:rPr>
    </w:lvl>
    <w:lvl w:ilvl="3">
      <w:start w:val="1"/>
      <w:numFmt w:val="decimal"/>
      <w:lvlText w:val="%1-%2.%3.%4"/>
      <w:lvlJc w:val="left"/>
      <w:pPr>
        <w:tabs>
          <w:tab w:val="num" w:pos="8355"/>
        </w:tabs>
        <w:ind w:left="8355" w:hanging="8355"/>
      </w:pPr>
      <w:rPr>
        <w:rFonts w:hint="default"/>
      </w:rPr>
    </w:lvl>
    <w:lvl w:ilvl="4">
      <w:start w:val="1"/>
      <w:numFmt w:val="decimal"/>
      <w:lvlText w:val="%1-%2.%3.%4.%5"/>
      <w:lvlJc w:val="left"/>
      <w:pPr>
        <w:tabs>
          <w:tab w:val="num" w:pos="8355"/>
        </w:tabs>
        <w:ind w:left="8355" w:hanging="8355"/>
      </w:pPr>
      <w:rPr>
        <w:rFonts w:hint="default"/>
      </w:rPr>
    </w:lvl>
    <w:lvl w:ilvl="5">
      <w:start w:val="1"/>
      <w:numFmt w:val="decimal"/>
      <w:lvlText w:val="%1-%2.%3.%4.%5.%6"/>
      <w:lvlJc w:val="left"/>
      <w:pPr>
        <w:tabs>
          <w:tab w:val="num" w:pos="8355"/>
        </w:tabs>
        <w:ind w:left="8355" w:hanging="8355"/>
      </w:pPr>
      <w:rPr>
        <w:rFonts w:hint="default"/>
      </w:rPr>
    </w:lvl>
    <w:lvl w:ilvl="6">
      <w:start w:val="1"/>
      <w:numFmt w:val="decimal"/>
      <w:lvlText w:val="%1-%2.%3.%4.%5.%6.%7"/>
      <w:lvlJc w:val="left"/>
      <w:pPr>
        <w:tabs>
          <w:tab w:val="num" w:pos="8355"/>
        </w:tabs>
        <w:ind w:left="8355" w:hanging="8355"/>
      </w:pPr>
      <w:rPr>
        <w:rFonts w:hint="default"/>
      </w:rPr>
    </w:lvl>
    <w:lvl w:ilvl="7">
      <w:start w:val="1"/>
      <w:numFmt w:val="decimal"/>
      <w:lvlText w:val="%1-%2.%3.%4.%5.%6.%7.%8"/>
      <w:lvlJc w:val="left"/>
      <w:pPr>
        <w:tabs>
          <w:tab w:val="num" w:pos="8355"/>
        </w:tabs>
        <w:ind w:left="8355" w:hanging="8355"/>
      </w:pPr>
      <w:rPr>
        <w:rFonts w:hint="default"/>
      </w:rPr>
    </w:lvl>
    <w:lvl w:ilvl="8">
      <w:start w:val="1"/>
      <w:numFmt w:val="decimal"/>
      <w:lvlText w:val="%1-%2.%3.%4.%5.%6.%7.%8.%9"/>
      <w:lvlJc w:val="left"/>
      <w:pPr>
        <w:tabs>
          <w:tab w:val="num" w:pos="8355"/>
        </w:tabs>
        <w:ind w:left="8355" w:hanging="8355"/>
      </w:pPr>
      <w:rPr>
        <w:rFonts w:hint="default"/>
      </w:rPr>
    </w:lvl>
  </w:abstractNum>
  <w:abstractNum w:abstractNumId="147">
    <w:nsid w:val="3A2F60CD"/>
    <w:multiLevelType w:val="singleLevel"/>
    <w:tmpl w:val="2A44CA10"/>
    <w:lvl w:ilvl="0">
      <w:start w:val="3"/>
      <w:numFmt w:val="upperLetter"/>
      <w:lvlText w:val="%1. "/>
      <w:legacy w:legacy="1" w:legacySpace="0" w:legacyIndent="283"/>
      <w:lvlJc w:val="left"/>
      <w:pPr>
        <w:ind w:left="1003" w:hanging="283"/>
      </w:pPr>
      <w:rPr>
        <w:rFonts w:ascii="Times New Roman" w:hAnsi="Times New Roman" w:hint="default"/>
        <w:b w:val="0"/>
        <w:i w:val="0"/>
        <w:sz w:val="28"/>
        <w:u w:val="none"/>
      </w:rPr>
    </w:lvl>
  </w:abstractNum>
  <w:abstractNum w:abstractNumId="148">
    <w:nsid w:val="3AAB773F"/>
    <w:multiLevelType w:val="singleLevel"/>
    <w:tmpl w:val="F938A33E"/>
    <w:lvl w:ilvl="0">
      <w:numFmt w:val="bullet"/>
      <w:lvlText w:val="-"/>
      <w:lvlJc w:val="left"/>
      <w:pPr>
        <w:tabs>
          <w:tab w:val="num" w:pos="360"/>
        </w:tabs>
        <w:ind w:left="360" w:hanging="360"/>
      </w:pPr>
      <w:rPr>
        <w:rFonts w:hint="default"/>
      </w:rPr>
    </w:lvl>
  </w:abstractNum>
  <w:abstractNum w:abstractNumId="149">
    <w:nsid w:val="3BA01A37"/>
    <w:multiLevelType w:val="multilevel"/>
    <w:tmpl w:val="BF967C2A"/>
    <w:lvl w:ilvl="0">
      <w:start w:val="1"/>
      <w:numFmt w:val="lowerRoman"/>
      <w:lvlText w:val="(%1)"/>
      <w:lvlJc w:val="righ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0">
    <w:nsid w:val="3C1F3715"/>
    <w:multiLevelType w:val="singleLevel"/>
    <w:tmpl w:val="A686D2A0"/>
    <w:lvl w:ilvl="0">
      <w:start w:val="1"/>
      <w:numFmt w:val="lowerLetter"/>
      <w:lvlText w:val="(%1)"/>
      <w:lvlJc w:val="left"/>
      <w:pPr>
        <w:tabs>
          <w:tab w:val="num" w:pos="648"/>
        </w:tabs>
        <w:ind w:left="648" w:hanging="360"/>
      </w:pPr>
      <w:rPr>
        <w:rFonts w:hint="default"/>
      </w:rPr>
    </w:lvl>
  </w:abstractNum>
  <w:abstractNum w:abstractNumId="151">
    <w:nsid w:val="3D330BCC"/>
    <w:multiLevelType w:val="multilevel"/>
    <w:tmpl w:val="7B225BE8"/>
    <w:lvl w:ilvl="0">
      <w:start w:val="1"/>
      <w:numFmt w:val="upp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Letter"/>
      <w:lvlText w:val="(%3)"/>
      <w:lvlJc w:val="left"/>
      <w:pPr>
        <w:tabs>
          <w:tab w:val="num" w:pos="3120"/>
        </w:tabs>
        <w:ind w:left="3120" w:hanging="1140"/>
      </w:pPr>
      <w:rPr>
        <w:rFonts w:hint="default"/>
      </w:rPr>
    </w:lvl>
    <w:lvl w:ilvl="3">
      <w:start w:val="1"/>
      <w:numFmt w:val="lowerRoman"/>
      <w:lvlText w:val="%4."/>
      <w:lvlJc w:val="left"/>
      <w:pPr>
        <w:tabs>
          <w:tab w:val="num" w:pos="3240"/>
        </w:tabs>
        <w:ind w:left="3240" w:hanging="72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2">
    <w:nsid w:val="3D871847"/>
    <w:multiLevelType w:val="singleLevel"/>
    <w:tmpl w:val="19D0C3A2"/>
    <w:lvl w:ilvl="0">
      <w:start w:val="11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53">
    <w:nsid w:val="3E1440DA"/>
    <w:multiLevelType w:val="singleLevel"/>
    <w:tmpl w:val="4CB2DD02"/>
    <w:lvl w:ilvl="0">
      <w:start w:val="1"/>
      <w:numFmt w:val="lowerLetter"/>
      <w:lvlText w:val="(%1)"/>
      <w:lvlJc w:val="left"/>
      <w:pPr>
        <w:tabs>
          <w:tab w:val="num" w:pos="648"/>
        </w:tabs>
        <w:ind w:left="648" w:hanging="360"/>
      </w:pPr>
      <w:rPr>
        <w:rFonts w:hint="default"/>
      </w:rPr>
    </w:lvl>
  </w:abstractNum>
  <w:abstractNum w:abstractNumId="154">
    <w:nsid w:val="3E365C8C"/>
    <w:multiLevelType w:val="multilevel"/>
    <w:tmpl w:val="63F07F1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5">
    <w:nsid w:val="3E6A247D"/>
    <w:multiLevelType w:val="singleLevel"/>
    <w:tmpl w:val="20AE243C"/>
    <w:lvl w:ilvl="0">
      <w:start w:val="10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56">
    <w:nsid w:val="3EEC222F"/>
    <w:multiLevelType w:val="singleLevel"/>
    <w:tmpl w:val="73A052C4"/>
    <w:lvl w:ilvl="0">
      <w:start w:val="1"/>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157">
    <w:nsid w:val="3F637814"/>
    <w:multiLevelType w:val="singleLevel"/>
    <w:tmpl w:val="4E441D04"/>
    <w:lvl w:ilvl="0">
      <w:numFmt w:val="bullet"/>
      <w:lvlText w:val=""/>
      <w:lvlJc w:val="left"/>
      <w:pPr>
        <w:tabs>
          <w:tab w:val="num" w:pos="720"/>
        </w:tabs>
        <w:ind w:left="720" w:hanging="648"/>
      </w:pPr>
      <w:rPr>
        <w:rFonts w:ascii="Wingdings" w:hAnsi="Wingdings" w:hint="default"/>
      </w:rPr>
    </w:lvl>
  </w:abstractNum>
  <w:abstractNum w:abstractNumId="158">
    <w:nsid w:val="3F916B54"/>
    <w:multiLevelType w:val="multilevel"/>
    <w:tmpl w:val="DC0A0AF0"/>
    <w:lvl w:ilvl="0">
      <w:start w:val="5"/>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9">
    <w:nsid w:val="3FC06037"/>
    <w:multiLevelType w:val="multilevel"/>
    <w:tmpl w:val="CE64605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0">
    <w:nsid w:val="3FC767D9"/>
    <w:multiLevelType w:val="multilevel"/>
    <w:tmpl w:val="76EA7A8A"/>
    <w:lvl w:ilvl="0">
      <w:start w:val="2"/>
      <w:numFmt w:val="decimal"/>
      <w:lvlText w:val="%1."/>
      <w:lvlJc w:val="left"/>
      <w:pPr>
        <w:tabs>
          <w:tab w:val="num" w:pos="648"/>
        </w:tabs>
        <w:ind w:left="288" w:firstLine="0"/>
      </w:pPr>
      <w:rPr>
        <w:b w:val="0"/>
        <w:i w:val="0"/>
        <w:u w:val="none"/>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1">
    <w:nsid w:val="400255E4"/>
    <w:multiLevelType w:val="multilevel"/>
    <w:tmpl w:val="C062F51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2">
    <w:nsid w:val="40F66BE5"/>
    <w:multiLevelType w:val="singleLevel"/>
    <w:tmpl w:val="00CCFC5E"/>
    <w:lvl w:ilvl="0">
      <w:start w:val="2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63">
    <w:nsid w:val="41157C68"/>
    <w:multiLevelType w:val="singleLevel"/>
    <w:tmpl w:val="B00C54D0"/>
    <w:lvl w:ilvl="0">
      <w:numFmt w:val="bullet"/>
      <w:lvlText w:val="-"/>
      <w:lvlJc w:val="left"/>
      <w:pPr>
        <w:tabs>
          <w:tab w:val="num" w:pos="475"/>
        </w:tabs>
        <w:ind w:left="475" w:hanging="475"/>
      </w:pPr>
      <w:rPr>
        <w:rFonts w:hint="default"/>
      </w:rPr>
    </w:lvl>
  </w:abstractNum>
  <w:abstractNum w:abstractNumId="164">
    <w:nsid w:val="411E6E92"/>
    <w:multiLevelType w:val="singleLevel"/>
    <w:tmpl w:val="E0743FFA"/>
    <w:lvl w:ilvl="0">
      <w:start w:val="1"/>
      <w:numFmt w:val="decimal"/>
      <w:lvlText w:val="%1."/>
      <w:lvlJc w:val="left"/>
      <w:pPr>
        <w:tabs>
          <w:tab w:val="num" w:pos="648"/>
        </w:tabs>
        <w:ind w:left="360" w:hanging="72"/>
      </w:pPr>
    </w:lvl>
  </w:abstractNum>
  <w:abstractNum w:abstractNumId="165">
    <w:nsid w:val="419F38B2"/>
    <w:multiLevelType w:val="multilevel"/>
    <w:tmpl w:val="ACC8132C"/>
    <w:lvl w:ilvl="0">
      <w:start w:val="1"/>
      <w:numFmt w:val="upp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6">
    <w:nsid w:val="41B45F08"/>
    <w:multiLevelType w:val="singleLevel"/>
    <w:tmpl w:val="6598D7AC"/>
    <w:lvl w:ilvl="0">
      <w:start w:val="1"/>
      <w:numFmt w:val="bullet"/>
      <w:lvlText w:val="▪"/>
      <w:lvlJc w:val="left"/>
      <w:pPr>
        <w:tabs>
          <w:tab w:val="num" w:pos="720"/>
        </w:tabs>
        <w:ind w:left="720" w:hanging="720"/>
      </w:pPr>
      <w:rPr>
        <w:rFonts w:ascii="Times New Roman" w:hAnsi="Times New Roman" w:hint="default"/>
      </w:rPr>
    </w:lvl>
  </w:abstractNum>
  <w:abstractNum w:abstractNumId="167">
    <w:nsid w:val="42126D9E"/>
    <w:multiLevelType w:val="singleLevel"/>
    <w:tmpl w:val="14E274AE"/>
    <w:lvl w:ilvl="0">
      <w:start w:val="2"/>
      <w:numFmt w:val="decimal"/>
      <w:lvlText w:val="%1."/>
      <w:lvlJc w:val="left"/>
      <w:pPr>
        <w:tabs>
          <w:tab w:val="num" w:pos="648"/>
        </w:tabs>
        <w:ind w:left="288" w:firstLine="0"/>
      </w:pPr>
      <w:rPr>
        <w:b w:val="0"/>
        <w:i w:val="0"/>
        <w:u w:val="none"/>
      </w:rPr>
    </w:lvl>
  </w:abstractNum>
  <w:abstractNum w:abstractNumId="168">
    <w:nsid w:val="422D7F87"/>
    <w:multiLevelType w:val="singleLevel"/>
    <w:tmpl w:val="626AD0D8"/>
    <w:lvl w:ilvl="0">
      <w:start w:val="11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69">
    <w:nsid w:val="43002BA6"/>
    <w:multiLevelType w:val="singleLevel"/>
    <w:tmpl w:val="67B280C6"/>
    <w:lvl w:ilvl="0">
      <w:start w:val="12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70">
    <w:nsid w:val="43055C19"/>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171">
    <w:nsid w:val="432F169D"/>
    <w:multiLevelType w:val="singleLevel"/>
    <w:tmpl w:val="4F9A41CE"/>
    <w:lvl w:ilvl="0">
      <w:start w:val="9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72">
    <w:nsid w:val="440A05ED"/>
    <w:multiLevelType w:val="multilevel"/>
    <w:tmpl w:val="8C762028"/>
    <w:lvl w:ilvl="0">
      <w:start w:val="1"/>
      <w:numFmt w:val="none"/>
      <w:lvlText w:val="1."/>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73">
    <w:nsid w:val="452155C7"/>
    <w:multiLevelType w:val="singleLevel"/>
    <w:tmpl w:val="DC263094"/>
    <w:lvl w:ilvl="0">
      <w:start w:val="3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74">
    <w:nsid w:val="471B0C64"/>
    <w:multiLevelType w:val="multilevel"/>
    <w:tmpl w:val="030E710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5">
    <w:nsid w:val="47D74FB0"/>
    <w:multiLevelType w:val="singleLevel"/>
    <w:tmpl w:val="C0CE32D6"/>
    <w:lvl w:ilvl="0">
      <w:start w:val="10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76">
    <w:nsid w:val="49115ED2"/>
    <w:multiLevelType w:val="singleLevel"/>
    <w:tmpl w:val="49EAE78C"/>
    <w:lvl w:ilvl="0">
      <w:start w:val="1"/>
      <w:numFmt w:val="bullet"/>
      <w:lvlText w:val=""/>
      <w:lvlJc w:val="left"/>
      <w:pPr>
        <w:tabs>
          <w:tab w:val="num" w:pos="720"/>
        </w:tabs>
        <w:ind w:left="720" w:hanging="720"/>
      </w:pPr>
      <w:rPr>
        <w:rFonts w:ascii="Symbol" w:hAnsi="Symbol" w:hint="default"/>
      </w:rPr>
    </w:lvl>
  </w:abstractNum>
  <w:abstractNum w:abstractNumId="177">
    <w:nsid w:val="494A6BC7"/>
    <w:multiLevelType w:val="singleLevel"/>
    <w:tmpl w:val="F938A33E"/>
    <w:lvl w:ilvl="0">
      <w:numFmt w:val="bullet"/>
      <w:lvlText w:val="-"/>
      <w:lvlJc w:val="left"/>
      <w:pPr>
        <w:tabs>
          <w:tab w:val="num" w:pos="360"/>
        </w:tabs>
        <w:ind w:left="360" w:hanging="360"/>
      </w:pPr>
      <w:rPr>
        <w:rFonts w:hint="default"/>
      </w:rPr>
    </w:lvl>
  </w:abstractNum>
  <w:abstractNum w:abstractNumId="178">
    <w:nsid w:val="498B2599"/>
    <w:multiLevelType w:val="singleLevel"/>
    <w:tmpl w:val="4A4E083C"/>
    <w:lvl w:ilvl="0">
      <w:start w:val="4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79">
    <w:nsid w:val="49A74880"/>
    <w:multiLevelType w:val="singleLevel"/>
    <w:tmpl w:val="29B213E4"/>
    <w:lvl w:ilvl="0">
      <w:start w:val="7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80">
    <w:nsid w:val="49D40D5C"/>
    <w:multiLevelType w:val="multilevel"/>
    <w:tmpl w:val="3648DD1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1">
    <w:nsid w:val="4B3906F2"/>
    <w:multiLevelType w:val="singleLevel"/>
    <w:tmpl w:val="2E7C9D1A"/>
    <w:lvl w:ilvl="0">
      <w:start w:val="2"/>
      <w:numFmt w:val="bullet"/>
      <w:lvlText w:val="-"/>
      <w:lvlJc w:val="left"/>
      <w:pPr>
        <w:tabs>
          <w:tab w:val="num" w:pos="720"/>
        </w:tabs>
        <w:ind w:left="720" w:hanging="720"/>
      </w:pPr>
      <w:rPr>
        <w:rFonts w:hint="default"/>
      </w:rPr>
    </w:lvl>
  </w:abstractNum>
  <w:abstractNum w:abstractNumId="182">
    <w:nsid w:val="4CF80762"/>
    <w:multiLevelType w:val="multilevel"/>
    <w:tmpl w:val="E8E6458A"/>
    <w:lvl w:ilvl="0">
      <w:start w:val="1"/>
      <w:numFmt w:val="decimal"/>
      <w:lvlText w:val="%1)"/>
      <w:lvlJc w:val="left"/>
      <w:pPr>
        <w:tabs>
          <w:tab w:val="num" w:pos="720"/>
        </w:tabs>
        <w:ind w:left="720" w:hanging="360"/>
      </w:p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3">
    <w:nsid w:val="4DA74D72"/>
    <w:multiLevelType w:val="singleLevel"/>
    <w:tmpl w:val="841227FE"/>
    <w:lvl w:ilvl="0">
      <w:start w:val="4"/>
      <w:numFmt w:val="bullet"/>
      <w:lvlText w:val=""/>
      <w:lvlJc w:val="left"/>
      <w:pPr>
        <w:tabs>
          <w:tab w:val="num" w:pos="720"/>
        </w:tabs>
        <w:ind w:left="720" w:hanging="720"/>
      </w:pPr>
      <w:rPr>
        <w:rFonts w:ascii="Wingdings" w:hAnsi="Wingdings" w:hint="default"/>
        <w:sz w:val="16"/>
      </w:rPr>
    </w:lvl>
  </w:abstractNum>
  <w:abstractNum w:abstractNumId="184">
    <w:nsid w:val="4DE34488"/>
    <w:multiLevelType w:val="singleLevel"/>
    <w:tmpl w:val="D08ABDFE"/>
    <w:lvl w:ilvl="0">
      <w:start w:val="8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85">
    <w:nsid w:val="4E9D14D2"/>
    <w:multiLevelType w:val="multilevel"/>
    <w:tmpl w:val="CF940FC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6">
    <w:nsid w:val="4ED33EDF"/>
    <w:multiLevelType w:val="multilevel"/>
    <w:tmpl w:val="827C4E2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7">
    <w:nsid w:val="4F024E45"/>
    <w:multiLevelType w:val="singleLevel"/>
    <w:tmpl w:val="ED7C52FC"/>
    <w:lvl w:ilvl="0">
      <w:start w:val="1"/>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188">
    <w:nsid w:val="4FE37E6C"/>
    <w:multiLevelType w:val="multilevel"/>
    <w:tmpl w:val="79A04F32"/>
    <w:lvl w:ilvl="0">
      <w:start w:val="1"/>
      <w:numFmt w:val="lowerLetter"/>
      <w:lvlText w:val="%1)"/>
      <w:lvlJc w:val="left"/>
      <w:pPr>
        <w:tabs>
          <w:tab w:val="num" w:pos="2088"/>
        </w:tabs>
        <w:ind w:left="2088" w:hanging="360"/>
      </w:pPr>
    </w:lvl>
    <w:lvl w:ilvl="1" w:tentative="1">
      <w:start w:val="1"/>
      <w:numFmt w:val="lowerLetter"/>
      <w:lvlText w:val="%2."/>
      <w:lvlJc w:val="left"/>
      <w:pPr>
        <w:tabs>
          <w:tab w:val="num" w:pos="2808"/>
        </w:tabs>
        <w:ind w:left="2808" w:hanging="360"/>
      </w:pPr>
    </w:lvl>
    <w:lvl w:ilvl="2" w:tentative="1">
      <w:start w:val="1"/>
      <w:numFmt w:val="lowerRoman"/>
      <w:lvlText w:val="%3."/>
      <w:lvlJc w:val="right"/>
      <w:pPr>
        <w:tabs>
          <w:tab w:val="num" w:pos="3528"/>
        </w:tabs>
        <w:ind w:left="3528" w:hanging="180"/>
      </w:pPr>
    </w:lvl>
    <w:lvl w:ilvl="3" w:tentative="1">
      <w:start w:val="1"/>
      <w:numFmt w:val="decimal"/>
      <w:lvlText w:val="%4."/>
      <w:lvlJc w:val="left"/>
      <w:pPr>
        <w:tabs>
          <w:tab w:val="num" w:pos="4248"/>
        </w:tabs>
        <w:ind w:left="4248" w:hanging="360"/>
      </w:pPr>
    </w:lvl>
    <w:lvl w:ilvl="4" w:tentative="1">
      <w:start w:val="1"/>
      <w:numFmt w:val="lowerLetter"/>
      <w:lvlText w:val="%5."/>
      <w:lvlJc w:val="left"/>
      <w:pPr>
        <w:tabs>
          <w:tab w:val="num" w:pos="4968"/>
        </w:tabs>
        <w:ind w:left="4968" w:hanging="360"/>
      </w:pPr>
    </w:lvl>
    <w:lvl w:ilvl="5" w:tentative="1">
      <w:start w:val="1"/>
      <w:numFmt w:val="lowerRoman"/>
      <w:lvlText w:val="%6."/>
      <w:lvlJc w:val="right"/>
      <w:pPr>
        <w:tabs>
          <w:tab w:val="num" w:pos="5688"/>
        </w:tabs>
        <w:ind w:left="5688" w:hanging="180"/>
      </w:pPr>
    </w:lvl>
    <w:lvl w:ilvl="6" w:tentative="1">
      <w:start w:val="1"/>
      <w:numFmt w:val="decimal"/>
      <w:lvlText w:val="%7."/>
      <w:lvlJc w:val="left"/>
      <w:pPr>
        <w:tabs>
          <w:tab w:val="num" w:pos="6408"/>
        </w:tabs>
        <w:ind w:left="6408" w:hanging="360"/>
      </w:pPr>
    </w:lvl>
    <w:lvl w:ilvl="7" w:tentative="1">
      <w:start w:val="1"/>
      <w:numFmt w:val="lowerLetter"/>
      <w:lvlText w:val="%8."/>
      <w:lvlJc w:val="left"/>
      <w:pPr>
        <w:tabs>
          <w:tab w:val="num" w:pos="7128"/>
        </w:tabs>
        <w:ind w:left="7128" w:hanging="360"/>
      </w:pPr>
    </w:lvl>
    <w:lvl w:ilvl="8" w:tentative="1">
      <w:start w:val="1"/>
      <w:numFmt w:val="lowerRoman"/>
      <w:lvlText w:val="%9."/>
      <w:lvlJc w:val="right"/>
      <w:pPr>
        <w:tabs>
          <w:tab w:val="num" w:pos="7848"/>
        </w:tabs>
        <w:ind w:left="7848" w:hanging="180"/>
      </w:pPr>
    </w:lvl>
  </w:abstractNum>
  <w:abstractNum w:abstractNumId="189">
    <w:nsid w:val="501E662D"/>
    <w:multiLevelType w:val="multilevel"/>
    <w:tmpl w:val="B2EE0AD0"/>
    <w:lvl w:ilvl="0">
      <w:start w:val="12"/>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0">
    <w:nsid w:val="50545E73"/>
    <w:multiLevelType w:val="multilevel"/>
    <w:tmpl w:val="3788EF7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1">
    <w:nsid w:val="50580B4E"/>
    <w:multiLevelType w:val="multilevel"/>
    <w:tmpl w:val="09044474"/>
    <w:lvl w:ilvl="0">
      <w:start w:val="1"/>
      <w:numFmt w:val="upperLetter"/>
      <w:lvlText w:val="%1."/>
      <w:lvlJc w:val="left"/>
      <w:pPr>
        <w:tabs>
          <w:tab w:val="num" w:pos="720"/>
        </w:tabs>
        <w:ind w:left="720" w:hanging="360"/>
      </w:pPr>
      <w:rPr>
        <w:rFonts w:hint="default"/>
      </w:rPr>
    </w:lvl>
    <w:lvl w:ilvl="1">
      <w:start w:val="1"/>
      <w:numFmt w:val="decimal"/>
      <w:lvlText w:val="%2."/>
      <w:lvlJc w:val="left"/>
      <w:pPr>
        <w:tabs>
          <w:tab w:val="num" w:pos="1560"/>
        </w:tabs>
        <w:ind w:left="1560" w:hanging="48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2">
    <w:nsid w:val="505C2B4B"/>
    <w:multiLevelType w:val="singleLevel"/>
    <w:tmpl w:val="D092257E"/>
    <w:lvl w:ilvl="0">
      <w:start w:val="1"/>
      <w:numFmt w:val="bullet"/>
      <w:lvlText w:val="○"/>
      <w:lvlJc w:val="left"/>
      <w:pPr>
        <w:tabs>
          <w:tab w:val="num" w:pos="720"/>
        </w:tabs>
        <w:ind w:left="720" w:hanging="720"/>
      </w:pPr>
      <w:rPr>
        <w:rFonts w:ascii="Times New Roman" w:hAnsi="Times New Roman" w:hint="default"/>
      </w:rPr>
    </w:lvl>
  </w:abstractNum>
  <w:abstractNum w:abstractNumId="193">
    <w:nsid w:val="507A1C8B"/>
    <w:multiLevelType w:val="singleLevel"/>
    <w:tmpl w:val="F938A33E"/>
    <w:lvl w:ilvl="0">
      <w:numFmt w:val="bullet"/>
      <w:lvlText w:val="-"/>
      <w:lvlJc w:val="left"/>
      <w:pPr>
        <w:tabs>
          <w:tab w:val="num" w:pos="360"/>
        </w:tabs>
        <w:ind w:left="360" w:hanging="360"/>
      </w:pPr>
      <w:rPr>
        <w:rFonts w:hint="default"/>
      </w:rPr>
    </w:lvl>
  </w:abstractNum>
  <w:abstractNum w:abstractNumId="194">
    <w:nsid w:val="509F2A75"/>
    <w:multiLevelType w:val="singleLevel"/>
    <w:tmpl w:val="EA289FA2"/>
    <w:lvl w:ilvl="0">
      <w:start w:val="2"/>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195">
    <w:nsid w:val="50ED5F38"/>
    <w:multiLevelType w:val="singleLevel"/>
    <w:tmpl w:val="B00C54D0"/>
    <w:lvl w:ilvl="0">
      <w:numFmt w:val="bullet"/>
      <w:lvlText w:val="-"/>
      <w:lvlJc w:val="left"/>
      <w:pPr>
        <w:tabs>
          <w:tab w:val="num" w:pos="475"/>
        </w:tabs>
        <w:ind w:left="475" w:hanging="475"/>
      </w:pPr>
      <w:rPr>
        <w:rFonts w:hint="default"/>
      </w:rPr>
    </w:lvl>
  </w:abstractNum>
  <w:abstractNum w:abstractNumId="196">
    <w:nsid w:val="511E3A7C"/>
    <w:multiLevelType w:val="multilevel"/>
    <w:tmpl w:val="EC0AF14C"/>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197">
    <w:nsid w:val="513511CB"/>
    <w:multiLevelType w:val="multilevel"/>
    <w:tmpl w:val="89AE448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8">
    <w:nsid w:val="519B6010"/>
    <w:multiLevelType w:val="singleLevel"/>
    <w:tmpl w:val="11984E96"/>
    <w:lvl w:ilvl="0">
      <w:start w:val="4"/>
      <w:numFmt w:val="decimal"/>
      <w:lvlText w:val="%1."/>
      <w:lvlJc w:val="left"/>
      <w:pPr>
        <w:tabs>
          <w:tab w:val="num" w:pos="720"/>
        </w:tabs>
        <w:ind w:left="720" w:hanging="720"/>
      </w:pPr>
      <w:rPr>
        <w:rFonts w:hint="default"/>
      </w:rPr>
    </w:lvl>
  </w:abstractNum>
  <w:abstractNum w:abstractNumId="199">
    <w:nsid w:val="52C34885"/>
    <w:multiLevelType w:val="singleLevel"/>
    <w:tmpl w:val="E556B404"/>
    <w:lvl w:ilvl="0">
      <w:start w:val="1"/>
      <w:numFmt w:val="decimal"/>
      <w:lvlText w:val="%1."/>
      <w:lvlJc w:val="left"/>
      <w:pPr>
        <w:tabs>
          <w:tab w:val="num" w:pos="648"/>
        </w:tabs>
        <w:ind w:left="288" w:firstLine="0"/>
      </w:pPr>
    </w:lvl>
  </w:abstractNum>
  <w:abstractNum w:abstractNumId="200">
    <w:nsid w:val="52F00051"/>
    <w:multiLevelType w:val="singleLevel"/>
    <w:tmpl w:val="E556B404"/>
    <w:lvl w:ilvl="0">
      <w:start w:val="1"/>
      <w:numFmt w:val="decimal"/>
      <w:lvlText w:val="%1."/>
      <w:lvlJc w:val="left"/>
      <w:pPr>
        <w:tabs>
          <w:tab w:val="num" w:pos="648"/>
        </w:tabs>
        <w:ind w:left="288" w:firstLine="0"/>
      </w:pPr>
    </w:lvl>
  </w:abstractNum>
  <w:abstractNum w:abstractNumId="201">
    <w:nsid w:val="53081281"/>
    <w:multiLevelType w:val="singleLevel"/>
    <w:tmpl w:val="E556B404"/>
    <w:lvl w:ilvl="0">
      <w:start w:val="1"/>
      <w:numFmt w:val="decimal"/>
      <w:lvlText w:val="%1."/>
      <w:lvlJc w:val="left"/>
      <w:pPr>
        <w:tabs>
          <w:tab w:val="num" w:pos="648"/>
        </w:tabs>
        <w:ind w:left="288" w:firstLine="0"/>
      </w:pPr>
    </w:lvl>
  </w:abstractNum>
  <w:abstractNum w:abstractNumId="202">
    <w:nsid w:val="54C24DB7"/>
    <w:multiLevelType w:val="singleLevel"/>
    <w:tmpl w:val="79D089C4"/>
    <w:lvl w:ilvl="0">
      <w:start w:val="1"/>
      <w:numFmt w:val="decimal"/>
      <w:lvlText w:val="%1."/>
      <w:lvlJc w:val="left"/>
      <w:pPr>
        <w:tabs>
          <w:tab w:val="num" w:pos="360"/>
        </w:tabs>
        <w:ind w:left="0" w:firstLine="0"/>
      </w:pPr>
    </w:lvl>
  </w:abstractNum>
  <w:abstractNum w:abstractNumId="203">
    <w:nsid w:val="55DD52EB"/>
    <w:multiLevelType w:val="multilevel"/>
    <w:tmpl w:val="8A6A863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4">
    <w:nsid w:val="560E1ED1"/>
    <w:multiLevelType w:val="singleLevel"/>
    <w:tmpl w:val="0409000F"/>
    <w:lvl w:ilvl="0">
      <w:start w:val="1"/>
      <w:numFmt w:val="decimal"/>
      <w:lvlText w:val="%1."/>
      <w:lvlJc w:val="left"/>
      <w:pPr>
        <w:tabs>
          <w:tab w:val="num" w:pos="360"/>
        </w:tabs>
        <w:ind w:left="360" w:hanging="360"/>
      </w:pPr>
    </w:lvl>
  </w:abstractNum>
  <w:abstractNum w:abstractNumId="205">
    <w:nsid w:val="56293BC1"/>
    <w:multiLevelType w:val="singleLevel"/>
    <w:tmpl w:val="4B86DA22"/>
    <w:lvl w:ilvl="0">
      <w:start w:val="13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06">
    <w:nsid w:val="573711FF"/>
    <w:multiLevelType w:val="multilevel"/>
    <w:tmpl w:val="0D6AF94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7">
    <w:nsid w:val="573B31A3"/>
    <w:multiLevelType w:val="singleLevel"/>
    <w:tmpl w:val="CBECD16A"/>
    <w:lvl w:ilvl="0">
      <w:start w:val="3"/>
      <w:numFmt w:val="upperLetter"/>
      <w:lvlText w:val="%1."/>
      <w:lvlJc w:val="left"/>
      <w:pPr>
        <w:tabs>
          <w:tab w:val="num" w:pos="1080"/>
        </w:tabs>
        <w:ind w:left="1080" w:hanging="360"/>
      </w:pPr>
      <w:rPr>
        <w:rFonts w:hint="default"/>
      </w:rPr>
    </w:lvl>
  </w:abstractNum>
  <w:abstractNum w:abstractNumId="208">
    <w:nsid w:val="57B86EA9"/>
    <w:multiLevelType w:val="multilevel"/>
    <w:tmpl w:val="27A8DC36"/>
    <w:lvl w:ilvl="0">
      <w:start w:val="3"/>
      <w:numFmt w:val="decimal"/>
      <w:lvlText w:val="%1."/>
      <w:lvlJc w:val="left"/>
      <w:pPr>
        <w:tabs>
          <w:tab w:val="num" w:pos="648"/>
        </w:tabs>
        <w:ind w:left="648" w:hanging="360"/>
      </w:pPr>
      <w:rPr>
        <w:rFonts w:hint="default"/>
      </w:rPr>
    </w:lvl>
    <w:lvl w:ilvl="1" w:tentative="1">
      <w:start w:val="1"/>
      <w:numFmt w:val="lowerLetter"/>
      <w:lvlText w:val="%2."/>
      <w:lvlJc w:val="left"/>
      <w:pPr>
        <w:tabs>
          <w:tab w:val="num" w:pos="1368"/>
        </w:tabs>
        <w:ind w:left="1368" w:hanging="360"/>
      </w:pPr>
    </w:lvl>
    <w:lvl w:ilvl="2" w:tentative="1">
      <w:start w:val="1"/>
      <w:numFmt w:val="lowerRoman"/>
      <w:lvlText w:val="%3."/>
      <w:lvlJc w:val="right"/>
      <w:pPr>
        <w:tabs>
          <w:tab w:val="num" w:pos="2088"/>
        </w:tabs>
        <w:ind w:left="2088" w:hanging="180"/>
      </w:pPr>
    </w:lvl>
    <w:lvl w:ilvl="3" w:tentative="1">
      <w:start w:val="1"/>
      <w:numFmt w:val="decimal"/>
      <w:lvlText w:val="%4."/>
      <w:lvlJc w:val="left"/>
      <w:pPr>
        <w:tabs>
          <w:tab w:val="num" w:pos="2808"/>
        </w:tabs>
        <w:ind w:left="2808" w:hanging="360"/>
      </w:pPr>
    </w:lvl>
    <w:lvl w:ilvl="4" w:tentative="1">
      <w:start w:val="1"/>
      <w:numFmt w:val="lowerLetter"/>
      <w:lvlText w:val="%5."/>
      <w:lvlJc w:val="left"/>
      <w:pPr>
        <w:tabs>
          <w:tab w:val="num" w:pos="3528"/>
        </w:tabs>
        <w:ind w:left="3528" w:hanging="360"/>
      </w:pPr>
    </w:lvl>
    <w:lvl w:ilvl="5" w:tentative="1">
      <w:start w:val="1"/>
      <w:numFmt w:val="lowerRoman"/>
      <w:lvlText w:val="%6."/>
      <w:lvlJc w:val="right"/>
      <w:pPr>
        <w:tabs>
          <w:tab w:val="num" w:pos="4248"/>
        </w:tabs>
        <w:ind w:left="4248" w:hanging="180"/>
      </w:pPr>
    </w:lvl>
    <w:lvl w:ilvl="6" w:tentative="1">
      <w:start w:val="1"/>
      <w:numFmt w:val="decimal"/>
      <w:lvlText w:val="%7."/>
      <w:lvlJc w:val="left"/>
      <w:pPr>
        <w:tabs>
          <w:tab w:val="num" w:pos="4968"/>
        </w:tabs>
        <w:ind w:left="4968" w:hanging="360"/>
      </w:pPr>
    </w:lvl>
    <w:lvl w:ilvl="7" w:tentative="1">
      <w:start w:val="1"/>
      <w:numFmt w:val="lowerLetter"/>
      <w:lvlText w:val="%8."/>
      <w:lvlJc w:val="left"/>
      <w:pPr>
        <w:tabs>
          <w:tab w:val="num" w:pos="5688"/>
        </w:tabs>
        <w:ind w:left="5688" w:hanging="360"/>
      </w:pPr>
    </w:lvl>
    <w:lvl w:ilvl="8" w:tentative="1">
      <w:start w:val="1"/>
      <w:numFmt w:val="lowerRoman"/>
      <w:lvlText w:val="%9."/>
      <w:lvlJc w:val="right"/>
      <w:pPr>
        <w:tabs>
          <w:tab w:val="num" w:pos="6408"/>
        </w:tabs>
        <w:ind w:left="6408" w:hanging="180"/>
      </w:pPr>
    </w:lvl>
  </w:abstractNum>
  <w:abstractNum w:abstractNumId="209">
    <w:nsid w:val="595A0FF8"/>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210">
    <w:nsid w:val="5A220288"/>
    <w:multiLevelType w:val="singleLevel"/>
    <w:tmpl w:val="7E82D4EA"/>
    <w:lvl w:ilvl="0">
      <w:start w:val="7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11">
    <w:nsid w:val="5A9B393A"/>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12">
    <w:nsid w:val="5AAD7295"/>
    <w:multiLevelType w:val="singleLevel"/>
    <w:tmpl w:val="F8BAB2E8"/>
    <w:lvl w:ilvl="0">
      <w:start w:val="5"/>
      <w:numFmt w:val="upperRoman"/>
      <w:lvlText w:val="%1. "/>
      <w:legacy w:legacy="1" w:legacySpace="0" w:legacyIndent="283"/>
      <w:lvlJc w:val="left"/>
      <w:pPr>
        <w:ind w:left="283" w:hanging="283"/>
      </w:pPr>
      <w:rPr>
        <w:rFonts w:ascii="Times New Roman" w:hAnsi="Times New Roman" w:hint="default"/>
        <w:b w:val="0"/>
        <w:i w:val="0"/>
        <w:sz w:val="28"/>
        <w:u w:val="none"/>
      </w:rPr>
    </w:lvl>
  </w:abstractNum>
  <w:abstractNum w:abstractNumId="213">
    <w:nsid w:val="5B1738B9"/>
    <w:multiLevelType w:val="singleLevel"/>
    <w:tmpl w:val="0409000F"/>
    <w:lvl w:ilvl="0">
      <w:start w:val="1"/>
      <w:numFmt w:val="decimal"/>
      <w:lvlText w:val="%1."/>
      <w:lvlJc w:val="left"/>
      <w:pPr>
        <w:tabs>
          <w:tab w:val="num" w:pos="360"/>
        </w:tabs>
        <w:ind w:left="360" w:hanging="360"/>
      </w:pPr>
    </w:lvl>
  </w:abstractNum>
  <w:abstractNum w:abstractNumId="214">
    <w:nsid w:val="5B3722D1"/>
    <w:multiLevelType w:val="singleLevel"/>
    <w:tmpl w:val="22A42FB2"/>
    <w:lvl w:ilvl="0">
      <w:start w:val="1"/>
      <w:numFmt w:val="decimal"/>
      <w:lvlText w:val="%1."/>
      <w:lvlJc w:val="left"/>
      <w:pPr>
        <w:tabs>
          <w:tab w:val="num" w:pos="648"/>
        </w:tabs>
        <w:ind w:left="360" w:hanging="72"/>
      </w:pPr>
      <w:rPr>
        <w:b w:val="0"/>
        <w:i w:val="0"/>
        <w:u w:val="none"/>
      </w:rPr>
    </w:lvl>
  </w:abstractNum>
  <w:abstractNum w:abstractNumId="215">
    <w:nsid w:val="5B3D75ED"/>
    <w:multiLevelType w:val="multilevel"/>
    <w:tmpl w:val="A31E5AE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6">
    <w:nsid w:val="5B9476C9"/>
    <w:multiLevelType w:val="singleLevel"/>
    <w:tmpl w:val="E0743FFA"/>
    <w:lvl w:ilvl="0">
      <w:start w:val="1"/>
      <w:numFmt w:val="decimal"/>
      <w:lvlText w:val="%1."/>
      <w:lvlJc w:val="left"/>
      <w:pPr>
        <w:tabs>
          <w:tab w:val="num" w:pos="648"/>
        </w:tabs>
        <w:ind w:left="360" w:hanging="72"/>
      </w:pPr>
    </w:lvl>
  </w:abstractNum>
  <w:abstractNum w:abstractNumId="217">
    <w:nsid w:val="5BAB79B9"/>
    <w:multiLevelType w:val="singleLevel"/>
    <w:tmpl w:val="0409000F"/>
    <w:lvl w:ilvl="0">
      <w:start w:val="1"/>
      <w:numFmt w:val="decimal"/>
      <w:lvlText w:val="%1."/>
      <w:lvlJc w:val="left"/>
      <w:pPr>
        <w:tabs>
          <w:tab w:val="num" w:pos="360"/>
        </w:tabs>
        <w:ind w:left="360" w:hanging="360"/>
      </w:pPr>
    </w:lvl>
  </w:abstractNum>
  <w:abstractNum w:abstractNumId="218">
    <w:nsid w:val="5C976239"/>
    <w:multiLevelType w:val="singleLevel"/>
    <w:tmpl w:val="BCF453B2"/>
    <w:lvl w:ilvl="0">
      <w:start w:val="11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19">
    <w:nsid w:val="5CDF13EF"/>
    <w:multiLevelType w:val="singleLevel"/>
    <w:tmpl w:val="DDFA387A"/>
    <w:lvl w:ilvl="0">
      <w:start w:val="1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20">
    <w:nsid w:val="5E0772A6"/>
    <w:multiLevelType w:val="singleLevel"/>
    <w:tmpl w:val="7ED4004C"/>
    <w:lvl w:ilvl="0">
      <w:numFmt w:val="bullet"/>
      <w:lvlText w:val=""/>
      <w:lvlJc w:val="left"/>
      <w:pPr>
        <w:tabs>
          <w:tab w:val="num" w:pos="720"/>
        </w:tabs>
        <w:ind w:left="720" w:hanging="648"/>
      </w:pPr>
      <w:rPr>
        <w:rFonts w:ascii="Wingdings" w:hAnsi="Wingdings" w:hint="default"/>
      </w:rPr>
    </w:lvl>
  </w:abstractNum>
  <w:abstractNum w:abstractNumId="221">
    <w:nsid w:val="5E9132A3"/>
    <w:multiLevelType w:val="singleLevel"/>
    <w:tmpl w:val="917E3110"/>
    <w:lvl w:ilvl="0">
      <w:start w:val="1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22">
    <w:nsid w:val="5EA472E2"/>
    <w:multiLevelType w:val="multilevel"/>
    <w:tmpl w:val="1E7C015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3">
    <w:nsid w:val="5EA645AC"/>
    <w:multiLevelType w:val="singleLevel"/>
    <w:tmpl w:val="2F90F8EC"/>
    <w:lvl w:ilvl="0">
      <w:start w:val="1"/>
      <w:numFmt w:val="lowerLetter"/>
      <w:lvlText w:val="(%1)"/>
      <w:lvlJc w:val="left"/>
      <w:pPr>
        <w:tabs>
          <w:tab w:val="num" w:pos="1080"/>
        </w:tabs>
        <w:ind w:left="1080" w:hanging="360"/>
      </w:pPr>
      <w:rPr>
        <w:rFonts w:hint="default"/>
      </w:rPr>
    </w:lvl>
  </w:abstractNum>
  <w:abstractNum w:abstractNumId="224">
    <w:nsid w:val="5EA80B45"/>
    <w:multiLevelType w:val="singleLevel"/>
    <w:tmpl w:val="1D8A781A"/>
    <w:lvl w:ilvl="0">
      <w:start w:val="2"/>
      <w:numFmt w:val="upp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225">
    <w:nsid w:val="5F02221A"/>
    <w:multiLevelType w:val="singleLevel"/>
    <w:tmpl w:val="04601AD2"/>
    <w:lvl w:ilvl="0">
      <w:start w:val="1"/>
      <w:numFmt w:val="upperRoman"/>
      <w:lvlText w:val="%1."/>
      <w:lvlJc w:val="left"/>
      <w:pPr>
        <w:tabs>
          <w:tab w:val="num" w:pos="1170"/>
        </w:tabs>
        <w:ind w:left="1170" w:hanging="720"/>
      </w:pPr>
      <w:rPr>
        <w:rFonts w:hint="default"/>
      </w:rPr>
    </w:lvl>
  </w:abstractNum>
  <w:abstractNum w:abstractNumId="226">
    <w:nsid w:val="5FBA2C93"/>
    <w:multiLevelType w:val="singleLevel"/>
    <w:tmpl w:val="B00C54D0"/>
    <w:lvl w:ilvl="0">
      <w:numFmt w:val="bullet"/>
      <w:lvlText w:val="-"/>
      <w:lvlJc w:val="left"/>
      <w:pPr>
        <w:tabs>
          <w:tab w:val="num" w:pos="475"/>
        </w:tabs>
        <w:ind w:left="475" w:hanging="475"/>
      </w:pPr>
      <w:rPr>
        <w:rFonts w:hint="default"/>
      </w:rPr>
    </w:lvl>
  </w:abstractNum>
  <w:abstractNum w:abstractNumId="227">
    <w:nsid w:val="602827E8"/>
    <w:multiLevelType w:val="singleLevel"/>
    <w:tmpl w:val="79D089C4"/>
    <w:lvl w:ilvl="0">
      <w:start w:val="1"/>
      <w:numFmt w:val="decimal"/>
      <w:lvlText w:val="%1."/>
      <w:lvlJc w:val="left"/>
      <w:pPr>
        <w:tabs>
          <w:tab w:val="num" w:pos="360"/>
        </w:tabs>
        <w:ind w:left="0" w:firstLine="0"/>
      </w:pPr>
    </w:lvl>
  </w:abstractNum>
  <w:abstractNum w:abstractNumId="228">
    <w:nsid w:val="605C02FF"/>
    <w:multiLevelType w:val="singleLevel"/>
    <w:tmpl w:val="77743DB6"/>
    <w:lvl w:ilvl="0">
      <w:start w:val="1"/>
      <w:numFmt w:val="lowerLetter"/>
      <w:lvlText w:val="(%1)"/>
      <w:lvlJc w:val="left"/>
      <w:pPr>
        <w:tabs>
          <w:tab w:val="num" w:pos="360"/>
        </w:tabs>
        <w:ind w:left="360" w:hanging="360"/>
      </w:pPr>
    </w:lvl>
  </w:abstractNum>
  <w:abstractNum w:abstractNumId="229">
    <w:nsid w:val="609A4A82"/>
    <w:multiLevelType w:val="singleLevel"/>
    <w:tmpl w:val="2360A0FA"/>
    <w:lvl w:ilvl="0">
      <w:start w:val="1"/>
      <w:numFmt w:val="upperRoman"/>
      <w:lvlText w:val="%1."/>
      <w:lvlJc w:val="left"/>
      <w:pPr>
        <w:tabs>
          <w:tab w:val="num" w:pos="1170"/>
        </w:tabs>
        <w:ind w:left="1170" w:hanging="1170"/>
      </w:pPr>
      <w:rPr>
        <w:rFonts w:hint="default"/>
      </w:rPr>
    </w:lvl>
  </w:abstractNum>
  <w:abstractNum w:abstractNumId="230">
    <w:nsid w:val="60AC7E9D"/>
    <w:multiLevelType w:val="multilevel"/>
    <w:tmpl w:val="2C80A39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1">
    <w:nsid w:val="60B25AE9"/>
    <w:multiLevelType w:val="singleLevel"/>
    <w:tmpl w:val="1D8A781A"/>
    <w:lvl w:ilvl="0">
      <w:start w:val="2"/>
      <w:numFmt w:val="upperLetter"/>
      <w:lvlText w:val="%1. "/>
      <w:legacy w:legacy="1" w:legacySpace="0" w:legacyIndent="283"/>
      <w:lvlJc w:val="left"/>
      <w:pPr>
        <w:ind w:left="1723" w:hanging="283"/>
      </w:pPr>
      <w:rPr>
        <w:rFonts w:ascii="Times New Roman" w:hAnsi="Times New Roman" w:hint="default"/>
        <w:b w:val="0"/>
        <w:i w:val="0"/>
        <w:sz w:val="28"/>
        <w:u w:val="none"/>
      </w:rPr>
    </w:lvl>
  </w:abstractNum>
  <w:abstractNum w:abstractNumId="232">
    <w:nsid w:val="60C407F1"/>
    <w:multiLevelType w:val="singleLevel"/>
    <w:tmpl w:val="A33E16D0"/>
    <w:lvl w:ilvl="0">
      <w:start w:val="127"/>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33">
    <w:nsid w:val="60E85D26"/>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234">
    <w:nsid w:val="616B05F5"/>
    <w:multiLevelType w:val="multilevel"/>
    <w:tmpl w:val="8C762028"/>
    <w:lvl w:ilvl="0">
      <w:start w:val="1"/>
      <w:numFmt w:val="none"/>
      <w:lvlText w:val="1."/>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235">
    <w:nsid w:val="6199747F"/>
    <w:multiLevelType w:val="singleLevel"/>
    <w:tmpl w:val="B00C54D0"/>
    <w:lvl w:ilvl="0">
      <w:numFmt w:val="bullet"/>
      <w:lvlText w:val="-"/>
      <w:lvlJc w:val="left"/>
      <w:pPr>
        <w:tabs>
          <w:tab w:val="num" w:pos="475"/>
        </w:tabs>
        <w:ind w:left="475" w:hanging="475"/>
      </w:pPr>
      <w:rPr>
        <w:rFonts w:hint="default"/>
      </w:rPr>
    </w:lvl>
  </w:abstractNum>
  <w:abstractNum w:abstractNumId="236">
    <w:nsid w:val="61AF43ED"/>
    <w:multiLevelType w:val="singleLevel"/>
    <w:tmpl w:val="04090013"/>
    <w:lvl w:ilvl="0">
      <w:start w:val="1"/>
      <w:numFmt w:val="upperRoman"/>
      <w:lvlText w:val="%1."/>
      <w:lvlJc w:val="left"/>
      <w:pPr>
        <w:tabs>
          <w:tab w:val="num" w:pos="720"/>
        </w:tabs>
        <w:ind w:left="720" w:hanging="720"/>
      </w:pPr>
      <w:rPr>
        <w:rFonts w:hint="default"/>
      </w:rPr>
    </w:lvl>
  </w:abstractNum>
  <w:abstractNum w:abstractNumId="237">
    <w:nsid w:val="61F830AA"/>
    <w:multiLevelType w:val="singleLevel"/>
    <w:tmpl w:val="4B0EBF18"/>
    <w:lvl w:ilvl="0">
      <w:start w:val="3"/>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238">
    <w:nsid w:val="625A5FCE"/>
    <w:multiLevelType w:val="singleLevel"/>
    <w:tmpl w:val="F938A33E"/>
    <w:lvl w:ilvl="0">
      <w:numFmt w:val="bullet"/>
      <w:lvlText w:val="-"/>
      <w:lvlJc w:val="left"/>
      <w:pPr>
        <w:tabs>
          <w:tab w:val="num" w:pos="360"/>
        </w:tabs>
        <w:ind w:left="360" w:hanging="360"/>
      </w:pPr>
      <w:rPr>
        <w:rFonts w:hint="default"/>
      </w:rPr>
    </w:lvl>
  </w:abstractNum>
  <w:abstractNum w:abstractNumId="239">
    <w:nsid w:val="62B87278"/>
    <w:multiLevelType w:val="singleLevel"/>
    <w:tmpl w:val="7ED4004C"/>
    <w:lvl w:ilvl="0">
      <w:numFmt w:val="bullet"/>
      <w:lvlText w:val=""/>
      <w:lvlJc w:val="left"/>
      <w:pPr>
        <w:tabs>
          <w:tab w:val="num" w:pos="720"/>
        </w:tabs>
        <w:ind w:left="720" w:hanging="648"/>
      </w:pPr>
      <w:rPr>
        <w:rFonts w:ascii="Wingdings" w:hAnsi="Wingdings" w:hint="default"/>
      </w:rPr>
    </w:lvl>
  </w:abstractNum>
  <w:abstractNum w:abstractNumId="240">
    <w:nsid w:val="63CF48FB"/>
    <w:multiLevelType w:val="singleLevel"/>
    <w:tmpl w:val="1F6E04D0"/>
    <w:lvl w:ilvl="0">
      <w:start w:val="3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41">
    <w:nsid w:val="645D0754"/>
    <w:multiLevelType w:val="singleLevel"/>
    <w:tmpl w:val="999C6C32"/>
    <w:lvl w:ilvl="0">
      <w:start w:val="1"/>
      <w:numFmt w:val="decimal"/>
      <w:lvlText w:val="%1."/>
      <w:lvlJc w:val="left"/>
      <w:pPr>
        <w:tabs>
          <w:tab w:val="num" w:pos="720"/>
        </w:tabs>
        <w:ind w:left="720" w:hanging="720"/>
      </w:pPr>
      <w:rPr>
        <w:rFonts w:hint="default"/>
      </w:rPr>
    </w:lvl>
  </w:abstractNum>
  <w:abstractNum w:abstractNumId="242">
    <w:nsid w:val="64CD4C30"/>
    <w:multiLevelType w:val="singleLevel"/>
    <w:tmpl w:val="73A052C4"/>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43">
    <w:nsid w:val="64E270CB"/>
    <w:multiLevelType w:val="singleLevel"/>
    <w:tmpl w:val="B00C54D0"/>
    <w:lvl w:ilvl="0">
      <w:numFmt w:val="bullet"/>
      <w:lvlText w:val="-"/>
      <w:lvlJc w:val="left"/>
      <w:pPr>
        <w:tabs>
          <w:tab w:val="num" w:pos="475"/>
        </w:tabs>
        <w:ind w:left="475" w:hanging="475"/>
      </w:pPr>
      <w:rPr>
        <w:rFonts w:hint="default"/>
      </w:rPr>
    </w:lvl>
  </w:abstractNum>
  <w:abstractNum w:abstractNumId="244">
    <w:nsid w:val="64FA1F19"/>
    <w:multiLevelType w:val="multilevel"/>
    <w:tmpl w:val="8E70F91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5">
    <w:nsid w:val="65275EF0"/>
    <w:multiLevelType w:val="singleLevel"/>
    <w:tmpl w:val="04190005"/>
    <w:lvl w:ilvl="0">
      <w:start w:val="1"/>
      <w:numFmt w:val="bullet"/>
      <w:lvlText w:val=""/>
      <w:lvlJc w:val="left"/>
      <w:pPr>
        <w:tabs>
          <w:tab w:val="num" w:pos="360"/>
        </w:tabs>
        <w:ind w:left="360" w:hanging="360"/>
      </w:pPr>
      <w:rPr>
        <w:rFonts w:ascii="Wingdings" w:hAnsi="Wingdings" w:hint="default"/>
      </w:rPr>
    </w:lvl>
  </w:abstractNum>
  <w:abstractNum w:abstractNumId="246">
    <w:nsid w:val="652C22B3"/>
    <w:multiLevelType w:val="singleLevel"/>
    <w:tmpl w:val="E15E8F0A"/>
    <w:lvl w:ilvl="0">
      <w:start w:val="1"/>
      <w:numFmt w:val="lowerLetter"/>
      <w:lvlText w:val="%1)"/>
      <w:lvlJc w:val="left"/>
      <w:pPr>
        <w:tabs>
          <w:tab w:val="num" w:pos="1080"/>
        </w:tabs>
        <w:ind w:left="1080" w:hanging="360"/>
      </w:pPr>
      <w:rPr>
        <w:rFonts w:hint="default"/>
      </w:rPr>
    </w:lvl>
  </w:abstractNum>
  <w:abstractNum w:abstractNumId="247">
    <w:nsid w:val="660A6B07"/>
    <w:multiLevelType w:val="singleLevel"/>
    <w:tmpl w:val="99BEB8D8"/>
    <w:lvl w:ilvl="0">
      <w:start w:val="1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48">
    <w:nsid w:val="66273806"/>
    <w:multiLevelType w:val="singleLevel"/>
    <w:tmpl w:val="1EEC89D8"/>
    <w:lvl w:ilvl="0">
      <w:start w:val="2"/>
      <w:numFmt w:val="decimal"/>
      <w:lvlText w:val="%1. "/>
      <w:legacy w:legacy="1" w:legacySpace="0" w:legacyIndent="283"/>
      <w:lvlJc w:val="left"/>
      <w:pPr>
        <w:ind w:left="1003" w:hanging="283"/>
      </w:pPr>
      <w:rPr>
        <w:rFonts w:ascii="Times New Roman" w:hAnsi="Times New Roman" w:hint="default"/>
        <w:b w:val="0"/>
        <w:i w:val="0"/>
        <w:sz w:val="28"/>
        <w:u w:val="none"/>
      </w:rPr>
    </w:lvl>
  </w:abstractNum>
  <w:abstractNum w:abstractNumId="249">
    <w:nsid w:val="66354280"/>
    <w:multiLevelType w:val="singleLevel"/>
    <w:tmpl w:val="04190005"/>
    <w:lvl w:ilvl="0">
      <w:start w:val="1"/>
      <w:numFmt w:val="bullet"/>
      <w:lvlText w:val=""/>
      <w:lvlJc w:val="left"/>
      <w:pPr>
        <w:tabs>
          <w:tab w:val="num" w:pos="360"/>
        </w:tabs>
        <w:ind w:left="360" w:hanging="360"/>
      </w:pPr>
      <w:rPr>
        <w:rFonts w:ascii="Wingdings" w:hAnsi="Wingdings" w:hint="default"/>
      </w:rPr>
    </w:lvl>
  </w:abstractNum>
  <w:abstractNum w:abstractNumId="250">
    <w:nsid w:val="663F5AE9"/>
    <w:multiLevelType w:val="singleLevel"/>
    <w:tmpl w:val="C834ECDE"/>
    <w:lvl w:ilvl="0">
      <w:start w:val="1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51">
    <w:nsid w:val="665223EC"/>
    <w:multiLevelType w:val="singleLevel"/>
    <w:tmpl w:val="C07E321E"/>
    <w:lvl w:ilvl="0">
      <w:start w:val="1"/>
      <w:numFmt w:val="upperLetter"/>
      <w:lvlText w:val="%1."/>
      <w:lvlJc w:val="left"/>
      <w:pPr>
        <w:tabs>
          <w:tab w:val="num" w:pos="720"/>
        </w:tabs>
        <w:ind w:left="720" w:hanging="720"/>
      </w:pPr>
      <w:rPr>
        <w:rFonts w:hint="default"/>
      </w:rPr>
    </w:lvl>
  </w:abstractNum>
  <w:abstractNum w:abstractNumId="252">
    <w:nsid w:val="66690D52"/>
    <w:multiLevelType w:val="multilevel"/>
    <w:tmpl w:val="868415F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3">
    <w:nsid w:val="66A20F34"/>
    <w:multiLevelType w:val="singleLevel"/>
    <w:tmpl w:val="4E101ED6"/>
    <w:lvl w:ilvl="0">
      <w:start w:val="1"/>
      <w:numFmt w:val="bullet"/>
      <w:lvlText w:val=""/>
      <w:lvlJc w:val="left"/>
      <w:pPr>
        <w:tabs>
          <w:tab w:val="num" w:pos="720"/>
        </w:tabs>
        <w:ind w:left="720" w:hanging="720"/>
      </w:pPr>
      <w:rPr>
        <w:rFonts w:ascii="Symbol" w:hAnsi="Symbol" w:hint="default"/>
      </w:rPr>
    </w:lvl>
  </w:abstractNum>
  <w:abstractNum w:abstractNumId="254">
    <w:nsid w:val="67197D68"/>
    <w:multiLevelType w:val="singleLevel"/>
    <w:tmpl w:val="0409000F"/>
    <w:lvl w:ilvl="0">
      <w:start w:val="1"/>
      <w:numFmt w:val="decimal"/>
      <w:lvlText w:val="%1."/>
      <w:lvlJc w:val="left"/>
      <w:pPr>
        <w:tabs>
          <w:tab w:val="num" w:pos="360"/>
        </w:tabs>
        <w:ind w:left="360" w:hanging="360"/>
      </w:pPr>
    </w:lvl>
  </w:abstractNum>
  <w:abstractNum w:abstractNumId="255">
    <w:nsid w:val="671D0DCA"/>
    <w:multiLevelType w:val="multilevel"/>
    <w:tmpl w:val="7DF6A28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6">
    <w:nsid w:val="6767345D"/>
    <w:multiLevelType w:val="singleLevel"/>
    <w:tmpl w:val="29F06A40"/>
    <w:lvl w:ilvl="0">
      <w:start w:val="10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57">
    <w:nsid w:val="685B390E"/>
    <w:multiLevelType w:val="singleLevel"/>
    <w:tmpl w:val="15EEB430"/>
    <w:lvl w:ilvl="0">
      <w:start w:val="1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58">
    <w:nsid w:val="694D7539"/>
    <w:multiLevelType w:val="singleLevel"/>
    <w:tmpl w:val="06404212"/>
    <w:lvl w:ilvl="0">
      <w:start w:val="1"/>
      <w:numFmt w:val="low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259">
    <w:nsid w:val="6A17477D"/>
    <w:multiLevelType w:val="multilevel"/>
    <w:tmpl w:val="E55486E8"/>
    <w:lvl w:ilvl="0">
      <w:start w:val="1"/>
      <w:numFmt w:val="bullet"/>
      <w:lvlText w:val=""/>
      <w:lvlJc w:val="left"/>
      <w:pPr>
        <w:tabs>
          <w:tab w:val="num" w:pos="1152"/>
        </w:tabs>
        <w:ind w:left="1152"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60">
    <w:nsid w:val="6B671CC5"/>
    <w:multiLevelType w:val="multilevel"/>
    <w:tmpl w:val="8E40D480"/>
    <w:lvl w:ilvl="0">
      <w:start w:val="500"/>
      <w:numFmt w:val="lowerRoman"/>
      <w:lvlText w:val="(%1)"/>
      <w:lvlJc w:val="left"/>
      <w:pPr>
        <w:tabs>
          <w:tab w:val="num" w:pos="1830"/>
        </w:tabs>
        <w:ind w:left="1830" w:hanging="720"/>
      </w:pPr>
      <w:rPr>
        <w:rFonts w:hint="default"/>
      </w:rPr>
    </w:lvl>
    <w:lvl w:ilvl="1" w:tentative="1">
      <w:start w:val="1"/>
      <w:numFmt w:val="lowerLetter"/>
      <w:lvlText w:val="%2."/>
      <w:lvlJc w:val="left"/>
      <w:pPr>
        <w:tabs>
          <w:tab w:val="num" w:pos="2190"/>
        </w:tabs>
        <w:ind w:left="2190" w:hanging="360"/>
      </w:pPr>
    </w:lvl>
    <w:lvl w:ilvl="2" w:tentative="1">
      <w:start w:val="1"/>
      <w:numFmt w:val="lowerRoman"/>
      <w:lvlText w:val="%3."/>
      <w:lvlJc w:val="right"/>
      <w:pPr>
        <w:tabs>
          <w:tab w:val="num" w:pos="2910"/>
        </w:tabs>
        <w:ind w:left="2910" w:hanging="180"/>
      </w:pPr>
    </w:lvl>
    <w:lvl w:ilvl="3" w:tentative="1">
      <w:start w:val="1"/>
      <w:numFmt w:val="decimal"/>
      <w:lvlText w:val="%4."/>
      <w:lvlJc w:val="left"/>
      <w:pPr>
        <w:tabs>
          <w:tab w:val="num" w:pos="3630"/>
        </w:tabs>
        <w:ind w:left="3630" w:hanging="360"/>
      </w:pPr>
    </w:lvl>
    <w:lvl w:ilvl="4" w:tentative="1">
      <w:start w:val="1"/>
      <w:numFmt w:val="lowerLetter"/>
      <w:lvlText w:val="%5."/>
      <w:lvlJc w:val="left"/>
      <w:pPr>
        <w:tabs>
          <w:tab w:val="num" w:pos="4350"/>
        </w:tabs>
        <w:ind w:left="4350" w:hanging="360"/>
      </w:pPr>
    </w:lvl>
    <w:lvl w:ilvl="5" w:tentative="1">
      <w:start w:val="1"/>
      <w:numFmt w:val="lowerRoman"/>
      <w:lvlText w:val="%6."/>
      <w:lvlJc w:val="right"/>
      <w:pPr>
        <w:tabs>
          <w:tab w:val="num" w:pos="5070"/>
        </w:tabs>
        <w:ind w:left="5070" w:hanging="180"/>
      </w:pPr>
    </w:lvl>
    <w:lvl w:ilvl="6" w:tentative="1">
      <w:start w:val="1"/>
      <w:numFmt w:val="decimal"/>
      <w:lvlText w:val="%7."/>
      <w:lvlJc w:val="left"/>
      <w:pPr>
        <w:tabs>
          <w:tab w:val="num" w:pos="5790"/>
        </w:tabs>
        <w:ind w:left="5790" w:hanging="360"/>
      </w:pPr>
    </w:lvl>
    <w:lvl w:ilvl="7" w:tentative="1">
      <w:start w:val="1"/>
      <w:numFmt w:val="lowerLetter"/>
      <w:lvlText w:val="%8."/>
      <w:lvlJc w:val="left"/>
      <w:pPr>
        <w:tabs>
          <w:tab w:val="num" w:pos="6510"/>
        </w:tabs>
        <w:ind w:left="6510" w:hanging="360"/>
      </w:pPr>
    </w:lvl>
    <w:lvl w:ilvl="8" w:tentative="1">
      <w:start w:val="1"/>
      <w:numFmt w:val="lowerRoman"/>
      <w:lvlText w:val="%9."/>
      <w:lvlJc w:val="right"/>
      <w:pPr>
        <w:tabs>
          <w:tab w:val="num" w:pos="7230"/>
        </w:tabs>
        <w:ind w:left="7230" w:hanging="180"/>
      </w:pPr>
    </w:lvl>
  </w:abstractNum>
  <w:abstractNum w:abstractNumId="261">
    <w:nsid w:val="6CBE01F5"/>
    <w:multiLevelType w:val="singleLevel"/>
    <w:tmpl w:val="6598D7AC"/>
    <w:lvl w:ilvl="0">
      <w:start w:val="1"/>
      <w:numFmt w:val="bullet"/>
      <w:lvlText w:val="▪"/>
      <w:lvlJc w:val="left"/>
      <w:pPr>
        <w:tabs>
          <w:tab w:val="num" w:pos="720"/>
        </w:tabs>
        <w:ind w:left="720" w:hanging="720"/>
      </w:pPr>
      <w:rPr>
        <w:rFonts w:ascii="Times New Roman" w:hAnsi="Times New Roman" w:hint="default"/>
      </w:rPr>
    </w:lvl>
  </w:abstractNum>
  <w:abstractNum w:abstractNumId="262">
    <w:nsid w:val="6CF54909"/>
    <w:multiLevelType w:val="multilevel"/>
    <w:tmpl w:val="66B6EFC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3">
    <w:nsid w:val="6D621C03"/>
    <w:multiLevelType w:val="singleLevel"/>
    <w:tmpl w:val="BCE0525A"/>
    <w:lvl w:ilvl="0">
      <w:start w:val="13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64">
    <w:nsid w:val="6D6751F4"/>
    <w:multiLevelType w:val="multilevel"/>
    <w:tmpl w:val="B3821464"/>
    <w:lvl w:ilvl="0">
      <w:start w:val="1"/>
      <w:numFmt w:val="decimal"/>
      <w:lvlText w:val="%1)"/>
      <w:lvlJc w:val="left"/>
      <w:pPr>
        <w:tabs>
          <w:tab w:val="num" w:pos="720"/>
        </w:tabs>
        <w:ind w:left="720" w:hanging="360"/>
      </w:pPr>
    </w:lvl>
    <w:lvl w:ilvl="1">
      <w:start w:val="2"/>
      <w:numFmt w:val="lowerLetter"/>
      <w:lvlText w:val="(%2)"/>
      <w:lvlJc w:val="left"/>
      <w:pPr>
        <w:tabs>
          <w:tab w:val="num" w:pos="1830"/>
        </w:tabs>
        <w:ind w:left="1830" w:hanging="390"/>
      </w:pPr>
      <w:rPr>
        <w:rFonts w:hint="default"/>
      </w:r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65">
    <w:nsid w:val="6DCE382A"/>
    <w:multiLevelType w:val="multilevel"/>
    <w:tmpl w:val="EC0AF14C"/>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266">
    <w:nsid w:val="6E753AF7"/>
    <w:multiLevelType w:val="multilevel"/>
    <w:tmpl w:val="9220686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7">
    <w:nsid w:val="6E9A472A"/>
    <w:multiLevelType w:val="singleLevel"/>
    <w:tmpl w:val="A254FEBE"/>
    <w:lvl w:ilvl="0">
      <w:start w:val="12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68">
    <w:nsid w:val="6FFE3B65"/>
    <w:multiLevelType w:val="singleLevel"/>
    <w:tmpl w:val="A4304618"/>
    <w:lvl w:ilvl="0">
      <w:start w:val="9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69">
    <w:nsid w:val="702B7804"/>
    <w:multiLevelType w:val="multilevel"/>
    <w:tmpl w:val="4B3CC29A"/>
    <w:lvl w:ilvl="0">
      <w:start w:val="1"/>
      <w:numFmt w:val="decimal"/>
      <w:lvlText w:val="%1."/>
      <w:lvlJc w:val="left"/>
      <w:pPr>
        <w:tabs>
          <w:tab w:val="num" w:pos="864"/>
        </w:tabs>
        <w:ind w:left="864" w:hanging="360"/>
      </w:pPr>
      <w:rPr>
        <w:rFonts w:hint="default"/>
      </w:rPr>
    </w:lvl>
    <w:lvl w:ilvl="1" w:tentative="1">
      <w:start w:val="1"/>
      <w:numFmt w:val="lowerLetter"/>
      <w:lvlText w:val="%2."/>
      <w:lvlJc w:val="left"/>
      <w:pPr>
        <w:tabs>
          <w:tab w:val="num" w:pos="1584"/>
        </w:tabs>
        <w:ind w:left="1584" w:hanging="360"/>
      </w:pPr>
    </w:lvl>
    <w:lvl w:ilvl="2" w:tentative="1">
      <w:start w:val="1"/>
      <w:numFmt w:val="lowerRoman"/>
      <w:lvlText w:val="%3."/>
      <w:lvlJc w:val="right"/>
      <w:pPr>
        <w:tabs>
          <w:tab w:val="num" w:pos="2304"/>
        </w:tabs>
        <w:ind w:left="2304" w:hanging="180"/>
      </w:pPr>
    </w:lvl>
    <w:lvl w:ilvl="3" w:tentative="1">
      <w:start w:val="1"/>
      <w:numFmt w:val="decimal"/>
      <w:lvlText w:val="%4."/>
      <w:lvlJc w:val="left"/>
      <w:pPr>
        <w:tabs>
          <w:tab w:val="num" w:pos="3024"/>
        </w:tabs>
        <w:ind w:left="3024" w:hanging="360"/>
      </w:pPr>
    </w:lvl>
    <w:lvl w:ilvl="4" w:tentative="1">
      <w:start w:val="1"/>
      <w:numFmt w:val="lowerLetter"/>
      <w:lvlText w:val="%5."/>
      <w:lvlJc w:val="left"/>
      <w:pPr>
        <w:tabs>
          <w:tab w:val="num" w:pos="3744"/>
        </w:tabs>
        <w:ind w:left="3744" w:hanging="360"/>
      </w:pPr>
    </w:lvl>
    <w:lvl w:ilvl="5" w:tentative="1">
      <w:start w:val="1"/>
      <w:numFmt w:val="lowerRoman"/>
      <w:lvlText w:val="%6."/>
      <w:lvlJc w:val="right"/>
      <w:pPr>
        <w:tabs>
          <w:tab w:val="num" w:pos="4464"/>
        </w:tabs>
        <w:ind w:left="4464" w:hanging="180"/>
      </w:pPr>
    </w:lvl>
    <w:lvl w:ilvl="6" w:tentative="1">
      <w:start w:val="1"/>
      <w:numFmt w:val="decimal"/>
      <w:lvlText w:val="%7."/>
      <w:lvlJc w:val="left"/>
      <w:pPr>
        <w:tabs>
          <w:tab w:val="num" w:pos="5184"/>
        </w:tabs>
        <w:ind w:left="5184" w:hanging="360"/>
      </w:pPr>
    </w:lvl>
    <w:lvl w:ilvl="7" w:tentative="1">
      <w:start w:val="1"/>
      <w:numFmt w:val="lowerLetter"/>
      <w:lvlText w:val="%8."/>
      <w:lvlJc w:val="left"/>
      <w:pPr>
        <w:tabs>
          <w:tab w:val="num" w:pos="5904"/>
        </w:tabs>
        <w:ind w:left="5904" w:hanging="360"/>
      </w:pPr>
    </w:lvl>
    <w:lvl w:ilvl="8" w:tentative="1">
      <w:start w:val="1"/>
      <w:numFmt w:val="lowerRoman"/>
      <w:lvlText w:val="%9."/>
      <w:lvlJc w:val="right"/>
      <w:pPr>
        <w:tabs>
          <w:tab w:val="num" w:pos="6624"/>
        </w:tabs>
        <w:ind w:left="6624" w:hanging="180"/>
      </w:pPr>
    </w:lvl>
  </w:abstractNum>
  <w:abstractNum w:abstractNumId="270">
    <w:nsid w:val="70B817F6"/>
    <w:multiLevelType w:val="singleLevel"/>
    <w:tmpl w:val="04190013"/>
    <w:lvl w:ilvl="0">
      <w:start w:val="1"/>
      <w:numFmt w:val="upperRoman"/>
      <w:lvlText w:val="%1."/>
      <w:lvlJc w:val="left"/>
      <w:pPr>
        <w:tabs>
          <w:tab w:val="num" w:pos="720"/>
        </w:tabs>
        <w:ind w:left="720" w:hanging="720"/>
      </w:pPr>
      <w:rPr>
        <w:rFonts w:hint="default"/>
      </w:rPr>
    </w:lvl>
  </w:abstractNum>
  <w:abstractNum w:abstractNumId="271">
    <w:nsid w:val="70BD49BA"/>
    <w:multiLevelType w:val="multilevel"/>
    <w:tmpl w:val="709690C6"/>
    <w:lvl w:ilvl="0">
      <w:start w:val="1"/>
      <w:numFmt w:val="lowerLetter"/>
      <w:lvlText w:val="%1)"/>
      <w:lvlJc w:val="left"/>
      <w:pPr>
        <w:tabs>
          <w:tab w:val="num" w:pos="2088"/>
        </w:tabs>
        <w:ind w:left="2088" w:hanging="360"/>
      </w:pPr>
    </w:lvl>
    <w:lvl w:ilvl="1">
      <w:start w:val="2"/>
      <w:numFmt w:val="lowerLetter"/>
      <w:lvlText w:val="(%2)"/>
      <w:lvlJc w:val="left"/>
      <w:pPr>
        <w:tabs>
          <w:tab w:val="num" w:pos="2988"/>
        </w:tabs>
        <w:ind w:left="2988" w:hanging="540"/>
      </w:pPr>
      <w:rPr>
        <w:rFonts w:hint="default"/>
      </w:rPr>
    </w:lvl>
    <w:lvl w:ilvl="2">
      <w:start w:val="1"/>
      <w:numFmt w:val="lowerRoman"/>
      <w:lvlText w:val="%3."/>
      <w:lvlJc w:val="right"/>
      <w:pPr>
        <w:tabs>
          <w:tab w:val="num" w:pos="3528"/>
        </w:tabs>
        <w:ind w:left="3528" w:hanging="180"/>
      </w:pPr>
    </w:lvl>
    <w:lvl w:ilvl="3" w:tentative="1">
      <w:start w:val="1"/>
      <w:numFmt w:val="decimal"/>
      <w:lvlText w:val="%4."/>
      <w:lvlJc w:val="left"/>
      <w:pPr>
        <w:tabs>
          <w:tab w:val="num" w:pos="4248"/>
        </w:tabs>
        <w:ind w:left="4248" w:hanging="360"/>
      </w:pPr>
    </w:lvl>
    <w:lvl w:ilvl="4" w:tentative="1">
      <w:start w:val="1"/>
      <w:numFmt w:val="lowerLetter"/>
      <w:lvlText w:val="%5."/>
      <w:lvlJc w:val="left"/>
      <w:pPr>
        <w:tabs>
          <w:tab w:val="num" w:pos="4968"/>
        </w:tabs>
        <w:ind w:left="4968" w:hanging="360"/>
      </w:pPr>
    </w:lvl>
    <w:lvl w:ilvl="5" w:tentative="1">
      <w:start w:val="1"/>
      <w:numFmt w:val="lowerRoman"/>
      <w:lvlText w:val="%6."/>
      <w:lvlJc w:val="right"/>
      <w:pPr>
        <w:tabs>
          <w:tab w:val="num" w:pos="5688"/>
        </w:tabs>
        <w:ind w:left="5688" w:hanging="180"/>
      </w:pPr>
    </w:lvl>
    <w:lvl w:ilvl="6" w:tentative="1">
      <w:start w:val="1"/>
      <w:numFmt w:val="decimal"/>
      <w:lvlText w:val="%7."/>
      <w:lvlJc w:val="left"/>
      <w:pPr>
        <w:tabs>
          <w:tab w:val="num" w:pos="6408"/>
        </w:tabs>
        <w:ind w:left="6408" w:hanging="360"/>
      </w:pPr>
    </w:lvl>
    <w:lvl w:ilvl="7" w:tentative="1">
      <w:start w:val="1"/>
      <w:numFmt w:val="lowerLetter"/>
      <w:lvlText w:val="%8."/>
      <w:lvlJc w:val="left"/>
      <w:pPr>
        <w:tabs>
          <w:tab w:val="num" w:pos="7128"/>
        </w:tabs>
        <w:ind w:left="7128" w:hanging="360"/>
      </w:pPr>
    </w:lvl>
    <w:lvl w:ilvl="8" w:tentative="1">
      <w:start w:val="1"/>
      <w:numFmt w:val="lowerRoman"/>
      <w:lvlText w:val="%9."/>
      <w:lvlJc w:val="right"/>
      <w:pPr>
        <w:tabs>
          <w:tab w:val="num" w:pos="7848"/>
        </w:tabs>
        <w:ind w:left="7848" w:hanging="180"/>
      </w:pPr>
    </w:lvl>
  </w:abstractNum>
  <w:abstractNum w:abstractNumId="272">
    <w:nsid w:val="711A464D"/>
    <w:multiLevelType w:val="singleLevel"/>
    <w:tmpl w:val="A9F83AAA"/>
    <w:lvl w:ilvl="0">
      <w:start w:val="1"/>
      <w:numFmt w:val="upperRoman"/>
      <w:lvlText w:val="%1."/>
      <w:lvlJc w:val="left"/>
      <w:pPr>
        <w:tabs>
          <w:tab w:val="num" w:pos="720"/>
        </w:tabs>
        <w:ind w:left="720" w:hanging="720"/>
      </w:pPr>
      <w:rPr>
        <w:rFonts w:hint="default"/>
      </w:rPr>
    </w:lvl>
  </w:abstractNum>
  <w:abstractNum w:abstractNumId="273">
    <w:nsid w:val="71964F83"/>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274">
    <w:nsid w:val="726D1726"/>
    <w:multiLevelType w:val="multilevel"/>
    <w:tmpl w:val="A0A0AFE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5">
    <w:nsid w:val="75C72D34"/>
    <w:multiLevelType w:val="singleLevel"/>
    <w:tmpl w:val="BAEEE4B6"/>
    <w:lvl w:ilvl="0">
      <w:start w:val="3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76">
    <w:nsid w:val="76307089"/>
    <w:multiLevelType w:val="multilevel"/>
    <w:tmpl w:val="0A5225C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7">
    <w:nsid w:val="77474378"/>
    <w:multiLevelType w:val="singleLevel"/>
    <w:tmpl w:val="4B822C16"/>
    <w:lvl w:ilvl="0">
      <w:start w:val="17"/>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78">
    <w:nsid w:val="77513B9C"/>
    <w:multiLevelType w:val="singleLevel"/>
    <w:tmpl w:val="32A8AD02"/>
    <w:lvl w:ilvl="0">
      <w:start w:val="4"/>
      <w:numFmt w:val="bullet"/>
      <w:lvlText w:val="-"/>
      <w:lvlJc w:val="left"/>
      <w:pPr>
        <w:tabs>
          <w:tab w:val="num" w:pos="720"/>
        </w:tabs>
        <w:ind w:left="720" w:hanging="720"/>
      </w:pPr>
      <w:rPr>
        <w:rFonts w:hint="default"/>
      </w:rPr>
    </w:lvl>
  </w:abstractNum>
  <w:abstractNum w:abstractNumId="279">
    <w:nsid w:val="786508EA"/>
    <w:multiLevelType w:val="multilevel"/>
    <w:tmpl w:val="3D928FFE"/>
    <w:lvl w:ilvl="0">
      <w:start w:val="5"/>
      <w:numFmt w:val="lowerLetter"/>
      <w:lvlText w:val="(%1)"/>
      <w:lvlJc w:val="left"/>
      <w:pPr>
        <w:tabs>
          <w:tab w:val="num" w:pos="1470"/>
        </w:tabs>
        <w:ind w:left="1470" w:hanging="360"/>
      </w:pPr>
      <w:rPr>
        <w:rFonts w:hint="default"/>
      </w:rPr>
    </w:lvl>
    <w:lvl w:ilvl="1" w:tentative="1">
      <w:start w:val="1"/>
      <w:numFmt w:val="lowerLetter"/>
      <w:lvlText w:val="%2."/>
      <w:lvlJc w:val="left"/>
      <w:pPr>
        <w:tabs>
          <w:tab w:val="num" w:pos="2190"/>
        </w:tabs>
        <w:ind w:left="2190" w:hanging="360"/>
      </w:pPr>
    </w:lvl>
    <w:lvl w:ilvl="2" w:tentative="1">
      <w:start w:val="1"/>
      <w:numFmt w:val="lowerRoman"/>
      <w:lvlText w:val="%3."/>
      <w:lvlJc w:val="right"/>
      <w:pPr>
        <w:tabs>
          <w:tab w:val="num" w:pos="2910"/>
        </w:tabs>
        <w:ind w:left="2910" w:hanging="180"/>
      </w:pPr>
    </w:lvl>
    <w:lvl w:ilvl="3" w:tentative="1">
      <w:start w:val="1"/>
      <w:numFmt w:val="decimal"/>
      <w:lvlText w:val="%4."/>
      <w:lvlJc w:val="left"/>
      <w:pPr>
        <w:tabs>
          <w:tab w:val="num" w:pos="3630"/>
        </w:tabs>
        <w:ind w:left="3630" w:hanging="360"/>
      </w:pPr>
    </w:lvl>
    <w:lvl w:ilvl="4" w:tentative="1">
      <w:start w:val="1"/>
      <w:numFmt w:val="lowerLetter"/>
      <w:lvlText w:val="%5."/>
      <w:lvlJc w:val="left"/>
      <w:pPr>
        <w:tabs>
          <w:tab w:val="num" w:pos="4350"/>
        </w:tabs>
        <w:ind w:left="4350" w:hanging="360"/>
      </w:pPr>
    </w:lvl>
    <w:lvl w:ilvl="5" w:tentative="1">
      <w:start w:val="1"/>
      <w:numFmt w:val="lowerRoman"/>
      <w:lvlText w:val="%6."/>
      <w:lvlJc w:val="right"/>
      <w:pPr>
        <w:tabs>
          <w:tab w:val="num" w:pos="5070"/>
        </w:tabs>
        <w:ind w:left="5070" w:hanging="180"/>
      </w:pPr>
    </w:lvl>
    <w:lvl w:ilvl="6" w:tentative="1">
      <w:start w:val="1"/>
      <w:numFmt w:val="decimal"/>
      <w:lvlText w:val="%7."/>
      <w:lvlJc w:val="left"/>
      <w:pPr>
        <w:tabs>
          <w:tab w:val="num" w:pos="5790"/>
        </w:tabs>
        <w:ind w:left="5790" w:hanging="360"/>
      </w:pPr>
    </w:lvl>
    <w:lvl w:ilvl="7" w:tentative="1">
      <w:start w:val="1"/>
      <w:numFmt w:val="lowerLetter"/>
      <w:lvlText w:val="%8."/>
      <w:lvlJc w:val="left"/>
      <w:pPr>
        <w:tabs>
          <w:tab w:val="num" w:pos="6510"/>
        </w:tabs>
        <w:ind w:left="6510" w:hanging="360"/>
      </w:pPr>
    </w:lvl>
    <w:lvl w:ilvl="8" w:tentative="1">
      <w:start w:val="1"/>
      <w:numFmt w:val="lowerRoman"/>
      <w:lvlText w:val="%9."/>
      <w:lvlJc w:val="right"/>
      <w:pPr>
        <w:tabs>
          <w:tab w:val="num" w:pos="7230"/>
        </w:tabs>
        <w:ind w:left="7230" w:hanging="180"/>
      </w:pPr>
    </w:lvl>
  </w:abstractNum>
  <w:abstractNum w:abstractNumId="280">
    <w:nsid w:val="794651A5"/>
    <w:multiLevelType w:val="multilevel"/>
    <w:tmpl w:val="DC44BCF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1">
    <w:nsid w:val="7955005E"/>
    <w:multiLevelType w:val="singleLevel"/>
    <w:tmpl w:val="4E441D04"/>
    <w:lvl w:ilvl="0">
      <w:numFmt w:val="bullet"/>
      <w:lvlText w:val=""/>
      <w:lvlJc w:val="left"/>
      <w:pPr>
        <w:tabs>
          <w:tab w:val="num" w:pos="720"/>
        </w:tabs>
        <w:ind w:left="720" w:hanging="648"/>
      </w:pPr>
      <w:rPr>
        <w:rFonts w:ascii="Wingdings" w:hAnsi="Wingdings" w:hint="default"/>
      </w:rPr>
    </w:lvl>
  </w:abstractNum>
  <w:abstractNum w:abstractNumId="282">
    <w:nsid w:val="7C8D01F9"/>
    <w:multiLevelType w:val="singleLevel"/>
    <w:tmpl w:val="D5A23F2E"/>
    <w:lvl w:ilvl="0">
      <w:start w:val="2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83">
    <w:nsid w:val="7CE76C12"/>
    <w:multiLevelType w:val="singleLevel"/>
    <w:tmpl w:val="D092257E"/>
    <w:lvl w:ilvl="0">
      <w:start w:val="1"/>
      <w:numFmt w:val="bullet"/>
      <w:lvlText w:val="○"/>
      <w:lvlJc w:val="left"/>
      <w:pPr>
        <w:tabs>
          <w:tab w:val="num" w:pos="720"/>
        </w:tabs>
        <w:ind w:left="720" w:hanging="720"/>
      </w:pPr>
      <w:rPr>
        <w:rFonts w:ascii="Times New Roman" w:hAnsi="Times New Roman" w:hint="default"/>
      </w:rPr>
    </w:lvl>
  </w:abstractNum>
  <w:abstractNum w:abstractNumId="284">
    <w:nsid w:val="7CED72CA"/>
    <w:multiLevelType w:val="singleLevel"/>
    <w:tmpl w:val="8B06F338"/>
    <w:lvl w:ilvl="0">
      <w:start w:val="1"/>
      <w:numFmt w:val="low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285">
    <w:nsid w:val="7DDA62FC"/>
    <w:multiLevelType w:val="singleLevel"/>
    <w:tmpl w:val="6D54D00C"/>
    <w:lvl w:ilvl="0">
      <w:start w:val="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86">
    <w:nsid w:val="7E2057C8"/>
    <w:multiLevelType w:val="singleLevel"/>
    <w:tmpl w:val="BB122618"/>
    <w:lvl w:ilvl="0">
      <w:start w:val="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87">
    <w:nsid w:val="7F634374"/>
    <w:multiLevelType w:val="singleLevel"/>
    <w:tmpl w:val="07AA697E"/>
    <w:lvl w:ilvl="0">
      <w:start w:val="1"/>
      <w:numFmt w:val="lowerLetter"/>
      <w:lvlText w:val="(%1)"/>
      <w:lvlJc w:val="left"/>
      <w:pPr>
        <w:tabs>
          <w:tab w:val="num" w:pos="648"/>
        </w:tabs>
        <w:ind w:left="648" w:hanging="360"/>
      </w:pPr>
      <w:rPr>
        <w:rFonts w:hint="default"/>
      </w:rPr>
    </w:lvl>
  </w:abstractNum>
  <w:num w:numId="1">
    <w:abstractNumId w:val="128"/>
  </w:num>
  <w:num w:numId="2">
    <w:abstractNumId w:val="8"/>
  </w:num>
  <w:num w:numId="3">
    <w:abstractNumId w:val="8"/>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 w:numId="12">
    <w:abstractNumId w:val="265"/>
  </w:num>
  <w:num w:numId="13">
    <w:abstractNumId w:val="196"/>
  </w:num>
  <w:num w:numId="14">
    <w:abstractNumId w:val="9"/>
  </w:num>
  <w:num w:numId="15">
    <w:abstractNumId w:val="270"/>
  </w:num>
  <w:num w:numId="16">
    <w:abstractNumId w:val="241"/>
  </w:num>
  <w:num w:numId="17">
    <w:abstractNumId w:val="225"/>
  </w:num>
  <w:num w:numId="18">
    <w:abstractNumId w:val="68"/>
  </w:num>
  <w:num w:numId="19">
    <w:abstractNumId w:val="229"/>
  </w:num>
  <w:num w:numId="20">
    <w:abstractNumId w:val="167"/>
  </w:num>
  <w:num w:numId="21">
    <w:abstractNumId w:val="272"/>
  </w:num>
  <w:num w:numId="22">
    <w:abstractNumId w:val="117"/>
  </w:num>
  <w:num w:numId="23">
    <w:abstractNumId w:val="127"/>
  </w:num>
  <w:num w:numId="24">
    <w:abstractNumId w:val="207"/>
  </w:num>
  <w:num w:numId="25">
    <w:abstractNumId w:val="91"/>
  </w:num>
  <w:num w:numId="26">
    <w:abstractNumId w:val="134"/>
  </w:num>
  <w:num w:numId="27">
    <w:abstractNumId w:val="251"/>
  </w:num>
  <w:num w:numId="28">
    <w:abstractNumId w:val="67"/>
  </w:num>
  <w:num w:numId="29">
    <w:abstractNumId w:val="56"/>
  </w:num>
  <w:num w:numId="30">
    <w:abstractNumId w:val="216"/>
  </w:num>
  <w:num w:numId="31">
    <w:abstractNumId w:val="164"/>
  </w:num>
  <w:num w:numId="32">
    <w:abstractNumId w:val="141"/>
  </w:num>
  <w:num w:numId="33">
    <w:abstractNumId w:val="61"/>
  </w:num>
  <w:num w:numId="34">
    <w:abstractNumId w:val="254"/>
  </w:num>
  <w:num w:numId="35">
    <w:abstractNumId w:val="213"/>
  </w:num>
  <w:num w:numId="36">
    <w:abstractNumId w:val="217"/>
  </w:num>
  <w:num w:numId="37">
    <w:abstractNumId w:val="227"/>
  </w:num>
  <w:num w:numId="38">
    <w:abstractNumId w:val="278"/>
  </w:num>
  <w:num w:numId="39">
    <w:abstractNumId w:val="181"/>
  </w:num>
  <w:num w:numId="40">
    <w:abstractNumId w:val="198"/>
  </w:num>
  <w:num w:numId="41">
    <w:abstractNumId w:val="177"/>
  </w:num>
  <w:num w:numId="42">
    <w:abstractNumId w:val="35"/>
  </w:num>
  <w:num w:numId="43">
    <w:abstractNumId w:val="238"/>
  </w:num>
  <w:num w:numId="44">
    <w:abstractNumId w:val="109"/>
  </w:num>
  <w:num w:numId="45">
    <w:abstractNumId w:val="193"/>
  </w:num>
  <w:num w:numId="46">
    <w:abstractNumId w:val="148"/>
  </w:num>
  <w:num w:numId="47">
    <w:abstractNumId w:val="24"/>
  </w:num>
  <w:num w:numId="48">
    <w:abstractNumId w:val="108"/>
  </w:num>
  <w:num w:numId="49">
    <w:abstractNumId w:val="214"/>
  </w:num>
  <w:num w:numId="50">
    <w:abstractNumId w:val="71"/>
  </w:num>
  <w:num w:numId="51">
    <w:abstractNumId w:val="31"/>
  </w:num>
  <w:num w:numId="52">
    <w:abstractNumId w:val="59"/>
  </w:num>
  <w:num w:numId="53">
    <w:abstractNumId w:val="20"/>
  </w:num>
  <w:num w:numId="54">
    <w:abstractNumId w:val="202"/>
  </w:num>
  <w:num w:numId="55">
    <w:abstractNumId w:val="66"/>
  </w:num>
  <w:num w:numId="56">
    <w:abstractNumId w:val="80"/>
  </w:num>
  <w:num w:numId="57">
    <w:abstractNumId w:val="41"/>
  </w:num>
  <w:num w:numId="58">
    <w:abstractNumId w:val="246"/>
  </w:num>
  <w:num w:numId="59">
    <w:abstractNumId w:val="28"/>
  </w:num>
  <w:num w:numId="60">
    <w:abstractNumId w:val="86"/>
  </w:num>
  <w:num w:numId="61">
    <w:abstractNumId w:val="223"/>
  </w:num>
  <w:num w:numId="62">
    <w:abstractNumId w:val="150"/>
  </w:num>
  <w:num w:numId="63">
    <w:abstractNumId w:val="287"/>
  </w:num>
  <w:num w:numId="64">
    <w:abstractNumId w:val="153"/>
  </w:num>
  <w:num w:numId="65">
    <w:abstractNumId w:val="63"/>
  </w:num>
  <w:num w:numId="66">
    <w:abstractNumId w:val="38"/>
  </w:num>
  <w:num w:numId="67">
    <w:abstractNumId w:val="34"/>
  </w:num>
  <w:num w:numId="68">
    <w:abstractNumId w:val="126"/>
  </w:num>
  <w:num w:numId="69">
    <w:abstractNumId w:val="58"/>
  </w:num>
  <w:num w:numId="70">
    <w:abstractNumId w:val="234"/>
  </w:num>
  <w:num w:numId="71">
    <w:abstractNumId w:val="125"/>
  </w:num>
  <w:num w:numId="72">
    <w:abstractNumId w:val="228"/>
  </w:num>
  <w:num w:numId="73">
    <w:abstractNumId w:val="78"/>
  </w:num>
  <w:num w:numId="74">
    <w:abstractNumId w:val="172"/>
  </w:num>
  <w:num w:numId="75">
    <w:abstractNumId w:val="96"/>
  </w:num>
  <w:num w:numId="76">
    <w:abstractNumId w:val="29"/>
  </w:num>
  <w:num w:numId="77">
    <w:abstractNumId w:val="209"/>
  </w:num>
  <w:num w:numId="78">
    <w:abstractNumId w:val="64"/>
  </w:num>
  <w:num w:numId="79">
    <w:abstractNumId w:val="170"/>
  </w:num>
  <w:num w:numId="80">
    <w:abstractNumId w:val="273"/>
  </w:num>
  <w:num w:numId="81">
    <w:abstractNumId w:val="97"/>
  </w:num>
  <w:num w:numId="82">
    <w:abstractNumId w:val="16"/>
  </w:num>
  <w:num w:numId="83">
    <w:abstractNumId w:val="236"/>
  </w:num>
  <w:num w:numId="84">
    <w:abstractNumId w:val="104"/>
  </w:num>
  <w:num w:numId="85">
    <w:abstractNumId w:val="98"/>
  </w:num>
  <w:num w:numId="86">
    <w:abstractNumId w:val="204"/>
  </w:num>
  <w:num w:numId="87">
    <w:abstractNumId w:val="199"/>
  </w:num>
  <w:num w:numId="88">
    <w:abstractNumId w:val="200"/>
  </w:num>
  <w:num w:numId="89">
    <w:abstractNumId w:val="201"/>
  </w:num>
  <w:num w:numId="90">
    <w:abstractNumId w:val="43"/>
  </w:num>
  <w:num w:numId="91">
    <w:abstractNumId w:val="101"/>
  </w:num>
  <w:num w:numId="92">
    <w:abstractNumId w:val="82"/>
  </w:num>
  <w:num w:numId="93">
    <w:abstractNumId w:val="113"/>
  </w:num>
  <w:num w:numId="94">
    <w:abstractNumId w:val="84"/>
  </w:num>
  <w:num w:numId="95">
    <w:abstractNumId w:val="189"/>
  </w:num>
  <w:num w:numId="96">
    <w:abstractNumId w:val="259"/>
  </w:num>
  <w:num w:numId="97">
    <w:abstractNumId w:val="10"/>
  </w:num>
  <w:num w:numId="98">
    <w:abstractNumId w:val="158"/>
  </w:num>
  <w:num w:numId="99">
    <w:abstractNumId w:val="89"/>
  </w:num>
  <w:num w:numId="100">
    <w:abstractNumId w:val="17"/>
  </w:num>
  <w:num w:numId="101">
    <w:abstractNumId w:val="88"/>
  </w:num>
  <w:num w:numId="102">
    <w:abstractNumId w:val="49"/>
  </w:num>
  <w:num w:numId="103">
    <w:abstractNumId w:val="180"/>
  </w:num>
  <w:num w:numId="104">
    <w:abstractNumId w:val="70"/>
  </w:num>
  <w:num w:numId="105">
    <w:abstractNumId w:val="11"/>
  </w:num>
  <w:num w:numId="106">
    <w:abstractNumId w:val="46"/>
  </w:num>
  <w:num w:numId="107">
    <w:abstractNumId w:val="208"/>
  </w:num>
  <w:num w:numId="108">
    <w:abstractNumId w:val="21"/>
  </w:num>
  <w:num w:numId="109">
    <w:abstractNumId w:val="269"/>
  </w:num>
  <w:num w:numId="110">
    <w:abstractNumId w:val="160"/>
  </w:num>
  <w:num w:numId="111">
    <w:abstractNumId w:val="116"/>
  </w:num>
  <w:num w:numId="112">
    <w:abstractNumId w:val="215"/>
  </w:num>
  <w:num w:numId="113">
    <w:abstractNumId w:val="90"/>
  </w:num>
  <w:num w:numId="114">
    <w:abstractNumId w:val="188"/>
  </w:num>
  <w:num w:numId="115">
    <w:abstractNumId w:val="73"/>
  </w:num>
  <w:num w:numId="116">
    <w:abstractNumId w:val="79"/>
  </w:num>
  <w:num w:numId="117">
    <w:abstractNumId w:val="44"/>
  </w:num>
  <w:num w:numId="118">
    <w:abstractNumId w:val="83"/>
  </w:num>
  <w:num w:numId="119">
    <w:abstractNumId w:val="174"/>
  </w:num>
  <w:num w:numId="120">
    <w:abstractNumId w:val="271"/>
  </w:num>
  <w:num w:numId="121">
    <w:abstractNumId w:val="276"/>
  </w:num>
  <w:num w:numId="122">
    <w:abstractNumId w:val="40"/>
  </w:num>
  <w:num w:numId="123">
    <w:abstractNumId w:val="146"/>
  </w:num>
  <w:num w:numId="124">
    <w:abstractNumId w:val="32"/>
  </w:num>
  <w:num w:numId="125">
    <w:abstractNumId w:val="186"/>
  </w:num>
  <w:num w:numId="126">
    <w:abstractNumId w:val="165"/>
  </w:num>
  <w:num w:numId="127">
    <w:abstractNumId w:val="264"/>
  </w:num>
  <w:num w:numId="128">
    <w:abstractNumId w:val="151"/>
  </w:num>
  <w:num w:numId="129">
    <w:abstractNumId w:val="149"/>
  </w:num>
  <w:num w:numId="130">
    <w:abstractNumId w:val="182"/>
  </w:num>
  <w:num w:numId="131">
    <w:abstractNumId w:val="99"/>
  </w:num>
  <w:num w:numId="132">
    <w:abstractNumId w:val="222"/>
  </w:num>
  <w:num w:numId="133">
    <w:abstractNumId w:val="230"/>
  </w:num>
  <w:num w:numId="134">
    <w:abstractNumId w:val="185"/>
  </w:num>
  <w:num w:numId="135">
    <w:abstractNumId w:val="154"/>
  </w:num>
  <w:num w:numId="136">
    <w:abstractNumId w:val="15"/>
  </w:num>
  <w:num w:numId="137">
    <w:abstractNumId w:val="106"/>
  </w:num>
  <w:num w:numId="138">
    <w:abstractNumId w:val="107"/>
  </w:num>
  <w:num w:numId="139">
    <w:abstractNumId w:val="260"/>
  </w:num>
  <w:num w:numId="140">
    <w:abstractNumId w:val="279"/>
  </w:num>
  <w:num w:numId="141">
    <w:abstractNumId w:val="75"/>
  </w:num>
  <w:num w:numId="142">
    <w:abstractNumId w:val="42"/>
  </w:num>
  <w:num w:numId="143">
    <w:abstractNumId w:val="139"/>
  </w:num>
  <w:num w:numId="144">
    <w:abstractNumId w:val="191"/>
  </w:num>
  <w:num w:numId="145">
    <w:abstractNumId w:val="19"/>
  </w:num>
  <w:num w:numId="146">
    <w:abstractNumId w:val="224"/>
  </w:num>
  <w:num w:numId="147">
    <w:abstractNumId w:val="50"/>
  </w:num>
  <w:num w:numId="148">
    <w:abstractNumId w:val="156"/>
  </w:num>
  <w:num w:numId="149">
    <w:abstractNumId w:val="242"/>
  </w:num>
  <w:num w:numId="150">
    <w:abstractNumId w:val="285"/>
  </w:num>
  <w:num w:numId="151">
    <w:abstractNumId w:val="285"/>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52">
    <w:abstractNumId w:val="286"/>
  </w:num>
  <w:num w:numId="153">
    <w:abstractNumId w:val="286"/>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54">
    <w:abstractNumId w:val="247"/>
  </w:num>
  <w:num w:numId="155">
    <w:abstractNumId w:val="247"/>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56">
    <w:abstractNumId w:val="231"/>
  </w:num>
  <w:num w:numId="157">
    <w:abstractNumId w:val="257"/>
  </w:num>
  <w:num w:numId="158">
    <w:abstractNumId w:val="33"/>
  </w:num>
  <w:num w:numId="159">
    <w:abstractNumId w:val="55"/>
  </w:num>
  <w:num w:numId="160">
    <w:abstractNumId w:val="47"/>
  </w:num>
  <w:num w:numId="161">
    <w:abstractNumId w:val="277"/>
  </w:num>
  <w:num w:numId="162">
    <w:abstractNumId w:val="221"/>
  </w:num>
  <w:num w:numId="163">
    <w:abstractNumId w:val="221"/>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64">
    <w:abstractNumId w:val="162"/>
  </w:num>
  <w:num w:numId="165">
    <w:abstractNumId w:val="162"/>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66">
    <w:abstractNumId w:val="120"/>
  </w:num>
  <w:num w:numId="167">
    <w:abstractNumId w:val="219"/>
  </w:num>
  <w:num w:numId="168">
    <w:abstractNumId w:val="36"/>
  </w:num>
  <w:num w:numId="169">
    <w:abstractNumId w:val="212"/>
  </w:num>
  <w:num w:numId="170">
    <w:abstractNumId w:val="212"/>
    <w:lvlOverride w:ilvl="0">
      <w:lvl w:ilvl="0">
        <w:start w:val="1"/>
        <w:numFmt w:val="upperRoman"/>
        <w:lvlText w:val="%1. "/>
        <w:legacy w:legacy="1" w:legacySpace="0" w:legacyIndent="283"/>
        <w:lvlJc w:val="left"/>
        <w:pPr>
          <w:ind w:left="283" w:hanging="283"/>
        </w:pPr>
        <w:rPr>
          <w:rFonts w:ascii="Times New Roman" w:hAnsi="Times New Roman" w:hint="default"/>
          <w:b w:val="0"/>
          <w:i w:val="0"/>
          <w:sz w:val="28"/>
          <w:u w:val="none"/>
        </w:rPr>
      </w:lvl>
    </w:lvlOverride>
  </w:num>
  <w:num w:numId="171">
    <w:abstractNumId w:val="18"/>
  </w:num>
  <w:num w:numId="172">
    <w:abstractNumId w:val="18"/>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73">
    <w:abstractNumId w:val="282"/>
  </w:num>
  <w:num w:numId="174">
    <w:abstractNumId w:val="282"/>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75">
    <w:abstractNumId w:val="93"/>
  </w:num>
  <w:num w:numId="176">
    <w:abstractNumId w:val="93"/>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77">
    <w:abstractNumId w:val="240"/>
  </w:num>
  <w:num w:numId="178">
    <w:abstractNumId w:val="275"/>
  </w:num>
  <w:num w:numId="179">
    <w:abstractNumId w:val="248"/>
  </w:num>
  <w:num w:numId="180">
    <w:abstractNumId w:val="173"/>
  </w:num>
  <w:num w:numId="181">
    <w:abstractNumId w:val="173"/>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82">
    <w:abstractNumId w:val="60"/>
  </w:num>
  <w:num w:numId="183">
    <w:abstractNumId w:val="60"/>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84">
    <w:abstractNumId w:val="258"/>
  </w:num>
  <w:num w:numId="185">
    <w:abstractNumId w:val="132"/>
  </w:num>
  <w:num w:numId="186">
    <w:abstractNumId w:val="135"/>
  </w:num>
  <w:num w:numId="187">
    <w:abstractNumId w:val="135"/>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88">
    <w:abstractNumId w:val="100"/>
  </w:num>
  <w:num w:numId="189">
    <w:abstractNumId w:val="100"/>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90">
    <w:abstractNumId w:val="178"/>
  </w:num>
  <w:num w:numId="191">
    <w:abstractNumId w:val="178"/>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92">
    <w:abstractNumId w:val="121"/>
  </w:num>
  <w:num w:numId="193">
    <w:abstractNumId w:val="121"/>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94">
    <w:abstractNumId w:val="147"/>
  </w:num>
  <w:num w:numId="195">
    <w:abstractNumId w:val="62"/>
  </w:num>
  <w:num w:numId="196">
    <w:abstractNumId w:val="62"/>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97">
    <w:abstractNumId w:val="142"/>
  </w:num>
  <w:num w:numId="198">
    <w:abstractNumId w:val="118"/>
  </w:num>
  <w:num w:numId="199">
    <w:abstractNumId w:val="118"/>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00">
    <w:abstractNumId w:val="250"/>
  </w:num>
  <w:num w:numId="201">
    <w:abstractNumId w:val="187"/>
  </w:num>
  <w:num w:numId="202">
    <w:abstractNumId w:val="52"/>
  </w:num>
  <w:num w:numId="203">
    <w:abstractNumId w:val="52"/>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04">
    <w:abstractNumId w:val="137"/>
  </w:num>
  <w:num w:numId="205">
    <w:abstractNumId w:val="137"/>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06">
    <w:abstractNumId w:val="53"/>
  </w:num>
  <w:num w:numId="207">
    <w:abstractNumId w:val="53"/>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08">
    <w:abstractNumId w:val="124"/>
  </w:num>
  <w:num w:numId="209">
    <w:abstractNumId w:val="124"/>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10">
    <w:abstractNumId w:val="210"/>
  </w:num>
  <w:num w:numId="211">
    <w:abstractNumId w:val="210"/>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12">
    <w:abstractNumId w:val="179"/>
  </w:num>
  <w:num w:numId="213">
    <w:abstractNumId w:val="111"/>
  </w:num>
  <w:num w:numId="214">
    <w:abstractNumId w:val="184"/>
  </w:num>
  <w:num w:numId="215">
    <w:abstractNumId w:val="105"/>
  </w:num>
  <w:num w:numId="216">
    <w:abstractNumId w:val="105"/>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17">
    <w:abstractNumId w:val="69"/>
  </w:num>
  <w:num w:numId="218">
    <w:abstractNumId w:val="69"/>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19">
    <w:abstractNumId w:val="171"/>
  </w:num>
  <w:num w:numId="220">
    <w:abstractNumId w:val="171"/>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21">
    <w:abstractNumId w:val="268"/>
  </w:num>
  <w:num w:numId="222">
    <w:abstractNumId w:val="268"/>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23">
    <w:abstractNumId w:val="145"/>
  </w:num>
  <w:num w:numId="224">
    <w:abstractNumId w:val="145"/>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25">
    <w:abstractNumId w:val="22"/>
  </w:num>
  <w:num w:numId="226">
    <w:abstractNumId w:val="95"/>
  </w:num>
  <w:num w:numId="227">
    <w:abstractNumId w:val="256"/>
  </w:num>
  <w:num w:numId="228">
    <w:abstractNumId w:val="256"/>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29">
    <w:abstractNumId w:val="155"/>
  </w:num>
  <w:num w:numId="230">
    <w:abstractNumId w:val="175"/>
  </w:num>
  <w:num w:numId="231">
    <w:abstractNumId w:val="218"/>
  </w:num>
  <w:num w:numId="232">
    <w:abstractNumId w:val="74"/>
  </w:num>
  <w:num w:numId="233">
    <w:abstractNumId w:val="194"/>
  </w:num>
  <w:num w:numId="234">
    <w:abstractNumId w:val="152"/>
  </w:num>
  <w:num w:numId="235">
    <w:abstractNumId w:val="152"/>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36">
    <w:abstractNumId w:val="237"/>
  </w:num>
  <w:num w:numId="237">
    <w:abstractNumId w:val="168"/>
  </w:num>
  <w:num w:numId="238">
    <w:abstractNumId w:val="168"/>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39">
    <w:abstractNumId w:val="140"/>
  </w:num>
  <w:num w:numId="240">
    <w:abstractNumId w:val="123"/>
  </w:num>
  <w:num w:numId="241">
    <w:abstractNumId w:val="123"/>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42">
    <w:abstractNumId w:val="48"/>
  </w:num>
  <w:num w:numId="243">
    <w:abstractNumId w:val="14"/>
  </w:num>
  <w:num w:numId="244">
    <w:abstractNumId w:val="57"/>
  </w:num>
  <w:num w:numId="245">
    <w:abstractNumId w:val="65"/>
  </w:num>
  <w:num w:numId="246">
    <w:abstractNumId w:val="65"/>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47">
    <w:abstractNumId w:val="103"/>
  </w:num>
  <w:num w:numId="248">
    <w:abstractNumId w:val="131"/>
  </w:num>
  <w:num w:numId="249">
    <w:abstractNumId w:val="284"/>
  </w:num>
  <w:num w:numId="250">
    <w:abstractNumId w:val="92"/>
  </w:num>
  <w:num w:numId="251">
    <w:abstractNumId w:val="267"/>
  </w:num>
  <w:num w:numId="252">
    <w:abstractNumId w:val="169"/>
  </w:num>
  <w:num w:numId="253">
    <w:abstractNumId w:val="232"/>
  </w:num>
  <w:num w:numId="254">
    <w:abstractNumId w:val="232"/>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55">
    <w:abstractNumId w:val="205"/>
  </w:num>
  <w:num w:numId="256">
    <w:abstractNumId w:val="205"/>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57">
    <w:abstractNumId w:val="263"/>
  </w:num>
  <w:num w:numId="258">
    <w:abstractNumId w:val="263"/>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59">
    <w:abstractNumId w:val="197"/>
  </w:num>
  <w:num w:numId="260">
    <w:abstractNumId w:val="136"/>
  </w:num>
  <w:num w:numId="261">
    <w:abstractNumId w:val="13"/>
  </w:num>
  <w:num w:numId="262">
    <w:abstractNumId w:val="255"/>
  </w:num>
  <w:num w:numId="263">
    <w:abstractNumId w:val="190"/>
  </w:num>
  <w:num w:numId="264">
    <w:abstractNumId w:val="159"/>
  </w:num>
  <w:num w:numId="265">
    <w:abstractNumId w:val="85"/>
  </w:num>
  <w:num w:numId="266">
    <w:abstractNumId w:val="12"/>
  </w:num>
  <w:num w:numId="267">
    <w:abstractNumId w:val="274"/>
  </w:num>
  <w:num w:numId="268">
    <w:abstractNumId w:val="252"/>
  </w:num>
  <w:num w:numId="269">
    <w:abstractNumId w:val="206"/>
  </w:num>
  <w:num w:numId="270">
    <w:abstractNumId w:val="30"/>
  </w:num>
  <w:num w:numId="271">
    <w:abstractNumId w:val="280"/>
  </w:num>
  <w:num w:numId="272">
    <w:abstractNumId w:val="23"/>
  </w:num>
  <w:num w:numId="273">
    <w:abstractNumId w:val="143"/>
  </w:num>
  <w:num w:numId="274">
    <w:abstractNumId w:val="110"/>
  </w:num>
  <w:num w:numId="275">
    <w:abstractNumId w:val="119"/>
  </w:num>
  <w:num w:numId="276">
    <w:abstractNumId w:val="51"/>
  </w:num>
  <w:num w:numId="277">
    <w:abstractNumId w:val="244"/>
  </w:num>
  <w:num w:numId="278">
    <w:abstractNumId w:val="39"/>
  </w:num>
  <w:num w:numId="279">
    <w:abstractNumId w:val="27"/>
  </w:num>
  <w:num w:numId="280">
    <w:abstractNumId w:val="266"/>
  </w:num>
  <w:num w:numId="281">
    <w:abstractNumId w:val="161"/>
  </w:num>
  <w:num w:numId="282">
    <w:abstractNumId w:val="25"/>
  </w:num>
  <w:num w:numId="283">
    <w:abstractNumId w:val="26"/>
  </w:num>
  <w:num w:numId="284">
    <w:abstractNumId w:val="262"/>
  </w:num>
  <w:num w:numId="285">
    <w:abstractNumId w:val="203"/>
  </w:num>
  <w:num w:numId="286">
    <w:abstractNumId w:val="7"/>
  </w:num>
  <w:num w:numId="287">
    <w:abstractNumId w:val="6"/>
  </w:num>
  <w:num w:numId="288">
    <w:abstractNumId w:val="5"/>
  </w:num>
  <w:num w:numId="289">
    <w:abstractNumId w:val="4"/>
  </w:num>
  <w:num w:numId="290">
    <w:abstractNumId w:val="183"/>
  </w:num>
  <w:num w:numId="291">
    <w:abstractNumId w:val="157"/>
  </w:num>
  <w:num w:numId="292">
    <w:abstractNumId w:val="235"/>
  </w:num>
  <w:num w:numId="293">
    <w:abstractNumId w:val="281"/>
  </w:num>
  <w:num w:numId="294">
    <w:abstractNumId w:val="122"/>
  </w:num>
  <w:num w:numId="295">
    <w:abstractNumId w:val="226"/>
  </w:num>
  <w:num w:numId="296">
    <w:abstractNumId w:val="195"/>
  </w:num>
  <w:num w:numId="297">
    <w:abstractNumId w:val="133"/>
  </w:num>
  <w:num w:numId="298">
    <w:abstractNumId w:val="81"/>
  </w:num>
  <w:num w:numId="299">
    <w:abstractNumId w:val="45"/>
  </w:num>
  <w:num w:numId="300">
    <w:abstractNumId w:val="138"/>
  </w:num>
  <w:num w:numId="301">
    <w:abstractNumId w:val="163"/>
  </w:num>
  <w:num w:numId="302">
    <w:abstractNumId w:val="233"/>
  </w:num>
  <w:num w:numId="303">
    <w:abstractNumId w:val="129"/>
  </w:num>
  <w:num w:numId="304">
    <w:abstractNumId w:val="87"/>
  </w:num>
  <w:num w:numId="305">
    <w:abstractNumId w:val="112"/>
  </w:num>
  <w:num w:numId="306">
    <w:abstractNumId w:val="243"/>
  </w:num>
  <w:num w:numId="307">
    <w:abstractNumId w:val="94"/>
  </w:num>
  <w:num w:numId="308">
    <w:abstractNumId w:val="220"/>
  </w:num>
  <w:num w:numId="309">
    <w:abstractNumId w:val="72"/>
  </w:num>
  <w:num w:numId="310">
    <w:abstractNumId w:val="239"/>
  </w:num>
  <w:num w:numId="311">
    <w:abstractNumId w:val="77"/>
  </w:num>
  <w:num w:numId="312">
    <w:abstractNumId w:val="144"/>
  </w:num>
  <w:num w:numId="313">
    <w:abstractNumId w:val="253"/>
  </w:num>
  <w:num w:numId="314">
    <w:abstractNumId w:val="192"/>
  </w:num>
  <w:num w:numId="315">
    <w:abstractNumId w:val="283"/>
  </w:num>
  <w:num w:numId="316">
    <w:abstractNumId w:val="130"/>
  </w:num>
  <w:num w:numId="317">
    <w:abstractNumId w:val="115"/>
  </w:num>
  <w:num w:numId="318">
    <w:abstractNumId w:val="102"/>
  </w:num>
  <w:num w:numId="319">
    <w:abstractNumId w:val="37"/>
  </w:num>
  <w:num w:numId="320">
    <w:abstractNumId w:val="211"/>
  </w:num>
  <w:num w:numId="321">
    <w:abstractNumId w:val="54"/>
  </w:num>
  <w:num w:numId="322">
    <w:abstractNumId w:val="245"/>
  </w:num>
  <w:num w:numId="323">
    <w:abstractNumId w:val="249"/>
  </w:num>
  <w:num w:numId="324">
    <w:abstractNumId w:val="176"/>
  </w:num>
  <w:num w:numId="325">
    <w:abstractNumId w:val="76"/>
  </w:num>
  <w:num w:numId="326">
    <w:abstractNumId w:val="261"/>
  </w:num>
  <w:num w:numId="327">
    <w:abstractNumId w:val="114"/>
  </w:num>
  <w:num w:numId="328">
    <w:abstractNumId w:val="1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GrammaticalErrors/>
  <w:activeWritingStyle w:appName="MSWord" w:lang="ru-RU" w:vendorID="1" w:dllVersion="512" w:checkStyle="1"/>
  <w:doNotTrackMoves/>
  <w:defaultTabStop w:val="475"/>
  <w:autoHyphenation/>
  <w:hyphenationZone w:val="2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9/2002 14:03:02"/>
    <w:docVar w:name="DocCategory" w:val="Doc"/>
    <w:docVar w:name="DocType" w:val="Final"/>
    <w:docVar w:name="JobNo" w:val="0249166R"/>
    <w:docVar w:name="OandT" w:val="Griaznova"/>
    <w:docVar w:name="Symbol1" w:val="DP/FPA/2002/9"/>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ru-RU" w:eastAsia="ru-RU"/>
    </w:rPr>
  </w:style>
  <w:style w:type="paragraph" w:styleId="Heading1">
    <w:name w:val="heading 1"/>
    <w:basedOn w:val="Normal"/>
    <w:next w:val="Normal"/>
    <w:qFormat/>
    <w:pPr>
      <w:keepNext/>
      <w:outlineLvl w:val="0"/>
    </w:pPr>
    <w:rPr>
      <w:i/>
      <w:iCs/>
      <w:sz w:val="14"/>
    </w:rPr>
  </w:style>
  <w:style w:type="paragraph" w:styleId="Heading2">
    <w:name w:val="heading 2"/>
    <w:basedOn w:val="Normal"/>
    <w:next w:val="Normal"/>
    <w:qFormat/>
    <w:pPr>
      <w:keepNext/>
      <w:spacing w:before="240" w:after="60"/>
      <w:outlineLvl w:val="1"/>
    </w:pPr>
    <w:rPr>
      <w:rFonts w:ascii="Arial" w:hAnsi="Arial"/>
      <w:b/>
      <w:i/>
      <w:sz w:val="24"/>
    </w:rPr>
  </w:style>
  <w:style w:type="paragraph" w:styleId="Heading3">
    <w:name w:val="heading 3"/>
    <w:basedOn w:val="Normal"/>
    <w:next w:val="Normal"/>
    <w:qFormat/>
    <w:pPr>
      <w:keepNext/>
      <w:jc w:val="right"/>
      <w:outlineLvl w:val="2"/>
    </w:pPr>
    <w:rPr>
      <w:i/>
      <w:iCs/>
      <w:sz w:val="14"/>
    </w:rPr>
  </w:style>
  <w:style w:type="paragraph" w:styleId="Heading9">
    <w:name w:val="heading 9"/>
    <w:basedOn w:val="Normal"/>
    <w:next w:val="Normal"/>
    <w:qFormat/>
    <w:pPr>
      <w:keepNext/>
      <w:numPr>
        <w:numId w:val="57"/>
      </w:numPr>
      <w:tabs>
        <w:tab w:val="left" w:pos="-720"/>
        <w:tab w:val="left" w:pos="0"/>
        <w:tab w:val="left" w:pos="720"/>
        <w:tab w:val="left" w:pos="1126"/>
        <w:tab w:val="left" w:pos="2160"/>
        <w:tab w:val="right" w:leader="dot" w:pos="2497"/>
        <w:tab w:val="right" w:leader="dot" w:pos="2804"/>
        <w:tab w:val="right" w:leader="dot" w:pos="3111"/>
        <w:tab w:val="right" w:leader="dot" w:pos="3418"/>
        <w:tab w:val="right" w:leader="dot" w:pos="3726"/>
        <w:tab w:val="right" w:leader="dot" w:pos="4033"/>
        <w:tab w:val="right" w:leader="dot" w:pos="4340"/>
        <w:tab w:val="right" w:leader="dot" w:pos="4647"/>
        <w:tab w:val="right" w:leader="dot" w:pos="4954"/>
        <w:tab w:val="right" w:leader="dot" w:pos="5262"/>
        <w:tab w:val="right" w:leader="dot" w:pos="5569"/>
        <w:tab w:val="right" w:leader="dot" w:pos="5876"/>
        <w:tab w:val="right" w:leader="dot" w:pos="6183"/>
        <w:tab w:val="right" w:leader="dot" w:pos="6490"/>
        <w:tab w:val="right" w:leader="dot" w:pos="6798"/>
        <w:tab w:val="right" w:leader="dot" w:pos="7182"/>
        <w:tab w:val="right" w:leader="dot" w:pos="7489"/>
        <w:tab w:val="right" w:leader="dot" w:pos="7796"/>
        <w:tab w:val="right" w:leader="dot" w:pos="8103"/>
        <w:tab w:val="right" w:pos="9180"/>
      </w:tabs>
      <w:spacing w:line="240" w:lineRule="auto"/>
      <w:jc w:val="center"/>
      <w:outlineLvl w:val="8"/>
    </w:pPr>
    <w:rPr>
      <w:spacing w:val="0"/>
      <w:w w:val="100"/>
      <w:kern w:val="0"/>
      <w:sz w:val="24"/>
      <w:u w:val="single"/>
      <w:lang w:val="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Normal"/>
    <w:pPr>
      <w:suppressAutoHyphens/>
      <w:spacing w:line="270" w:lineRule="exact"/>
      <w:outlineLvl w:val="0"/>
    </w:pPr>
    <w:rPr>
      <w:b/>
      <w:sz w:val="24"/>
    </w:rPr>
  </w:style>
  <w:style w:type="paragraph" w:customStyle="1" w:styleId="HCh">
    <w:name w:val="_ H _Ch"/>
    <w:basedOn w:val="H1"/>
    <w:next w:val="Normal"/>
    <w:pPr>
      <w:keepNext/>
      <w:keepLines/>
      <w:spacing w:line="300" w:lineRule="exact"/>
    </w:pPr>
    <w:rPr>
      <w:spacing w:val="-2"/>
      <w:sz w:val="28"/>
    </w:rPr>
  </w:style>
  <w:style w:type="paragraph" w:customStyle="1" w:styleId="H23">
    <w:name w:val="_ H_2/3"/>
    <w:basedOn w:val="H1"/>
    <w:next w:val="DualTxt"/>
    <w:pPr>
      <w:keepNext/>
      <w:keepLines/>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DualTxt"/>
    <w:pPr>
      <w:keepNext/>
      <w:keepLines/>
      <w:tabs>
        <w:tab w:val="right" w:pos="360"/>
      </w:tabs>
      <w:suppressAutoHyphens/>
      <w:outlineLvl w:val="4"/>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bdr w:val="none" w:sz="0" w:space="0" w:color="auto"/>
      <w:shd w:val="clear" w:color="auto" w:fill="auto"/>
      <w:vertAlign w:val="superscript"/>
    </w:rPr>
  </w:style>
  <w:style w:type="character" w:styleId="EndnoteReference">
    <w:name w:val="endnote reference"/>
    <w:basedOn w:val="FootnoteReference"/>
    <w:semiHidden/>
    <w:rPr>
      <w:spacing w:val="-5"/>
      <w:w w:val="130"/>
      <w:position w:val="-4"/>
      <w:bdr w:val="none" w:sz="0" w:space="0" w:color="auto"/>
      <w:shd w:val="clear" w:color="auto" w:fill="auto"/>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lang w:val="ru-RU" w:eastAsia="ru-RU"/>
    </w:rPr>
  </w:style>
  <w:style w:type="paragraph" w:styleId="Header">
    <w:name w:val="header"/>
    <w:semiHidden/>
    <w:pPr>
      <w:tabs>
        <w:tab w:val="center" w:pos="4320"/>
        <w:tab w:val="right" w:pos="8640"/>
      </w:tabs>
    </w:pPr>
    <w:rPr>
      <w:noProof/>
      <w:sz w:val="17"/>
      <w:lang w:val="ru-RU" w:eastAsia="ru-RU"/>
    </w:rPr>
  </w:style>
  <w:style w:type="character" w:styleId="LineNumber">
    <w:name w:val="line number"/>
    <w:semiHidden/>
    <w:rPr>
      <w:sz w:val="14"/>
    </w:rPr>
  </w:style>
  <w:style w:type="paragraph" w:styleId="ListContinue2">
    <w:name w:val="List Continue 2"/>
    <w:basedOn w:val="Normal"/>
    <w:next w:val="Normal"/>
    <w:semiHidden/>
    <w:pPr>
      <w:numPr>
        <w:numId w:val="1"/>
      </w:numPr>
      <w:spacing w:after="120"/>
    </w:pPr>
  </w:style>
  <w:style w:type="paragraph" w:styleId="ListNumber">
    <w:name w:val="List Number"/>
    <w:basedOn w:val="H1"/>
    <w:next w:val="Normal"/>
    <w:semiHidden/>
    <w:pPr>
      <w:numPr>
        <w:numId w:val="3"/>
      </w:numPr>
      <w:tabs>
        <w:tab w:val="clear" w:pos="360"/>
        <w:tab w:val="num" w:pos="792"/>
      </w:tabs>
      <w:ind w:left="792" w:hanging="317"/>
    </w:pPr>
  </w:style>
  <w:style w:type="paragraph" w:styleId="ListNumber2">
    <w:name w:val="List Number 2"/>
    <w:basedOn w:val="H23"/>
    <w:next w:val="Normal"/>
    <w:semiHidden/>
    <w:pPr>
      <w:numPr>
        <w:numId w:val="5"/>
      </w:numPr>
      <w:tabs>
        <w:tab w:val="clear" w:pos="643"/>
        <w:tab w:val="num" w:pos="792"/>
      </w:tabs>
      <w:ind w:left="792" w:hanging="317"/>
    </w:pPr>
  </w:style>
  <w:style w:type="paragraph" w:styleId="ListNumber3">
    <w:name w:val="List Number 3"/>
    <w:basedOn w:val="H23"/>
    <w:next w:val="Normal"/>
    <w:semiHidden/>
    <w:pPr>
      <w:numPr>
        <w:numId w:val="7"/>
      </w:numPr>
      <w:tabs>
        <w:tab w:val="clear" w:pos="926"/>
        <w:tab w:val="num" w:pos="792"/>
      </w:tabs>
      <w:ind w:left="792" w:hanging="317"/>
    </w:pPr>
  </w:style>
  <w:style w:type="paragraph" w:styleId="ListNumber4">
    <w:name w:val="List Number 4"/>
    <w:basedOn w:val="H4"/>
    <w:next w:val="Normal"/>
    <w:semiHidden/>
    <w:pPr>
      <w:numPr>
        <w:numId w:val="9"/>
      </w:numPr>
      <w:tabs>
        <w:tab w:val="clear" w:pos="1209"/>
        <w:tab w:val="num" w:pos="792"/>
      </w:tabs>
      <w:ind w:left="792" w:hanging="317"/>
    </w:pPr>
  </w:style>
  <w:style w:type="paragraph" w:styleId="ListNumber5">
    <w:name w:val="List Number 5"/>
    <w:basedOn w:val="Normal"/>
    <w:next w:val="Normal"/>
    <w:semiHidden/>
    <w:pPr>
      <w:numPr>
        <w:numId w:val="11"/>
      </w:numPr>
      <w:tabs>
        <w:tab w:val="clear" w:pos="1492"/>
        <w:tab w:val="num" w:pos="792"/>
      </w:tabs>
      <w:ind w:left="792" w:hanging="317"/>
    </w:p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ListBullet">
    <w:name w:val="List Bullet"/>
    <w:basedOn w:val="Normal"/>
    <w:autoRedefine/>
    <w:semiHidden/>
    <w:pPr>
      <w:numPr>
        <w:numId w:val="14"/>
      </w:numPr>
    </w:pPr>
  </w:style>
  <w:style w:type="paragraph" w:styleId="BodyText">
    <w:name w:val="Body Text"/>
    <w:basedOn w:val="Normal"/>
    <w:semiHidden/>
    <w:pPr>
      <w:tabs>
        <w:tab w:val="left" w:pos="1814"/>
      </w:tabs>
      <w:spacing w:after="120"/>
      <w:ind w:left="1247" w:right="1247"/>
      <w:jc w:val="both"/>
    </w:pPr>
    <w:rPr>
      <w:spacing w:val="0"/>
      <w:w w:val="100"/>
      <w:kern w:val="0"/>
    </w:rPr>
  </w:style>
  <w:style w:type="paragraph" w:styleId="BodyTextIndent">
    <w:name w:val="Body Text Indent"/>
    <w:basedOn w:val="Normal"/>
    <w:semiHidden/>
    <w:pPr>
      <w:spacing w:line="240" w:lineRule="auto"/>
      <w:ind w:left="708" w:firstLine="708"/>
    </w:pPr>
    <w:rPr>
      <w:rFonts w:ascii="Arial" w:hAnsi="Arial"/>
      <w:spacing w:val="0"/>
      <w:w w:val="100"/>
      <w:kern w:val="0"/>
      <w:sz w:val="24"/>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19</TotalTime>
  <Pages>98</Pages>
  <Words>39454</Words>
  <Characters>224888</Characters>
  <Application>Microsoft Office Word</Application>
  <DocSecurity>4</DocSecurity>
  <Lines>1874</Lines>
  <Paragraphs>449</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276178</CharactersWithSpaces>
  <SharedDoc>false</SharedDoc>
  <HLinks>
    <vt:vector size="6" baseType="variant">
      <vt:variant>
        <vt:i4>4522087</vt:i4>
      </vt:variant>
      <vt:variant>
        <vt:i4>552664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Tatiana.Panichkina</cp:lastModifiedBy>
  <cp:revision>9</cp:revision>
  <cp:lastPrinted>2004-05-05T13:22:00Z</cp:lastPrinted>
  <dcterms:created xsi:type="dcterms:W3CDTF">2004-05-05T13:08:00Z</dcterms:created>
  <dcterms:modified xsi:type="dcterms:W3CDTF">2004-05-05T13:39:00Z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0249166</vt:lpwstr>
  </property>
  <property fmtid="{D5CDD505-2E9C-101B-9397-08002B2CF9AE}" pid="3" name="Symbol1">
    <vt:lpwstr>DP/FPA/2002/9</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98</vt:lpwstr>
  </property>
  <property fmtid="{D5CDD505-2E9C-101B-9397-08002B2CF9AE}" pid="8" name="Operator">
    <vt:lpwstr>Паничкина</vt:lpwstr>
  </property>
</Properties>
</file>