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tcPr>
          <w:p w:rsidR="00000000" w:rsidRDefault="00000000">
            <w:pPr>
              <w:spacing w:after="0"/>
              <w:rPr>
                <w:b/>
                <w:sz w:val="52"/>
                <w:szCs w:val="52"/>
              </w:rPr>
            </w:pPr>
            <w:r>
              <w:rPr>
                <w:b/>
                <w:sz w:val="52"/>
                <w:szCs w:val="5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7823"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s-ES_tradnl"/>
              </w:rPr>
            </w:pPr>
            <w:r>
              <w:rPr>
                <w:lang w:val="es-ES_tradnl"/>
              </w:rPr>
              <w:t>Distr.</w:t>
            </w:r>
          </w:p>
          <w:p w:rsidR="00000000" w:rsidRDefault="00000000">
            <w:pPr>
              <w:spacing w:after="0"/>
              <w:rPr>
                <w:lang w:val="es-ES_tradnl"/>
              </w:rPr>
            </w:pPr>
            <w:r>
              <w:rPr>
                <w:lang w:val="es-ES_tradnl"/>
              </w:rPr>
              <w:t>GENERAL</w:t>
            </w:r>
          </w:p>
          <w:p w:rsidR="00000000" w:rsidRDefault="00000000">
            <w:pPr>
              <w:spacing w:after="0"/>
              <w:rPr>
                <w:lang w:val="es-ES_tradnl"/>
              </w:rPr>
            </w:pPr>
          </w:p>
          <w:p w:rsidR="00000000" w:rsidRDefault="00000000">
            <w:pPr>
              <w:spacing w:after="0"/>
              <w:rPr>
                <w:lang w:val="es-ES_tradnl"/>
              </w:rPr>
            </w:pPr>
            <w:r>
              <w:rPr>
                <w:lang w:val="es-ES_tradnl"/>
              </w:rPr>
              <w:t>CERD/C/USA/CO/6</w:t>
            </w:r>
          </w:p>
          <w:p w:rsidR="00000000" w:rsidRDefault="00000000">
            <w:pPr>
              <w:spacing w:after="0"/>
            </w:pPr>
            <w:r>
              <w:t>8 May 2008</w:t>
            </w:r>
          </w:p>
          <w:p w:rsidR="00000000" w:rsidRDefault="00000000">
            <w:pPr>
              <w:spacing w:after="0"/>
            </w:pPr>
          </w:p>
          <w:p w:rsidR="00000000" w:rsidRDefault="00000000">
            <w:pPr>
              <w:spacing w:after="0"/>
            </w:pPr>
            <w:r>
              <w:t>Original: ENGLISH</w:t>
            </w:r>
          </w:p>
        </w:tc>
      </w:tr>
    </w:tbl>
    <w:p w:rsidR="00000000" w:rsidRDefault="00000000">
      <w:pPr>
        <w:spacing w:after="0"/>
        <w:rPr>
          <w:sz w:val="22"/>
          <w:szCs w:val="22"/>
        </w:rPr>
      </w:pPr>
    </w:p>
    <w:p w:rsidR="00000000" w:rsidRDefault="00000000">
      <w:pPr>
        <w:spacing w:after="0"/>
        <w:rPr>
          <w:sz w:val="22"/>
          <w:szCs w:val="22"/>
        </w:rPr>
      </w:pPr>
      <w:r>
        <w:rPr>
          <w:sz w:val="22"/>
          <w:szCs w:val="22"/>
        </w:rPr>
        <w:t>COMMITTEE ON THE ELIMINATION</w:t>
      </w:r>
    </w:p>
    <w:p w:rsidR="00000000" w:rsidRDefault="00000000">
      <w:pPr>
        <w:spacing w:after="0"/>
        <w:rPr>
          <w:sz w:val="22"/>
          <w:szCs w:val="22"/>
        </w:rPr>
      </w:pPr>
      <w:r>
        <w:rPr>
          <w:sz w:val="22"/>
          <w:szCs w:val="22"/>
        </w:rPr>
        <w:t>OF RACIAL DISCRIMINATION</w:t>
      </w:r>
    </w:p>
    <w:p w:rsidR="00000000" w:rsidRDefault="00000000">
      <w:pPr>
        <w:pStyle w:val="Header"/>
        <w:spacing w:after="0"/>
        <w:rPr>
          <w:rFonts w:ascii="Times New (W1)" w:cs="Times New (W1)"/>
          <w:szCs w:val="22"/>
        </w:rPr>
      </w:pPr>
      <w:r>
        <w:rPr>
          <w:rFonts w:ascii="Times New (W1)" w:cs="Times New (W1)"/>
        </w:rPr>
        <w:t>Seventy-second session</w:t>
      </w:r>
      <w:r>
        <w:br/>
        <w:t xml:space="preserve">Geneva, </w:t>
      </w:r>
      <w:r>
        <w:rPr>
          <w:rFonts w:ascii="Times New (W1)" w:cs="Times New (W1)"/>
        </w:rPr>
        <w:t>18 February - 7 March 2008</w:t>
      </w:r>
    </w:p>
    <w:p w:rsidR="00000000" w:rsidRDefault="00000000">
      <w:pPr>
        <w:jc w:val="center"/>
      </w:pPr>
    </w:p>
    <w:p w:rsidR="00000000" w:rsidRDefault="00000000">
      <w:pPr>
        <w:spacing w:after="0"/>
        <w:jc w:val="center"/>
        <w:rPr>
          <w:b/>
          <w:bCs/>
        </w:rPr>
      </w:pPr>
      <w:r>
        <w:rPr>
          <w:b/>
          <w:bCs/>
        </w:rPr>
        <w:t xml:space="preserve">CONSIDERATION OF REPORTS SUBMITTED BY STATES PARTIES </w:t>
      </w:r>
    </w:p>
    <w:p w:rsidR="00000000" w:rsidRDefault="00000000">
      <w:pPr>
        <w:spacing w:after="0"/>
        <w:jc w:val="center"/>
        <w:rPr>
          <w:b/>
          <w:bCs/>
        </w:rPr>
      </w:pPr>
      <w:r>
        <w:rPr>
          <w:b/>
          <w:bCs/>
        </w:rPr>
        <w:t>UNDER ARTICLE 9 OF THE CONVENTION</w:t>
      </w:r>
    </w:p>
    <w:p w:rsidR="00000000" w:rsidRDefault="00000000">
      <w:pPr>
        <w:spacing w:after="0"/>
        <w:jc w:val="center"/>
        <w:rPr>
          <w:b/>
          <w:bCs/>
        </w:rPr>
      </w:pPr>
    </w:p>
    <w:p w:rsidR="00000000" w:rsidRDefault="00000000">
      <w:pPr>
        <w:pStyle w:val="Heading2"/>
      </w:pPr>
      <w:r>
        <w:t>Concluding observations of the Committee on the</w:t>
      </w:r>
      <w:r>
        <w:br/>
        <w:t>Elimination of Racial Discrimination</w:t>
      </w:r>
    </w:p>
    <w:p w:rsidR="00000000" w:rsidRDefault="00000000">
      <w:pPr>
        <w:spacing w:after="0"/>
      </w:pPr>
    </w:p>
    <w:p w:rsidR="00000000" w:rsidRDefault="00000000">
      <w:pPr>
        <w:pStyle w:val="Heading1"/>
      </w:pPr>
      <w:r>
        <w:t>United States of America</w:t>
      </w:r>
    </w:p>
    <w:p w:rsidR="00000000" w:rsidRDefault="00000000">
      <w:pPr>
        <w:pStyle w:val="ParaNo"/>
        <w:numPr>
          <w:ilvl w:val="0"/>
          <w:numId w:val="1"/>
        </w:numPr>
        <w:tabs>
          <w:tab w:val="clear" w:pos="737"/>
        </w:tabs>
      </w:pPr>
      <w:r>
        <w:t xml:space="preserve">The Committee considered the fourth, fifth and sixth periodic reports of the United States of America, submitted in a single document (CERD/C/USA/6), at its 1853rd and 1854th meetings (CERD/C/SR.1853 and 1854), held on 21 and 22 February 2008. At its 1870th meeting (CERD/C/SR.1870), held on 5 March 2008, it adopted the following concluding observations. </w:t>
      </w:r>
    </w:p>
    <w:p w:rsidR="00000000" w:rsidRDefault="00000000">
      <w:pPr>
        <w:pStyle w:val="Heading2"/>
      </w:pPr>
      <w:r>
        <w:t>A. Introduction</w:t>
      </w:r>
    </w:p>
    <w:p w:rsidR="00000000" w:rsidRDefault="00000000">
      <w:pPr>
        <w:pStyle w:val="ParaNo"/>
        <w:numPr>
          <w:ilvl w:val="0"/>
          <w:numId w:val="1"/>
        </w:numPr>
      </w:pPr>
      <w:r>
        <w:t xml:space="preserve">The Committee welcomes the reports, and the opportunity to continue an open and constructive dialogue with the State party. The Committee also expresses appreciation for </w:t>
      </w:r>
      <w:r>
        <w:rPr>
          <w:lang w:val="en-US"/>
        </w:rPr>
        <w:t xml:space="preserve">the detailed responses provided to </w:t>
      </w:r>
      <w:r>
        <w:t>the list of issues</w:t>
      </w:r>
      <w:r>
        <w:rPr>
          <w:lang w:val="en-US"/>
        </w:rPr>
        <w:t xml:space="preserve">, as well as for </w:t>
      </w:r>
      <w:r>
        <w:t>the efforts made by the high-level delegation to answer the wide range of questions raised during the dialogue.</w:t>
      </w:r>
    </w:p>
    <w:p w:rsidR="00000000" w:rsidRDefault="00000000">
      <w:pPr>
        <w:pStyle w:val="Heading2"/>
      </w:pPr>
      <w:r>
        <w:t>B. Positive aspects</w:t>
      </w:r>
    </w:p>
    <w:p w:rsidR="00000000" w:rsidRDefault="00000000">
      <w:pPr>
        <w:pStyle w:val="ParaNo"/>
        <w:numPr>
          <w:ilvl w:val="0"/>
          <w:numId w:val="1"/>
        </w:numPr>
      </w:pPr>
      <w:r>
        <w:t>The Committee welcomes the acknowledgement of the multi-racial, multi-ethnic, and multi-cultural nature of the State party.</w:t>
      </w:r>
    </w:p>
    <w:p w:rsidR="00000000" w:rsidRDefault="00000000">
      <w:pPr>
        <w:pStyle w:val="ParaNo"/>
        <w:numPr>
          <w:ilvl w:val="0"/>
          <w:numId w:val="1"/>
        </w:num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35pt;margin-top:94pt;width:93.5pt;height:19.05pt;z-index:1" stroked="f">
            <v:textbox>
              <w:txbxContent>
                <w:p w:rsidR="00000000" w:rsidRDefault="00000000">
                  <w:r>
                    <w:t>GE.08-41982</w:t>
                  </w:r>
                </w:p>
              </w:txbxContent>
            </v:textbox>
          </v:shape>
        </w:pict>
      </w:r>
      <w:r>
        <w:t xml:space="preserve">The Committee notes with satisfaction the work carried out by the various executive departments and agencies of the State party which have responsibilities in the field of the elimination of racial discrimination, including the </w:t>
      </w:r>
      <w:r>
        <w:rPr>
          <w:rFonts w:eastAsia="MS Mincho"/>
          <w:bCs/>
          <w:iCs/>
          <w:szCs w:val="24"/>
          <w:lang w:val="en-US"/>
        </w:rPr>
        <w:t xml:space="preserve">Civil Rights Division of the U.S. Department of Justice, </w:t>
      </w:r>
      <w:r>
        <w:t>the Equal Employment Opportunity Commission (EEOC) and the Department of Housing and Urban Development (HUD).</w:t>
      </w:r>
    </w:p>
    <w:p w:rsidR="00000000" w:rsidRDefault="00000000">
      <w:pPr>
        <w:pStyle w:val="ParaNo"/>
        <w:numPr>
          <w:ilvl w:val="0"/>
          <w:numId w:val="1"/>
        </w:numPr>
      </w:pPr>
      <w:r>
        <w:t xml:space="preserve">The Committee welcomes the reauthorisation, in 2005, of the Violence Against Women Act of 1994 (VAWA). </w:t>
      </w:r>
    </w:p>
    <w:p w:rsidR="00000000" w:rsidRDefault="00000000">
      <w:pPr>
        <w:pStyle w:val="ParaNo"/>
        <w:numPr>
          <w:ilvl w:val="0"/>
          <w:numId w:val="1"/>
        </w:numPr>
      </w:pPr>
      <w:r>
        <w:t>The Committee also welcomes the reauthorisation, in 2006, of the Voting Rights Act of 1965 (VRA).</w:t>
      </w:r>
    </w:p>
    <w:p w:rsidR="00000000" w:rsidRDefault="00000000">
      <w:pPr>
        <w:pStyle w:val="ParaNo"/>
        <w:numPr>
          <w:ilvl w:val="0"/>
          <w:numId w:val="1"/>
        </w:numPr>
      </w:pPr>
      <w:r>
        <w:t>The Committee commends the launch, in 2007, of the E-RACE Initiative (“Eradicating Racism and Colorism from Employment”), aimed at raising awareness on the issue of racial discrimination in the workplace.</w:t>
      </w:r>
    </w:p>
    <w:p w:rsidR="00000000" w:rsidRDefault="00000000">
      <w:pPr>
        <w:pStyle w:val="ParaNo"/>
        <w:numPr>
          <w:ilvl w:val="0"/>
          <w:numId w:val="1"/>
        </w:numPr>
      </w:pPr>
      <w:r>
        <w:t>The Committee notes with satisfaction the creation, in 2007, of the National Partnership for Action to End Health Disparities for Ethnic and Racial Minority Populations</w:t>
      </w:r>
      <w:r>
        <w:rPr>
          <w:b/>
          <w:bCs/>
        </w:rPr>
        <w:t>,</w:t>
      </w:r>
      <w:r>
        <w:t xml:space="preserve"> as well as the various programmes adopted by the U.S. Department of Health and Human Services (HHS) to address the persistent health disparities affecting low-income persons belonging to racial, ethnic and national minorities. </w:t>
      </w:r>
    </w:p>
    <w:p w:rsidR="00000000" w:rsidRDefault="00000000">
      <w:pPr>
        <w:pStyle w:val="ParaNo"/>
        <w:numPr>
          <w:ilvl w:val="0"/>
          <w:numId w:val="1"/>
        </w:numPr>
      </w:pPr>
      <w:r>
        <w:t>The Committee also notes with satisfaction the California Housing Element Law</w:t>
      </w:r>
      <w:r>
        <w:rPr>
          <w:b/>
          <w:bCs/>
        </w:rPr>
        <w:t xml:space="preserve"> </w:t>
      </w:r>
      <w:r>
        <w:t>of 1969, which requires each local jurisdiction to adopt a housing element in its general plan to meet the housing needs of all segments of the population, including low-income persons belonging to racial, ethnic and national minorities.</w:t>
      </w:r>
    </w:p>
    <w:p w:rsidR="00000000" w:rsidRDefault="00000000">
      <w:pPr>
        <w:spacing w:after="120"/>
        <w:jc w:val="center"/>
        <w:rPr>
          <w:b/>
          <w:bCs/>
        </w:rPr>
      </w:pPr>
      <w:r>
        <w:rPr>
          <w:b/>
          <w:bCs/>
        </w:rPr>
        <w:t>C. Concerns and recommendations</w:t>
      </w:r>
    </w:p>
    <w:p w:rsidR="00000000" w:rsidRDefault="00000000">
      <w:pPr>
        <w:pStyle w:val="ParaNo"/>
        <w:numPr>
          <w:ilvl w:val="0"/>
          <w:numId w:val="1"/>
        </w:numPr>
      </w:pPr>
      <w:r>
        <w:t>The Committee reiterates the concern expressed in paragraph 393 of its previous concluding observations of 2001 (A/56/18, paras. 380-407) that the definition of racial discrimination used in the federal and state legislation and in court practice is not always in line with that contained in article 1, paragraph 1, of the Convention, which requires States parties to prohibit and eliminate racial discrimination in all its forms, including practices and legislation that may not be discriminatory in purpose, but in effect. In this regard, the Committee notes that indirect, or de facto,– discrimination occurs where an apparently neutral provision, criterion or practice would put persons of a particular racial, ethnic or national origin at a disadvantage compared with other persons, unless that provision, criterion or practice is objectively justified by a legitimate aim and the means of achieving that aim are appropriate and necessary (art.1 (1)).</w:t>
      </w:r>
    </w:p>
    <w:p w:rsidR="00000000" w:rsidRDefault="00000000">
      <w:pPr>
        <w:ind w:left="720" w:right="543"/>
        <w:jc w:val="both"/>
        <w:rPr>
          <w:b/>
          <w:bCs/>
        </w:rPr>
      </w:pPr>
      <w:r>
        <w:rPr>
          <w:b/>
          <w:bCs/>
        </w:rPr>
        <w:t>The Committee recommends that the State party review the definition of racial discrimination used in the federal and state legislation and in court practice, so as to ensure, in light of the definition of racial discrimination provided for in article 1, paragraph 1, of the Convention,– that it prohibits racial discrimination in all its forms, including practices and legislation that may not be discriminatory in purpose, but in effect.</w:t>
      </w:r>
    </w:p>
    <w:p w:rsidR="00000000" w:rsidRDefault="00000000">
      <w:pPr>
        <w:pStyle w:val="ParaNo"/>
        <w:numPr>
          <w:ilvl w:val="0"/>
          <w:numId w:val="1"/>
        </w:numPr>
        <w:tabs>
          <w:tab w:val="clear" w:pos="737"/>
        </w:tabs>
      </w:pPr>
      <w:r>
        <w:t>While appreciating that the Constitution and laws of the State party may be used in many instances to prohibit private actors from engaging in acts of racial discrimination, the Committee remains concerned about the wide scope of the reservation entered by the State party at the time of ratification of the Convention with respect to discriminatory acts perpetrated by private individuals, groups or organisations (art. 2).</w:t>
      </w:r>
    </w:p>
    <w:p w:rsidR="00000000" w:rsidRDefault="00000000">
      <w:pPr>
        <w:ind w:left="720" w:right="543"/>
        <w:jc w:val="both"/>
        <w:rPr>
          <w:b/>
          <w:bCs/>
        </w:rPr>
      </w:pPr>
      <w:r>
        <w:rPr>
          <w:b/>
          <w:bCs/>
        </w:rPr>
        <w:t>The Committee recommends that the State party consider withdrawing or narrowing the scope of its reservation to article 2 of the Convention, and to broaden the protection afforded by the law against discriminatory acts perpetrated by private individuals, groups or organizations.</w:t>
      </w:r>
    </w:p>
    <w:p w:rsidR="00000000" w:rsidRDefault="00000000">
      <w:pPr>
        <w:pStyle w:val="ParaNo"/>
        <w:numPr>
          <w:ilvl w:val="0"/>
          <w:numId w:val="1"/>
        </w:numPr>
        <w:tabs>
          <w:tab w:val="clear" w:pos="737"/>
        </w:tabs>
      </w:pPr>
      <w:r>
        <w:t>The Committee notes that no independent national human rights institution established in accordance with the Paris Principles (General Assembly resolution 48/134, annex) exists in the State party (art. 2).</w:t>
      </w:r>
    </w:p>
    <w:p w:rsidR="00000000" w:rsidRDefault="00000000">
      <w:pPr>
        <w:ind w:left="720" w:right="543"/>
        <w:jc w:val="both"/>
        <w:rPr>
          <w:b/>
          <w:bCs/>
        </w:rPr>
      </w:pPr>
      <w:r>
        <w:rPr>
          <w:b/>
          <w:bCs/>
        </w:rPr>
        <w:t>The Committee recommends that the State party consider the establishment of an independent national human rights institution in accordance with the Paris Principles.</w:t>
      </w:r>
    </w:p>
    <w:p w:rsidR="00000000" w:rsidRDefault="00000000">
      <w:pPr>
        <w:pStyle w:val="ParaNo"/>
        <w:numPr>
          <w:ilvl w:val="0"/>
          <w:numId w:val="1"/>
        </w:numPr>
        <w:tabs>
          <w:tab w:val="clear" w:pos="737"/>
        </w:tabs>
      </w:pPr>
      <w:r>
        <w:t xml:space="preserve">While welcoming the acknowledgement by the delegation that the State party is bound to apply the Convention throughout its territory and to ensure its effective application at all levels, federal, state, and local, regardless of the federal structure of its Government, the Committee notes with concern the lack </w:t>
      </w:r>
      <w:r>
        <w:rPr>
          <w:color w:val="000000"/>
        </w:rPr>
        <w:t xml:space="preserve">of appropriate and effective mechanisms to </w:t>
      </w:r>
      <w:r>
        <w:t>ensure a coordinated approach towards the implementation of the Convention at the federal, state and local levels (art. 2).</w:t>
      </w:r>
    </w:p>
    <w:p w:rsidR="00000000" w:rsidRDefault="00000000">
      <w:pPr>
        <w:ind w:left="720" w:right="543"/>
        <w:jc w:val="both"/>
        <w:rPr>
          <w:b/>
          <w:bCs/>
        </w:rPr>
      </w:pPr>
      <w:r>
        <w:rPr>
          <w:b/>
          <w:bCs/>
        </w:rPr>
        <w:t xml:space="preserve">The Committee recommends that the State party establish appropriate mechanisms to ensure a coordinated approach towards the implementation of the Convention at the federal, state and local levels. </w:t>
      </w:r>
    </w:p>
    <w:p w:rsidR="00000000" w:rsidRDefault="00000000">
      <w:pPr>
        <w:pStyle w:val="ParaNo"/>
        <w:numPr>
          <w:ilvl w:val="0"/>
          <w:numId w:val="1"/>
        </w:numPr>
      </w:pPr>
      <w:r>
        <w:t>The Committee notes with concern that despite the measures adopted at the federal and state levels to combat racial profiling, including the elaboration by the Civil Rights Division of the U.S. Department of Justice of the</w:t>
      </w:r>
      <w:r>
        <w:rPr>
          <w:iCs/>
        </w:rPr>
        <w:t xml:space="preserve"> </w:t>
      </w:r>
      <w:r>
        <w:rPr>
          <w:iCs/>
          <w:lang w:val="en-US"/>
        </w:rPr>
        <w:t>Guidance Regarding the Use of Race by Federal Law Enforcement Agencies,</w:t>
      </w:r>
      <w:r>
        <w:t>– such practice continues to be widespread. In particular, the Committee is deeply concerned about the increase in racial profiling against Arabs, Muslims and South Asians in the wake of the 11 September 2001 attack, as well as about the development of the National Entry and Exit Registration System (NEERS) for nationals of 25 countries, all located in the Middle East, South Asia or North Africa (arts. 2 and 5 (b)).</w:t>
      </w:r>
    </w:p>
    <w:p w:rsidR="00000000" w:rsidRDefault="00000000">
      <w:pPr>
        <w:ind w:left="720" w:right="543"/>
        <w:jc w:val="both"/>
        <w:rPr>
          <w:b/>
          <w:bCs/>
        </w:rPr>
      </w:pPr>
      <w:r>
        <w:rPr>
          <w:b/>
          <w:bCs/>
        </w:rPr>
        <w:t>Bearing in mind its general recommendation No. 31 (2005) on the prevention of racial discrimination in the administration and functioning of the criminal justice system, the Committee recommends that the State party strengthen its efforts to combat racial profiling at the federal and state levels, inter alia, by moving expeditiously towards the adoption of the End Racial Profiling Act, or similar federal legislation. The Committee also draws the attention of the State party to its general recommendation No. 30 (2004) on discrimination against non-citizens, according to which measures taken in the fight against terrorism must not discriminate, in purpose or effect, on the grounds of race, colour, descent, or national or ethnic origin, and urges the State party, in accordance with article 2, paragraph 1 (c), of the Convention, to put an end to the National Entry and Exit Registration System (NEERS) and to eliminate other forms of racial profiling against Arabs, Muslims and South Asians.</w:t>
      </w:r>
    </w:p>
    <w:p w:rsidR="00000000" w:rsidRDefault="00000000">
      <w:pPr>
        <w:pStyle w:val="ParaNo"/>
        <w:numPr>
          <w:ilvl w:val="0"/>
          <w:numId w:val="1"/>
        </w:numPr>
        <w:tabs>
          <w:tab w:val="clear" w:pos="737"/>
        </w:tabs>
      </w:pPr>
      <w:r>
        <w:t>The Committee notes with concern that recent case law of the U.S. Supreme Court and the use of voter referenda to prohibit states from adopting race-based affirmative action measures have further limited the permissible use of special measures as a tool to eliminate persistent disparities in the enjoyment of human rights and fundamental freedoms (art. 2 (2)).</w:t>
      </w:r>
    </w:p>
    <w:p w:rsidR="00000000" w:rsidRDefault="00000000">
      <w:pPr>
        <w:ind w:left="720" w:right="543"/>
        <w:jc w:val="both"/>
        <w:rPr>
          <w:b/>
          <w:bCs/>
        </w:rPr>
      </w:pPr>
      <w:r>
        <w:rPr>
          <w:b/>
          <w:bCs/>
        </w:rPr>
        <w:t>The Committee reiterates that the adoption of special measures “when circumstances so warrant” is an obligation arising from article 2, paragraph 2, of the Convention. The Committee therefore calls once again upon the State party to adopt and strengthen the use of such measures when circumstances warrant their use as a tool to eliminate the persistent disparities in the enjoyment of human rights and fundamental freedoms and ensure the adequate development and protection of members of racial, ethnic and national minorities.</w:t>
      </w:r>
    </w:p>
    <w:p w:rsidR="00000000" w:rsidRDefault="00000000">
      <w:pPr>
        <w:pStyle w:val="ParaNo"/>
        <w:numPr>
          <w:ilvl w:val="0"/>
          <w:numId w:val="1"/>
        </w:numPr>
        <w:tabs>
          <w:tab w:val="clear" w:pos="737"/>
        </w:tabs>
      </w:pPr>
      <w:r>
        <w:t>The Committee is deeply concerned that racial, ethnic and national minorities, especially Latino and African American persons, are disproportionately concentrated in poor residential areas characterised by sub-standard housing conditions, limited employment opportunities, inadequate access to health care facilities, under-resourced schools and high exposure to crime and violence (art. 3).</w:t>
      </w:r>
    </w:p>
    <w:p w:rsidR="00000000" w:rsidRDefault="00000000">
      <w:pPr>
        <w:spacing w:after="120"/>
        <w:ind w:left="720" w:right="544"/>
        <w:jc w:val="both"/>
        <w:rPr>
          <w:b/>
          <w:bCs/>
        </w:rPr>
      </w:pPr>
      <w:r>
        <w:rPr>
          <w:b/>
          <w:bCs/>
        </w:rPr>
        <w:t xml:space="preserve">The Committee urges the State party to intensify its efforts aimed at reducing the phenomenon of residential segregation based on racial, ethnic and national origin, as well as its negative consequences for the affected individuals and groups. In particular, the Committee recommends that the State party: </w:t>
      </w:r>
    </w:p>
    <w:p w:rsidR="00000000" w:rsidRDefault="00000000">
      <w:pPr>
        <w:numPr>
          <w:ilvl w:val="0"/>
          <w:numId w:val="16"/>
        </w:numPr>
        <w:tabs>
          <w:tab w:val="clear" w:pos="1440"/>
          <w:tab w:val="num" w:pos="1683"/>
        </w:tabs>
        <w:spacing w:after="120"/>
        <w:ind w:left="1683" w:right="544" w:hanging="561"/>
        <w:jc w:val="both"/>
        <w:rPr>
          <w:b/>
          <w:bCs/>
        </w:rPr>
      </w:pPr>
      <w:r>
        <w:rPr>
          <w:b/>
          <w:bCs/>
        </w:rPr>
        <w:t xml:space="preserve">Support the development of public housing complexes outside poor, racially segregated areas; </w:t>
      </w:r>
    </w:p>
    <w:p w:rsidR="00000000" w:rsidRDefault="00000000">
      <w:pPr>
        <w:numPr>
          <w:ilvl w:val="0"/>
          <w:numId w:val="16"/>
        </w:numPr>
        <w:tabs>
          <w:tab w:val="clear" w:pos="1440"/>
          <w:tab w:val="num" w:pos="1683"/>
        </w:tabs>
        <w:spacing w:after="120"/>
        <w:ind w:left="1683" w:right="544" w:hanging="561"/>
        <w:jc w:val="both"/>
        <w:rPr>
          <w:b/>
          <w:bCs/>
        </w:rPr>
      </w:pPr>
      <w:r>
        <w:rPr>
          <w:b/>
          <w:bCs/>
        </w:rPr>
        <w:t xml:space="preserve">Eliminate the obstacles that limit affordable housing choice and mobility for beneficiaries of Section 8 Housing Choice Voucher Program; and </w:t>
      </w:r>
    </w:p>
    <w:p w:rsidR="00000000" w:rsidRDefault="00000000">
      <w:pPr>
        <w:numPr>
          <w:ilvl w:val="0"/>
          <w:numId w:val="16"/>
        </w:numPr>
        <w:tabs>
          <w:tab w:val="clear" w:pos="1440"/>
          <w:tab w:val="num" w:pos="1683"/>
        </w:tabs>
        <w:ind w:left="1683" w:right="543" w:hanging="561"/>
        <w:jc w:val="both"/>
        <w:rPr>
          <w:b/>
          <w:bCs/>
        </w:rPr>
      </w:pPr>
      <w:r>
        <w:rPr>
          <w:b/>
          <w:bCs/>
        </w:rPr>
        <w:t xml:space="preserve">Ensure the effective implementation of legislation adopted at the federal and state levels to combat discrimination in housing, including the phenomenon of “steering” and other discriminatory practices carried out by private actors. </w:t>
      </w:r>
    </w:p>
    <w:p w:rsidR="00000000" w:rsidRDefault="00000000">
      <w:pPr>
        <w:pStyle w:val="ParaNo"/>
        <w:numPr>
          <w:ilvl w:val="0"/>
          <w:numId w:val="1"/>
        </w:numPr>
        <w:tabs>
          <w:tab w:val="clear" w:pos="737"/>
        </w:tabs>
      </w:pPr>
      <w:r>
        <w:t>The Committee remains concerned about the persistence of de facto</w:t>
      </w:r>
      <w:r>
        <w:rPr>
          <w:i/>
          <w:iCs/>
        </w:rPr>
        <w:t xml:space="preserve"> </w:t>
      </w:r>
      <w:r>
        <w:t xml:space="preserve">racial segregation in public schools. In this regard, the Committee notes with particular concern that the recent U.S. Supreme Court decisions in </w:t>
      </w:r>
      <w:r>
        <w:rPr>
          <w:i/>
          <w:iCs/>
        </w:rPr>
        <w:t>Parents Involved in Community Schools</w:t>
      </w:r>
      <w:r>
        <w:t xml:space="preserve"> v. Seattle School District No. 1 (2007) and </w:t>
      </w:r>
      <w:r>
        <w:rPr>
          <w:i/>
          <w:iCs/>
        </w:rPr>
        <w:t>Meredith</w:t>
      </w:r>
      <w:r>
        <w:t xml:space="preserve"> v. </w:t>
      </w:r>
      <w:r>
        <w:rPr>
          <w:i/>
          <w:iCs/>
        </w:rPr>
        <w:t xml:space="preserve">Jefferson County Board of Education </w:t>
      </w:r>
      <w:r>
        <w:t xml:space="preserve">(2007) have rolled back the progress made since the U.S. Supreme Court’s landmark decision in </w:t>
      </w:r>
      <w:r>
        <w:rPr>
          <w:i/>
          <w:iCs/>
        </w:rPr>
        <w:t>Brown</w:t>
      </w:r>
      <w:r>
        <w:t xml:space="preserve"> v.</w:t>
      </w:r>
      <w:r>
        <w:rPr>
          <w:i/>
          <w:iCs/>
        </w:rPr>
        <w:t xml:space="preserve"> Board of Education</w:t>
      </w:r>
      <w:r>
        <w:t xml:space="preserve"> (1954), and limited the ability of public school districts to address de facto</w:t>
      </w:r>
      <w:r>
        <w:rPr>
          <w:i/>
          <w:iCs/>
        </w:rPr>
        <w:t xml:space="preserve"> </w:t>
      </w:r>
      <w:r>
        <w:t>segregation by prohibiting the use of race-conscious measures as a tool to promote integration (arts. (2), 3 and 5 (e) (v)).</w:t>
      </w:r>
    </w:p>
    <w:p w:rsidR="00000000" w:rsidRDefault="00000000">
      <w:pPr>
        <w:ind w:left="720" w:right="543"/>
        <w:jc w:val="both"/>
        <w:rPr>
          <w:b/>
          <w:bCs/>
        </w:rPr>
      </w:pPr>
      <w:r>
        <w:rPr>
          <w:b/>
          <w:bCs/>
        </w:rPr>
        <w:t xml:space="preserve">The Committee recommends that the State party undertake further studies to identify the underlying causes of </w:t>
      </w:r>
      <w:r>
        <w:rPr>
          <w:b/>
          <w:bCs/>
          <w:iCs/>
        </w:rPr>
        <w:t xml:space="preserve">de facto </w:t>
      </w:r>
      <w:r>
        <w:rPr>
          <w:b/>
          <w:bCs/>
        </w:rPr>
        <w:t>segregation and racial inequalities in education, with a view to elaborating effective strategies aimed at promoting school desegregation and providing equal educational opportunity in integrated settings for all students. In this regard, the Committee recommends that the State party take all appropriate measures, including the enactment of legislation,– to restore the possibility for school districts to voluntarily promote school integration through the use of carefully tailored special measures adopted in accordance to article 2, paragraph 2, of the Convention.</w:t>
      </w:r>
    </w:p>
    <w:p w:rsidR="00000000" w:rsidRDefault="00000000">
      <w:pPr>
        <w:pStyle w:val="ParaNo"/>
        <w:numPr>
          <w:ilvl w:val="0"/>
          <w:numId w:val="1"/>
        </w:numPr>
        <w:tabs>
          <w:tab w:val="clear" w:pos="737"/>
        </w:tabs>
      </w:pPr>
      <w:r>
        <w:t>While appreciating that some forms of hate speech and other activities designed to intimidate, such as the burning of crosses, are not protected under the First Amendment to the U.S. Constitution, the Committee remains concerned about the wide scope of the reservation entered by the State party at the time of ratification of the Convention with respect to the dissemination of ideas based on racial superiority and hatred (art. 4).</w:t>
      </w:r>
    </w:p>
    <w:p w:rsidR="00000000" w:rsidRDefault="00000000">
      <w:pPr>
        <w:ind w:left="720" w:right="543"/>
        <w:jc w:val="both"/>
        <w:rPr>
          <w:b/>
          <w:bCs/>
        </w:rPr>
      </w:pPr>
      <w:r>
        <w:rPr>
          <w:b/>
          <w:bCs/>
        </w:rPr>
        <w:t>The Committee draws the attention of the State party to its general recommendations No. 7 (1985) and 15 (1993) concerning the implementation of article 4 of the Convention, and request the State party to consider withdrawing or narrowing the scope of its reservations to article 4 of the Convention. In this regard, the Committee wishes to reiterate that the prohibition of all ideas based on racial superiority or hatred is compatible with the right to freedom of opinion and expression, given that the exercise of this right carries special duties and responsibilities, including the obligation not to disseminate racist ideas.</w:t>
      </w:r>
    </w:p>
    <w:p w:rsidR="00000000" w:rsidRDefault="00000000">
      <w:pPr>
        <w:pStyle w:val="ParaNo"/>
        <w:numPr>
          <w:ilvl w:val="0"/>
          <w:numId w:val="1"/>
        </w:numPr>
        <w:tabs>
          <w:tab w:val="clear" w:pos="737"/>
        </w:tabs>
      </w:pPr>
      <w:r>
        <w:t xml:space="preserve">While noting the explanations provided by the State party with regard to the situation of the Western Shoshone indigenous peoples, considered by the Committee under its early warning and urgent action procedure, the Committee strongly regrets that the State party has not followed up on the recommendations contained in paragraphs 8 to 10 of its decision 1 (68) of 2006 (CERD/C/USA/DEC/1) (art.5). </w:t>
      </w:r>
    </w:p>
    <w:p w:rsidR="00000000" w:rsidRDefault="00000000">
      <w:pPr>
        <w:ind w:left="720" w:right="543"/>
        <w:jc w:val="both"/>
        <w:rPr>
          <w:b/>
          <w:bCs/>
        </w:rPr>
      </w:pPr>
      <w:r>
        <w:rPr>
          <w:b/>
          <w:bCs/>
        </w:rPr>
        <w:t xml:space="preserve">The Committee reiterates its Decision 1 (68) in its entirety, and urges the State party to implement all the recommendations contained therein. </w:t>
      </w:r>
    </w:p>
    <w:p w:rsidR="00000000" w:rsidRDefault="00000000">
      <w:pPr>
        <w:pStyle w:val="ParaNo"/>
        <w:numPr>
          <w:ilvl w:val="0"/>
          <w:numId w:val="1"/>
        </w:numPr>
      </w:pPr>
      <w:r>
        <w:t xml:space="preserve">The Committee reiterates its concern with regard to the persistent racial disparities in the criminal justice system of the State party, including the disproportionate number of persons belonging to racial, ethnic and national minorities in the prison population, allegedly due to the harsher treatment that defendants belonging to these minorities, especially African American persons, receive at various stages of criminal proceedings </w:t>
      </w:r>
      <w:r>
        <w:rPr>
          <w:color w:val="000000"/>
          <w:lang w:val="en-US"/>
        </w:rPr>
        <w:t>(art.5 (a)).</w:t>
      </w:r>
    </w:p>
    <w:p w:rsidR="00000000" w:rsidRDefault="00000000">
      <w:pPr>
        <w:ind w:left="720" w:right="543"/>
        <w:jc w:val="both"/>
        <w:rPr>
          <w:b/>
          <w:bCs/>
        </w:rPr>
      </w:pPr>
      <w:r>
        <w:rPr>
          <w:b/>
          <w:bCs/>
        </w:rPr>
        <w:t>Bearing in mind its general recommendation No. 31 (2005) on the prevention of racial discrimination in the administration and functioning of the criminal justice system, according to which stark racial disparities in the administration and functioning of the criminal justice system, including the</w:t>
      </w:r>
      <w:r>
        <w:t xml:space="preserve"> </w:t>
      </w:r>
      <w:r>
        <w:rPr>
          <w:b/>
          <w:bCs/>
        </w:rPr>
        <w:t xml:space="preserve">disproportionate number of persons belonging to racial, ethnic and national minorities in the prison population, may be regarded as factual indicators of racial discrimination, the Committee recommends that the State party take all necessary steps to guarantee the right of everyone to equal treatment before tribunals and all other organs administering justice, including further studies to determine the nature and scope of the problem, and the implementation of national strategies or plans of action aimed at the elimination of structural racial discrimination. </w:t>
      </w:r>
    </w:p>
    <w:p w:rsidR="00000000" w:rsidRDefault="00000000">
      <w:pPr>
        <w:pStyle w:val="ParaNo"/>
        <w:numPr>
          <w:ilvl w:val="0"/>
          <w:numId w:val="1"/>
        </w:numPr>
      </w:pPr>
      <w:r>
        <w:t xml:space="preserve">The Committee notes with concern that according to information received, young offenders belonging to racial, ethnic and national minorities, including children, constitute a disproportionate number of those sentenced to life imprisonment without parole </w:t>
      </w:r>
      <w:r>
        <w:rPr>
          <w:color w:val="000000"/>
          <w:lang w:val="en-US"/>
        </w:rPr>
        <w:t>(art. 5 (a)).</w:t>
      </w:r>
    </w:p>
    <w:p w:rsidR="00000000" w:rsidRDefault="00000000">
      <w:pPr>
        <w:ind w:left="720" w:right="543"/>
        <w:jc w:val="both"/>
        <w:rPr>
          <w:b/>
          <w:bCs/>
        </w:rPr>
      </w:pPr>
      <w:r>
        <w:rPr>
          <w:b/>
          <w:bCs/>
        </w:rPr>
        <w:t>The Committee recalls the concerns expressed by the Human Rights Committee (CCPR/C/USA/CO/3/Rev.1, para. 34) and the Committee against Torture (CAT/C/USA/CO/2, para. 34) with regard to federal and state legislation allowing the use of life imprisonment without parole against young offenders, including children. In light of the disproportionate imposition of life imprisonment without parole on young offenders, including children, belonging to racial, ethnic and national minorities, the Committee considers that the persistence of such sentencing is incompatible with article 5 (a) of the Convention. The Committee therefore recommends that the State party discontinue the use of life sentence without parole against persons under the age of eighteen at the time the offence was committed, and review the situation of persons already serving such sentences.</w:t>
      </w:r>
    </w:p>
    <w:p w:rsidR="00000000" w:rsidRDefault="00000000">
      <w:pPr>
        <w:pStyle w:val="ParaNo"/>
        <w:numPr>
          <w:ilvl w:val="0"/>
          <w:numId w:val="1"/>
        </w:numPr>
      </w:pPr>
      <w:r>
        <w:t xml:space="preserve">While welcoming the recent initiatives undertaken by the State party to improve the quality of criminal defence programmes for indigent persons, the Committee is concerned about the disproportionate impact that persistent systemic inadequacies in these programmes have on indigent defendants belonging to racial, ethnic and national minorities. The Committee also notes with concern the disproportionate impact that the lack of a generally recognized right to counsel in civil proceedings has on indigent persons belonging to racial, ethnic and national minorities </w:t>
      </w:r>
      <w:r>
        <w:rPr>
          <w:color w:val="000000"/>
          <w:lang w:val="en-US"/>
        </w:rPr>
        <w:t>(art. 5 (a)).</w:t>
      </w:r>
    </w:p>
    <w:p w:rsidR="00000000" w:rsidRDefault="00000000">
      <w:pPr>
        <w:ind w:left="720" w:right="543"/>
        <w:jc w:val="both"/>
        <w:rPr>
          <w:b/>
          <w:bCs/>
        </w:rPr>
      </w:pPr>
      <w:r>
        <w:rPr>
          <w:b/>
          <w:bCs/>
        </w:rPr>
        <w:t>The Committee recommends that the State party adopt all necessary measures to eliminate the disproportionate impact that persistent systemic inadequacies in criminal defence programmes for indigent persons have on defendants belonging to racial, ethnic and national minorities, inter alia, by increasing its efforts to improve the quality of legal representation provided to indigent defendants and ensuring that public legal aid systems are adequately funded and supervised. The Committee further recommends that the State party allocate sufficient resources to ensure legal representation of indigent persons belonging to racial, ethnic and national minorities in civil proceedings, with particular regard to those proceedings where basic human needs, such as housing, health care, or child custody, are at stake.</w:t>
      </w:r>
    </w:p>
    <w:p w:rsidR="00000000" w:rsidRDefault="00000000">
      <w:pPr>
        <w:pStyle w:val="ParaNo"/>
        <w:numPr>
          <w:ilvl w:val="0"/>
          <w:numId w:val="1"/>
        </w:numPr>
      </w:pPr>
      <w:r>
        <w:t xml:space="preserve">The Committee remains concerned about the persistent and significant racial disparities with regard to the imposition of the death penalty, particularly those associated with the race of the victim, </w:t>
      </w:r>
      <w:r>
        <w:rPr>
          <w:color w:val="000000"/>
          <w:lang w:val="en-US"/>
        </w:rPr>
        <w:t xml:space="preserve">as evidenced by a number of studies, including a recent study </w:t>
      </w:r>
      <w:r>
        <w:t>released</w:t>
      </w:r>
      <w:r>
        <w:rPr>
          <w:color w:val="000000"/>
          <w:lang w:val="en-US"/>
        </w:rPr>
        <w:t xml:space="preserve"> in October 2007 by the American Bar Association </w:t>
      </w:r>
      <w:r>
        <w:t>(ABA)</w:t>
      </w:r>
      <w:r>
        <w:rPr>
          <w:rStyle w:val="FootnoteReference"/>
          <w:color w:val="000000"/>
          <w:lang w:val="en-US"/>
        </w:rPr>
        <w:footnoteReference w:id="2"/>
      </w:r>
      <w:r>
        <w:rPr>
          <w:color w:val="000000"/>
          <w:lang w:val="en-US"/>
        </w:rPr>
        <w:t xml:space="preserve"> (art. 5 (a)).</w:t>
      </w:r>
    </w:p>
    <w:p w:rsidR="00000000" w:rsidRDefault="00000000">
      <w:pPr>
        <w:ind w:left="720" w:right="543"/>
        <w:jc w:val="both"/>
        <w:rPr>
          <w:b/>
          <w:bCs/>
        </w:rPr>
      </w:pPr>
      <w:r>
        <w:rPr>
          <w:b/>
          <w:bCs/>
        </w:rPr>
        <w:t xml:space="preserve">Taking into account its general recommendation No. 31 (2005) on the prevention of racial discrimination in the administration and functioning of the criminal justice system, the Committee recommends that the State party undertake further studies to identify the underlying factors of the substantial racial disparities in the imposition of the death penalty, with a view to elaborating effective strategies aimed at rooting out discriminatory practices. The Committee wishes to reiterate its previous recommendation contained in paragraph 396 of its previous concluding observations of 2001, that the State party adopt all necessary measures, including a moratorium, to ensure that death penalty is not imposed as a result of racial bias on the part of prosecutors, judges, juries and lawyers. </w:t>
      </w:r>
    </w:p>
    <w:p w:rsidR="00000000" w:rsidRDefault="00000000">
      <w:pPr>
        <w:pStyle w:val="ParaNo"/>
        <w:numPr>
          <w:ilvl w:val="0"/>
          <w:numId w:val="1"/>
        </w:numPr>
        <w:tabs>
          <w:tab w:val="clear" w:pos="737"/>
        </w:tabs>
      </w:pPr>
      <w:r>
        <w:t xml:space="preserve">The Committee regrets the position taken by State party that the Convention is not applicable to the treatment of foreign detainees held as “enemy combatants”, on the basis of the argument that the law of armed conflict is the exclusive </w:t>
      </w:r>
      <w:r>
        <w:rPr>
          <w:i/>
          <w:iCs/>
        </w:rPr>
        <w:t>lex specialis</w:t>
      </w:r>
      <w:r>
        <w:t xml:space="preserve"> applicable, and that in any event the Convention “would be inapplicable to allegations of unequal treatment of foreign detainees” in accordance to article 1, paragraph 2, of the Convention. The Committee also notes with concern that the State party exposes non-citizens under its jurisdiction to the risk of being subjected to torture or cruel, inhuman or degrading treatment or punishment by means of transfer, rendition, or refoulement</w:t>
      </w:r>
      <w:r>
        <w:rPr>
          <w:i/>
          <w:iCs/>
        </w:rPr>
        <w:t xml:space="preserve"> </w:t>
      </w:r>
      <w:r>
        <w:t>to third countries where there are substantial reasons to believe that they will be subjected to such treatment (arts. 5 (a), 5 (b) and 6).</w:t>
      </w:r>
    </w:p>
    <w:p w:rsidR="00000000" w:rsidRDefault="00000000">
      <w:pPr>
        <w:ind w:left="720" w:right="543"/>
        <w:jc w:val="both"/>
        <w:rPr>
          <w:b/>
          <w:bCs/>
        </w:rPr>
      </w:pPr>
      <w:r>
        <w:rPr>
          <w:b/>
          <w:bCs/>
        </w:rPr>
        <w:t>Bearing in mind its general recommendation No.. 30 (2004) on non-citizens, the Committee wishes to reiterate that States parties are under an obligation to guarantee equality between citizens and non-citizens in the enjoyment of the rights set forth in article 5 of the Convention, including the right to equal treatment before the tribunals and all other organs administering justice, to the extent recognised under international law, and that article 1, paragraph 2, must be construed so as to avoid undermining the basic prohibition of discrimination set out in article 1, paragraph 1, of the Convention.</w:t>
      </w:r>
    </w:p>
    <w:p w:rsidR="00000000" w:rsidRDefault="00000000">
      <w:pPr>
        <w:ind w:left="720" w:right="543"/>
        <w:jc w:val="both"/>
        <w:rPr>
          <w:b/>
          <w:bCs/>
        </w:rPr>
      </w:pPr>
      <w:r>
        <w:rPr>
          <w:b/>
          <w:bCs/>
        </w:rPr>
        <w:t xml:space="preserve">The Committee also recalls its Statement on racial discrimination and measures to combat terrorism (A/57/18), according to which States parties to the Convention are under an obligation to ensure that measures taken in the struggle against terrorism do not discriminate in purpose or effect on grounds of race, colour, descent or national or ethnic origin. </w:t>
      </w:r>
    </w:p>
    <w:p w:rsidR="00000000" w:rsidRDefault="00000000">
      <w:pPr>
        <w:ind w:left="720" w:right="543"/>
        <w:jc w:val="both"/>
        <w:rPr>
          <w:b/>
          <w:bCs/>
        </w:rPr>
      </w:pPr>
      <w:r>
        <w:rPr>
          <w:b/>
          <w:bCs/>
        </w:rPr>
        <w:t>The Committee therefore urges the State party to adopt all necessary measures to guarantee the right of foreign detainees held as “enemy combatants” to judicial review of the lawfulness and conditions of detention, as well as their right to remedy for human rights violations. The Committee further requests the State party to ensure that non-citizens detained or arrested in the fight against terrorism are effectively protected by domestic law, in compliance with international human rights, refugee and humanitarian law.</w:t>
      </w:r>
    </w:p>
    <w:p w:rsidR="00000000" w:rsidRDefault="00000000">
      <w:pPr>
        <w:pStyle w:val="ParaNo"/>
        <w:numPr>
          <w:ilvl w:val="0"/>
          <w:numId w:val="1"/>
        </w:numPr>
        <w:tabs>
          <w:tab w:val="clear" w:pos="737"/>
        </w:tabs>
      </w:pPr>
      <w:r>
        <w:t>While recognising the efforts made by the State party to combat the pervasive phenomenon of police brutality, the Committee remains concerned about allegations of brutality and use of excessive or deadly force by law enforcement officials against persons belonging to racial, ethnic or national minorities, in particular Latino and African American persons and undocumented migrants crossing the U.S.-Mexico border. The Committee also notes with concern that despite the efforts made by the State party to prosecute law enforcement officials for criminal misconduct, impunity of police officers responsible for abuses allegedly remains a widespread problem (arts. 5 (b) and 6).</w:t>
      </w:r>
    </w:p>
    <w:p w:rsidR="00000000" w:rsidRDefault="00000000">
      <w:pPr>
        <w:ind w:left="720" w:right="543"/>
        <w:jc w:val="both"/>
        <w:rPr>
          <w:b/>
          <w:bCs/>
        </w:rPr>
      </w:pPr>
      <w:r>
        <w:rPr>
          <w:b/>
          <w:bCs/>
        </w:rPr>
        <w:t>The Committee recommends that the State party increase significantly its efforts to eliminate police brutality and excessive use of force against persons belonging to racial, ethnic or national minorities, as well as undocumented migrants crossing the U.S.-Mexico border, inter alia, by establishing adequate systems for monitoring police abuses and developing further training opportunities for law enforcement officials. The Committee further requests the State party to ensure that reports of police brutality and excessive use of force are independently, promptly and thoroughly investigated and that perpetrators are prosecuted and appropriately punished.</w:t>
      </w:r>
    </w:p>
    <w:p w:rsidR="00000000" w:rsidRDefault="00000000">
      <w:pPr>
        <w:pStyle w:val="ParaNo"/>
        <w:numPr>
          <w:ilvl w:val="0"/>
          <w:numId w:val="1"/>
        </w:numPr>
        <w:tabs>
          <w:tab w:val="clear" w:pos="737"/>
        </w:tabs>
      </w:pPr>
      <w:r>
        <w:t>While welcoming the various measures adopted by the State party to prevent and punish violence and abuse against women belonging to racial, ethnic and national minorities, the Committee remains deeply concerned about the incidence of rape and sexual violence experienced by women belonging to such groups, particularly with regard to American Indian and Alaska Native women and female migrant workers, especially domestic workers. The Committee also notes with concern that the alleged insufficient will of federal and state authorities to take action with regard to such violence and abuse often deprives victims belonging to racial, ethnic and national minorities, and in particular Native American women, of their right to access to justice and the right to obtain adequate reparation or satisfaction for damages suffered (arts. 5 (b) and 6).</w:t>
      </w:r>
    </w:p>
    <w:p w:rsidR="00000000" w:rsidRDefault="00000000">
      <w:pPr>
        <w:spacing w:after="120"/>
        <w:ind w:left="720" w:right="544"/>
        <w:jc w:val="both"/>
        <w:rPr>
          <w:b/>
          <w:bCs/>
        </w:rPr>
      </w:pPr>
      <w:r>
        <w:rPr>
          <w:b/>
          <w:bCs/>
        </w:rPr>
        <w:t xml:space="preserve">The Committee recommends that the State party increase its efforts to prevent and punish violence and abuse against women belonging to racial, ethnic and national minorities, inter alia, by: </w:t>
      </w:r>
    </w:p>
    <w:p w:rsidR="00000000" w:rsidRDefault="00000000">
      <w:pPr>
        <w:numPr>
          <w:ilvl w:val="0"/>
          <w:numId w:val="17"/>
        </w:numPr>
        <w:tabs>
          <w:tab w:val="clear" w:pos="1440"/>
          <w:tab w:val="num" w:pos="1683"/>
        </w:tabs>
        <w:spacing w:after="120"/>
        <w:ind w:left="1683" w:right="544" w:hanging="561"/>
        <w:jc w:val="both"/>
        <w:rPr>
          <w:b/>
          <w:bCs/>
        </w:rPr>
      </w:pPr>
      <w:r>
        <w:rPr>
          <w:b/>
          <w:bCs/>
        </w:rPr>
        <w:t xml:space="preserve">Setting up and adequately funding prevention and early assistance centres, counselling services and temporary shelters; </w:t>
      </w:r>
    </w:p>
    <w:p w:rsidR="00000000" w:rsidRDefault="00000000">
      <w:pPr>
        <w:numPr>
          <w:ilvl w:val="0"/>
          <w:numId w:val="17"/>
        </w:numPr>
        <w:tabs>
          <w:tab w:val="clear" w:pos="1440"/>
          <w:tab w:val="num" w:pos="1683"/>
        </w:tabs>
        <w:spacing w:after="120"/>
        <w:ind w:left="1683" w:right="543" w:hanging="561"/>
        <w:jc w:val="both"/>
        <w:rPr>
          <w:b/>
          <w:bCs/>
        </w:rPr>
      </w:pPr>
      <w:r>
        <w:rPr>
          <w:b/>
          <w:bCs/>
        </w:rPr>
        <w:t xml:space="preserve">Providing specific training for those working within the criminal justice system, including police officers, lawyers, prosecutors and judges, and medical personnel; </w:t>
      </w:r>
    </w:p>
    <w:p w:rsidR="00000000" w:rsidRDefault="00000000">
      <w:pPr>
        <w:numPr>
          <w:ilvl w:val="0"/>
          <w:numId w:val="17"/>
        </w:numPr>
        <w:tabs>
          <w:tab w:val="clear" w:pos="1440"/>
          <w:tab w:val="num" w:pos="1683"/>
        </w:tabs>
        <w:spacing w:after="120"/>
        <w:ind w:left="1683" w:right="543" w:hanging="561"/>
        <w:jc w:val="both"/>
        <w:rPr>
          <w:b/>
          <w:bCs/>
        </w:rPr>
      </w:pPr>
      <w:r>
        <w:rPr>
          <w:b/>
          <w:bCs/>
        </w:rPr>
        <w:t xml:space="preserve">Undertaking information campaigns to raise awareness among women belonging to racial, ethnic and national minorities about the mechanisms and procedures provided for in national legislation on racism and discrimination; and </w:t>
      </w:r>
    </w:p>
    <w:p w:rsidR="00000000" w:rsidRDefault="00000000">
      <w:pPr>
        <w:numPr>
          <w:ilvl w:val="0"/>
          <w:numId w:val="17"/>
        </w:numPr>
        <w:tabs>
          <w:tab w:val="clear" w:pos="1440"/>
          <w:tab w:val="num" w:pos="1683"/>
        </w:tabs>
        <w:spacing w:after="120"/>
        <w:ind w:left="1683" w:right="544" w:hanging="561"/>
        <w:jc w:val="both"/>
        <w:rPr>
          <w:b/>
          <w:bCs/>
        </w:rPr>
      </w:pPr>
      <w:r>
        <w:rPr>
          <w:b/>
          <w:bCs/>
        </w:rPr>
        <w:t xml:space="preserve">Ensuring that reports of rape and sexual violence against women belonging to racial, ethnic and national minorities, and in particular Native American women, are independently, promptly and thoroughly investigated, and that perpetrators are prosecuted and appropriately punished. </w:t>
      </w:r>
    </w:p>
    <w:p w:rsidR="00000000" w:rsidRDefault="00000000">
      <w:pPr>
        <w:ind w:left="720" w:right="544"/>
        <w:jc w:val="both"/>
        <w:rPr>
          <w:b/>
          <w:bCs/>
        </w:rPr>
      </w:pPr>
      <w:r>
        <w:rPr>
          <w:b/>
          <w:bCs/>
        </w:rPr>
        <w:t>The Committee requests the State party to include information on the results of these measures and on the number of victims, perpetrators, convictions, and the types of sanctions imposed, in its next periodic report.</w:t>
      </w:r>
    </w:p>
    <w:p w:rsidR="00000000" w:rsidRDefault="00000000">
      <w:pPr>
        <w:pStyle w:val="ParaNo"/>
        <w:numPr>
          <w:ilvl w:val="0"/>
          <w:numId w:val="1"/>
        </w:numPr>
        <w:tabs>
          <w:tab w:val="clear" w:pos="737"/>
        </w:tabs>
      </w:pPr>
      <w:r>
        <w:t>The Committee remains concerned about the disparate impact that existing felon disenfranchisement laws have on a large number of persons belonging to racial, ethnic and national minorities, in particular African American persons, who are disproportionately represented at every stage of the criminal justice system. The Committee notes with particular concern that in some states, individuals remain disenfranchised even after the completion of their sentences (art. 5 (c)).</w:t>
      </w:r>
    </w:p>
    <w:p w:rsidR="00000000" w:rsidRDefault="00000000">
      <w:pPr>
        <w:ind w:left="720" w:right="543"/>
        <w:jc w:val="both"/>
        <w:rPr>
          <w:b/>
          <w:bCs/>
        </w:rPr>
      </w:pPr>
      <w:r>
        <w:rPr>
          <w:b/>
          <w:bCs/>
        </w:rPr>
        <w:t xml:space="preserve">Taking into account the disproportionate impact that the implementation of disenfranchisement laws has on a large number of persons belonging to racial, ethnic and national minorities, in particular African American persons, the Committee recommends that the State Party adopt all appropriate measures to ensure that the denial of voting rights is used only with regard to persons convicted of the most serious crimes, and that the right to vote is in any case automatically restored after the completion of the criminal sentence. </w:t>
      </w:r>
    </w:p>
    <w:p w:rsidR="00000000" w:rsidRDefault="00000000">
      <w:pPr>
        <w:pStyle w:val="ParaNo"/>
        <w:numPr>
          <w:ilvl w:val="0"/>
          <w:numId w:val="1"/>
        </w:numPr>
        <w:tabs>
          <w:tab w:val="clear" w:pos="737"/>
        </w:tabs>
      </w:pPr>
      <w:r>
        <w:rPr>
          <w:color w:val="000000"/>
        </w:rPr>
        <w:t xml:space="preserve">The Committee regrets that despite the various measures adopted by the State party to enhance its legal and institutional mechanisms aimed at combating discrimination, workers belonging to racial, ethnic and national minorities, in particular </w:t>
      </w:r>
      <w:r>
        <w:t>women and undocumented migrant workers, continue to face discriminatory treatment and abuse in the workplace, and to be disproportionately represented</w:t>
      </w:r>
      <w:r>
        <w:rPr>
          <w:i/>
          <w:iCs/>
        </w:rPr>
        <w:t xml:space="preserve"> </w:t>
      </w:r>
      <w:r>
        <w:t xml:space="preserve">in occupations characterized by long working hours, low wages, and unsafe or dangerous conditions of work. The Committee also notes with concern that recent judicial decisions of the U.S. Supreme Court – including </w:t>
      </w:r>
      <w:r>
        <w:rPr>
          <w:i/>
          <w:iCs/>
          <w:color w:val="000000"/>
        </w:rPr>
        <w:t xml:space="preserve">Hoffman Plastics Compound, Inc. </w:t>
      </w:r>
      <w:r>
        <w:rPr>
          <w:color w:val="000000"/>
        </w:rPr>
        <w:t>v</w:t>
      </w:r>
      <w:r>
        <w:rPr>
          <w:i/>
          <w:iCs/>
          <w:color w:val="000000"/>
        </w:rPr>
        <w:t xml:space="preserve">. NLRB </w:t>
      </w:r>
      <w:r>
        <w:t>(2007)</w:t>
      </w:r>
      <w:r>
        <w:rPr>
          <w:color w:val="000000"/>
        </w:rPr>
        <w:t xml:space="preserve">, </w:t>
      </w:r>
      <w:r>
        <w:rPr>
          <w:i/>
          <w:iCs/>
          <w:color w:val="000000"/>
        </w:rPr>
        <w:t xml:space="preserve">Ledbetter </w:t>
      </w:r>
      <w:r>
        <w:rPr>
          <w:color w:val="000000"/>
        </w:rPr>
        <w:t>v.</w:t>
      </w:r>
      <w:r>
        <w:rPr>
          <w:i/>
          <w:iCs/>
          <w:color w:val="000000"/>
        </w:rPr>
        <w:t xml:space="preserve"> Goodyear Tire and Rubber Co.</w:t>
      </w:r>
      <w:r>
        <w:rPr>
          <w:color w:val="000000"/>
        </w:rPr>
        <w:t xml:space="preserve"> </w:t>
      </w:r>
      <w:r>
        <w:t xml:space="preserve">(2007) </w:t>
      </w:r>
      <w:r>
        <w:rPr>
          <w:color w:val="000000"/>
        </w:rPr>
        <w:t xml:space="preserve">and </w:t>
      </w:r>
      <w:r>
        <w:rPr>
          <w:i/>
          <w:iCs/>
          <w:color w:val="000000"/>
        </w:rPr>
        <w:t>Long Island Care at Home, Ltd.</w:t>
      </w:r>
      <w:r>
        <w:rPr>
          <w:color w:val="000000"/>
        </w:rPr>
        <w:t xml:space="preserve"> v.</w:t>
      </w:r>
      <w:r>
        <w:rPr>
          <w:i/>
          <w:iCs/>
          <w:color w:val="000000"/>
        </w:rPr>
        <w:t xml:space="preserve"> Coke</w:t>
      </w:r>
      <w:r>
        <w:rPr>
          <w:color w:val="000000"/>
        </w:rPr>
        <w:t xml:space="preserve"> </w:t>
      </w:r>
      <w:r>
        <w:t xml:space="preserve">(2007) </w:t>
      </w:r>
      <w:r>
        <w:rPr>
          <w:color w:val="000000"/>
        </w:rPr>
        <w:t xml:space="preserve">– have further eroded the ability of workers belonging to racial, ethnic and national minorities to </w:t>
      </w:r>
      <w:r>
        <w:t xml:space="preserve">obtain legal protection and redress in cases of discriminatory treatment at the workplace, unpaid or withheld wages, or work-related injury or illnesses (arts. 5 (e) (i) and 6). </w:t>
      </w:r>
    </w:p>
    <w:p w:rsidR="00000000" w:rsidRDefault="00000000">
      <w:pPr>
        <w:ind w:left="720" w:right="543"/>
        <w:jc w:val="both"/>
        <w:rPr>
          <w:b/>
          <w:bCs/>
        </w:rPr>
      </w:pPr>
      <w:r>
        <w:rPr>
          <w:b/>
          <w:bCs/>
        </w:rPr>
        <w:t xml:space="preserve">The Committee recommends that the State party take all appropriate measures, including increasing the use of “pattern and practice” investigations, to combat de facto discrimination in the workplace and ensure the equal and effective enjoyment by persons belonging to racial, ethnic and national minorities of their rights under article 5 (e) of the Convention. The Committee further recommends that the State party take effective measures, including the enactment of legislation, such as the proposed Civil Rights Act of 2008,– to ensure the right of workers belonging to racial, ethnic and national minorities, including undocumented migrant workers, to obtain effective protection and remedies in case of violation of their human rights by their employer. </w:t>
      </w:r>
    </w:p>
    <w:p w:rsidR="00000000" w:rsidRDefault="00000000">
      <w:pPr>
        <w:pStyle w:val="ParaNo"/>
        <w:numPr>
          <w:ilvl w:val="0"/>
          <w:numId w:val="1"/>
        </w:numPr>
      </w:pPr>
      <w:r>
        <w:rPr>
          <w:bCs/>
        </w:rPr>
        <w:t>The Committee is concerned about reports relating to activities, such as nuclear testing, toxic and dangerous</w:t>
      </w:r>
      <w:r>
        <w:rPr>
          <w:b/>
          <w:bCs/>
        </w:rPr>
        <w:t xml:space="preserve"> </w:t>
      </w:r>
      <w:r>
        <w:rPr>
          <w:bCs/>
        </w:rPr>
        <w:t xml:space="preserve">waste storage, mining or logging, carried out or planned in areas of spiritual and cultural significance to Native Americans, and about the negative impact that such activities allegedly have on the </w:t>
      </w:r>
      <w:r>
        <w:t>enjoyment by the affected indigenous peoples of their rights under the Convention (arts. 5 (d) (v), 5 (e) (iv) and 5 (e) (vi)).</w:t>
      </w:r>
    </w:p>
    <w:p w:rsidR="00000000" w:rsidRDefault="00000000">
      <w:pPr>
        <w:ind w:left="720" w:right="543"/>
        <w:jc w:val="both"/>
        <w:rPr>
          <w:b/>
          <w:bCs/>
        </w:rPr>
      </w:pPr>
      <w:r>
        <w:rPr>
          <w:b/>
          <w:bCs/>
        </w:rPr>
        <w:t xml:space="preserve">The Committee recommends that the State party take all appropriate measures, in consultation with indigenous peoples concerned and their representatives chosen in accordance with their own procedure, – to ensure that activities carried out in areas of spiritual and cultural significance to </w:t>
      </w:r>
      <w:r>
        <w:rPr>
          <w:b/>
        </w:rPr>
        <w:t xml:space="preserve">Native Americans </w:t>
      </w:r>
      <w:r>
        <w:rPr>
          <w:b/>
          <w:bCs/>
        </w:rPr>
        <w:t>do not have a negative impact on the enjoyment of their rights under the Convention</w:t>
      </w:r>
      <w:r>
        <w:rPr>
          <w:b/>
        </w:rPr>
        <w:t>.</w:t>
      </w:r>
      <w:r>
        <w:rPr>
          <w:b/>
          <w:bCs/>
        </w:rPr>
        <w:t xml:space="preserve"> </w:t>
      </w:r>
    </w:p>
    <w:p w:rsidR="00000000" w:rsidRDefault="00000000">
      <w:pPr>
        <w:ind w:left="720" w:right="543"/>
        <w:jc w:val="both"/>
        <w:rPr>
          <w:bCs/>
        </w:rPr>
      </w:pPr>
      <w:r>
        <w:rPr>
          <w:b/>
          <w:bCs/>
        </w:rPr>
        <w:t>The Committee further recommends that the State party recognize the</w:t>
      </w:r>
      <w:r>
        <w:t xml:space="preserve"> </w:t>
      </w:r>
      <w:r>
        <w:rPr>
          <w:b/>
          <w:bCs/>
        </w:rPr>
        <w:t xml:space="preserve">right of Native Americans to participate in decisions affecting them, and consult and cooperate in good faith with the indigenous peoples concerned before adopting and implementing any activity in areas of spiritual and cultural significance to </w:t>
      </w:r>
      <w:r>
        <w:rPr>
          <w:b/>
        </w:rPr>
        <w:t>Native Americans</w:t>
      </w:r>
      <w:r>
        <w:rPr>
          <w:b/>
          <w:bCs/>
        </w:rPr>
        <w:t>. While noting the position of the State party with regard to the United Nations Declaration on the Rights of Indigenous Peoples (A/RES/61/295), the Committee finally recommends that the declaration be used as a guide to interpret the State party’s obligations under the Convention relating to indigenous peoples.</w:t>
      </w:r>
    </w:p>
    <w:p w:rsidR="00000000" w:rsidRDefault="00000000">
      <w:pPr>
        <w:pStyle w:val="ParaNo"/>
        <w:numPr>
          <w:ilvl w:val="0"/>
          <w:numId w:val="1"/>
        </w:numPr>
        <w:tabs>
          <w:tab w:val="clear" w:pos="737"/>
        </w:tabs>
      </w:pPr>
      <w:r>
        <w:t>The Committee notes with concern the reports of adverse effects of economic activities connected with the exploitation of natural resources in countries outside the United States by transnational corporations registered in the State party on the right to land, health, living environment and the way of life of indigenous peoples living in these regions (arts. 2 (1) (d) and 5 (e)).</w:t>
      </w:r>
    </w:p>
    <w:p w:rsidR="00000000" w:rsidRDefault="00000000">
      <w:pPr>
        <w:ind w:left="720" w:right="543"/>
        <w:jc w:val="both"/>
        <w:rPr>
          <w:b/>
          <w:bCs/>
        </w:rPr>
      </w:pPr>
      <w:r>
        <w:rPr>
          <w:b/>
          <w:bCs/>
        </w:rPr>
        <w:t>I</w:t>
      </w:r>
      <w:r>
        <w:rPr>
          <w:rFonts w:hint="eastAsia"/>
          <w:b/>
          <w:bCs/>
        </w:rPr>
        <w:t>n light of article 2</w:t>
      </w:r>
      <w:r>
        <w:rPr>
          <w:b/>
          <w:bCs/>
        </w:rPr>
        <w:t xml:space="preserve">, paragraph </w:t>
      </w:r>
      <w:r>
        <w:rPr>
          <w:rFonts w:hint="eastAsia"/>
          <w:b/>
          <w:bCs/>
        </w:rPr>
        <w:t xml:space="preserve">1 </w:t>
      </w:r>
      <w:r>
        <w:rPr>
          <w:b/>
          <w:bCs/>
        </w:rPr>
        <w:t>(</w:t>
      </w:r>
      <w:r>
        <w:rPr>
          <w:rFonts w:hint="eastAsia"/>
          <w:b/>
          <w:bCs/>
        </w:rPr>
        <w:t>d)</w:t>
      </w:r>
      <w:r>
        <w:rPr>
          <w:b/>
          <w:bCs/>
        </w:rPr>
        <w:t>,</w:t>
      </w:r>
      <w:r>
        <w:rPr>
          <w:rFonts w:hint="eastAsia"/>
          <w:b/>
          <w:bCs/>
        </w:rPr>
        <w:t xml:space="preserve"> and </w:t>
      </w:r>
      <w:r>
        <w:rPr>
          <w:b/>
          <w:bCs/>
        </w:rPr>
        <w:t xml:space="preserve">5 (e) of the Convention </w:t>
      </w:r>
      <w:r>
        <w:rPr>
          <w:rFonts w:hint="eastAsia"/>
          <w:b/>
          <w:bCs/>
        </w:rPr>
        <w:t>and</w:t>
      </w:r>
      <w:r>
        <w:rPr>
          <w:b/>
          <w:bCs/>
        </w:rPr>
        <w:t xml:space="preserve"> of its</w:t>
      </w:r>
      <w:r>
        <w:rPr>
          <w:rFonts w:hint="eastAsia"/>
          <w:b/>
          <w:bCs/>
        </w:rPr>
        <w:t xml:space="preserve"> general recommendation </w:t>
      </w:r>
      <w:r>
        <w:rPr>
          <w:b/>
          <w:bCs/>
        </w:rPr>
        <w:t xml:space="preserve">No. 23 (1997) </w:t>
      </w:r>
      <w:r>
        <w:rPr>
          <w:rFonts w:hint="eastAsia"/>
          <w:b/>
          <w:bCs/>
        </w:rPr>
        <w:t xml:space="preserve">on the rights of indigenous peoples, the Committee encourages the State party to take </w:t>
      </w:r>
      <w:r>
        <w:rPr>
          <w:b/>
          <w:bCs/>
        </w:rPr>
        <w:t>appropriate</w:t>
      </w:r>
      <w:r>
        <w:rPr>
          <w:rFonts w:hint="eastAsia"/>
          <w:b/>
          <w:bCs/>
        </w:rPr>
        <w:t xml:space="preserve"> legislative or administrative measures</w:t>
      </w:r>
      <w:r>
        <w:rPr>
          <w:b/>
          <w:bCs/>
        </w:rPr>
        <w:t xml:space="preserve"> </w:t>
      </w:r>
      <w:r>
        <w:rPr>
          <w:rFonts w:hint="eastAsia"/>
          <w:b/>
          <w:bCs/>
        </w:rPr>
        <w:t xml:space="preserve">to prevent acts </w:t>
      </w:r>
      <w:r>
        <w:rPr>
          <w:b/>
          <w:bCs/>
        </w:rPr>
        <w:t>of</w:t>
      </w:r>
      <w:r>
        <w:rPr>
          <w:rFonts w:hint="eastAsia"/>
          <w:b/>
          <w:bCs/>
        </w:rPr>
        <w:t xml:space="preserve"> transnational corporations registered in </w:t>
      </w:r>
      <w:r>
        <w:rPr>
          <w:b/>
          <w:bCs/>
        </w:rPr>
        <w:t>the State party</w:t>
      </w:r>
      <w:r>
        <w:rPr>
          <w:rFonts w:hint="eastAsia"/>
          <w:b/>
          <w:bCs/>
        </w:rPr>
        <w:t xml:space="preserve"> which negatively impact </w:t>
      </w:r>
      <w:r>
        <w:rPr>
          <w:b/>
          <w:bCs/>
        </w:rPr>
        <w:t xml:space="preserve">on </w:t>
      </w:r>
      <w:r>
        <w:rPr>
          <w:rFonts w:hint="eastAsia"/>
          <w:b/>
          <w:bCs/>
        </w:rPr>
        <w:t xml:space="preserve">the enjoyment of rights </w:t>
      </w:r>
      <w:r>
        <w:rPr>
          <w:b/>
          <w:bCs/>
        </w:rPr>
        <w:t>of</w:t>
      </w:r>
      <w:r>
        <w:rPr>
          <w:rFonts w:hint="eastAsia"/>
          <w:b/>
          <w:bCs/>
        </w:rPr>
        <w:t xml:space="preserve"> indigenous peoples in territories outside</w:t>
      </w:r>
      <w:r>
        <w:rPr>
          <w:b/>
          <w:bCs/>
        </w:rPr>
        <w:t xml:space="preserve"> the United States</w:t>
      </w:r>
      <w:r>
        <w:rPr>
          <w:rFonts w:hint="eastAsia"/>
          <w:b/>
          <w:bCs/>
        </w:rPr>
        <w:t>.</w:t>
      </w:r>
      <w:r>
        <w:rPr>
          <w:b/>
          <w:bCs/>
        </w:rPr>
        <w:t xml:space="preserve"> In particular, t</w:t>
      </w:r>
      <w:r>
        <w:rPr>
          <w:rFonts w:hint="eastAsia"/>
          <w:b/>
          <w:bCs/>
        </w:rPr>
        <w:t xml:space="preserve">he Committee recommends </w:t>
      </w:r>
      <w:r>
        <w:rPr>
          <w:b/>
          <w:bCs/>
        </w:rPr>
        <w:t xml:space="preserve">that </w:t>
      </w:r>
      <w:r>
        <w:rPr>
          <w:rFonts w:hint="eastAsia"/>
          <w:b/>
          <w:bCs/>
        </w:rPr>
        <w:t xml:space="preserve">the State party explore ways to hold transnational corporations registered in </w:t>
      </w:r>
      <w:r>
        <w:rPr>
          <w:b/>
          <w:bCs/>
        </w:rPr>
        <w:t>the United States</w:t>
      </w:r>
      <w:r>
        <w:rPr>
          <w:rFonts w:hint="eastAsia"/>
          <w:b/>
          <w:bCs/>
        </w:rPr>
        <w:t xml:space="preserve"> accountable. The Committee requests the State party to include in its next periodic report information on the effects of activities of transnational corporations registered in </w:t>
      </w:r>
      <w:r>
        <w:rPr>
          <w:b/>
          <w:bCs/>
        </w:rPr>
        <w:t>the United States</w:t>
      </w:r>
      <w:r>
        <w:rPr>
          <w:rFonts w:hint="eastAsia"/>
          <w:b/>
          <w:bCs/>
        </w:rPr>
        <w:t xml:space="preserve"> on indigenous peoples abroad and </w:t>
      </w:r>
      <w:r>
        <w:rPr>
          <w:b/>
          <w:bCs/>
        </w:rPr>
        <w:t>on any</w:t>
      </w:r>
      <w:r>
        <w:rPr>
          <w:rFonts w:hint="eastAsia"/>
          <w:b/>
          <w:bCs/>
        </w:rPr>
        <w:t xml:space="preserve"> measures taken </w:t>
      </w:r>
      <w:r>
        <w:rPr>
          <w:b/>
          <w:bCs/>
        </w:rPr>
        <w:t>in this regard</w:t>
      </w:r>
      <w:r>
        <w:rPr>
          <w:rFonts w:hint="eastAsia"/>
          <w:b/>
          <w:bCs/>
        </w:rPr>
        <w:t>.</w:t>
      </w:r>
    </w:p>
    <w:p w:rsidR="00000000" w:rsidRDefault="00000000">
      <w:pPr>
        <w:pStyle w:val="ParaNo"/>
        <w:numPr>
          <w:ilvl w:val="0"/>
          <w:numId w:val="1"/>
        </w:numPr>
        <w:tabs>
          <w:tab w:val="clear" w:pos="737"/>
        </w:tabs>
      </w:pPr>
      <w:r>
        <w:t>The Committee, while noting the efforts undertaken by the State party and civil society organizations to assist the persons displaced by Hurricane Katrina of 2005, remains concerned about the disparate impact that this natural disaster continues to have on low-income African American residents, many of whom continue to be displaced after more than two years after the hurricane (art. 5 (e) (iii)).</w:t>
      </w:r>
    </w:p>
    <w:p w:rsidR="00000000" w:rsidRDefault="00000000">
      <w:pPr>
        <w:ind w:left="720" w:right="543"/>
        <w:jc w:val="both"/>
        <w:rPr>
          <w:b/>
          <w:bCs/>
        </w:rPr>
      </w:pPr>
      <w:r>
        <w:rPr>
          <w:b/>
          <w:bCs/>
        </w:rPr>
        <w:t xml:space="preserve">The Committee recommends that the State party increase its efforts in order to facilitate the return of persons displaced by Hurricane Katrina to their homes, if feasible, or to guarantee access to adequate and affordable housing, where possible in their place of habitual residence. In particular, the Committee calls upon the State party to ensure that every effort is made to ensure </w:t>
      </w:r>
      <w:r>
        <w:rPr>
          <w:rFonts w:eastAsia="SimSun"/>
          <w:b/>
          <w:bCs/>
          <w:color w:val="000000"/>
          <w:szCs w:val="24"/>
          <w:lang w:val="en-US" w:eastAsia="zh-CN"/>
        </w:rPr>
        <w:t xml:space="preserve">genuine consultation and participation of </w:t>
      </w:r>
      <w:r>
        <w:rPr>
          <w:b/>
          <w:bCs/>
        </w:rPr>
        <w:t>persons displaced by Hurricane Katrina in the design and implementation of all decisions affecting them.</w:t>
      </w:r>
    </w:p>
    <w:p w:rsidR="00000000" w:rsidRDefault="00000000">
      <w:pPr>
        <w:pStyle w:val="ParaNo"/>
        <w:numPr>
          <w:ilvl w:val="0"/>
          <w:numId w:val="1"/>
        </w:numPr>
        <w:tabs>
          <w:tab w:val="clear" w:pos="737"/>
        </w:tabs>
      </w:pPr>
      <w:r>
        <w:t xml:space="preserve">While noting the wide range of measures and policies adopted by the State party to improve access to health insurance and adequate health-care and services, the Committee is concerned that a large number of persons belonging </w:t>
      </w:r>
      <w:r>
        <w:rPr>
          <w:color w:val="000000"/>
        </w:rPr>
        <w:t xml:space="preserve">to racial, ethnic and national minorities </w:t>
      </w:r>
      <w:r>
        <w:t>still remain without health insurance and face numerous obstacles to access to adequate health care and services (art. 5 (e) (iv)).</w:t>
      </w:r>
    </w:p>
    <w:p w:rsidR="00000000" w:rsidRDefault="00000000">
      <w:pPr>
        <w:ind w:left="720" w:right="543"/>
        <w:jc w:val="both"/>
        <w:rPr>
          <w:b/>
          <w:bCs/>
        </w:rPr>
      </w:pPr>
      <w:r>
        <w:rPr>
          <w:b/>
          <w:bCs/>
        </w:rPr>
        <w:t>The Committee recommends that the State party continue its efforts to address the persistent health disparities affecting persons belonging to racial, ethnic and national minorities, in particular by eliminating the obstacles that currently prevent or limit their access to adequate health care, such as lack of health insurance, unequal distribution of health-care resources, persistent racial discrimination in the provision of health care and poor quality of public health-care services. The Committee requests the State party to collect statistical data on health disparities affecting persons belonging to racial, ethnic and national minorities, disaggregated by age, gender, race, ethnic or national origin, and to include it in its next periodic report.</w:t>
      </w:r>
    </w:p>
    <w:p w:rsidR="00000000" w:rsidRDefault="00000000">
      <w:pPr>
        <w:pStyle w:val="ParaNo"/>
        <w:numPr>
          <w:ilvl w:val="0"/>
          <w:numId w:val="1"/>
        </w:numPr>
        <w:tabs>
          <w:tab w:val="clear" w:pos="737"/>
        </w:tabs>
      </w:pPr>
      <w:r>
        <w:rPr>
          <w:color w:val="000000"/>
        </w:rPr>
        <w:t>The Committee regrets that despite the efforts of the State party</w:t>
      </w:r>
      <w:r>
        <w:t>, wide racial disparities continue to exist in the field of sexual and reproductive health, particularly with regard to the high maternal and infant mortality rates among women and children belonging to racial, ethnic and national minorities, especially African Americans, the high incidence of unintended pregnancies and greater abortion rates affecting African American women, and the growing disparities in HIV infection rates for minority women (art. 5 (e) (iv)).</w:t>
      </w:r>
    </w:p>
    <w:p w:rsidR="00000000" w:rsidRDefault="00000000">
      <w:pPr>
        <w:ind w:left="720" w:right="543"/>
        <w:jc w:val="both"/>
        <w:rPr>
          <w:b/>
          <w:bCs/>
        </w:rPr>
      </w:pPr>
      <w:r>
        <w:rPr>
          <w:b/>
          <w:bCs/>
        </w:rPr>
        <w:t xml:space="preserve">The Committee recommends that the State party continue its efforts to address persistent racial disparities in sexual and reproductive health, in particular by: </w:t>
      </w:r>
    </w:p>
    <w:p w:rsidR="00000000" w:rsidRDefault="00000000">
      <w:pPr>
        <w:numPr>
          <w:ilvl w:val="0"/>
          <w:numId w:val="19"/>
        </w:numPr>
        <w:tabs>
          <w:tab w:val="clear" w:pos="1440"/>
          <w:tab w:val="num" w:pos="1683"/>
        </w:tabs>
        <w:spacing w:after="120"/>
        <w:ind w:left="1683" w:right="544" w:hanging="561"/>
        <w:jc w:val="both"/>
        <w:rPr>
          <w:b/>
          <w:bCs/>
        </w:rPr>
      </w:pPr>
      <w:r>
        <w:rPr>
          <w:b/>
          <w:bCs/>
        </w:rPr>
        <w:t xml:space="preserve">Improving access to maternal health care, family planning, pre- and post- natal care and emergency obstetric services, inter alia, through the reduction of eligibility barriers for Medicaid coverage; </w:t>
      </w:r>
    </w:p>
    <w:p w:rsidR="00000000" w:rsidRDefault="00000000">
      <w:pPr>
        <w:numPr>
          <w:ilvl w:val="0"/>
          <w:numId w:val="19"/>
        </w:numPr>
        <w:tabs>
          <w:tab w:val="clear" w:pos="1440"/>
          <w:tab w:val="num" w:pos="1683"/>
        </w:tabs>
        <w:spacing w:after="120"/>
        <w:ind w:left="1683" w:right="544" w:hanging="561"/>
        <w:jc w:val="both"/>
        <w:rPr>
          <w:b/>
          <w:bCs/>
        </w:rPr>
      </w:pPr>
      <w:r>
        <w:rPr>
          <w:b/>
          <w:bCs/>
        </w:rPr>
        <w:t xml:space="preserve">Facilitating access to adequate contraceptive and family planning methods; and </w:t>
      </w:r>
    </w:p>
    <w:p w:rsidR="00000000" w:rsidRDefault="00000000">
      <w:pPr>
        <w:numPr>
          <w:ilvl w:val="0"/>
          <w:numId w:val="19"/>
        </w:numPr>
        <w:tabs>
          <w:tab w:val="clear" w:pos="1440"/>
          <w:tab w:val="num" w:pos="1683"/>
        </w:tabs>
        <w:spacing w:after="120"/>
        <w:ind w:left="1683" w:right="544" w:hanging="561"/>
        <w:jc w:val="both"/>
        <w:rPr>
          <w:b/>
          <w:bCs/>
        </w:rPr>
      </w:pPr>
      <w:r>
        <w:rPr>
          <w:b/>
          <w:bCs/>
        </w:rPr>
        <w:t>Providing adequate sexual education aimed at the prevention of unintended pregnancies and sexually-transmitted infections.</w:t>
      </w:r>
    </w:p>
    <w:p w:rsidR="00000000" w:rsidRDefault="00000000">
      <w:pPr>
        <w:pStyle w:val="ParaNo"/>
        <w:numPr>
          <w:ilvl w:val="0"/>
          <w:numId w:val="1"/>
        </w:numPr>
        <w:tabs>
          <w:tab w:val="clear" w:pos="737"/>
        </w:tabs>
      </w:pPr>
      <w:r>
        <w:t xml:space="preserve">While welcoming the measures adopted by the State party to reduce the significant disparities in the field of education, including the adoption of the </w:t>
      </w:r>
      <w:r>
        <w:rPr>
          <w:lang w:val="en-US"/>
        </w:rPr>
        <w:t xml:space="preserve">No Child Left Behind Act of 2001 (NCLB), </w:t>
      </w:r>
      <w:r>
        <w:t>the Committee remains concerned about the persistent “achievement gap” between students belonging to racial, ethnic or national minorities, including English Language Learner (“ELL”) students, and white students. The Committee also notes with concern that alleged racial disparities in suspension, expulsion and arrest rates in schools contribute to exacerbate the high dropout rate and the referral to the justice system of students belonging to racial, ethnic or national minorities (art.5 (e) (v)).</w:t>
      </w:r>
    </w:p>
    <w:p w:rsidR="00000000" w:rsidRDefault="00000000">
      <w:pPr>
        <w:ind w:left="720" w:right="543"/>
        <w:jc w:val="both"/>
        <w:rPr>
          <w:b/>
          <w:bCs/>
        </w:rPr>
      </w:pPr>
      <w:r>
        <w:rPr>
          <w:b/>
          <w:bCs/>
        </w:rPr>
        <w:t xml:space="preserve">The Committee recommends that the State party adopt all appropriate measures,– including special measures in accordance with article 2, paragraph 2, of the Convention,– to reduce the persistent “achievement gap” between students belonging to racial, ethnic or national minorities and white students in the field of education, inter alia, by improving the quality of education provided to these students. The Committee also calls upon the State party to encourage school districts to review their “zero tolerance” school discipline policies, with a view to limiting the imposition of suspension or expulsion to the most serious cases of school misconduct, and to provide training opportunities for police officers deployed to patrol school hallways. </w:t>
      </w:r>
    </w:p>
    <w:p w:rsidR="00000000" w:rsidRDefault="00000000">
      <w:pPr>
        <w:pStyle w:val="ParaNo"/>
        <w:numPr>
          <w:ilvl w:val="0"/>
          <w:numId w:val="1"/>
        </w:numPr>
        <w:tabs>
          <w:tab w:val="clear" w:pos="737"/>
        </w:tabs>
      </w:pPr>
      <w:r>
        <w:t>While welcoming the clarifications offered by the State party with regard to the burden of proof in racial discrimination claims under civil rights statutes, the Committee remains concerned that claims of racial discrimination under the Due Process Clause of the Fifth Amendment to the U.S. Constitution and the Equal Protection Clause of the Fourteenth Amendment must be accompanied by proof of intentional discrimination (arts. 1 (1) and 6).</w:t>
      </w:r>
    </w:p>
    <w:p w:rsidR="00000000" w:rsidRDefault="00000000">
      <w:pPr>
        <w:ind w:left="720" w:right="543"/>
        <w:jc w:val="both"/>
        <w:rPr>
          <w:b/>
          <w:bCs/>
        </w:rPr>
      </w:pPr>
      <w:r>
        <w:rPr>
          <w:b/>
          <w:bCs/>
        </w:rPr>
        <w:t>The Committee recommends that the State party review its federal and state legislation and practice concerning the burden of proof in racial discrimination claims, with a view to allowing, in accordance with article 1, paragraph 1 of the Convention, a more balanced sharing of the burden of proof between the plaintiff, who must establish a, prima facie,</w:t>
      </w:r>
      <w:r>
        <w:rPr>
          <w:b/>
          <w:bCs/>
          <w:i/>
          <w:iCs/>
        </w:rPr>
        <w:t xml:space="preserve"> </w:t>
      </w:r>
      <w:r>
        <w:rPr>
          <w:b/>
          <w:bCs/>
        </w:rPr>
        <w:t xml:space="preserve">case of discrimination, whether direct or based on a disparate impact, and the defendant, who should provide evidence of an objective and reasonable justification for the differential treatment. The Committee calls in particular on the State Party to consider adoption of the Civil Rights Act of 2008. </w:t>
      </w:r>
    </w:p>
    <w:p w:rsidR="00000000" w:rsidRDefault="00000000">
      <w:pPr>
        <w:pStyle w:val="ParaNo"/>
        <w:numPr>
          <w:ilvl w:val="0"/>
          <w:numId w:val="1"/>
        </w:numPr>
      </w:pPr>
      <w:r>
        <w:t>The Committee regrets that despite the efforts made by the State party to provide training programmes and courses on anti-discrimination legislation adopted at the federal and state levels, no specific training programmes or courses have been provided to, inter alia, government officials, the judiciary, federal and state law enforcement officials, teachers, social workers and other public officials in order to raise their awareness about the Convention and its provisions. Similarly, the Committee notes with regret that information about the Convention and its provisions has not been brought to the attention of the public in general (art.7).</w:t>
      </w:r>
    </w:p>
    <w:p w:rsidR="00000000" w:rsidRDefault="00000000">
      <w:pPr>
        <w:ind w:left="720" w:right="543"/>
        <w:jc w:val="both"/>
        <w:rPr>
          <w:b/>
          <w:bCs/>
        </w:rPr>
      </w:pPr>
      <w:r>
        <w:rPr>
          <w:b/>
          <w:bCs/>
        </w:rPr>
        <w:t>The Committee recommends that the State party organize public awareness and education programmes on the Convention and its provisions, and step up its efforts to make government officials, the judiciary, federal and state law enforcement officials, teachers, social workers and the public in general aware about the responsibilities of the State party under the Convention, as well as the mechanisms and procedures provided for by the Convention in the field of racial discrimination and intolerance.</w:t>
      </w:r>
    </w:p>
    <w:p w:rsidR="00000000" w:rsidRDefault="00000000">
      <w:pPr>
        <w:pStyle w:val="ParaNo"/>
        <w:numPr>
          <w:ilvl w:val="0"/>
          <w:numId w:val="1"/>
        </w:numPr>
      </w:pPr>
      <w:r>
        <w:t>The Committee requests the State party to provide, in its next periodic report, detailed information on the legislation applicable to refugees and asylum-seekers, and on the alleged mandatory and prolonged detention of a large number of non-citizens, including undocumented migrant workers, victims of trafficking, asylum-seekers and refugees, as well as members of their families (arts. 5 (b), 5 (e) (iv) and 6).</w:t>
      </w:r>
    </w:p>
    <w:p w:rsidR="00000000" w:rsidRDefault="00000000">
      <w:pPr>
        <w:pStyle w:val="ParaNo"/>
        <w:numPr>
          <w:ilvl w:val="0"/>
          <w:numId w:val="1"/>
        </w:numPr>
      </w:pPr>
      <w:r>
        <w:t xml:space="preserve">The Committee also requests the State party to provide, in its next periodic report, detailed information on the measures adopted to preserve and promote the culture and traditions of </w:t>
      </w:r>
      <w:r>
        <w:rPr>
          <w:rFonts w:eastAsia="MS Mincho"/>
          <w:iCs/>
          <w:szCs w:val="24"/>
        </w:rPr>
        <w:t>American Indian and Alaska Native (AIAN) and Native Hawaiian and Other Pacific Islander (NHPI) peoples</w:t>
      </w:r>
      <w:r>
        <w:t>. The Committee further requests the State party to provide information on the extent to which curricula and textbooks for primary and secondary schools reflect the multi-ethnic nature of the State party, and provide sufficient information on the history and culture of the different racial, ethnic and national groups living in its territory (art. 7).</w:t>
      </w:r>
    </w:p>
    <w:p w:rsidR="00000000" w:rsidRDefault="00000000">
      <w:pPr>
        <w:pStyle w:val="ParaNo"/>
        <w:numPr>
          <w:ilvl w:val="0"/>
          <w:numId w:val="1"/>
        </w:numPr>
      </w:pPr>
      <w:r>
        <w:t>The Committee is aware of the position of the State party with regard to the Durban Declaration and Programme of Action and its follow-up, but in view of the importance that such a process has for the achievement of the goals of the Convention, it calls upon the State party to consider participating</w:t>
      </w:r>
      <w:r>
        <w:rPr>
          <w:b/>
          <w:bCs/>
        </w:rPr>
        <w:t xml:space="preserve"> </w:t>
      </w:r>
      <w:r>
        <w:t>in the preparatory process as well as in the Durban Review Conference itself.</w:t>
      </w:r>
    </w:p>
    <w:p w:rsidR="00000000" w:rsidRDefault="00000000">
      <w:pPr>
        <w:pStyle w:val="ParaNo"/>
        <w:numPr>
          <w:ilvl w:val="0"/>
          <w:numId w:val="1"/>
        </w:numPr>
      </w:pPr>
      <w:r>
        <w:t>The Committee notes that the State party has not made the optional declaration provided for in article 14 of the Convention and invites it to consider doing so.</w:t>
      </w:r>
    </w:p>
    <w:p w:rsidR="00000000" w:rsidRDefault="00000000">
      <w:pPr>
        <w:pStyle w:val="ParaNo"/>
        <w:numPr>
          <w:ilvl w:val="0"/>
          <w:numId w:val="1"/>
        </w:numPr>
      </w:pPr>
      <w:r>
        <w:t>The Committee recommends that the State party ratify the amendment to article 8,</w:t>
      </w:r>
      <w:r>
        <w:rPr>
          <w:bCs/>
        </w:rPr>
        <w:t xml:space="preserve"> </w:t>
      </w:r>
      <w:r>
        <w:t>paragraph 6, of the Convention, adopted on 15 January 1992 at the fourteenth meeting of States parties to the Convention and endorsed by General Assembly resolution 47/111. In this connection, the Committee cites General Assembly resolution 61/148,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pStyle w:val="ParaNo"/>
        <w:numPr>
          <w:ilvl w:val="0"/>
          <w:numId w:val="1"/>
        </w:numPr>
      </w:pPr>
      <w:r>
        <w:t>The Committee recommends that the State party’s reports be made readily available to the public at the time of their submission, and that the observations of the Committee with respect to these reports be similarly publicised in the official and national languages.</w:t>
      </w:r>
    </w:p>
    <w:p w:rsidR="00000000" w:rsidRDefault="00000000">
      <w:pPr>
        <w:pStyle w:val="ParaNo"/>
        <w:numPr>
          <w:ilvl w:val="0"/>
          <w:numId w:val="1"/>
        </w:numPr>
      </w:pPr>
      <w:r>
        <w:t xml:space="preserve">The Committee recommends that the State party, in connection with the preparation of the next periodic report, consult widely with organizations of civil society working in the area of human rights protection, in particular in combating racial discrimination. </w:t>
      </w:r>
    </w:p>
    <w:p w:rsidR="00000000" w:rsidRDefault="00000000">
      <w:pPr>
        <w:pStyle w:val="ParaNo"/>
        <w:numPr>
          <w:ilvl w:val="0"/>
          <w:numId w:val="1"/>
        </w:numPr>
      </w:pPr>
      <w:r>
        <w:t>The Committee invites the State party to update its core document in accordance with the harmonised guidelines on reporting under the international human rights treaties, in particular those on the common core document, as adopted by the fifth inter-Committee meeting of the human rights treaty bodies held in June 2006 (HRI/GEN/2/Rev.4).</w:t>
      </w:r>
    </w:p>
    <w:p w:rsidR="00000000" w:rsidRDefault="00000000">
      <w:pPr>
        <w:pStyle w:val="ParaNo"/>
        <w:numPr>
          <w:ilvl w:val="0"/>
          <w:numId w:val="1"/>
        </w:numPr>
      </w:pPr>
      <w:r>
        <w:t>The State party should, within one year, provide information on the way it has followed up on the Committee’s recommendations contained in paragraphs 14, 19, 21, 31 and 36, pursuant to paragraph 1 of rule 65 of the rules of procedure.</w:t>
      </w:r>
    </w:p>
    <w:p w:rsidR="00000000" w:rsidRDefault="00000000">
      <w:pPr>
        <w:pStyle w:val="ParaNo"/>
        <w:numPr>
          <w:ilvl w:val="0"/>
          <w:numId w:val="1"/>
        </w:numPr>
      </w:pPr>
      <w:r>
        <w:t xml:space="preserve">The Committee recommends that the State party submit its seventh, eighth and ninth periodic reports in a single document, due on 20 November 2011, and that the report be comprehensive and address all points raised in the present concluding observations. </w:t>
      </w:r>
    </w:p>
    <w:p w:rsidR="00000000" w:rsidRDefault="00000000">
      <w:pPr>
        <w:pStyle w:val="ParaNo"/>
        <w:jc w:val="center"/>
      </w:pPr>
      <w:r>
        <w:t>- - - - -</w:t>
      </w:r>
    </w:p>
    <w:sectPr w:rsidR="00000000">
      <w:headerReference w:type="even" r:id="rId9"/>
      <w:headerReference w:type="default" r:id="rId10"/>
      <w:footerReference w:type="even" r:id="rId11"/>
      <w:footerReference w:type="default" r:id="rId12"/>
      <w:endnotePr>
        <w:numFmt w:val="decimal"/>
      </w:endnotePr>
      <w:type w:val="oddPage"/>
      <w:pgSz w:w="11907" w:h="16840" w:code="9"/>
      <w:pgMar w:top="1134" w:right="1247" w:bottom="1985" w:left="1701" w:header="851" w:footer="0" w:gutter="0"/>
      <w:pgNumType w:start="1"/>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jc w:val="both"/>
        <w:rPr>
          <w:sz w:val="20"/>
        </w:rPr>
      </w:pPr>
      <w:r>
        <w:rPr>
          <w:rStyle w:val="FootnoteReference"/>
          <w:sz w:val="20"/>
        </w:rPr>
        <w:footnoteRef/>
      </w:r>
      <w:r>
        <w:rPr>
          <w:sz w:val="20"/>
        </w:rPr>
        <w:t xml:space="preserve"> American Bar Association, “State Death Penalty Assessments: Key Findings,” 29 October 2007, </w:t>
      </w:r>
      <w:hyperlink r:id="rId1" w:history="1">
        <w:r>
          <w:rPr>
            <w:rStyle w:val="Hyperlink"/>
            <w:sz w:val="20"/>
          </w:rPr>
          <w:t>http://www.abanet.org/moratorium/asses</w:t>
        </w:r>
        <w:r>
          <w:rPr>
            <w:rStyle w:val="Hyperlink"/>
            <w:sz w:val="20"/>
          </w:rPr>
          <w:t>s</w:t>
        </w:r>
        <w:r>
          <w:rPr>
            <w:rStyle w:val="Hyperlink"/>
            <w:sz w:val="20"/>
          </w:rPr>
          <w:t>mentproject/keyfindings.doc</w:t>
        </w:r>
      </w:hyperlink>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right="-205"/>
    </w:pPr>
  </w:p>
  <w:p w:rsidR="00000000" w:rsidRDefault="00000000">
    <w:pPr>
      <w:spacing w:after="0"/>
      <w:ind w:right="-205"/>
    </w:pPr>
    <w:r>
      <w:t>CERD/C/USA/CO/6</w:t>
    </w:r>
  </w:p>
  <w:p w:rsidR="00000000" w:rsidRDefault="00000000">
    <w:pPr>
      <w:spacing w:after="0"/>
      <w:ind w:right="-20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tab/>
    </w:r>
  </w:p>
  <w:p w:rsidR="00000000" w:rsidRDefault="00000000">
    <w:pPr>
      <w:spacing w:after="0"/>
      <w:ind w:right="-205"/>
    </w:pPr>
    <w:r>
      <w:tab/>
    </w: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45"/>
      </w:tabs>
      <w:spacing w:after="0"/>
    </w:pPr>
    <w:r>
      <w:tab/>
    </w:r>
  </w:p>
  <w:p w:rsidR="00000000" w:rsidRDefault="00000000">
    <w:pPr>
      <w:pStyle w:val="Header"/>
      <w:tabs>
        <w:tab w:val="clear" w:pos="4320"/>
        <w:tab w:val="clear" w:pos="8640"/>
        <w:tab w:val="left" w:pos="6545"/>
      </w:tabs>
      <w:spacing w:after="0"/>
      <w:rPr>
        <w:lang w:val="es-ES_tradnl"/>
      </w:rPr>
    </w:pPr>
    <w:r>
      <w:rPr>
        <w:lang w:val="es-ES_tradnl"/>
      </w:rPr>
      <w:tab/>
      <w:t xml:space="preserve">      CERD/C/USA/CO/6</w:t>
    </w:r>
  </w:p>
  <w:p w:rsidR="00000000" w:rsidRDefault="00000000">
    <w:pPr>
      <w:pStyle w:val="Header"/>
      <w:tabs>
        <w:tab w:val="clear" w:pos="4320"/>
        <w:tab w:val="clear" w:pos="8640"/>
        <w:tab w:val="left" w:pos="6545"/>
      </w:tabs>
      <w:spacing w:after="0"/>
      <w:rPr>
        <w:lang w:val="es-ES_tradnl"/>
      </w:rPr>
    </w:pPr>
    <w:r>
      <w:rPr>
        <w:lang w:val="es-ES_tradnl"/>
      </w:rPr>
      <w:tab/>
    </w:r>
    <w:r>
      <w:rPr>
        <w:lang w:val="es-ES_tradnl"/>
      </w:rPr>
      <w:tab/>
      <w:t xml:space="preserve">                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13</w:t>
    </w:r>
    <w:r>
      <w:rPr>
        <w:rStyle w:val="PageNumber"/>
      </w:rPr>
      <w:fldChar w:fldCharType="end"/>
    </w:r>
    <w:r>
      <w:rPr>
        <w:lang w:val="es-ES_tradn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36CB4"/>
    <w:multiLevelType w:val="hybridMultilevel"/>
    <w:tmpl w:val="33CEB7A4"/>
    <w:lvl w:ilvl="0" w:tplc="C6DEDA6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ED337FE"/>
    <w:multiLevelType w:val="hybridMultilevel"/>
    <w:tmpl w:val="7AA6B25E"/>
    <w:lvl w:ilvl="0" w:tplc="7150672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18C4066"/>
    <w:multiLevelType w:val="hybridMultilevel"/>
    <w:tmpl w:val="7196EAFA"/>
    <w:lvl w:ilvl="0" w:tplc="4F0CDAC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4A33360"/>
    <w:multiLevelType w:val="hybridMultilevel"/>
    <w:tmpl w:val="BB7C2FE4"/>
    <w:lvl w:ilvl="0" w:tplc="7150672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CB061AB"/>
    <w:multiLevelType w:val="singleLevel"/>
    <w:tmpl w:val="2E1400C6"/>
    <w:lvl w:ilvl="0">
      <w:start w:val="1"/>
      <w:numFmt w:val="decimal"/>
      <w:lvlText w:val="%1."/>
      <w:lvlJc w:val="left"/>
      <w:pPr>
        <w:tabs>
          <w:tab w:val="num" w:pos="851"/>
        </w:tabs>
        <w:ind w:left="0" w:firstLine="0"/>
      </w:pPr>
      <w:rPr>
        <w:rFonts w:hint="default"/>
        <w:b w:val="0"/>
        <w:bCs w:val="0"/>
      </w:rPr>
    </w:lvl>
  </w:abstractNum>
  <w:abstractNum w:abstractNumId="6">
    <w:nsid w:val="6C141222"/>
    <w:multiLevelType w:val="hybridMultilevel"/>
    <w:tmpl w:val="1EAC1DC8"/>
    <w:lvl w:ilvl="0" w:tplc="9A22887A">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7"/>
  </w:num>
  <w:num w:numId="3">
    <w:abstractNumId w:val="4"/>
  </w:num>
  <w:num w:numId="4">
    <w:abstractNumId w:val="5"/>
  </w:num>
  <w:num w:numId="5">
    <w:abstractNumId w:val="5"/>
  </w:num>
  <w:num w:numId="6">
    <w:abstractNumId w:val="5"/>
  </w:num>
  <w:num w:numId="7">
    <w:abstractNumId w:val="5"/>
  </w:num>
  <w:num w:numId="8">
    <w:abstractNumId w:val="5"/>
  </w:num>
  <w:num w:numId="9">
    <w:abstractNumId w:val="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0"/>
  </w:num>
  <w:num w:numId="17">
    <w:abstractNumId w:val="3"/>
  </w:num>
  <w:num w:numId="18">
    <w:abstractNumId w:val="6"/>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Footnote reference,FA Fu,Footnote Text Char Char Char Char Char,Footnote Text Char Char Char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Courier New" w:hAnsi="Courier New" w:cs="Courier New"/>
      <w:sz w:val="22"/>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rPr>
      <w:color w:val="00000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Verdana" w:eastAsia="SimSun" w:hAnsi="Verdana"/>
      <w:szCs w:val="24"/>
      <w:lang w:val="en-US" w:eastAsia="zh-CN"/>
    </w:rPr>
  </w:style>
  <w:style w:type="character" w:styleId="Strong">
    <w:name w:val="Strong"/>
    <w:qFormat/>
    <w:rPr>
      <w:b/>
      <w:bCs/>
    </w:rPr>
  </w:style>
  <w:style w:type="character" w:styleId="Hyperlink">
    <w:name w:val="Hyperlink"/>
    <w:semiHidden/>
    <w:rPr>
      <w:color w:val="0000FF"/>
      <w:u w:val="single"/>
    </w:rPr>
  </w:style>
  <w:style w:type="character" w:customStyle="1" w:styleId="FootnotereferenceChar">
    <w:name w:val="Footnote reference Char"/>
    <w:aliases w:val="FA Fu Char,Footnote Text Char Char Char Char Char Char,Footnote Text Char Char Char Char Char Char1"/>
    <w:semiHidden/>
    <w:rPr>
      <w:sz w:val="24"/>
      <w:lang w:val="en-GB" w:eastAsia="en-US" w:bidi="ar-SA"/>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abanet.org/moratorium/assessmentproject/keyfindings.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5701</Words>
  <Characters>32498</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0541073</vt:lpstr>
    </vt:vector>
  </TitlesOfParts>
  <Company>ONU</Company>
  <LinksUpToDate>false</LinksUpToDate>
  <CharactersWithSpaces>39909</CharactersWithSpaces>
  <SharedDoc>false</SharedDoc>
  <HLinks>
    <vt:vector size="6" baseType="variant">
      <vt:variant>
        <vt:i4>3211361</vt:i4>
      </vt:variant>
      <vt:variant>
        <vt:i4>0</vt:i4>
      </vt:variant>
      <vt:variant>
        <vt:i4>0</vt:i4>
      </vt:variant>
      <vt:variant>
        <vt:i4>5</vt:i4>
      </vt:variant>
      <vt:variant>
        <vt:lpwstr>http://www.abanet.org/moratorium/assessmentproject/keyfindings.doc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0541073</dc:title>
  <dc:subject/>
  <dc:creator>Luu</dc:creator>
  <cp:keywords>CERD/C/AUS/CO/14</cp:keywords>
  <dc:description>Final</dc:description>
  <cp:lastModifiedBy>csd</cp:lastModifiedBy>
  <cp:revision>2</cp:revision>
  <cp:lastPrinted>2008-05-08T09:11:00Z</cp:lastPrinted>
  <dcterms:created xsi:type="dcterms:W3CDTF">2008-05-21T14:27:00Z</dcterms:created>
  <dcterms:modified xsi:type="dcterms:W3CDTF">2008-05-21T14:27:00Z</dcterms:modified>
</cp:coreProperties>
</file>